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13C91A">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highlight w:val="none"/>
          <w:shd w:val="clear" w:fill="auto"/>
        </w:rPr>
      </w:pPr>
      <w:r>
        <w:rPr>
          <w:rFonts w:ascii="宋体" w:hAnsi="宋体" w:eastAsia="宋体" w:cs="宋体"/>
          <w:b/>
          <w:color w:val="auto"/>
          <w:spacing w:val="36"/>
          <w:position w:val="0"/>
          <w:sz w:val="52"/>
          <w:highlight w:val="none"/>
          <w:shd w:val="clear" w:fill="auto"/>
        </w:rPr>
        <w:t>周口市公共资源交易中心</w:t>
      </w:r>
    </w:p>
    <w:p w14:paraId="2739F007">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highlight w:val="none"/>
          <w:shd w:val="clear" w:fill="auto"/>
        </w:rPr>
      </w:pPr>
    </w:p>
    <w:p w14:paraId="256CD896">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r>
        <w:rPr>
          <w:rFonts w:ascii="宋体" w:hAnsi="宋体" w:eastAsia="宋体" w:cs="宋体"/>
          <w:b/>
          <w:color w:val="auto"/>
          <w:spacing w:val="0"/>
          <w:position w:val="0"/>
          <w:sz w:val="52"/>
          <w:highlight w:val="none"/>
          <w:shd w:val="clear" w:fill="auto"/>
        </w:rPr>
        <w:t>竞争性磋商文件</w:t>
      </w:r>
    </w:p>
    <w:p w14:paraId="21B10ADB">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highlight w:val="none"/>
          <w:shd w:val="clear" w:fill="auto"/>
        </w:rPr>
      </w:pPr>
    </w:p>
    <w:p w14:paraId="7628E435">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highlight w:val="none"/>
          <w:shd w:val="clear" w:fill="auto"/>
        </w:rPr>
      </w:pPr>
    </w:p>
    <w:p w14:paraId="4214CC40">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04B17C96">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29DEBA95">
      <w:pPr>
        <w:tabs>
          <w:tab w:val="left" w:pos="315"/>
          <w:tab w:val="left" w:pos="8820"/>
        </w:tabs>
        <w:spacing w:before="0" w:after="0" w:line="500" w:lineRule="auto"/>
        <w:ind w:left="0" w:right="267" w:firstLine="0"/>
        <w:jc w:val="both"/>
        <w:rPr>
          <w:rFonts w:ascii="微软简标宋" w:hAnsi="微软简标宋" w:eastAsia="微软简标宋" w:cs="微软简标宋"/>
          <w:b/>
          <w:color w:val="auto"/>
          <w:spacing w:val="0"/>
          <w:position w:val="0"/>
          <w:sz w:val="52"/>
          <w:highlight w:val="none"/>
          <w:shd w:val="clear" w:fill="auto"/>
        </w:rPr>
      </w:pPr>
    </w:p>
    <w:p w14:paraId="46ECB14C">
      <w:pPr>
        <w:tabs>
          <w:tab w:val="left" w:pos="315"/>
          <w:tab w:val="left" w:pos="8820"/>
        </w:tabs>
        <w:spacing w:before="0" w:after="0" w:line="240" w:lineRule="auto"/>
        <w:ind w:left="1600" w:right="267" w:hanging="1600" w:hangingChars="500"/>
        <w:jc w:val="left"/>
        <w:rPr>
          <w:rFonts w:ascii="宋体" w:hAnsi="宋体" w:eastAsia="宋体" w:cs="宋体"/>
          <w:b w:val="0"/>
          <w:bCs/>
          <w:color w:val="auto"/>
          <w:spacing w:val="0"/>
          <w:position w:val="0"/>
          <w:sz w:val="32"/>
          <w:szCs w:val="32"/>
          <w:highlight w:val="none"/>
          <w:shd w:val="clear" w:fill="auto"/>
        </w:rPr>
      </w:pPr>
    </w:p>
    <w:p w14:paraId="4001BDBB">
      <w:pPr>
        <w:tabs>
          <w:tab w:val="left" w:pos="315"/>
          <w:tab w:val="left" w:pos="8820"/>
        </w:tabs>
        <w:spacing w:before="0" w:after="0" w:line="240" w:lineRule="auto"/>
        <w:ind w:left="1600" w:right="267" w:hanging="1600" w:hangingChars="500"/>
        <w:jc w:val="left"/>
        <w:rPr>
          <w:rFonts w:ascii="宋体" w:hAnsi="宋体" w:eastAsia="宋体" w:cs="宋体"/>
          <w:b w:val="0"/>
          <w:bCs/>
          <w:color w:val="auto"/>
          <w:spacing w:val="0"/>
          <w:position w:val="0"/>
          <w:sz w:val="32"/>
          <w:szCs w:val="32"/>
          <w:highlight w:val="none"/>
          <w:shd w:val="clear" w:fill="auto"/>
        </w:rPr>
      </w:pPr>
    </w:p>
    <w:p w14:paraId="52940712">
      <w:pPr>
        <w:tabs>
          <w:tab w:val="left" w:pos="315"/>
          <w:tab w:val="left" w:pos="8820"/>
        </w:tabs>
        <w:spacing w:before="0" w:after="0" w:line="240" w:lineRule="auto"/>
        <w:ind w:left="1600" w:right="267" w:hanging="1600" w:hangingChars="500"/>
        <w:jc w:val="left"/>
        <w:rPr>
          <w:rFonts w:ascii="宋体" w:hAnsi="宋体" w:eastAsia="宋体" w:cs="宋体"/>
          <w:b w:val="0"/>
          <w:bCs/>
          <w:color w:val="auto"/>
          <w:spacing w:val="0"/>
          <w:position w:val="0"/>
          <w:sz w:val="32"/>
          <w:szCs w:val="32"/>
          <w:highlight w:val="none"/>
          <w:shd w:val="clear" w:fill="auto"/>
        </w:rPr>
      </w:pPr>
    </w:p>
    <w:p w14:paraId="1DAB6EAD">
      <w:pPr>
        <w:tabs>
          <w:tab w:val="left" w:pos="315"/>
          <w:tab w:val="left" w:pos="8820"/>
        </w:tabs>
        <w:spacing w:before="0" w:after="0" w:line="240" w:lineRule="auto"/>
        <w:ind w:left="1600" w:right="267" w:hanging="1600" w:hangingChars="500"/>
        <w:jc w:val="left"/>
        <w:rPr>
          <w:rFonts w:ascii="宋体" w:hAnsi="宋体" w:eastAsia="宋体" w:cs="宋体"/>
          <w:b w:val="0"/>
          <w:bCs/>
          <w:color w:val="auto"/>
          <w:spacing w:val="0"/>
          <w:position w:val="0"/>
          <w:sz w:val="32"/>
          <w:szCs w:val="32"/>
          <w:highlight w:val="none"/>
          <w:shd w:val="clear" w:fill="auto"/>
        </w:rPr>
      </w:pPr>
    </w:p>
    <w:p w14:paraId="7860868D">
      <w:pPr>
        <w:tabs>
          <w:tab w:val="left" w:pos="315"/>
          <w:tab w:val="left" w:pos="8820"/>
        </w:tabs>
        <w:spacing w:before="0" w:after="0" w:line="240" w:lineRule="auto"/>
        <w:ind w:left="1600" w:right="267" w:hanging="1600" w:hangingChars="500"/>
        <w:jc w:val="left"/>
        <w:rPr>
          <w:rFonts w:hint="eastAsia" w:ascii="Times New Roman" w:hAnsi="Times New Roman" w:eastAsia="Times New Roman" w:cs="Times New Roman"/>
          <w:b w:val="0"/>
          <w:bCs/>
          <w:color w:val="auto"/>
          <w:spacing w:val="0"/>
          <w:position w:val="0"/>
          <w:sz w:val="32"/>
          <w:szCs w:val="32"/>
          <w:highlight w:val="none"/>
          <w:u w:val="none"/>
          <w:shd w:val="clear" w:fill="auto"/>
          <w:lang w:val="en-US" w:eastAsia="zh-CN"/>
        </w:rPr>
      </w:pPr>
      <w:r>
        <w:rPr>
          <w:rFonts w:ascii="宋体" w:hAnsi="宋体" w:eastAsia="宋体" w:cs="宋体"/>
          <w:b w:val="0"/>
          <w:bCs/>
          <w:color w:val="auto"/>
          <w:spacing w:val="0"/>
          <w:position w:val="0"/>
          <w:sz w:val="32"/>
          <w:szCs w:val="32"/>
          <w:highlight w:val="none"/>
          <w:shd w:val="clear" w:fill="auto"/>
        </w:rPr>
        <w:t xml:space="preserve">项目名称: </w:t>
      </w:r>
      <w:r>
        <w:rPr>
          <w:rFonts w:hint="eastAsia" w:ascii="Times New Roman" w:hAnsi="Times New Roman" w:eastAsia="Times New Roman" w:cs="Times New Roman"/>
          <w:b w:val="0"/>
          <w:bCs/>
          <w:color w:val="auto"/>
          <w:spacing w:val="0"/>
          <w:position w:val="0"/>
          <w:sz w:val="32"/>
          <w:szCs w:val="32"/>
          <w:highlight w:val="none"/>
          <w:u w:val="none"/>
          <w:shd w:val="clear" w:fill="auto"/>
        </w:rPr>
        <w:t>周口市第一高级中学周口一高改善办学条件项目</w:t>
      </w:r>
      <w:r>
        <w:rPr>
          <w:rFonts w:hint="eastAsia" w:ascii="Times New Roman" w:hAnsi="Times New Roman" w:eastAsia="Times New Roman" w:cs="Times New Roman"/>
          <w:b w:val="0"/>
          <w:bCs/>
          <w:color w:val="auto"/>
          <w:spacing w:val="0"/>
          <w:position w:val="0"/>
          <w:sz w:val="32"/>
          <w:szCs w:val="32"/>
          <w:highlight w:val="none"/>
          <w:u w:val="none"/>
          <w:shd w:val="clear" w:fill="auto"/>
          <w:lang w:val="en-US" w:eastAsia="zh-CN"/>
        </w:rPr>
        <w:t>(2025年普通高中发展引导省级补助资金)</w:t>
      </w:r>
    </w:p>
    <w:p w14:paraId="3C616BB2">
      <w:pPr>
        <w:tabs>
          <w:tab w:val="left" w:pos="315"/>
          <w:tab w:val="left" w:pos="8820"/>
        </w:tabs>
        <w:spacing w:before="0" w:after="0" w:line="240" w:lineRule="auto"/>
        <w:ind w:left="2209" w:right="267" w:hanging="1600" w:hangingChars="500"/>
        <w:jc w:val="left"/>
        <w:rPr>
          <w:rFonts w:hint="default" w:ascii="宋体" w:hAnsi="宋体" w:eastAsia="宋体" w:cs="宋体"/>
          <w:b w:val="0"/>
          <w:bCs/>
          <w:color w:val="auto"/>
          <w:spacing w:val="0"/>
          <w:position w:val="0"/>
          <w:sz w:val="32"/>
          <w:szCs w:val="32"/>
          <w:highlight w:val="none"/>
          <w:shd w:val="clear" w:fill="auto"/>
          <w:lang w:val="en-US" w:eastAsia="zh-CN"/>
        </w:rPr>
      </w:pPr>
      <w:r>
        <w:rPr>
          <w:rFonts w:ascii="宋体" w:hAnsi="宋体" w:eastAsia="宋体" w:cs="宋体"/>
          <w:b w:val="0"/>
          <w:bCs/>
          <w:color w:val="auto"/>
          <w:spacing w:val="0"/>
          <w:position w:val="0"/>
          <w:sz w:val="32"/>
          <w:szCs w:val="32"/>
          <w:highlight w:val="none"/>
          <w:shd w:val="clear" w:fill="auto"/>
        </w:rPr>
        <w:t>项目编号:</w:t>
      </w:r>
      <w:r>
        <w:rPr>
          <w:rFonts w:hint="eastAsia" w:ascii="Times New Roman" w:hAnsi="Times New Roman" w:eastAsia="Times New Roman" w:cs="Times New Roman"/>
          <w:b w:val="0"/>
          <w:bCs/>
          <w:color w:val="auto"/>
          <w:spacing w:val="0"/>
          <w:position w:val="0"/>
          <w:sz w:val="32"/>
          <w:szCs w:val="32"/>
          <w:highlight w:val="none"/>
          <w:u w:val="none"/>
          <w:shd w:val="clear" w:fill="auto"/>
        </w:rPr>
        <w:t>周</w:t>
      </w:r>
      <w:r>
        <w:rPr>
          <w:rFonts w:hint="eastAsia" w:ascii="Times New Roman" w:hAnsi="Times New Roman" w:eastAsia="宋体" w:cs="Times New Roman"/>
          <w:b w:val="0"/>
          <w:bCs/>
          <w:color w:val="auto"/>
          <w:spacing w:val="0"/>
          <w:position w:val="0"/>
          <w:sz w:val="32"/>
          <w:szCs w:val="32"/>
          <w:highlight w:val="none"/>
          <w:u w:val="none"/>
          <w:shd w:val="clear" w:fill="auto"/>
          <w:lang w:val="en-US" w:eastAsia="zh-CN"/>
        </w:rPr>
        <w:t>财磋商采购-2026-52</w:t>
      </w:r>
    </w:p>
    <w:p w14:paraId="3BA439ED">
      <w:pPr>
        <w:spacing w:before="0" w:after="120" w:line="240" w:lineRule="auto"/>
        <w:ind w:left="0" w:right="0" w:firstLine="0"/>
        <w:jc w:val="center"/>
        <w:rPr>
          <w:rFonts w:hint="eastAsia" w:ascii="宋体" w:hAnsi="宋体" w:eastAsia="宋体" w:cs="宋体"/>
          <w:b w:val="0"/>
          <w:bCs/>
          <w:color w:val="auto"/>
          <w:spacing w:val="0"/>
          <w:position w:val="0"/>
          <w:sz w:val="32"/>
          <w:szCs w:val="32"/>
          <w:highlight w:val="none"/>
          <w:shd w:val="clear" w:fill="auto"/>
          <w:lang w:val="en-US" w:eastAsia="zh-CN"/>
        </w:rPr>
      </w:pPr>
    </w:p>
    <w:p w14:paraId="0BBA3F7E">
      <w:pPr>
        <w:spacing w:before="0" w:after="120" w:line="240" w:lineRule="auto"/>
        <w:ind w:left="0" w:right="0" w:firstLine="0"/>
        <w:jc w:val="center"/>
        <w:rPr>
          <w:rFonts w:ascii="宋体" w:hAnsi="宋体" w:eastAsia="宋体" w:cs="宋体"/>
          <w:b/>
          <w:color w:val="auto"/>
          <w:spacing w:val="0"/>
          <w:position w:val="0"/>
          <w:sz w:val="32"/>
          <w:highlight w:val="none"/>
          <w:shd w:val="clear" w:fill="auto"/>
        </w:rPr>
      </w:pPr>
      <w:r>
        <w:rPr>
          <w:rFonts w:hint="eastAsia" w:ascii="宋体" w:hAnsi="宋体" w:eastAsia="宋体" w:cs="宋体"/>
          <w:b w:val="0"/>
          <w:bCs/>
          <w:color w:val="auto"/>
          <w:spacing w:val="0"/>
          <w:position w:val="0"/>
          <w:sz w:val="32"/>
          <w:szCs w:val="32"/>
          <w:highlight w:val="none"/>
          <w:shd w:val="clear" w:fill="auto"/>
          <w:lang w:val="en-US" w:eastAsia="zh-CN"/>
        </w:rPr>
        <w:t>2026年5月26日</w:t>
      </w:r>
    </w:p>
    <w:p w14:paraId="0398F24B">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4A1CD6A9">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72186119">
      <w:pPr>
        <w:spacing w:before="0" w:after="0" w:line="560" w:lineRule="auto"/>
        <w:ind w:left="0" w:right="0" w:firstLine="0"/>
        <w:jc w:val="cente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目     录</w:t>
      </w:r>
    </w:p>
    <w:p w14:paraId="49F8C6BD">
      <w:pPr>
        <w:spacing w:before="0" w:after="0" w:line="240" w:lineRule="auto"/>
        <w:ind w:left="0" w:right="0" w:firstLine="0"/>
        <w:jc w:val="both"/>
        <w:rPr>
          <w:rFonts w:ascii="宋体" w:hAnsi="宋体" w:eastAsia="宋体" w:cs="宋体"/>
          <w:b/>
          <w:color w:val="auto"/>
          <w:spacing w:val="0"/>
          <w:position w:val="0"/>
          <w:sz w:val="32"/>
          <w:highlight w:val="none"/>
          <w:shd w:val="clear" w:fill="auto"/>
        </w:rPr>
      </w:pPr>
    </w:p>
    <w:p w14:paraId="2ADF2401">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第一章  竞争性磋商邀请函 .........................3</w:t>
      </w:r>
    </w:p>
    <w:p w14:paraId="730F8C59">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第二章  供应商须知 ...............................6</w:t>
      </w:r>
    </w:p>
    <w:p w14:paraId="042B26FF">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第三章  采购需求.................................24</w:t>
      </w:r>
    </w:p>
    <w:p w14:paraId="2FDFE431">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第四章  响应性文件内容及格式.....................25</w:t>
      </w:r>
    </w:p>
    <w:p w14:paraId="41F3379E">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lang w:eastAsia="zh-CN"/>
        </w:rPr>
      </w:pPr>
      <w:r>
        <w:rPr>
          <w:rFonts w:ascii="宋体" w:hAnsi="宋体" w:eastAsia="宋体" w:cs="宋体"/>
          <w:b/>
          <w:color w:val="auto"/>
          <w:spacing w:val="0"/>
          <w:position w:val="0"/>
          <w:sz w:val="32"/>
          <w:highlight w:val="none"/>
          <w:shd w:val="clear" w:fill="auto"/>
        </w:rPr>
        <w:t>第五章  合同主要条款 合同签订指引、供应商履约验收指引............................................4</w:t>
      </w:r>
      <w:r>
        <w:rPr>
          <w:rFonts w:hint="eastAsia" w:ascii="宋体" w:hAnsi="宋体" w:eastAsia="宋体" w:cs="宋体"/>
          <w:b/>
          <w:color w:val="auto"/>
          <w:spacing w:val="0"/>
          <w:position w:val="0"/>
          <w:sz w:val="32"/>
          <w:highlight w:val="none"/>
          <w:shd w:val="clear" w:fill="auto"/>
          <w:lang w:val="en-US" w:eastAsia="zh-CN"/>
        </w:rPr>
        <w:t>0</w:t>
      </w:r>
    </w:p>
    <w:p w14:paraId="242BAB2B">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111FDD87">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1E023714">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31680303">
      <w:pPr>
        <w:spacing w:before="0" w:after="0" w:line="800" w:lineRule="auto"/>
        <w:ind w:left="0" w:right="0" w:firstLine="2249"/>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 xml:space="preserve">     </w:t>
      </w:r>
    </w:p>
    <w:p w14:paraId="12EEEA55">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7634820B">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5A2E8F7F">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3BCAE6AC">
      <w:pPr>
        <w:spacing w:before="0" w:after="0" w:line="240" w:lineRule="auto"/>
        <w:ind w:left="0" w:right="0" w:firstLine="420"/>
        <w:jc w:val="left"/>
        <w:rPr>
          <w:rFonts w:ascii="仿宋_GB2312" w:hAnsi="仿宋_GB2312" w:eastAsia="仿宋_GB2312" w:cs="仿宋_GB2312"/>
          <w:b/>
          <w:color w:val="auto"/>
          <w:spacing w:val="0"/>
          <w:position w:val="0"/>
          <w:sz w:val="32"/>
          <w:highlight w:val="none"/>
          <w:shd w:val="clear" w:fill="auto"/>
        </w:rPr>
      </w:pPr>
      <w:r>
        <w:rPr>
          <w:rFonts w:ascii="仿宋_GB2312" w:hAnsi="仿宋_GB2312" w:eastAsia="仿宋_GB2312" w:cs="仿宋_GB2312"/>
          <w:b/>
          <w:color w:val="auto"/>
          <w:spacing w:val="0"/>
          <w:position w:val="0"/>
          <w:sz w:val="32"/>
          <w:highlight w:val="none"/>
          <w:shd w:val="clear" w:fill="auto"/>
        </w:rPr>
        <w:t xml:space="preserve"> </w:t>
      </w:r>
    </w:p>
    <w:p w14:paraId="535035EE">
      <w:pPr>
        <w:spacing w:before="0" w:after="0" w:line="240" w:lineRule="auto"/>
        <w:ind w:left="0" w:right="0" w:firstLine="0"/>
        <w:jc w:val="cente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第一章    竞争性磋商邀请函</w:t>
      </w:r>
    </w:p>
    <w:p w14:paraId="5A32F397">
      <w:pPr>
        <w:spacing w:before="0" w:after="0" w:line="24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项目概况</w:t>
      </w:r>
    </w:p>
    <w:p w14:paraId="5260A157">
      <w:pPr>
        <w:spacing w:before="0" w:after="0" w:line="24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周口市第一高级中学周口一高改善办学条件</w:t>
      </w:r>
      <w:r>
        <w:rPr>
          <w:rFonts w:ascii="宋体" w:hAnsi="宋体" w:eastAsia="宋体" w:cs="宋体"/>
          <w:color w:val="auto"/>
          <w:spacing w:val="0"/>
          <w:position w:val="0"/>
          <w:sz w:val="24"/>
          <w:highlight w:val="none"/>
          <w:shd w:val="clear" w:fill="auto"/>
        </w:rPr>
        <w:t>项目</w:t>
      </w:r>
      <w:r>
        <w:rPr>
          <w:rFonts w:hint="eastAsia" w:ascii="Times New Roman" w:hAnsi="Times New Roman" w:eastAsia="宋体" w:cs="Times New Roman"/>
          <w:color w:val="auto"/>
          <w:spacing w:val="0"/>
          <w:position w:val="0"/>
          <w:sz w:val="24"/>
          <w:highlight w:val="none"/>
          <w:u w:val="single"/>
          <w:shd w:val="clear" w:fill="auto"/>
          <w:lang w:val="en-US" w:eastAsia="zh-CN"/>
        </w:rPr>
        <w:t>(2</w:t>
      </w:r>
      <w:r>
        <w:rPr>
          <w:rFonts w:hint="eastAsia" w:ascii="宋体" w:hAnsi="宋体" w:eastAsia="宋体" w:cs="宋体"/>
          <w:color w:val="auto"/>
          <w:spacing w:val="0"/>
          <w:position w:val="0"/>
          <w:sz w:val="24"/>
          <w:szCs w:val="24"/>
          <w:highlight w:val="none"/>
          <w:u w:val="single"/>
          <w:shd w:val="clear" w:fill="auto"/>
          <w:lang w:val="en-US" w:eastAsia="zh-CN"/>
        </w:rPr>
        <w:t>025年普通高中发展引导省级补助资金</w:t>
      </w:r>
      <w:r>
        <w:rPr>
          <w:rFonts w:hint="eastAsia" w:ascii="Times New Roman" w:hAnsi="Times New Roman" w:eastAsia="宋体" w:cs="Times New Roman"/>
          <w:color w:val="auto"/>
          <w:spacing w:val="0"/>
          <w:position w:val="0"/>
          <w:sz w:val="24"/>
          <w:highlight w:val="none"/>
          <w:u w:val="single"/>
          <w:shd w:val="clear" w:fill="auto"/>
          <w:lang w:val="en-US" w:eastAsia="zh-CN"/>
        </w:rPr>
        <w:t>)</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的潜在供应商应在周口市公共资源交易中心网获取采购文件，并于</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年</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月</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日</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点</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（北京时间）前提交响应文件。</w:t>
      </w:r>
    </w:p>
    <w:p w14:paraId="5EFB119D">
      <w:pPr>
        <w:spacing w:before="0" w:after="0" w:line="240" w:lineRule="auto"/>
        <w:ind w:left="0" w:right="0" w:firstLine="0"/>
        <w:jc w:val="both"/>
        <w:rPr>
          <w:rFonts w:ascii="Times New Roman" w:hAnsi="Times New Roman" w:eastAsia="Times New Roman" w:cs="Times New Roman"/>
          <w:color w:val="auto"/>
          <w:spacing w:val="0"/>
          <w:position w:val="0"/>
          <w:sz w:val="24"/>
          <w:highlight w:val="none"/>
          <w:shd w:val="clear" w:fill="auto"/>
        </w:rPr>
      </w:pPr>
    </w:p>
    <w:p w14:paraId="650636C8">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一、项目基本情况</w:t>
      </w:r>
    </w:p>
    <w:p w14:paraId="7E13D39F">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none"/>
          <w:shd w:val="clear" w:fill="auto"/>
        </w:rPr>
      </w:pPr>
      <w:r>
        <w:rPr>
          <w:rFonts w:ascii="宋体" w:hAnsi="宋体" w:eastAsia="宋体" w:cs="宋体"/>
          <w:color w:val="auto"/>
          <w:spacing w:val="0"/>
          <w:position w:val="0"/>
          <w:sz w:val="24"/>
          <w:highlight w:val="none"/>
          <w:u w:val="none"/>
          <w:shd w:val="clear" w:fill="auto"/>
        </w:rPr>
        <w:t>项目编号：</w:t>
      </w:r>
      <w:r>
        <w:rPr>
          <w:rFonts w:hint="eastAsia" w:ascii="宋体" w:hAnsi="宋体" w:eastAsia="宋体" w:cs="宋体"/>
          <w:color w:val="auto"/>
          <w:spacing w:val="0"/>
          <w:position w:val="0"/>
          <w:sz w:val="24"/>
          <w:highlight w:val="none"/>
          <w:u w:val="none"/>
          <w:shd w:val="clear" w:fill="auto"/>
        </w:rPr>
        <w:t>周</w:t>
      </w:r>
      <w:r>
        <w:rPr>
          <w:rFonts w:hint="eastAsia" w:ascii="宋体" w:hAnsi="宋体" w:eastAsia="宋体" w:cs="宋体"/>
          <w:color w:val="auto"/>
          <w:spacing w:val="0"/>
          <w:position w:val="0"/>
          <w:sz w:val="24"/>
          <w:highlight w:val="none"/>
          <w:u w:val="none"/>
          <w:shd w:val="clear" w:fill="auto"/>
          <w:lang w:val="en-US" w:eastAsia="zh-CN"/>
        </w:rPr>
        <w:t>财磋商采购-2026-52</w:t>
      </w:r>
    </w:p>
    <w:p w14:paraId="24A210DB">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u w:val="none"/>
          <w:shd w:val="clear" w:fill="auto"/>
        </w:rPr>
        <w:t>项目名称：</w:t>
      </w:r>
      <w:r>
        <w:rPr>
          <w:rFonts w:hint="eastAsia" w:ascii="Times New Roman" w:hAnsi="Times New Roman" w:eastAsia="Times New Roman" w:cs="Times New Roman"/>
          <w:color w:val="auto"/>
          <w:spacing w:val="0"/>
          <w:position w:val="0"/>
          <w:sz w:val="24"/>
          <w:highlight w:val="none"/>
          <w:u w:val="none"/>
          <w:shd w:val="clear" w:fill="auto"/>
        </w:rPr>
        <w:t>周口市第一高级中学周口一高改善办学条件</w:t>
      </w:r>
      <w:r>
        <w:rPr>
          <w:rFonts w:ascii="宋体" w:hAnsi="宋体" w:eastAsia="宋体" w:cs="宋体"/>
          <w:color w:val="auto"/>
          <w:spacing w:val="0"/>
          <w:position w:val="0"/>
          <w:sz w:val="24"/>
          <w:highlight w:val="none"/>
          <w:u w:val="none"/>
          <w:shd w:val="clear" w:fill="auto"/>
        </w:rPr>
        <w:t>项目</w:t>
      </w:r>
      <w:r>
        <w:rPr>
          <w:rFonts w:hint="eastAsia" w:ascii="Times New Roman" w:hAnsi="Times New Roman" w:eastAsia="宋体" w:cs="Times New Roman"/>
          <w:color w:val="auto"/>
          <w:spacing w:val="0"/>
          <w:position w:val="0"/>
          <w:sz w:val="24"/>
          <w:highlight w:val="none"/>
          <w:u w:val="none"/>
          <w:shd w:val="clear" w:fill="auto"/>
          <w:lang w:val="en-US" w:eastAsia="zh-CN"/>
        </w:rPr>
        <w:t>(2</w:t>
      </w:r>
      <w:r>
        <w:rPr>
          <w:rFonts w:hint="eastAsia" w:ascii="宋体" w:hAnsi="宋体" w:eastAsia="宋体" w:cs="宋体"/>
          <w:color w:val="auto"/>
          <w:spacing w:val="0"/>
          <w:position w:val="0"/>
          <w:sz w:val="24"/>
          <w:szCs w:val="24"/>
          <w:highlight w:val="none"/>
          <w:u w:val="none"/>
          <w:shd w:val="clear" w:fill="auto"/>
          <w:lang w:val="en-US" w:eastAsia="zh-CN"/>
        </w:rPr>
        <w:t>025年普通高中发展引导省级补助资金</w:t>
      </w:r>
      <w:r>
        <w:rPr>
          <w:rFonts w:hint="eastAsia" w:ascii="Times New Roman" w:hAnsi="Times New Roman" w:eastAsia="宋体" w:cs="Times New Roman"/>
          <w:color w:val="auto"/>
          <w:spacing w:val="0"/>
          <w:position w:val="0"/>
          <w:sz w:val="24"/>
          <w:highlight w:val="none"/>
          <w:u w:val="none"/>
          <w:shd w:val="clear" w:fill="auto"/>
          <w:lang w:val="en-US" w:eastAsia="zh-CN"/>
        </w:rPr>
        <w:t>)</w:t>
      </w:r>
      <w:r>
        <w:rPr>
          <w:rFonts w:ascii="Times New Roman" w:hAnsi="Times New Roman" w:eastAsia="Times New Roman" w:cs="Times New Roman"/>
          <w:color w:val="auto"/>
          <w:spacing w:val="0"/>
          <w:position w:val="0"/>
          <w:sz w:val="24"/>
          <w:highlight w:val="none"/>
          <w:u w:val="none"/>
          <w:shd w:val="clear" w:fill="auto"/>
        </w:rPr>
        <w:t xml:space="preserve"> </w:t>
      </w:r>
      <w:r>
        <w:rPr>
          <w:rFonts w:ascii="宋体" w:hAnsi="宋体" w:eastAsia="宋体" w:cs="宋体"/>
          <w:color w:val="auto"/>
          <w:spacing w:val="0"/>
          <w:position w:val="0"/>
          <w:sz w:val="24"/>
          <w:highlight w:val="none"/>
          <w:shd w:val="clear" w:fill="auto"/>
        </w:rPr>
        <w:t>采购方式：竞争性磋商</w:t>
      </w:r>
    </w:p>
    <w:p w14:paraId="7849584F">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预算金额：</w:t>
      </w:r>
      <w:r>
        <w:rPr>
          <w:rFonts w:hint="eastAsia" w:ascii="宋体" w:hAnsi="宋体" w:eastAsia="宋体" w:cs="宋体"/>
          <w:color w:val="auto"/>
          <w:spacing w:val="0"/>
          <w:position w:val="0"/>
          <w:sz w:val="24"/>
          <w:highlight w:val="none"/>
          <w:shd w:val="clear" w:fill="auto"/>
          <w:lang w:val="en-US" w:eastAsia="zh-CN"/>
        </w:rPr>
        <w:t>2663000</w:t>
      </w:r>
    </w:p>
    <w:p w14:paraId="3BA61389">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最高限价：</w:t>
      </w:r>
      <w:r>
        <w:rPr>
          <w:rFonts w:hint="eastAsia" w:ascii="宋体" w:hAnsi="宋体" w:eastAsia="宋体" w:cs="宋体"/>
          <w:color w:val="auto"/>
          <w:spacing w:val="0"/>
          <w:position w:val="0"/>
          <w:sz w:val="24"/>
          <w:highlight w:val="none"/>
          <w:shd w:val="clear" w:fill="auto"/>
          <w:lang w:val="en-US" w:eastAsia="zh-CN"/>
        </w:rPr>
        <w:t>2663000</w:t>
      </w:r>
    </w:p>
    <w:p w14:paraId="6ABE8885">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包划分：</w:t>
      </w:r>
      <w:r>
        <w:rPr>
          <w:rFonts w:hint="eastAsia" w:ascii="宋体" w:hAnsi="宋体" w:eastAsia="宋体" w:cs="宋体"/>
          <w:color w:val="auto"/>
          <w:spacing w:val="0"/>
          <w:position w:val="0"/>
          <w:sz w:val="24"/>
          <w:highlight w:val="none"/>
          <w:shd w:val="clear" w:fill="auto"/>
          <w:lang w:val="en-US" w:eastAsia="zh-CN"/>
        </w:rPr>
        <w:t>5</w:t>
      </w:r>
      <w:r>
        <w:rPr>
          <w:rFonts w:ascii="宋体" w:hAnsi="宋体" w:eastAsia="宋体" w:cs="宋体"/>
          <w:color w:val="auto"/>
          <w:spacing w:val="0"/>
          <w:position w:val="0"/>
          <w:sz w:val="24"/>
          <w:highlight w:val="none"/>
          <w:shd w:val="clear" w:fill="auto"/>
        </w:rPr>
        <w:t>个包</w:t>
      </w:r>
    </w:p>
    <w:tbl>
      <w:tblPr>
        <w:tblStyle w:val="13"/>
        <w:tblW w:w="0" w:type="auto"/>
        <w:tblInd w:w="0" w:type="dxa"/>
        <w:tblLayout w:type="autofit"/>
        <w:tblCellMar>
          <w:top w:w="0" w:type="dxa"/>
          <w:left w:w="10" w:type="dxa"/>
          <w:bottom w:w="0" w:type="dxa"/>
          <w:right w:w="10" w:type="dxa"/>
        </w:tblCellMar>
      </w:tblPr>
      <w:tblGrid>
        <w:gridCol w:w="1176"/>
        <w:gridCol w:w="3697"/>
        <w:gridCol w:w="1824"/>
        <w:gridCol w:w="1824"/>
      </w:tblGrid>
      <w:tr w14:paraId="4422245B">
        <w:trPr>
          <w:trHeight w:val="1"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004A60">
            <w:pPr>
              <w:widowControl w:val="0"/>
              <w:spacing w:before="0" w:after="0" w:line="360" w:lineRule="auto"/>
              <w:ind w:left="0" w:right="0" w:firstLine="0"/>
              <w:jc w:val="center"/>
              <w:rPr>
                <w:rFonts w:ascii="宋体" w:hAnsi="宋体" w:eastAsia="宋体" w:cs="宋体"/>
                <w:color w:val="auto"/>
                <w:spacing w:val="0"/>
                <w:position w:val="0"/>
                <w:highlight w:val="none"/>
                <w:u w:val="none"/>
              </w:rPr>
            </w:pPr>
            <w:r>
              <w:rPr>
                <w:rFonts w:ascii="宋体" w:hAnsi="宋体" w:eastAsia="宋体" w:cs="宋体"/>
                <w:color w:val="auto"/>
                <w:spacing w:val="0"/>
                <w:position w:val="0"/>
                <w:sz w:val="24"/>
                <w:highlight w:val="none"/>
                <w:u w:val="none"/>
                <w:shd w:val="clear" w:fill="FFFFFF"/>
              </w:rPr>
              <w:t>包号</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E79DA0">
            <w:pPr>
              <w:widowControl w:val="0"/>
              <w:spacing w:before="0" w:after="0" w:line="360" w:lineRule="auto"/>
              <w:ind w:left="0" w:right="0" w:firstLine="0"/>
              <w:jc w:val="center"/>
              <w:rPr>
                <w:rFonts w:ascii="宋体" w:hAnsi="宋体" w:eastAsia="宋体" w:cs="宋体"/>
                <w:color w:val="auto"/>
                <w:spacing w:val="0"/>
                <w:position w:val="0"/>
                <w:highlight w:val="none"/>
                <w:u w:val="none"/>
              </w:rPr>
            </w:pPr>
            <w:r>
              <w:rPr>
                <w:rFonts w:ascii="宋体" w:hAnsi="宋体" w:eastAsia="宋体" w:cs="宋体"/>
                <w:color w:val="auto"/>
                <w:spacing w:val="0"/>
                <w:position w:val="0"/>
                <w:sz w:val="24"/>
                <w:highlight w:val="none"/>
                <w:u w:val="none"/>
                <w:shd w:val="clear" w:fill="FFFFFF"/>
              </w:rPr>
              <w:t>包名称</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6AB2B1">
            <w:pPr>
              <w:widowControl w:val="0"/>
              <w:spacing w:before="0" w:after="0" w:line="360" w:lineRule="auto"/>
              <w:ind w:left="0" w:right="0" w:firstLine="0"/>
              <w:jc w:val="center"/>
              <w:rPr>
                <w:rFonts w:ascii="宋体" w:hAnsi="宋体" w:eastAsia="宋体" w:cs="宋体"/>
                <w:color w:val="auto"/>
                <w:spacing w:val="0"/>
                <w:position w:val="0"/>
                <w:highlight w:val="none"/>
                <w:u w:val="none"/>
              </w:rPr>
            </w:pPr>
            <w:r>
              <w:rPr>
                <w:rFonts w:ascii="宋体" w:hAnsi="宋体" w:eastAsia="宋体" w:cs="宋体"/>
                <w:color w:val="auto"/>
                <w:spacing w:val="0"/>
                <w:position w:val="0"/>
                <w:sz w:val="24"/>
                <w:highlight w:val="none"/>
                <w:u w:val="none"/>
                <w:shd w:val="clear" w:fill="FFFFFF"/>
              </w:rPr>
              <w:t>包最高限价万元</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671D04">
            <w:pPr>
              <w:widowControl w:val="0"/>
              <w:spacing w:before="0" w:after="0" w:line="360" w:lineRule="auto"/>
              <w:ind w:left="0" w:right="0" w:firstLine="0"/>
              <w:jc w:val="center"/>
              <w:rPr>
                <w:rFonts w:hint="default" w:ascii="宋体" w:hAnsi="宋体" w:eastAsia="宋体" w:cs="宋体"/>
                <w:color w:val="auto"/>
                <w:spacing w:val="0"/>
                <w:position w:val="0"/>
                <w:sz w:val="24"/>
                <w:highlight w:val="none"/>
                <w:u w:val="none"/>
                <w:shd w:val="clear" w:fill="FFFFFF"/>
                <w:lang w:val="en-US" w:eastAsia="zh-CN"/>
              </w:rPr>
            </w:pPr>
            <w:r>
              <w:rPr>
                <w:rFonts w:hint="eastAsia" w:ascii="宋体" w:hAnsi="宋体" w:eastAsia="宋体" w:cs="宋体"/>
                <w:color w:val="auto"/>
                <w:spacing w:val="0"/>
                <w:position w:val="0"/>
                <w:sz w:val="24"/>
                <w:highlight w:val="none"/>
                <w:u w:val="none"/>
                <w:shd w:val="clear" w:fill="FFFFFF"/>
                <w:lang w:val="en-US" w:eastAsia="zh-CN"/>
              </w:rPr>
              <w:t>备注</w:t>
            </w:r>
          </w:p>
        </w:tc>
      </w:tr>
      <w:tr w14:paraId="60FC8A6D">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76AC02">
            <w:pPr>
              <w:widowControl w:val="0"/>
              <w:spacing w:before="0" w:after="0" w:line="360" w:lineRule="auto"/>
              <w:ind w:left="0" w:right="0" w:firstLine="0"/>
              <w:jc w:val="center"/>
              <w:rPr>
                <w:rFonts w:ascii="宋体" w:hAnsi="宋体" w:eastAsia="宋体" w:cs="宋体"/>
                <w:color w:val="auto"/>
                <w:spacing w:val="0"/>
                <w:position w:val="0"/>
                <w:highlight w:val="none"/>
                <w:u w:val="none"/>
              </w:rPr>
            </w:pPr>
            <w:r>
              <w:rPr>
                <w:rFonts w:ascii="宋体" w:hAnsi="宋体" w:eastAsia="宋体" w:cs="宋体"/>
                <w:color w:val="auto"/>
                <w:spacing w:val="0"/>
                <w:position w:val="0"/>
                <w:sz w:val="24"/>
                <w:highlight w:val="none"/>
                <w:u w:val="none"/>
                <w:shd w:val="clear" w:fill="FFFFFF"/>
              </w:rPr>
              <w:t>1</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2C17AB">
            <w:pPr>
              <w:spacing w:before="0" w:after="0" w:line="360" w:lineRule="auto"/>
              <w:ind w:left="0" w:right="0" w:firstLine="0"/>
              <w:jc w:val="center"/>
              <w:rPr>
                <w:rFonts w:hint="default" w:eastAsia="宋体"/>
                <w:color w:val="auto"/>
                <w:spacing w:val="0"/>
                <w:position w:val="0"/>
                <w:highlight w:val="none"/>
                <w:u w:val="none"/>
                <w:shd w:val="clear" w:fill="auto"/>
                <w:lang w:val="en-US" w:eastAsia="zh-CN"/>
              </w:rPr>
            </w:pPr>
            <w:r>
              <w:rPr>
                <w:rFonts w:hint="eastAsia" w:ascii="Times New Roman" w:hAnsi="Times New Roman" w:eastAsia="Times New Roman" w:cs="Times New Roman"/>
                <w:color w:val="auto"/>
                <w:spacing w:val="0"/>
                <w:position w:val="0"/>
                <w:sz w:val="24"/>
                <w:highlight w:val="none"/>
                <w:u w:val="none"/>
                <w:shd w:val="clear" w:fill="auto"/>
              </w:rPr>
              <w:t>周口一高改善办学条件</w:t>
            </w:r>
            <w:r>
              <w:rPr>
                <w:rFonts w:hint="eastAsia" w:ascii="Times New Roman" w:hAnsi="Times New Roman" w:eastAsia="宋体" w:cs="Times New Roman"/>
                <w:color w:val="auto"/>
                <w:spacing w:val="0"/>
                <w:position w:val="0"/>
                <w:sz w:val="24"/>
                <w:highlight w:val="none"/>
                <w:u w:val="none"/>
                <w:shd w:val="clear" w:fill="auto"/>
                <w:lang w:eastAsia="zh-CN"/>
              </w:rPr>
              <w:t>项目</w:t>
            </w:r>
            <w:r>
              <w:rPr>
                <w:rFonts w:hint="eastAsia" w:ascii="Times New Roman" w:hAnsi="Times New Roman" w:eastAsia="宋体" w:cs="Times New Roman"/>
                <w:color w:val="auto"/>
                <w:spacing w:val="0"/>
                <w:position w:val="0"/>
                <w:sz w:val="24"/>
                <w:highlight w:val="none"/>
                <w:u w:val="none"/>
                <w:shd w:val="clear" w:color="FFFFFF" w:fill="D9D9D9"/>
                <w:lang w:val="en-US" w:eastAsia="zh-CN"/>
              </w:rPr>
              <w:t>窗户工程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03CE20">
            <w:pPr>
              <w:spacing w:before="0" w:after="0" w:line="360" w:lineRule="auto"/>
              <w:ind w:left="0" w:right="0" w:firstLine="0"/>
              <w:jc w:val="center"/>
              <w:rPr>
                <w:rFonts w:hint="default" w:eastAsiaTheme="minorEastAsia"/>
                <w:color w:val="auto"/>
                <w:spacing w:val="0"/>
                <w:position w:val="0"/>
                <w:highlight w:val="none"/>
                <w:u w:val="none"/>
                <w:shd w:val="clear" w:fill="auto"/>
                <w:lang w:val="en-US" w:eastAsia="zh-CN"/>
              </w:rPr>
            </w:pPr>
            <w:r>
              <w:rPr>
                <w:rFonts w:hint="eastAsia"/>
                <w:color w:val="auto"/>
                <w:spacing w:val="0"/>
                <w:position w:val="0"/>
                <w:highlight w:val="none"/>
                <w:u w:val="none"/>
                <w:shd w:val="clear" w:fill="auto"/>
                <w:lang w:val="en-US" w:eastAsia="zh-CN"/>
              </w:rPr>
              <w:t>44.010152</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A61A98">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宋体" w:cs="Times New Roman"/>
                <w:color w:val="auto"/>
                <w:spacing w:val="0"/>
                <w:position w:val="0"/>
                <w:sz w:val="24"/>
                <w:highlight w:val="none"/>
                <w:u w:val="none"/>
                <w:shd w:val="clear" w:fill="auto"/>
                <w:lang w:val="en-US" w:eastAsia="zh-CN"/>
              </w:rPr>
              <w:t>高一、高二教学楼</w:t>
            </w:r>
          </w:p>
        </w:tc>
      </w:tr>
      <w:tr w14:paraId="665ADC3A">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19BA79">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u w:val="none"/>
                <w:shd w:val="clear" w:fill="FFFFFF"/>
                <w:lang w:val="en-US" w:eastAsia="zh-CN"/>
              </w:rPr>
            </w:pPr>
            <w:r>
              <w:rPr>
                <w:rFonts w:hint="eastAsia" w:ascii="宋体" w:hAnsi="宋体" w:eastAsia="宋体" w:cs="宋体"/>
                <w:color w:val="auto"/>
                <w:spacing w:val="0"/>
                <w:position w:val="0"/>
                <w:sz w:val="24"/>
                <w:highlight w:val="none"/>
                <w:u w:val="none"/>
                <w:shd w:val="clear" w:fill="FFFFFF"/>
                <w:lang w:val="en-US" w:eastAsia="zh-CN"/>
              </w:rPr>
              <w:t>2</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ED93EE">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Times New Roman" w:cs="Times New Roman"/>
                <w:color w:val="auto"/>
                <w:spacing w:val="0"/>
                <w:position w:val="0"/>
                <w:sz w:val="24"/>
                <w:highlight w:val="none"/>
                <w:u w:val="none"/>
                <w:shd w:val="clear" w:fill="auto"/>
              </w:rPr>
              <w:t>周口一高改善办学条件</w:t>
            </w:r>
            <w:r>
              <w:rPr>
                <w:rFonts w:hint="eastAsia" w:ascii="Times New Roman" w:hAnsi="Times New Roman" w:eastAsia="宋体" w:cs="Times New Roman"/>
                <w:color w:val="auto"/>
                <w:spacing w:val="0"/>
                <w:position w:val="0"/>
                <w:sz w:val="24"/>
                <w:highlight w:val="none"/>
                <w:u w:val="none"/>
                <w:shd w:val="clear" w:fill="auto"/>
                <w:lang w:eastAsia="zh-CN"/>
              </w:rPr>
              <w:t>项目</w:t>
            </w:r>
            <w:r>
              <w:rPr>
                <w:rFonts w:hint="eastAsia" w:ascii="Times New Roman" w:hAnsi="Times New Roman" w:eastAsia="宋体" w:cs="Times New Roman"/>
                <w:color w:val="auto"/>
                <w:spacing w:val="0"/>
                <w:position w:val="0"/>
                <w:sz w:val="24"/>
                <w:highlight w:val="none"/>
                <w:u w:val="none"/>
                <w:shd w:val="clear" w:color="FFFFFF" w:fill="D9D9D9"/>
                <w:lang w:val="en-US" w:eastAsia="zh-CN"/>
              </w:rPr>
              <w:t>光能黑板采购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258381">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宋体" w:cs="Times New Roman"/>
                <w:color w:val="auto"/>
                <w:spacing w:val="0"/>
                <w:position w:val="0"/>
                <w:sz w:val="24"/>
                <w:highlight w:val="none"/>
                <w:u w:val="none"/>
                <w:shd w:val="clear" w:fill="auto"/>
                <w:lang w:val="en-US" w:eastAsia="zh-CN"/>
              </w:rPr>
              <w:t>30.9</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EE3A3E">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宋体" w:cs="Times New Roman"/>
                <w:color w:val="auto"/>
                <w:spacing w:val="0"/>
                <w:position w:val="0"/>
                <w:sz w:val="24"/>
                <w:highlight w:val="none"/>
                <w:u w:val="none"/>
                <w:shd w:val="clear" w:fill="auto"/>
                <w:lang w:val="en-US" w:eastAsia="zh-CN"/>
              </w:rPr>
              <w:t>教室黑板更新</w:t>
            </w:r>
          </w:p>
        </w:tc>
      </w:tr>
      <w:tr w14:paraId="3A8FC727">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FDC26E">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u w:val="none"/>
                <w:shd w:val="clear" w:fill="FFFFFF"/>
                <w:lang w:val="en-US" w:eastAsia="zh-CN"/>
              </w:rPr>
            </w:pPr>
            <w:r>
              <w:rPr>
                <w:rFonts w:hint="eastAsia" w:ascii="宋体" w:hAnsi="宋体" w:eastAsia="宋体" w:cs="宋体"/>
                <w:color w:val="auto"/>
                <w:spacing w:val="0"/>
                <w:position w:val="0"/>
                <w:sz w:val="24"/>
                <w:highlight w:val="none"/>
                <w:u w:val="none"/>
                <w:shd w:val="clear" w:fill="FFFFFF"/>
                <w:lang w:val="en-US" w:eastAsia="zh-CN"/>
              </w:rPr>
              <w:t>3</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5E8298">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u w:val="none"/>
                <w:shd w:val="clear" w:fill="auto"/>
              </w:rPr>
            </w:pPr>
            <w:r>
              <w:rPr>
                <w:rFonts w:hint="eastAsia" w:ascii="Times New Roman" w:hAnsi="Times New Roman" w:eastAsia="Times New Roman" w:cs="Times New Roman"/>
                <w:color w:val="auto"/>
                <w:spacing w:val="0"/>
                <w:position w:val="0"/>
                <w:sz w:val="24"/>
                <w:highlight w:val="none"/>
                <w:u w:val="none"/>
                <w:shd w:val="clear" w:fill="auto"/>
              </w:rPr>
              <w:t>周口一高改善办学条件</w:t>
            </w:r>
            <w:r>
              <w:rPr>
                <w:rFonts w:hint="eastAsia" w:ascii="Times New Roman" w:hAnsi="Times New Roman" w:eastAsia="宋体" w:cs="Times New Roman"/>
                <w:color w:val="auto"/>
                <w:spacing w:val="0"/>
                <w:position w:val="0"/>
                <w:sz w:val="24"/>
                <w:highlight w:val="none"/>
                <w:u w:val="none"/>
                <w:shd w:val="clear" w:fill="auto"/>
                <w:lang w:eastAsia="zh-CN"/>
              </w:rPr>
              <w:t>项目</w:t>
            </w:r>
            <w:r>
              <w:rPr>
                <w:rFonts w:hint="eastAsia" w:ascii="Times New Roman" w:hAnsi="Times New Roman" w:eastAsia="宋体" w:cs="Times New Roman"/>
                <w:color w:val="auto"/>
                <w:spacing w:val="0"/>
                <w:position w:val="0"/>
                <w:sz w:val="24"/>
                <w:highlight w:val="none"/>
                <w:u w:val="none"/>
                <w:shd w:val="clear" w:color="FFFFFF" w:fill="D9D9D9"/>
                <w:lang w:val="en-US" w:eastAsia="zh-CN"/>
              </w:rPr>
              <w:t>生物教室工程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E84F27">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宋体" w:cs="Times New Roman"/>
                <w:color w:val="auto"/>
                <w:spacing w:val="0"/>
                <w:position w:val="0"/>
                <w:sz w:val="24"/>
                <w:highlight w:val="none"/>
                <w:u w:val="none"/>
                <w:shd w:val="clear" w:fill="auto"/>
                <w:lang w:val="en-US" w:eastAsia="zh-CN"/>
              </w:rPr>
              <w:t>122.8935</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BD167">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宋体" w:cs="Times New Roman"/>
                <w:color w:val="auto"/>
                <w:spacing w:val="0"/>
                <w:position w:val="0"/>
                <w:sz w:val="24"/>
                <w:highlight w:val="none"/>
                <w:u w:val="none"/>
                <w:shd w:val="clear" w:fill="auto"/>
                <w:lang w:val="en-US" w:eastAsia="zh-CN"/>
              </w:rPr>
              <w:t>科技类等</w:t>
            </w:r>
          </w:p>
        </w:tc>
      </w:tr>
      <w:tr w14:paraId="2BD95C59">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71A9A7">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u w:val="none"/>
                <w:shd w:val="clear" w:fill="FFFFFF"/>
                <w:lang w:val="en-US" w:eastAsia="zh-CN"/>
              </w:rPr>
            </w:pPr>
            <w:r>
              <w:rPr>
                <w:rFonts w:hint="eastAsia" w:ascii="宋体" w:hAnsi="宋体" w:eastAsia="宋体" w:cs="宋体"/>
                <w:color w:val="auto"/>
                <w:spacing w:val="0"/>
                <w:position w:val="0"/>
                <w:sz w:val="24"/>
                <w:highlight w:val="none"/>
                <w:u w:val="none"/>
                <w:shd w:val="clear" w:fill="FFFFFF"/>
                <w:lang w:val="en-US" w:eastAsia="zh-CN"/>
              </w:rPr>
              <w:t>4</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4A245C">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u w:val="none"/>
                <w:shd w:val="clear" w:fill="auto"/>
              </w:rPr>
            </w:pPr>
            <w:r>
              <w:rPr>
                <w:rFonts w:hint="eastAsia" w:ascii="Times New Roman" w:hAnsi="Times New Roman" w:eastAsia="Times New Roman" w:cs="Times New Roman"/>
                <w:color w:val="auto"/>
                <w:spacing w:val="0"/>
                <w:position w:val="0"/>
                <w:sz w:val="24"/>
                <w:highlight w:val="none"/>
                <w:u w:val="none"/>
                <w:shd w:val="clear" w:fill="auto"/>
              </w:rPr>
              <w:t>周口一高改善办学条件</w:t>
            </w:r>
            <w:r>
              <w:rPr>
                <w:rFonts w:hint="eastAsia" w:ascii="Times New Roman" w:hAnsi="Times New Roman" w:eastAsia="宋体" w:cs="Times New Roman"/>
                <w:color w:val="auto"/>
                <w:spacing w:val="0"/>
                <w:position w:val="0"/>
                <w:sz w:val="24"/>
                <w:highlight w:val="none"/>
                <w:u w:val="none"/>
                <w:shd w:val="clear" w:fill="auto"/>
                <w:lang w:eastAsia="zh-CN"/>
              </w:rPr>
              <w:t>项目</w:t>
            </w:r>
            <w:r>
              <w:rPr>
                <w:rFonts w:hint="eastAsia" w:ascii="Times New Roman" w:hAnsi="Times New Roman" w:eastAsia="宋体" w:cs="Times New Roman"/>
                <w:color w:val="auto"/>
                <w:spacing w:val="0"/>
                <w:position w:val="0"/>
                <w:sz w:val="24"/>
                <w:highlight w:val="none"/>
                <w:u w:val="none"/>
                <w:shd w:val="clear" w:color="FFFFFF" w:fill="D9D9D9"/>
                <w:lang w:val="en-US" w:eastAsia="zh-CN"/>
              </w:rPr>
              <w:t>消防工程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03CE8F">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宋体" w:cs="Times New Roman"/>
                <w:color w:val="auto"/>
                <w:spacing w:val="0"/>
                <w:position w:val="0"/>
                <w:sz w:val="24"/>
                <w:highlight w:val="none"/>
                <w:u w:val="none"/>
                <w:shd w:val="clear" w:fill="auto"/>
                <w:lang w:val="en-US" w:eastAsia="zh-CN"/>
              </w:rPr>
              <w:t>24.624043</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9608AB">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宋体" w:cs="Times New Roman"/>
                <w:color w:val="auto"/>
                <w:spacing w:val="0"/>
                <w:position w:val="0"/>
                <w:sz w:val="24"/>
                <w:highlight w:val="none"/>
                <w:u w:val="none"/>
                <w:shd w:val="clear" w:fill="auto"/>
                <w:lang w:val="en-US" w:eastAsia="zh-CN"/>
              </w:rPr>
              <w:t>高一、高二教学楼及高三男女寝室</w:t>
            </w:r>
          </w:p>
        </w:tc>
      </w:tr>
      <w:tr w14:paraId="3CF85373">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E2F1EE">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u w:val="none"/>
                <w:shd w:val="clear" w:fill="FFFFFF"/>
                <w:lang w:val="en-US" w:eastAsia="zh-CN"/>
              </w:rPr>
            </w:pPr>
            <w:r>
              <w:rPr>
                <w:rFonts w:hint="eastAsia" w:ascii="宋体" w:hAnsi="宋体" w:eastAsia="宋体" w:cs="宋体"/>
                <w:color w:val="auto"/>
                <w:spacing w:val="0"/>
                <w:position w:val="0"/>
                <w:sz w:val="24"/>
                <w:highlight w:val="none"/>
                <w:u w:val="none"/>
                <w:shd w:val="clear" w:fill="FFFFFF"/>
                <w:lang w:val="en-US" w:eastAsia="zh-CN"/>
              </w:rPr>
              <w:t>5</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FB4CC5">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Times New Roman" w:cs="Times New Roman"/>
                <w:color w:val="auto"/>
                <w:spacing w:val="0"/>
                <w:position w:val="0"/>
                <w:sz w:val="24"/>
                <w:highlight w:val="none"/>
                <w:u w:val="none"/>
                <w:shd w:val="clear" w:fill="auto"/>
              </w:rPr>
              <w:t>周口一高改善办学条件</w:t>
            </w:r>
            <w:r>
              <w:rPr>
                <w:rFonts w:hint="eastAsia" w:ascii="Times New Roman" w:hAnsi="Times New Roman" w:eastAsia="宋体" w:cs="Times New Roman"/>
                <w:color w:val="auto"/>
                <w:spacing w:val="0"/>
                <w:position w:val="0"/>
                <w:sz w:val="24"/>
                <w:highlight w:val="none"/>
                <w:u w:val="none"/>
                <w:shd w:val="clear" w:fill="auto"/>
                <w:lang w:eastAsia="zh-CN"/>
              </w:rPr>
              <w:t>项目</w:t>
            </w:r>
            <w:r>
              <w:rPr>
                <w:rFonts w:hint="eastAsia" w:ascii="Times New Roman" w:hAnsi="Times New Roman" w:eastAsia="宋体" w:cs="Times New Roman"/>
                <w:color w:val="auto"/>
                <w:spacing w:val="0"/>
                <w:position w:val="0"/>
                <w:sz w:val="24"/>
                <w:highlight w:val="none"/>
                <w:u w:val="none"/>
                <w:shd w:val="clear" w:color="FFFFFF" w:fill="D9D9D9"/>
                <w:lang w:val="en-US" w:eastAsia="zh-CN"/>
              </w:rPr>
              <w:t>课桌凳采购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9FC859">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宋体" w:cs="Times New Roman"/>
                <w:color w:val="auto"/>
                <w:spacing w:val="0"/>
                <w:position w:val="0"/>
                <w:sz w:val="24"/>
                <w:highlight w:val="none"/>
                <w:u w:val="none"/>
                <w:shd w:val="clear" w:fill="auto"/>
                <w:lang w:val="en-US" w:eastAsia="zh-CN"/>
              </w:rPr>
              <w:t>40.6</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0385C7">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宋体" w:cs="Times New Roman"/>
                <w:color w:val="auto"/>
                <w:spacing w:val="0"/>
                <w:position w:val="0"/>
                <w:sz w:val="24"/>
                <w:highlight w:val="none"/>
                <w:u w:val="none"/>
                <w:shd w:val="clear" w:fill="auto"/>
                <w:lang w:val="en-US" w:eastAsia="zh-CN"/>
              </w:rPr>
              <w:t>高一高二教学楼</w:t>
            </w:r>
          </w:p>
        </w:tc>
      </w:tr>
    </w:tbl>
    <w:p w14:paraId="0552D91C">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none"/>
          <w:shd w:val="clear" w:fill="auto"/>
        </w:rPr>
      </w:pPr>
      <w:r>
        <w:rPr>
          <w:rFonts w:ascii="宋体" w:hAnsi="宋体" w:eastAsia="宋体" w:cs="宋体"/>
          <w:color w:val="auto"/>
          <w:spacing w:val="0"/>
          <w:position w:val="0"/>
          <w:sz w:val="24"/>
          <w:highlight w:val="none"/>
          <w:u w:val="none"/>
          <w:shd w:val="clear" w:fill="auto"/>
        </w:rPr>
        <w:t>采购需求：（包括但不限于标的的名称、数量、简要技术需求或服务要求等）</w:t>
      </w:r>
    </w:p>
    <w:p w14:paraId="33FAD115">
      <w:pPr>
        <w:spacing w:before="0" w:after="0" w:line="360" w:lineRule="auto"/>
        <w:ind w:left="0" w:right="0" w:firstLine="480"/>
        <w:jc w:val="both"/>
        <w:rPr>
          <w:rFonts w:hint="eastAsia" w:ascii="宋体" w:hAnsi="宋体" w:eastAsia="宋体" w:cs="宋体"/>
          <w:color w:val="auto"/>
          <w:spacing w:val="0"/>
          <w:position w:val="0"/>
          <w:sz w:val="24"/>
          <w:highlight w:val="none"/>
          <w:u w:val="none"/>
          <w:shd w:val="clear" w:fill="auto"/>
        </w:rPr>
      </w:pPr>
      <w:r>
        <w:rPr>
          <w:rFonts w:ascii="宋体" w:hAnsi="宋体" w:eastAsia="宋体" w:cs="宋体"/>
          <w:color w:val="auto"/>
          <w:spacing w:val="0"/>
          <w:position w:val="0"/>
          <w:sz w:val="24"/>
          <w:highlight w:val="none"/>
          <w:u w:val="none"/>
          <w:shd w:val="clear" w:fill="auto"/>
        </w:rPr>
        <w:t>合同履行期限：</w:t>
      </w:r>
    </w:p>
    <w:tbl>
      <w:tblPr>
        <w:tblStyle w:val="13"/>
        <w:tblW w:w="0" w:type="auto"/>
        <w:tblInd w:w="0" w:type="dxa"/>
        <w:tblLayout w:type="autofit"/>
        <w:tblCellMar>
          <w:top w:w="0" w:type="dxa"/>
          <w:left w:w="10" w:type="dxa"/>
          <w:bottom w:w="0" w:type="dxa"/>
          <w:right w:w="10" w:type="dxa"/>
        </w:tblCellMar>
      </w:tblPr>
      <w:tblGrid>
        <w:gridCol w:w="1176"/>
        <w:gridCol w:w="3697"/>
        <w:gridCol w:w="1824"/>
        <w:gridCol w:w="1824"/>
      </w:tblGrid>
      <w:tr w14:paraId="618538D8">
        <w:tblPrEx>
          <w:tblCellMar>
            <w:top w:w="0" w:type="dxa"/>
            <w:left w:w="10" w:type="dxa"/>
            <w:bottom w:w="0" w:type="dxa"/>
            <w:right w:w="10" w:type="dxa"/>
          </w:tblCellMar>
        </w:tblPrEx>
        <w:trPr>
          <w:trHeight w:val="1"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9A95A1">
            <w:pPr>
              <w:widowControl w:val="0"/>
              <w:spacing w:before="0" w:after="0" w:line="360" w:lineRule="auto"/>
              <w:ind w:left="0" w:right="0" w:firstLine="0"/>
              <w:jc w:val="center"/>
              <w:rPr>
                <w:rFonts w:ascii="宋体" w:hAnsi="宋体" w:eastAsia="宋体" w:cs="宋体"/>
                <w:color w:val="auto"/>
                <w:spacing w:val="0"/>
                <w:position w:val="0"/>
                <w:highlight w:val="none"/>
                <w:u w:val="none"/>
              </w:rPr>
            </w:pPr>
            <w:r>
              <w:rPr>
                <w:rFonts w:ascii="宋体" w:hAnsi="宋体" w:eastAsia="宋体" w:cs="宋体"/>
                <w:color w:val="auto"/>
                <w:spacing w:val="0"/>
                <w:position w:val="0"/>
                <w:sz w:val="24"/>
                <w:highlight w:val="none"/>
                <w:u w:val="none"/>
                <w:shd w:val="clear" w:fill="FFFFFF"/>
              </w:rPr>
              <w:t>包号</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2D341B">
            <w:pPr>
              <w:widowControl w:val="0"/>
              <w:spacing w:before="0" w:after="0" w:line="360" w:lineRule="auto"/>
              <w:ind w:left="0" w:right="0" w:firstLine="0"/>
              <w:jc w:val="center"/>
              <w:rPr>
                <w:rFonts w:ascii="宋体" w:hAnsi="宋体" w:eastAsia="宋体" w:cs="宋体"/>
                <w:color w:val="auto"/>
                <w:spacing w:val="0"/>
                <w:position w:val="0"/>
                <w:highlight w:val="none"/>
                <w:u w:val="none"/>
              </w:rPr>
            </w:pPr>
            <w:r>
              <w:rPr>
                <w:rFonts w:ascii="宋体" w:hAnsi="宋体" w:eastAsia="宋体" w:cs="宋体"/>
                <w:color w:val="auto"/>
                <w:spacing w:val="0"/>
                <w:position w:val="0"/>
                <w:sz w:val="24"/>
                <w:highlight w:val="none"/>
                <w:u w:val="none"/>
                <w:shd w:val="clear" w:fill="FFFFFF"/>
              </w:rPr>
              <w:t>包名称</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CB0346">
            <w:pPr>
              <w:widowControl w:val="0"/>
              <w:spacing w:before="0" w:after="0" w:line="360" w:lineRule="auto"/>
              <w:ind w:left="0" w:right="0" w:firstLine="0"/>
              <w:jc w:val="center"/>
              <w:rPr>
                <w:rFonts w:ascii="宋体" w:hAnsi="宋体" w:eastAsia="宋体" w:cs="宋体"/>
                <w:color w:val="auto"/>
                <w:spacing w:val="0"/>
                <w:position w:val="0"/>
                <w:highlight w:val="none"/>
                <w:u w:val="none"/>
              </w:rPr>
            </w:pPr>
            <w:r>
              <w:rPr>
                <w:rFonts w:ascii="宋体" w:hAnsi="宋体" w:eastAsia="宋体" w:cs="宋体"/>
                <w:color w:val="auto"/>
                <w:spacing w:val="0"/>
                <w:position w:val="0"/>
                <w:sz w:val="24"/>
                <w:highlight w:val="none"/>
                <w:u w:val="none"/>
                <w:shd w:val="clear" w:fill="auto"/>
              </w:rPr>
              <w:t>合同履行期限</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560C6">
            <w:pPr>
              <w:widowControl w:val="0"/>
              <w:spacing w:before="0" w:after="0" w:line="360" w:lineRule="auto"/>
              <w:ind w:left="0" w:right="0" w:firstLine="0"/>
              <w:jc w:val="center"/>
              <w:rPr>
                <w:rFonts w:hint="default" w:ascii="宋体" w:hAnsi="宋体" w:eastAsia="宋体" w:cs="宋体"/>
                <w:color w:val="auto"/>
                <w:spacing w:val="0"/>
                <w:position w:val="0"/>
                <w:sz w:val="24"/>
                <w:highlight w:val="none"/>
                <w:u w:val="none"/>
                <w:shd w:val="clear" w:fill="FFFFFF"/>
                <w:lang w:val="en-US" w:eastAsia="zh-CN"/>
              </w:rPr>
            </w:pPr>
            <w:r>
              <w:rPr>
                <w:rFonts w:hint="eastAsia" w:ascii="宋体" w:hAnsi="宋体" w:eastAsia="宋体" w:cs="宋体"/>
                <w:color w:val="auto"/>
                <w:spacing w:val="0"/>
                <w:position w:val="0"/>
                <w:sz w:val="24"/>
                <w:highlight w:val="none"/>
                <w:u w:val="none"/>
                <w:shd w:val="clear" w:fill="FFFFFF"/>
                <w:lang w:val="en-US" w:eastAsia="zh-CN"/>
              </w:rPr>
              <w:t>备注</w:t>
            </w:r>
          </w:p>
        </w:tc>
      </w:tr>
      <w:tr w14:paraId="4A579B4A">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A9777D">
            <w:pPr>
              <w:widowControl w:val="0"/>
              <w:spacing w:before="0" w:after="0" w:line="360" w:lineRule="auto"/>
              <w:ind w:left="0" w:right="0" w:firstLine="0"/>
              <w:jc w:val="center"/>
              <w:rPr>
                <w:rFonts w:ascii="宋体" w:hAnsi="宋体" w:eastAsia="宋体" w:cs="宋体"/>
                <w:color w:val="auto"/>
                <w:spacing w:val="0"/>
                <w:position w:val="0"/>
                <w:highlight w:val="none"/>
                <w:u w:val="none"/>
              </w:rPr>
            </w:pPr>
            <w:r>
              <w:rPr>
                <w:rFonts w:ascii="宋体" w:hAnsi="宋体" w:eastAsia="宋体" w:cs="宋体"/>
                <w:color w:val="auto"/>
                <w:spacing w:val="0"/>
                <w:position w:val="0"/>
                <w:sz w:val="24"/>
                <w:highlight w:val="none"/>
                <w:u w:val="none"/>
                <w:shd w:val="clear" w:fill="FFFFFF"/>
              </w:rPr>
              <w:t>1</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F43AE2">
            <w:pPr>
              <w:spacing w:before="0" w:after="0" w:line="360" w:lineRule="auto"/>
              <w:ind w:left="0" w:right="0" w:firstLine="0"/>
              <w:jc w:val="center"/>
              <w:rPr>
                <w:color w:val="auto"/>
                <w:spacing w:val="0"/>
                <w:position w:val="0"/>
                <w:highlight w:val="none"/>
                <w:u w:val="none"/>
                <w:shd w:val="clear" w:fill="auto"/>
              </w:rPr>
            </w:pPr>
            <w:r>
              <w:rPr>
                <w:rFonts w:hint="eastAsia" w:ascii="Times New Roman" w:hAnsi="Times New Roman" w:eastAsia="Times New Roman" w:cs="Times New Roman"/>
                <w:color w:val="auto"/>
                <w:spacing w:val="0"/>
                <w:position w:val="0"/>
                <w:sz w:val="24"/>
                <w:highlight w:val="none"/>
                <w:u w:val="none"/>
                <w:shd w:val="clear" w:fill="auto"/>
              </w:rPr>
              <w:t>周口一高改善办学条件</w:t>
            </w:r>
            <w:r>
              <w:rPr>
                <w:rFonts w:hint="eastAsia" w:ascii="Times New Roman" w:hAnsi="Times New Roman" w:eastAsia="宋体" w:cs="Times New Roman"/>
                <w:color w:val="auto"/>
                <w:spacing w:val="0"/>
                <w:position w:val="0"/>
                <w:sz w:val="24"/>
                <w:highlight w:val="none"/>
                <w:u w:val="none"/>
                <w:shd w:val="clear" w:fill="auto"/>
                <w:lang w:eastAsia="zh-CN"/>
              </w:rPr>
              <w:t>项目</w:t>
            </w:r>
            <w:r>
              <w:rPr>
                <w:rFonts w:hint="eastAsia" w:ascii="Times New Roman" w:hAnsi="Times New Roman" w:eastAsia="宋体" w:cs="Times New Roman"/>
                <w:color w:val="auto"/>
                <w:spacing w:val="0"/>
                <w:position w:val="0"/>
                <w:sz w:val="24"/>
                <w:highlight w:val="none"/>
                <w:u w:val="none"/>
                <w:shd w:val="clear" w:color="FFFFFF" w:fill="D9D9D9"/>
                <w:lang w:val="en-US" w:eastAsia="zh-CN"/>
              </w:rPr>
              <w:t>窗户工程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4575E0">
            <w:pPr>
              <w:spacing w:before="0" w:after="0" w:line="360" w:lineRule="auto"/>
              <w:ind w:left="0" w:right="0" w:firstLine="0"/>
              <w:jc w:val="center"/>
              <w:rPr>
                <w:rFonts w:hint="default" w:eastAsiaTheme="minorEastAsia"/>
                <w:color w:val="auto"/>
                <w:spacing w:val="0"/>
                <w:position w:val="0"/>
                <w:highlight w:val="none"/>
                <w:u w:val="none"/>
                <w:shd w:val="clear" w:fill="auto"/>
                <w:lang w:val="en-US" w:eastAsia="zh-CN"/>
              </w:rPr>
            </w:pPr>
            <w:r>
              <w:rPr>
                <w:rFonts w:hint="eastAsia"/>
                <w:color w:val="auto"/>
                <w:spacing w:val="0"/>
                <w:position w:val="0"/>
                <w:highlight w:val="none"/>
                <w:u w:val="none"/>
                <w:shd w:val="clear" w:fill="auto"/>
                <w:lang w:val="en-US" w:eastAsia="zh-CN"/>
              </w:rPr>
              <w:t>30日历天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29C61B">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p>
        </w:tc>
      </w:tr>
      <w:tr w14:paraId="469D2EB5">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835A7C">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2</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F1B81C">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FFFFFF" w:fill="D9D9D9"/>
                <w:lang w:val="en-US" w:eastAsia="zh-CN"/>
              </w:rPr>
              <w:t>光能黑板采购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6671A">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15日历天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A545DC">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p>
        </w:tc>
      </w:tr>
      <w:tr w14:paraId="2D8DE058">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E04488">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3</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6A046F">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FFFFFF" w:fill="D9D9D9"/>
                <w:lang w:val="en-US" w:eastAsia="zh-CN"/>
              </w:rPr>
              <w:t>生物教室工程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69CFEA">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r>
              <w:rPr>
                <w:rFonts w:hint="eastAsia"/>
                <w:color w:val="auto"/>
                <w:spacing w:val="0"/>
                <w:position w:val="0"/>
                <w:highlight w:val="none"/>
                <w:shd w:val="clear" w:fill="auto"/>
                <w:lang w:val="en-US" w:eastAsia="zh-CN"/>
              </w:rPr>
              <w:t>30日历天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60301C">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p>
        </w:tc>
      </w:tr>
      <w:tr w14:paraId="4A849ECF">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942788">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4</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3F4C52">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auto" w:fill="auto"/>
                <w:lang w:val="en-US" w:eastAsia="zh-CN"/>
              </w:rPr>
              <w:t>消防工程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33C3A1">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30日历天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5A4C6C">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p>
        </w:tc>
      </w:tr>
      <w:tr w14:paraId="62F851A8">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8C8E4F">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5</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C6260B">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FFFFFF" w:fill="D9D9D9"/>
                <w:lang w:val="en-US" w:eastAsia="zh-CN"/>
              </w:rPr>
              <w:t>课桌凳采购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0CAD3C">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15日历天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AC1871">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p>
        </w:tc>
      </w:tr>
    </w:tbl>
    <w:p w14:paraId="5D1F73F9">
      <w:pPr>
        <w:pStyle w:val="17"/>
        <w:rPr>
          <w:color w:val="auto"/>
          <w:highlight w:val="none"/>
        </w:rPr>
      </w:pPr>
    </w:p>
    <w:p w14:paraId="50EE70E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是否接受进口产品：否</w:t>
      </w:r>
    </w:p>
    <w:p w14:paraId="3A6CF6A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6CA45E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是否为只面向中小企业采购：否</w:t>
      </w:r>
    </w:p>
    <w:p w14:paraId="01F4BE9A">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二、申请人的资格要求：</w:t>
      </w:r>
    </w:p>
    <w:p w14:paraId="5B7D3736">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满足《中华人民共和国政府采购法》第二十二条规定；</w:t>
      </w:r>
    </w:p>
    <w:p w14:paraId="6261076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）具有独立承担民事责任的能力；</w:t>
      </w:r>
      <w:r>
        <w:rPr>
          <w:rFonts w:ascii="Times New Roman" w:hAnsi="Times New Roman" w:eastAsia="Times New Roman" w:cs="Times New Roman"/>
          <w:color w:val="auto"/>
          <w:spacing w:val="0"/>
          <w:position w:val="0"/>
          <w:sz w:val="24"/>
          <w:highlight w:val="none"/>
          <w:shd w:val="clear" w:fill="auto"/>
        </w:rPr>
        <w:t xml:space="preserve"> </w:t>
      </w:r>
    </w:p>
    <w:p w14:paraId="679DA7FE">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）具有良好的商业信誉和健全的财务会计制度；</w:t>
      </w:r>
      <w:r>
        <w:rPr>
          <w:rFonts w:ascii="Times New Roman" w:hAnsi="Times New Roman" w:eastAsia="Times New Roman" w:cs="Times New Roman"/>
          <w:color w:val="auto"/>
          <w:spacing w:val="0"/>
          <w:position w:val="0"/>
          <w:sz w:val="24"/>
          <w:highlight w:val="none"/>
          <w:shd w:val="clear" w:fill="auto"/>
        </w:rPr>
        <w:t xml:space="preserve"> </w:t>
      </w:r>
    </w:p>
    <w:p w14:paraId="00D1E9B5">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）具有履行合同所必需的设备和专业技术能力；</w:t>
      </w:r>
      <w:r>
        <w:rPr>
          <w:rFonts w:ascii="Times New Roman" w:hAnsi="Times New Roman" w:eastAsia="Times New Roman" w:cs="Times New Roman"/>
          <w:color w:val="auto"/>
          <w:spacing w:val="0"/>
          <w:position w:val="0"/>
          <w:sz w:val="24"/>
          <w:highlight w:val="none"/>
          <w:shd w:val="clear" w:fill="auto"/>
        </w:rPr>
        <w:t xml:space="preserve"> </w:t>
      </w:r>
    </w:p>
    <w:p w14:paraId="66B88B1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4</w:t>
      </w:r>
      <w:r>
        <w:rPr>
          <w:rFonts w:ascii="宋体" w:hAnsi="宋体" w:eastAsia="宋体" w:cs="宋体"/>
          <w:color w:val="auto"/>
          <w:spacing w:val="0"/>
          <w:position w:val="0"/>
          <w:sz w:val="24"/>
          <w:highlight w:val="none"/>
          <w:shd w:val="clear" w:fill="auto"/>
        </w:rPr>
        <w:t>）有依法缴纳税收和社会保障资金的良好记录；</w:t>
      </w:r>
      <w:r>
        <w:rPr>
          <w:rFonts w:ascii="Times New Roman" w:hAnsi="Times New Roman" w:eastAsia="Times New Roman" w:cs="Times New Roman"/>
          <w:color w:val="auto"/>
          <w:spacing w:val="0"/>
          <w:position w:val="0"/>
          <w:sz w:val="24"/>
          <w:highlight w:val="none"/>
          <w:shd w:val="clear" w:fill="auto"/>
        </w:rPr>
        <w:t xml:space="preserve"> </w:t>
      </w:r>
    </w:p>
    <w:p w14:paraId="6849D397">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5</w:t>
      </w:r>
      <w:r>
        <w:rPr>
          <w:rFonts w:ascii="宋体" w:hAnsi="宋体" w:eastAsia="宋体" w:cs="宋体"/>
          <w:color w:val="auto"/>
          <w:spacing w:val="0"/>
          <w:position w:val="0"/>
          <w:sz w:val="24"/>
          <w:highlight w:val="none"/>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highlight w:val="none"/>
          <w:shd w:val="clear" w:fill="auto"/>
        </w:rPr>
        <w:t xml:space="preserve"> </w:t>
      </w:r>
    </w:p>
    <w:p w14:paraId="36DD07D6">
      <w:pPr>
        <w:spacing w:before="0" w:after="0" w:line="360" w:lineRule="auto"/>
        <w:ind w:left="0" w:right="0" w:firstLine="48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6</w:t>
      </w:r>
      <w:r>
        <w:rPr>
          <w:rFonts w:ascii="宋体" w:hAnsi="宋体" w:eastAsia="宋体" w:cs="宋体"/>
          <w:color w:val="auto"/>
          <w:spacing w:val="0"/>
          <w:position w:val="0"/>
          <w:sz w:val="24"/>
          <w:highlight w:val="none"/>
          <w:shd w:val="clear" w:fill="auto"/>
        </w:rPr>
        <w:t>）法律、行政法规规定的其他条件。</w:t>
      </w:r>
      <w:r>
        <w:rPr>
          <w:rFonts w:ascii="Times New Roman" w:hAnsi="Times New Roman" w:eastAsia="Times New Roman" w:cs="Times New Roman"/>
          <w:color w:val="auto"/>
          <w:spacing w:val="0"/>
          <w:position w:val="0"/>
          <w:sz w:val="24"/>
          <w:highlight w:val="none"/>
          <w:shd w:val="clear" w:fill="auto"/>
        </w:rPr>
        <w:t xml:space="preserve"> </w:t>
      </w:r>
    </w:p>
    <w:p w14:paraId="4112F380">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highlight w:val="none"/>
          <w:shd w:val="clear" w:fill="auto"/>
        </w:rPr>
        <w:t xml:space="preserve"> </w:t>
      </w:r>
    </w:p>
    <w:p w14:paraId="55ED698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重大税收违法失信主</w:t>
      </w:r>
      <w:r>
        <w:rPr>
          <w:rFonts w:hint="eastAsia" w:ascii="宋体" w:hAnsi="宋体" w:eastAsia="宋体" w:cs="宋体"/>
          <w:i w:val="0"/>
          <w:iCs w:val="0"/>
          <w:color w:val="auto"/>
          <w:sz w:val="24"/>
          <w:szCs w:val="24"/>
          <w:highlight w:val="none"/>
          <w:lang w:val="en-US" w:eastAsia="zh-CN"/>
        </w:rPr>
        <w:t>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失信被执行人</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3E262884">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三、获取采购文件</w:t>
      </w:r>
    </w:p>
    <w:p w14:paraId="493CE827">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时间：</w:t>
      </w:r>
      <w:r>
        <w:rPr>
          <w:rFonts w:hint="eastAsia" w:ascii="宋体" w:hAnsi="宋体" w:eastAsia="宋体" w:cs="宋体"/>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5</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26</w:t>
      </w:r>
      <w:r>
        <w:rPr>
          <w:rFonts w:ascii="宋体" w:hAnsi="宋体" w:eastAsia="宋体" w:cs="宋体"/>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至</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6</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2</w:t>
      </w:r>
      <w:r>
        <w:rPr>
          <w:rFonts w:ascii="宋体" w:hAnsi="宋体" w:eastAsia="宋体" w:cs="宋体"/>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（北京时间，法定节假日除外</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w:t>
      </w:r>
    </w:p>
    <w:p w14:paraId="1E854B06">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地点：周口市公共资源交易中心网（http://jyzx.zhoukou.gov.cn）</w:t>
      </w:r>
    </w:p>
    <w:p w14:paraId="69E2C11A">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方式：供应商请在网站自主注册后下载采购文件（zkzf格式）及资料，需办理CA数字证书后方可提交响应文件，具体办理事宜请查阅周口市公共资源交易中心网站。</w:t>
      </w:r>
    </w:p>
    <w:p w14:paraId="1B753E9B">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售价：</w:t>
      </w:r>
      <w:r>
        <w:rPr>
          <w:rFonts w:ascii="Times New Roman" w:hAnsi="Times New Roman" w:eastAsia="Times New Roman" w:cs="Times New Roman"/>
          <w:color w:val="auto"/>
          <w:spacing w:val="0"/>
          <w:position w:val="0"/>
          <w:sz w:val="24"/>
          <w:highlight w:val="none"/>
          <w:shd w:val="clear" w:fill="auto"/>
        </w:rPr>
        <w:t>0</w:t>
      </w:r>
    </w:p>
    <w:p w14:paraId="241E476D">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四、响应文件提交</w:t>
      </w:r>
    </w:p>
    <w:p w14:paraId="41C24A50">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截止时间：</w:t>
      </w:r>
      <w:r>
        <w:rPr>
          <w:rFonts w:ascii="Times New Roman" w:hAnsi="Times New Roman" w:eastAsia="Times New Roman" w:cs="Times New Roman"/>
          <w:color w:val="auto"/>
          <w:spacing w:val="0"/>
          <w:position w:val="0"/>
          <w:sz w:val="24"/>
          <w:highlight w:val="none"/>
          <w:u w:val="single"/>
          <w:shd w:val="clear" w:fill="auto"/>
        </w:rPr>
        <w:t xml:space="preserve"> </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6</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点</w:t>
      </w:r>
      <w:r>
        <w:rPr>
          <w:rFonts w:hint="eastAsia" w:ascii="Times New Roman" w:hAnsi="Times New Roman" w:eastAsia="宋体" w:cs="Times New Roman"/>
          <w:color w:val="auto"/>
          <w:spacing w:val="0"/>
          <w:position w:val="0"/>
          <w:sz w:val="24"/>
          <w:highlight w:val="none"/>
          <w:u w:val="single"/>
          <w:shd w:val="clear" w:fill="auto"/>
          <w:lang w:val="en-US" w:eastAsia="zh-CN"/>
        </w:rPr>
        <w:t>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7494CC7B">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地点：加密电子响应文件须在投标截止时间前通过</w:t>
      </w:r>
      <w:r>
        <w:rPr>
          <w:rFonts w:ascii="宋体" w:hAnsi="宋体" w:eastAsia="宋体" w:cs="宋体"/>
          <w:color w:val="auto"/>
          <w:spacing w:val="-6"/>
          <w:position w:val="0"/>
          <w:sz w:val="24"/>
          <w:highlight w:val="none"/>
          <w:shd w:val="clear" w:fill="auto"/>
        </w:rPr>
        <w:t>周口市公共资源交易中心网</w:t>
      </w:r>
      <w:r>
        <w:rPr>
          <w:rFonts w:ascii="宋体" w:hAnsi="宋体" w:eastAsia="宋体" w:cs="宋体"/>
          <w:color w:val="auto"/>
          <w:spacing w:val="0"/>
          <w:position w:val="0"/>
          <w:sz w:val="24"/>
          <w:highlight w:val="none"/>
          <w:shd w:val="clear" w:fill="auto"/>
        </w:rPr>
        <w:t>（网址</w:t>
      </w:r>
      <w:r>
        <w:rPr>
          <w:color w:val="auto"/>
          <w:highlight w:val="none"/>
        </w:rPr>
        <w:fldChar w:fldCharType="begin"/>
      </w:r>
      <w:r>
        <w:rPr>
          <w:color w:val="auto"/>
          <w:highlight w:val="none"/>
        </w:rPr>
        <w:instrText xml:space="preserve"> HYPERLINK "http://jyzx.zhoukou.gov.cn/" \h </w:instrText>
      </w:r>
      <w:r>
        <w:rPr>
          <w:color w:val="auto"/>
          <w:highlight w:val="none"/>
        </w:rPr>
        <w:fldChar w:fldCharType="separate"/>
      </w:r>
      <w:r>
        <w:rPr>
          <w:rFonts w:ascii="Times New Roman" w:hAnsi="Times New Roman" w:eastAsia="Times New Roman" w:cs="Times New Roman"/>
          <w:color w:val="auto"/>
          <w:spacing w:val="0"/>
          <w:position w:val="0"/>
          <w:sz w:val="24"/>
          <w:highlight w:val="none"/>
          <w:u w:val="single"/>
          <w:shd w:val="clear" w:fill="auto"/>
        </w:rPr>
        <w:t>http://jyzx.zhoukou.gov.cn</w:t>
      </w:r>
      <w:r>
        <w:rPr>
          <w:rFonts w:ascii="Times New Roman" w:hAnsi="Times New Roman" w:eastAsia="Times New Roman" w:cs="Times New Roman"/>
          <w:color w:val="auto"/>
          <w:spacing w:val="0"/>
          <w:position w:val="0"/>
          <w:sz w:val="24"/>
          <w:highlight w:val="none"/>
          <w:u w:val="single"/>
          <w:shd w:val="clear" w:fill="auto"/>
        </w:rPr>
        <w:fldChar w:fldCharType="end"/>
      </w:r>
      <w:r>
        <w:rPr>
          <w:rFonts w:ascii="宋体" w:hAnsi="宋体" w:eastAsia="宋体" w:cs="宋体"/>
          <w:color w:val="auto"/>
          <w:spacing w:val="0"/>
          <w:position w:val="0"/>
          <w:sz w:val="24"/>
          <w:highlight w:val="none"/>
          <w:shd w:val="clear" w:fill="auto"/>
        </w:rPr>
        <w:t>）。</w:t>
      </w:r>
    </w:p>
    <w:p w14:paraId="3C3D52FF">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五、开启（竞争性磋商方式必须填写）</w:t>
      </w:r>
    </w:p>
    <w:p w14:paraId="0568B4D3">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时间：</w:t>
      </w:r>
      <w:r>
        <w:rPr>
          <w:rFonts w:ascii="Times New Roman" w:hAnsi="Times New Roman" w:eastAsia="Times New Roman" w:cs="Times New Roman"/>
          <w:color w:val="auto"/>
          <w:spacing w:val="0"/>
          <w:position w:val="0"/>
          <w:sz w:val="24"/>
          <w:highlight w:val="none"/>
          <w:u w:val="single"/>
          <w:shd w:val="clear" w:fill="auto"/>
        </w:rPr>
        <w:t xml:space="preserve"> </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6</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点</w:t>
      </w:r>
      <w:r>
        <w:rPr>
          <w:rFonts w:hint="eastAsia" w:ascii="Times New Roman" w:hAnsi="Times New Roman" w:eastAsia="宋体" w:cs="Times New Roman"/>
          <w:color w:val="auto"/>
          <w:spacing w:val="0"/>
          <w:position w:val="0"/>
          <w:sz w:val="24"/>
          <w:highlight w:val="none"/>
          <w:u w:val="single"/>
          <w:shd w:val="clear" w:fill="auto"/>
          <w:lang w:val="en-US" w:eastAsia="zh-CN"/>
        </w:rPr>
        <w:t>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5D2F75FE">
      <w:pPr>
        <w:spacing w:before="0" w:after="0" w:line="360" w:lineRule="auto"/>
        <w:ind w:left="0" w:right="0" w:firstLine="480"/>
        <w:jc w:val="left"/>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地点：周口市公共资源交易中心开标室</w:t>
      </w:r>
    </w:p>
    <w:p w14:paraId="5EF28089">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六、公告期限</w:t>
      </w:r>
    </w:p>
    <w:p w14:paraId="77276830">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自本公告发布之日起</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个工作日。</w:t>
      </w:r>
    </w:p>
    <w:p w14:paraId="176DFC0A">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七、其他补充事宜</w:t>
      </w:r>
    </w:p>
    <w:p w14:paraId="0F29A073">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八、凡对本次采购提出询问，请按以下方式联系。</w:t>
      </w:r>
    </w:p>
    <w:p w14:paraId="67ABF085">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1.采购人信息</w:t>
      </w:r>
    </w:p>
    <w:p w14:paraId="2D27CC4B">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 称：</w:t>
      </w:r>
      <w:r>
        <w:rPr>
          <w:rFonts w:hint="eastAsia" w:ascii="宋体" w:hAnsi="宋体" w:eastAsia="宋体" w:cs="宋体"/>
          <w:color w:val="auto"/>
          <w:spacing w:val="0"/>
          <w:position w:val="0"/>
          <w:sz w:val="24"/>
          <w:highlight w:val="none"/>
          <w:shd w:val="clear" w:fill="auto"/>
        </w:rPr>
        <w:t>周口市第一高级中学</w:t>
      </w:r>
      <w:r>
        <w:rPr>
          <w:rFonts w:ascii="宋体" w:hAnsi="宋体" w:eastAsia="宋体" w:cs="宋体"/>
          <w:color w:val="auto"/>
          <w:spacing w:val="0"/>
          <w:position w:val="0"/>
          <w:sz w:val="24"/>
          <w:highlight w:val="none"/>
          <w:shd w:val="clear" w:fill="auto"/>
        </w:rPr>
        <w:t>　　　　　　　　　　　　</w:t>
      </w:r>
    </w:p>
    <w:p w14:paraId="442C59F2">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w:t>
      </w:r>
      <w:r>
        <w:rPr>
          <w:rFonts w:hint="eastAsia" w:ascii="宋体" w:hAnsi="宋体" w:eastAsia="宋体" w:cs="宋体"/>
          <w:color w:val="auto"/>
          <w:spacing w:val="0"/>
          <w:position w:val="0"/>
          <w:sz w:val="24"/>
          <w:highlight w:val="none"/>
          <w:shd w:val="clear" w:fill="auto"/>
        </w:rPr>
        <w:t>周口市银珠路 1 号</w:t>
      </w:r>
      <w:r>
        <w:rPr>
          <w:rFonts w:ascii="宋体" w:hAnsi="宋体" w:eastAsia="宋体" w:cs="宋体"/>
          <w:color w:val="auto"/>
          <w:spacing w:val="0"/>
          <w:position w:val="0"/>
          <w:sz w:val="24"/>
          <w:highlight w:val="none"/>
          <w:shd w:val="clear" w:fill="auto"/>
        </w:rPr>
        <w:t>　　　　　　　　　　　　</w:t>
      </w:r>
    </w:p>
    <w:p w14:paraId="688141C5">
      <w:pPr>
        <w:spacing w:before="0" w:after="0" w:line="360" w:lineRule="auto"/>
        <w:ind w:left="0" w:right="0" w:firstLine="480"/>
        <w:jc w:val="left"/>
        <w:rPr>
          <w:rFonts w:hint="default" w:ascii="宋体" w:hAnsi="宋体" w:eastAsia="宋体" w:cs="宋体"/>
          <w:color w:val="auto"/>
          <w:spacing w:val="0"/>
          <w:position w:val="0"/>
          <w:sz w:val="24"/>
          <w:szCs w:val="24"/>
          <w:highlight w:val="none"/>
          <w:shd w:val="clear" w:fill="auto"/>
          <w:lang w:val="en-US" w:eastAsia="zh-CN"/>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eastAsia="zh-CN"/>
        </w:rPr>
        <w:t>王庆刚</w:t>
      </w:r>
      <w:r>
        <w:rPr>
          <w:rFonts w:hint="eastAsia" w:ascii="宋体" w:hAnsi="宋体" w:eastAsia="宋体" w:cs="宋体"/>
          <w:color w:val="auto"/>
          <w:spacing w:val="0"/>
          <w:position w:val="0"/>
          <w:sz w:val="24"/>
          <w:highlight w:val="none"/>
          <w:shd w:val="clear" w:fill="auto"/>
          <w:lang w:val="en-US" w:eastAsia="zh-CN"/>
        </w:rPr>
        <w:t xml:space="preserve"> （总联系人）</w:t>
      </w: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i w:val="0"/>
          <w:iCs w:val="0"/>
          <w:color w:val="auto"/>
          <w:kern w:val="2"/>
          <w:sz w:val="24"/>
          <w:szCs w:val="24"/>
          <w:highlight w:val="none"/>
          <w:lang w:val="en-US" w:eastAsia="zh-CN" w:bidi="ar-SA"/>
        </w:rPr>
        <w:t>13603949645</w:t>
      </w:r>
    </w:p>
    <w:tbl>
      <w:tblPr>
        <w:tblStyle w:val="14"/>
        <w:tblpPr w:leftFromText="180" w:rightFromText="180" w:vertAnchor="text" w:horzAnchor="page" w:tblpX="2268" w:tblpY="1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8"/>
        <w:gridCol w:w="2652"/>
        <w:gridCol w:w="4509"/>
      </w:tblGrid>
      <w:tr w14:paraId="5FE48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5373C54D">
            <w:pPr>
              <w:spacing w:before="0" w:after="0" w:line="360" w:lineRule="auto"/>
              <w:ind w:right="0"/>
              <w:jc w:val="left"/>
              <w:rPr>
                <w:rFonts w:hint="default" w:ascii="宋体" w:hAnsi="宋体" w:eastAsia="宋体" w:cs="宋体"/>
                <w:color w:val="auto"/>
                <w:spacing w:val="0"/>
                <w:position w:val="0"/>
                <w:sz w:val="24"/>
                <w:szCs w:val="24"/>
                <w:highlight w:val="none"/>
                <w:shd w:val="clear" w:color="auto" w:fill="auto"/>
                <w:vertAlign w:val="baseline"/>
                <w:lang w:val="en-US" w:eastAsia="zh-CN"/>
              </w:rPr>
            </w:pPr>
            <w:r>
              <w:rPr>
                <w:rFonts w:hint="eastAsia" w:ascii="宋体" w:hAnsi="宋体" w:eastAsia="宋体" w:cs="宋体"/>
                <w:color w:val="auto"/>
                <w:spacing w:val="0"/>
                <w:position w:val="0"/>
                <w:sz w:val="24"/>
                <w:szCs w:val="24"/>
                <w:highlight w:val="none"/>
                <w:shd w:val="clear" w:color="auto" w:fill="auto"/>
                <w:vertAlign w:val="baseline"/>
                <w:lang w:val="en-US" w:eastAsia="zh-CN"/>
              </w:rPr>
              <w:t>包号</w:t>
            </w:r>
          </w:p>
        </w:tc>
        <w:tc>
          <w:tcPr>
            <w:tcW w:w="2652" w:type="dxa"/>
            <w:vAlign w:val="top"/>
          </w:tcPr>
          <w:p w14:paraId="06D48809">
            <w:pPr>
              <w:spacing w:before="0" w:after="0" w:line="360" w:lineRule="auto"/>
              <w:ind w:right="0"/>
              <w:jc w:val="left"/>
              <w:rPr>
                <w:rFonts w:hint="default" w:ascii="宋体" w:hAnsi="宋体" w:eastAsia="宋体" w:cs="宋体"/>
                <w:color w:val="auto"/>
                <w:spacing w:val="0"/>
                <w:position w:val="0"/>
                <w:sz w:val="24"/>
                <w:szCs w:val="24"/>
                <w:highlight w:val="none"/>
                <w:shd w:val="clear" w:color="auto" w:fill="auto"/>
                <w:vertAlign w:val="baseline"/>
                <w:lang w:val="en-US" w:eastAsia="zh-CN"/>
              </w:rPr>
            </w:pPr>
            <w:r>
              <w:rPr>
                <w:rFonts w:hint="eastAsia" w:ascii="宋体" w:hAnsi="宋体" w:eastAsia="宋体" w:cs="宋体"/>
                <w:color w:val="auto"/>
                <w:spacing w:val="0"/>
                <w:position w:val="0"/>
                <w:sz w:val="24"/>
                <w:szCs w:val="24"/>
                <w:highlight w:val="none"/>
                <w:shd w:val="clear" w:color="auto" w:fill="auto"/>
                <w:vertAlign w:val="baseline"/>
                <w:lang w:val="en-US" w:eastAsia="zh-CN"/>
              </w:rPr>
              <w:t>联系人（分包联系人）</w:t>
            </w:r>
          </w:p>
        </w:tc>
        <w:tc>
          <w:tcPr>
            <w:tcW w:w="4509" w:type="dxa"/>
            <w:vAlign w:val="top"/>
          </w:tcPr>
          <w:p w14:paraId="7D680FEF">
            <w:pPr>
              <w:spacing w:before="0" w:after="0" w:line="360" w:lineRule="auto"/>
              <w:ind w:right="0"/>
              <w:jc w:val="left"/>
              <w:rPr>
                <w:rFonts w:hint="eastAsia" w:ascii="宋体" w:hAnsi="宋体" w:eastAsia="宋体" w:cs="宋体"/>
                <w:color w:val="auto"/>
                <w:spacing w:val="0"/>
                <w:position w:val="0"/>
                <w:sz w:val="24"/>
                <w:szCs w:val="24"/>
                <w:highlight w:val="none"/>
                <w:shd w:val="clear" w:color="auto" w:fill="auto"/>
                <w:vertAlign w:val="baseline"/>
                <w:lang w:val="en-US" w:eastAsia="zh-CN"/>
              </w:rPr>
            </w:pPr>
            <w:r>
              <w:rPr>
                <w:rFonts w:hint="eastAsia" w:ascii="宋体" w:hAnsi="宋体" w:eastAsia="宋体" w:cs="宋体"/>
                <w:color w:val="auto"/>
                <w:spacing w:val="0"/>
                <w:position w:val="0"/>
                <w:sz w:val="24"/>
                <w:szCs w:val="24"/>
                <w:highlight w:val="none"/>
                <w:shd w:val="clear" w:color="auto" w:fill="auto"/>
                <w:vertAlign w:val="baseline"/>
                <w:lang w:val="en-US" w:eastAsia="zh-CN"/>
              </w:rPr>
              <w:t>联系电话</w:t>
            </w:r>
          </w:p>
        </w:tc>
      </w:tr>
      <w:tr w14:paraId="0D78C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1967FF00">
            <w:pPr>
              <w:spacing w:before="0" w:after="0" w:line="360" w:lineRule="auto"/>
              <w:ind w:right="0"/>
              <w:jc w:val="left"/>
              <w:rPr>
                <w:rFonts w:hint="default"/>
                <w:color w:val="auto"/>
                <w:sz w:val="24"/>
                <w:szCs w:val="24"/>
                <w:highlight w:val="no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w:t>
            </w:r>
          </w:p>
        </w:tc>
        <w:tc>
          <w:tcPr>
            <w:tcW w:w="2652" w:type="dxa"/>
            <w:vAlign w:val="top"/>
          </w:tcPr>
          <w:p w14:paraId="3C431597">
            <w:pPr>
              <w:spacing w:before="0" w:after="0" w:line="360" w:lineRule="auto"/>
              <w:ind w:right="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苑振伟</w:t>
            </w:r>
          </w:p>
        </w:tc>
        <w:tc>
          <w:tcPr>
            <w:tcW w:w="4509" w:type="dxa"/>
            <w:vAlign w:val="top"/>
          </w:tcPr>
          <w:p w14:paraId="396C2A2B">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15896762568</w:t>
            </w:r>
          </w:p>
        </w:tc>
      </w:tr>
      <w:tr w14:paraId="275A1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12468A10">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2</w:t>
            </w:r>
          </w:p>
        </w:tc>
        <w:tc>
          <w:tcPr>
            <w:tcW w:w="2652" w:type="dxa"/>
            <w:shd w:val="clear" w:color="auto" w:fill="auto"/>
            <w:vAlign w:val="top"/>
          </w:tcPr>
          <w:p w14:paraId="12BFEA69">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rPr>
              <w:t>刘峰</w:t>
            </w:r>
          </w:p>
        </w:tc>
        <w:tc>
          <w:tcPr>
            <w:tcW w:w="4509" w:type="dxa"/>
            <w:shd w:val="clear" w:color="auto" w:fill="auto"/>
            <w:vAlign w:val="top"/>
          </w:tcPr>
          <w:p w14:paraId="26CA569E">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rPr>
              <w:t>13525776599</w:t>
            </w:r>
            <w:r>
              <w:rPr>
                <w:rFonts w:ascii="宋体" w:hAnsi="宋体" w:eastAsia="宋体" w:cs="宋体"/>
                <w:color w:val="auto"/>
                <w:spacing w:val="0"/>
                <w:position w:val="0"/>
                <w:sz w:val="24"/>
                <w:szCs w:val="24"/>
                <w:highlight w:val="none"/>
                <w:shd w:val="clear" w:fill="auto"/>
              </w:rPr>
              <w:t>　</w:t>
            </w:r>
          </w:p>
        </w:tc>
      </w:tr>
      <w:tr w14:paraId="599B4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06A95595">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3</w:t>
            </w:r>
          </w:p>
        </w:tc>
        <w:tc>
          <w:tcPr>
            <w:tcW w:w="2652" w:type="dxa"/>
            <w:vAlign w:val="top"/>
          </w:tcPr>
          <w:p w14:paraId="6FFAC343">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王永刚</w:t>
            </w:r>
          </w:p>
        </w:tc>
        <w:tc>
          <w:tcPr>
            <w:tcW w:w="4509" w:type="dxa"/>
            <w:vAlign w:val="top"/>
          </w:tcPr>
          <w:p w14:paraId="26B4ECB5">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13949988136</w:t>
            </w:r>
          </w:p>
        </w:tc>
      </w:tr>
      <w:tr w14:paraId="71172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5F3736CB">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4</w:t>
            </w:r>
          </w:p>
        </w:tc>
        <w:tc>
          <w:tcPr>
            <w:tcW w:w="2652" w:type="dxa"/>
            <w:shd w:val="clear" w:color="auto" w:fill="auto"/>
            <w:vAlign w:val="top"/>
          </w:tcPr>
          <w:p w14:paraId="0EF7684F">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苑振伟</w:t>
            </w:r>
          </w:p>
        </w:tc>
        <w:tc>
          <w:tcPr>
            <w:tcW w:w="4509" w:type="dxa"/>
            <w:shd w:val="clear" w:color="auto" w:fill="auto"/>
            <w:vAlign w:val="top"/>
          </w:tcPr>
          <w:p w14:paraId="2B11C1B9">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15896762568</w:t>
            </w:r>
          </w:p>
        </w:tc>
      </w:tr>
      <w:tr w14:paraId="23EC3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69544DFB">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5</w:t>
            </w:r>
          </w:p>
        </w:tc>
        <w:tc>
          <w:tcPr>
            <w:tcW w:w="2652" w:type="dxa"/>
            <w:shd w:val="clear" w:color="auto" w:fill="auto"/>
            <w:vAlign w:val="top"/>
          </w:tcPr>
          <w:p w14:paraId="2A20E9FA">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苑振伟</w:t>
            </w:r>
          </w:p>
        </w:tc>
        <w:tc>
          <w:tcPr>
            <w:tcW w:w="4509" w:type="dxa"/>
            <w:shd w:val="clear" w:color="auto" w:fill="auto"/>
            <w:vAlign w:val="top"/>
          </w:tcPr>
          <w:p w14:paraId="1F0FC602">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15896762568</w:t>
            </w:r>
          </w:p>
        </w:tc>
      </w:tr>
    </w:tbl>
    <w:p w14:paraId="63B0A993">
      <w:pPr>
        <w:spacing w:before="0" w:after="0" w:line="360" w:lineRule="auto"/>
        <w:ind w:right="0"/>
        <w:jc w:val="left"/>
        <w:rPr>
          <w:rFonts w:ascii="宋体" w:hAnsi="宋体" w:eastAsia="宋体" w:cs="宋体"/>
          <w:color w:val="auto"/>
          <w:spacing w:val="0"/>
          <w:position w:val="0"/>
          <w:sz w:val="24"/>
          <w:highlight w:val="none"/>
          <w:shd w:val="clear" w:fill="auto"/>
        </w:rPr>
      </w:pPr>
    </w:p>
    <w:p w14:paraId="31A0EDCF">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2.采购代理机构信息</w:t>
      </w:r>
    </w:p>
    <w:p w14:paraId="68785FB2">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名称：周口市公共资源交易中心政府采购中心　　　　　　　　　　　　</w:t>
      </w:r>
    </w:p>
    <w:p w14:paraId="37637901">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地址：周口市光明路与政通路交叉口向北100米路东</w:t>
      </w:r>
    </w:p>
    <w:p w14:paraId="42E95EEC">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郭战伟</w:t>
      </w:r>
      <w:r>
        <w:rPr>
          <w:rFonts w:ascii="宋体" w:hAnsi="宋体" w:eastAsia="宋体" w:cs="宋体"/>
          <w:color w:val="auto"/>
          <w:spacing w:val="0"/>
          <w:position w:val="0"/>
          <w:sz w:val="24"/>
          <w:highlight w:val="none"/>
          <w:shd w:val="clear" w:fill="auto"/>
        </w:rPr>
        <w:t xml:space="preserve"> </w:t>
      </w:r>
      <w:r>
        <w:rPr>
          <w:rFonts w:hint="eastAsia" w:ascii="宋体" w:hAnsi="宋体" w:eastAsia="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 xml:space="preserve">    联系方式：</w:t>
      </w:r>
      <w:r>
        <w:rPr>
          <w:rFonts w:hint="eastAsia" w:ascii="宋体" w:hAnsi="宋体" w:eastAsia="宋体" w:cs="宋体"/>
          <w:color w:val="auto"/>
          <w:spacing w:val="0"/>
          <w:position w:val="0"/>
          <w:sz w:val="24"/>
          <w:highlight w:val="none"/>
          <w:shd w:val="clear" w:fill="auto"/>
          <w:lang w:val="en-US" w:eastAsia="zh-CN"/>
        </w:rPr>
        <w:t xml:space="preserve">0394-8106517、17839489001  </w:t>
      </w:r>
    </w:p>
    <w:p w14:paraId="723188C4">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3.监督单位：</w:t>
      </w:r>
      <w:r>
        <w:rPr>
          <w:rFonts w:hint="eastAsia" w:ascii="宋体" w:hAnsi="宋体" w:eastAsia="宋体" w:cs="宋体"/>
          <w:color w:val="auto"/>
          <w:spacing w:val="0"/>
          <w:position w:val="0"/>
          <w:sz w:val="24"/>
          <w:highlight w:val="none"/>
          <w:shd w:val="clear" w:fill="auto"/>
        </w:rPr>
        <w:t>周口市财政局</w:t>
      </w:r>
    </w:p>
    <w:p w14:paraId="0CC2E3A7">
      <w:pPr>
        <w:spacing w:before="0" w:after="0" w:line="360" w:lineRule="auto"/>
        <w:ind w:right="0" w:firstLine="480" w:firstLineChars="20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rPr>
        <w:t>0394-8106976</w:t>
      </w:r>
      <w:r>
        <w:rPr>
          <w:rFonts w:ascii="宋体" w:hAnsi="宋体" w:eastAsia="宋体" w:cs="宋体"/>
          <w:color w:val="auto"/>
          <w:spacing w:val="0"/>
          <w:position w:val="0"/>
          <w:sz w:val="24"/>
          <w:highlight w:val="none"/>
          <w:shd w:val="clear" w:fill="auto"/>
        </w:rPr>
        <w:t xml:space="preserve">  </w:t>
      </w:r>
    </w:p>
    <w:p w14:paraId="1878F4E3">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79014E97">
      <w:pPr>
        <w:tabs>
          <w:tab w:val="left" w:pos="0"/>
          <w:tab w:val="left" w:pos="993"/>
          <w:tab w:val="left" w:pos="1134"/>
        </w:tabs>
        <w:spacing w:before="0" w:after="0" w:line="240" w:lineRule="auto"/>
        <w:ind w:left="0" w:right="0" w:firstLine="3600"/>
        <w:jc w:val="both"/>
        <w:rPr>
          <w:rFonts w:ascii="宋体" w:hAnsi="宋体" w:eastAsia="宋体" w:cs="宋体"/>
          <w:b/>
          <w:color w:val="auto"/>
          <w:spacing w:val="0"/>
          <w:position w:val="0"/>
          <w:sz w:val="24"/>
          <w:highlight w:val="none"/>
          <w:shd w:val="clear" w:fill="auto"/>
        </w:rPr>
      </w:pPr>
      <w:bookmarkStart w:id="0" w:name="_GoBack"/>
      <w:bookmarkEnd w:id="0"/>
      <w:r>
        <w:rPr>
          <w:rFonts w:ascii="宋体" w:hAnsi="宋体" w:eastAsia="宋体" w:cs="宋体"/>
          <w:b/>
          <w:color w:val="auto"/>
          <w:spacing w:val="0"/>
          <w:position w:val="0"/>
          <w:sz w:val="24"/>
          <w:highlight w:val="none"/>
          <w:shd w:val="clear" w:fill="auto"/>
        </w:rPr>
        <w:t xml:space="preserve"> </w:t>
      </w:r>
    </w:p>
    <w:p w14:paraId="4B9D40E0">
      <w:pP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br w:type="page"/>
      </w:r>
    </w:p>
    <w:p w14:paraId="5BF924B3">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第二章    供应商须知</w:t>
      </w:r>
    </w:p>
    <w:p w14:paraId="4A669BA0">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highlight w:val="none"/>
          <w:shd w:val="clear" w:fill="auto"/>
        </w:rPr>
      </w:pPr>
    </w:p>
    <w:tbl>
      <w:tblPr>
        <w:tblStyle w:val="13"/>
        <w:tblW w:w="0" w:type="auto"/>
        <w:tblInd w:w="108" w:type="dxa"/>
        <w:tblLayout w:type="autofit"/>
        <w:tblCellMar>
          <w:top w:w="0" w:type="dxa"/>
          <w:left w:w="10" w:type="dxa"/>
          <w:bottom w:w="0" w:type="dxa"/>
          <w:right w:w="10" w:type="dxa"/>
        </w:tblCellMar>
      </w:tblPr>
      <w:tblGrid>
        <w:gridCol w:w="856"/>
        <w:gridCol w:w="1673"/>
        <w:gridCol w:w="5885"/>
      </w:tblGrid>
      <w:tr w14:paraId="22158926">
        <w:tblPrEx>
          <w:tblCellMar>
            <w:top w:w="0" w:type="dxa"/>
            <w:left w:w="10" w:type="dxa"/>
            <w:bottom w:w="0" w:type="dxa"/>
            <w:right w:w="10" w:type="dxa"/>
          </w:tblCellMar>
        </w:tblPrEx>
        <w:trPr>
          <w:trHeight w:val="0"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F62B6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供应商须知前附表</w:t>
            </w:r>
          </w:p>
        </w:tc>
      </w:tr>
      <w:tr w14:paraId="5CC0F00E">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588B49">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6A0D1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1B7116">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内  容</w:t>
            </w:r>
          </w:p>
        </w:tc>
      </w:tr>
      <w:tr w14:paraId="1FC94B3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9C2FBC">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F6BF4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4B799">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1）项目名称：</w:t>
            </w:r>
            <w:r>
              <w:rPr>
                <w:rFonts w:hint="eastAsia" w:ascii="Times New Roman" w:hAnsi="Times New Roman" w:eastAsia="Times New Roman" w:cs="Times New Roman"/>
                <w:color w:val="auto"/>
                <w:spacing w:val="0"/>
                <w:position w:val="0"/>
                <w:sz w:val="24"/>
                <w:highlight w:val="none"/>
                <w:u w:val="single"/>
                <w:shd w:val="clear" w:fill="auto"/>
              </w:rPr>
              <w:t>周口市第一高级中学周口一高改善办学条件</w:t>
            </w:r>
            <w:r>
              <w:rPr>
                <w:rFonts w:ascii="宋体" w:hAnsi="宋体" w:eastAsia="宋体" w:cs="宋体"/>
                <w:color w:val="auto"/>
                <w:spacing w:val="0"/>
                <w:position w:val="0"/>
                <w:sz w:val="24"/>
                <w:highlight w:val="none"/>
                <w:shd w:val="clear" w:fill="auto"/>
              </w:rPr>
              <w:t>项目</w:t>
            </w:r>
            <w:r>
              <w:rPr>
                <w:rFonts w:hint="eastAsia" w:ascii="Times New Roman" w:hAnsi="Times New Roman" w:eastAsia="宋体" w:cs="Times New Roman"/>
                <w:color w:val="auto"/>
                <w:spacing w:val="0"/>
                <w:position w:val="0"/>
                <w:sz w:val="24"/>
                <w:highlight w:val="none"/>
                <w:u w:val="single"/>
                <w:shd w:val="clear" w:fill="auto"/>
                <w:lang w:val="en-US" w:eastAsia="zh-CN"/>
              </w:rPr>
              <w:t>(2</w:t>
            </w:r>
            <w:r>
              <w:rPr>
                <w:rFonts w:hint="eastAsia" w:ascii="宋体" w:hAnsi="宋体" w:eastAsia="宋体" w:cs="宋体"/>
                <w:color w:val="auto"/>
                <w:spacing w:val="0"/>
                <w:position w:val="0"/>
                <w:sz w:val="24"/>
                <w:szCs w:val="24"/>
                <w:highlight w:val="none"/>
                <w:u w:val="single"/>
                <w:shd w:val="clear" w:fill="auto"/>
                <w:lang w:val="en-US" w:eastAsia="zh-CN"/>
              </w:rPr>
              <w:t>025年普通高中发展引导省级补助资金</w:t>
            </w:r>
            <w:r>
              <w:rPr>
                <w:rFonts w:hint="eastAsia" w:ascii="Times New Roman" w:hAnsi="Times New Roman" w:eastAsia="宋体" w:cs="Times New Roman"/>
                <w:color w:val="auto"/>
                <w:spacing w:val="0"/>
                <w:position w:val="0"/>
                <w:sz w:val="24"/>
                <w:highlight w:val="none"/>
                <w:u w:val="single"/>
                <w:shd w:val="clear" w:fill="auto"/>
                <w:lang w:val="en-US" w:eastAsia="zh-CN"/>
              </w:rPr>
              <w:t>)</w:t>
            </w:r>
            <w:r>
              <w:rPr>
                <w:rFonts w:ascii="Times New Roman" w:hAnsi="Times New Roman" w:eastAsia="Times New Roman" w:cs="Times New Roman"/>
                <w:color w:val="auto"/>
                <w:spacing w:val="0"/>
                <w:position w:val="0"/>
                <w:sz w:val="24"/>
                <w:highlight w:val="none"/>
                <w:shd w:val="clear" w:fill="auto"/>
              </w:rPr>
              <w:t xml:space="preserve"> </w:t>
            </w:r>
          </w:p>
          <w:p w14:paraId="30F2944E">
            <w:pPr>
              <w:numPr>
                <w:ilvl w:val="0"/>
                <w:numId w:val="0"/>
              </w:numPr>
              <w:spacing w:before="0" w:after="0" w:line="240" w:lineRule="auto"/>
              <w:ind w:leftChars="0" w:right="0" w:rightChars="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2）采购内容：</w:t>
            </w:r>
            <w:r>
              <w:rPr>
                <w:rFonts w:hint="eastAsia" w:ascii="宋体" w:hAnsi="宋体" w:eastAsia="宋体" w:cs="宋体"/>
                <w:color w:val="auto"/>
                <w:spacing w:val="0"/>
                <w:position w:val="0"/>
                <w:sz w:val="24"/>
                <w:highlight w:val="none"/>
                <w:shd w:val="clear" w:fill="auto"/>
              </w:rPr>
              <w:t>主要采购</w:t>
            </w:r>
            <w:r>
              <w:rPr>
                <w:rFonts w:hint="eastAsia" w:ascii="宋体" w:hAnsi="宋体" w:eastAsia="宋体" w:cs="宋体"/>
                <w:color w:val="auto"/>
                <w:spacing w:val="0"/>
                <w:position w:val="0"/>
                <w:sz w:val="24"/>
                <w:highlight w:val="none"/>
                <w:shd w:val="clear" w:fill="auto"/>
                <w:lang w:val="en-US" w:eastAsia="zh-CN"/>
              </w:rPr>
              <w:t>课桌凳2800套</w:t>
            </w:r>
          </w:p>
          <w:p w14:paraId="3C36C828">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3）采购人：</w:t>
            </w:r>
            <w:r>
              <w:rPr>
                <w:rFonts w:hint="eastAsia" w:ascii="宋体" w:hAnsi="宋体" w:eastAsia="宋体" w:cs="宋体"/>
                <w:color w:val="auto"/>
                <w:spacing w:val="0"/>
                <w:position w:val="0"/>
                <w:sz w:val="24"/>
                <w:highlight w:val="none"/>
                <w:shd w:val="clear" w:fill="auto"/>
              </w:rPr>
              <w:t>周口市第一高级中学</w:t>
            </w:r>
          </w:p>
          <w:p w14:paraId="60504C4E">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4）采购代理机构：周口市公共资源交易中心政府采购中心</w:t>
            </w:r>
          </w:p>
        </w:tc>
      </w:tr>
      <w:tr w14:paraId="6811EF0A">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E7D817">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32F6A1">
            <w:pPr>
              <w:spacing w:before="0" w:after="0" w:line="240" w:lineRule="auto"/>
              <w:ind w:left="-4" w:right="0" w:hanging="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F2F1EE">
            <w:pPr>
              <w:spacing w:before="0" w:after="0" w:line="240" w:lineRule="auto"/>
              <w:ind w:left="-4" w:right="0" w:hanging="4"/>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见竞争性磋商邀请函</w:t>
            </w:r>
          </w:p>
        </w:tc>
      </w:tr>
      <w:tr w14:paraId="11D0685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4F045E">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68EF1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00CBDA">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无论报价和磋商的过程和结果如何，供应商自行承担所有与参加报价及磋商有关活动的全部费用。</w:t>
            </w:r>
          </w:p>
        </w:tc>
      </w:tr>
      <w:tr w14:paraId="7AE21CEE">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091BDC">
            <w:pPr>
              <w:numPr>
                <w:ilvl w:val="0"/>
                <w:numId w:val="4"/>
              </w:numPr>
              <w:tabs>
                <w:tab w:val="left" w:pos="420"/>
              </w:tabs>
              <w:spacing w:before="0" w:after="0" w:line="240" w:lineRule="auto"/>
              <w:ind w:left="420" w:right="0" w:hanging="420"/>
              <w:jc w:val="both"/>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1FB87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7DC73B">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中文</w:t>
            </w:r>
          </w:p>
        </w:tc>
      </w:tr>
      <w:tr w14:paraId="02A9C0A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8426C1">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D66AE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8894CE">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r>
      <w:tr w14:paraId="16BD5F3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AE202C">
            <w:pPr>
              <w:numPr>
                <w:ilvl w:val="0"/>
                <w:numId w:val="6"/>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FE394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6F154">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报价包括本项目所招标的货物、保险、税费、包装、加工及加工损耗、运输、现场落地、安装、验收</w:t>
            </w:r>
            <w:r>
              <w:rPr>
                <w:rFonts w:ascii="宋体" w:hAnsi="宋体" w:eastAsia="宋体" w:cs="宋体"/>
                <w:color w:val="auto"/>
                <w:spacing w:val="0"/>
                <w:position w:val="0"/>
                <w:sz w:val="24"/>
                <w:highlight w:val="none"/>
                <w:shd w:val="clear" w:fill="auto"/>
              </w:rPr>
              <w:t>等（采购项目技术规格、参数及要求）</w:t>
            </w:r>
          </w:p>
        </w:tc>
      </w:tr>
      <w:tr w14:paraId="6BAEA2F8">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B649A4">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7C1C7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A2D180">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响应文件递交截止期后</w:t>
            </w:r>
            <w:r>
              <w:rPr>
                <w:rFonts w:ascii="宋体" w:hAnsi="宋体" w:eastAsia="宋体" w:cs="宋体"/>
                <w:color w:val="auto"/>
                <w:spacing w:val="0"/>
                <w:position w:val="0"/>
                <w:sz w:val="24"/>
                <w:highlight w:val="none"/>
                <w:shd w:val="clear" w:fill="auto"/>
              </w:rPr>
              <w:t>60</w:t>
            </w:r>
            <w:r>
              <w:rPr>
                <w:rFonts w:hint="eastAsia" w:ascii="宋体" w:hAnsi="宋体" w:eastAsia="宋体" w:cs="宋体"/>
                <w:color w:val="auto"/>
                <w:spacing w:val="0"/>
                <w:position w:val="0"/>
                <w:sz w:val="24"/>
                <w:highlight w:val="none"/>
                <w:shd w:val="clear" w:fill="auto"/>
                <w:lang w:val="en-US" w:eastAsia="zh-CN"/>
              </w:rPr>
              <w:t>日历</w:t>
            </w:r>
            <w:r>
              <w:rPr>
                <w:rFonts w:ascii="宋体" w:hAnsi="宋体" w:eastAsia="宋体" w:cs="宋体"/>
                <w:color w:val="auto"/>
                <w:spacing w:val="0"/>
                <w:position w:val="0"/>
                <w:sz w:val="24"/>
                <w:highlight w:val="none"/>
                <w:shd w:val="clear" w:fill="auto"/>
              </w:rPr>
              <w:t>日</w:t>
            </w:r>
            <w:r>
              <w:rPr>
                <w:rFonts w:ascii="宋体" w:hAnsi="宋体" w:eastAsia="宋体" w:cs="宋体"/>
                <w:color w:val="auto"/>
                <w:spacing w:val="0"/>
                <w:position w:val="0"/>
                <w:sz w:val="24"/>
                <w:highlight w:val="none"/>
                <w:shd w:val="clear" w:fill="auto"/>
              </w:rPr>
              <w:t>内有效</w:t>
            </w:r>
          </w:p>
        </w:tc>
      </w:tr>
      <w:tr w14:paraId="5D99A63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D88A11">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61B89B">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40B204">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0BE270F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2BAEB1">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C580AD">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AB42A4">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28783CE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3C4FF8">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278DE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F4AAD3">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加密的电子投标文件须在投标截止时间前成功上传</w:t>
            </w:r>
          </w:p>
        </w:tc>
      </w:tr>
      <w:tr w14:paraId="2BB46B7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864221">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B7B76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E6D449">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3B01F98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BBC0A0">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2215D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49BBE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对竞争性磋商文件进行的澄清，以网上公告的方式通知供应商。澄清或修改的内容可能影响响应文件编制的，采购人、采购代理机构应当在提交响应文件截止时间至少5日前。</w:t>
            </w:r>
          </w:p>
          <w:p w14:paraId="5A147497">
            <w:pPr>
              <w:spacing w:before="0" w:after="0" w:line="240" w:lineRule="auto"/>
              <w:ind w:left="0" w:right="0" w:firstLine="0"/>
              <w:jc w:val="both"/>
              <w:rPr>
                <w:rFonts w:ascii="宋体" w:hAnsi="宋体" w:eastAsia="宋体" w:cs="宋体"/>
                <w:color w:val="auto"/>
                <w:spacing w:val="0"/>
                <w:position w:val="0"/>
                <w:highlight w:val="none"/>
                <w:shd w:val="clear" w:fill="auto"/>
              </w:rPr>
            </w:pPr>
          </w:p>
        </w:tc>
      </w:tr>
      <w:tr w14:paraId="7D5E72C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E752D4">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AFCD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B4289C">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年 </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 月</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日上午   （见磋商公告） </w:t>
            </w:r>
          </w:p>
        </w:tc>
      </w:tr>
      <w:tr w14:paraId="3329E5EA">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D453BC">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5151F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688A25">
            <w:pPr>
              <w:rPr>
                <w:rFonts w:hint="eastAsia" w:ascii="宋体" w:hAnsi="宋体" w:eastAsia="宋体"/>
                <w:color w:val="auto"/>
                <w:sz w:val="24"/>
                <w:highlight w:val="none"/>
                <w:lang w:val="en-US" w:eastAsia="zh-CN"/>
              </w:rPr>
            </w:pPr>
            <w:r>
              <w:rPr>
                <w:rFonts w:hint="eastAsia" w:ascii="宋体" w:hAnsi="宋体"/>
                <w:color w:val="auto"/>
                <w:sz w:val="24"/>
                <w:highlight w:val="none"/>
              </w:rPr>
              <w:t>周口市公共资源交易中心</w:t>
            </w:r>
            <w:r>
              <w:rPr>
                <w:rFonts w:hint="eastAsia" w:ascii="宋体" w:hAnsi="宋体"/>
                <w:color w:val="auto"/>
                <w:sz w:val="24"/>
                <w:highlight w:val="none"/>
                <w:lang w:val="en-US" w:eastAsia="zh-CN"/>
              </w:rPr>
              <w:t>网</w:t>
            </w:r>
          </w:p>
          <w:p w14:paraId="4888476D">
            <w:pPr>
              <w:rPr>
                <w:rFonts w:hint="eastAsia" w:ascii="宋体" w:hAnsi="宋体" w:cs="宋体" w:eastAsiaTheme="minorEastAsia"/>
                <w:color w:val="auto"/>
                <w:sz w:val="24"/>
                <w:szCs w:val="24"/>
                <w:highlight w:val="none"/>
                <w:lang w:val="en-US" w:eastAsia="zh-CN"/>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lang w:eastAsia="zh-CN"/>
              </w:rPr>
              <w:t>）</w:t>
            </w:r>
          </w:p>
          <w:p w14:paraId="78A8D8AD">
            <w:pPr>
              <w:spacing w:before="0" w:after="0" w:line="560" w:lineRule="auto"/>
              <w:ind w:left="0" w:right="0" w:firstLine="0"/>
              <w:jc w:val="both"/>
              <w:rPr>
                <w:rFonts w:ascii="宋体" w:hAnsi="宋体" w:eastAsia="宋体" w:cs="宋体"/>
                <w:color w:val="auto"/>
                <w:spacing w:val="0"/>
                <w:position w:val="0"/>
                <w:highlight w:val="none"/>
                <w:shd w:val="clear" w:fill="auto"/>
              </w:rPr>
            </w:pPr>
            <w:r>
              <w:rPr>
                <w:rFonts w:hint="eastAsia" w:ascii="宋体" w:hAnsi="宋体" w:eastAsia="宋体" w:cs="宋体"/>
                <w:color w:val="auto"/>
                <w:sz w:val="24"/>
                <w:szCs w:val="24"/>
                <w:highlight w:val="none"/>
              </w:rPr>
              <w:t>（本项目实行网上远程开标无须到现场提交响应文件）</w:t>
            </w:r>
          </w:p>
        </w:tc>
      </w:tr>
      <w:tr w14:paraId="2D4C7B77">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52B436">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F8859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71D61A">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年</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月</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日上午    见磋商公告</w:t>
            </w:r>
          </w:p>
        </w:tc>
      </w:tr>
      <w:tr w14:paraId="4E8EF4D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91C446">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AEC1E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6CCE05">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详见磋商文件第二章</w:t>
            </w:r>
          </w:p>
        </w:tc>
      </w:tr>
      <w:tr w14:paraId="64E4881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A1D905">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07002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916FE6">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采购人根据磋商小组的推荐意见，由采购人确定成交供应商。采购代理机构向成交供应商发出成交通知书。</w:t>
            </w:r>
          </w:p>
        </w:tc>
      </w:tr>
      <w:tr w14:paraId="274ACD4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6A21C">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CBCACC">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64B035">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本磋商文件、响应文件及磋商、评审过程中有关澄清、承诺文件的内容，将作为签订合同的主要内容。</w:t>
            </w:r>
          </w:p>
        </w:tc>
      </w:tr>
      <w:tr w14:paraId="37A2110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439364">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C7FB00">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6341A9">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本项目不需要交纳投标保证金</w:t>
            </w:r>
          </w:p>
        </w:tc>
      </w:tr>
      <w:tr w14:paraId="7B9F9EF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16684E">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515BD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供货周期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19F284">
            <w:pPr>
              <w:spacing w:before="0" w:after="0" w:line="240" w:lineRule="auto"/>
              <w:ind w:left="0" w:right="0" w:firstLine="0"/>
              <w:jc w:val="left"/>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合同签订后</w:t>
            </w:r>
            <w:r>
              <w:rPr>
                <w:rFonts w:hint="eastAsia" w:ascii="宋体" w:hAnsi="宋体" w:eastAsia="宋体" w:cs="宋体"/>
                <w:color w:val="auto"/>
                <w:spacing w:val="0"/>
                <w:position w:val="0"/>
                <w:sz w:val="24"/>
                <w:highlight w:val="none"/>
                <w:shd w:val="clear" w:fill="auto"/>
                <w:lang w:val="en-US" w:eastAsia="zh-CN"/>
              </w:rPr>
              <w:t>15</w:t>
            </w:r>
            <w:r>
              <w:rPr>
                <w:rFonts w:ascii="宋体" w:hAnsi="宋体" w:eastAsia="宋体" w:cs="宋体"/>
                <w:color w:val="auto"/>
                <w:spacing w:val="0"/>
                <w:position w:val="0"/>
                <w:sz w:val="24"/>
                <w:highlight w:val="none"/>
                <w:shd w:val="clear" w:fill="auto"/>
              </w:rPr>
              <w:t>日历天</w:t>
            </w:r>
          </w:p>
        </w:tc>
      </w:tr>
      <w:tr w14:paraId="4F9FFCF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63C29C">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A3EA42">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64C2BF">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ascii="宋体" w:hAnsi="宋体" w:cs="宋体"/>
                <w:color w:val="auto"/>
                <w:sz w:val="24"/>
                <w:highlight w:val="none"/>
                <w:lang w:val="en-US" w:eastAsia="zh-CN"/>
              </w:rPr>
              <w:t>项目验收合格后付款。</w:t>
            </w:r>
          </w:p>
        </w:tc>
      </w:tr>
      <w:tr w14:paraId="4EDC95A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E74F1B">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E8F76D">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4D94C6">
            <w:pPr>
              <w:keepNext w:val="0"/>
              <w:keepLines w:val="0"/>
              <w:widowControl/>
              <w:suppressLineNumbers w:val="0"/>
              <w:jc w:val="left"/>
              <w:rPr>
                <w:rFonts w:ascii="宋体" w:hAnsi="宋体" w:eastAsia="宋体" w:cs="宋体"/>
                <w:color w:val="auto"/>
                <w:spacing w:val="0"/>
                <w:position w:val="0"/>
                <w:highlight w:val="none"/>
                <w:shd w:val="clear" w:fill="auto"/>
              </w:rPr>
            </w:pPr>
            <w:r>
              <w:rPr>
                <w:rFonts w:hint="eastAsia" w:ascii="宋体" w:hAnsi="宋体" w:eastAsia="宋体" w:cs="宋体"/>
                <w:color w:val="auto"/>
                <w:kern w:val="0"/>
                <w:sz w:val="24"/>
                <w:szCs w:val="24"/>
                <w:highlight w:val="none"/>
                <w:lang w:val="en-US" w:eastAsia="zh-CN" w:bidi="ar"/>
              </w:rPr>
              <w:t>无需勘查</w:t>
            </w:r>
          </w:p>
        </w:tc>
      </w:tr>
      <w:tr w14:paraId="7FA71F8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E2150">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E292FF">
            <w:pPr>
              <w:spacing w:beforeLines="50"/>
              <w:ind w:firstLine="14" w:firstLineChars="6"/>
              <w:jc w:val="center"/>
              <w:rPr>
                <w:rFonts w:ascii="宋体" w:hAnsi="宋体" w:eastAsia="宋体" w:cs="宋体"/>
                <w:color w:val="auto"/>
                <w:spacing w:val="0"/>
                <w:position w:val="0"/>
                <w:highlight w:val="none"/>
                <w:shd w:val="clear" w:fill="auto"/>
              </w:rPr>
            </w:pPr>
            <w:r>
              <w:rPr>
                <w:rFonts w:hint="eastAsia" w:ascii="宋体" w:hAnsi="宋体" w:cs="宋体"/>
                <w:b/>
                <w:bCs/>
                <w:color w:val="auto"/>
                <w:sz w:val="24"/>
                <w:highlight w:val="none"/>
                <w:lang w:val="en-US" w:eastAsia="zh-CN"/>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587341">
            <w:pPr>
              <w:tabs>
                <w:tab w:val="left" w:pos="8640"/>
              </w:tabs>
              <w:jc w:val="left"/>
              <w:rPr>
                <w:rFonts w:ascii="宋体" w:hAnsi="宋体" w:eastAsia="宋体" w:cs="宋体"/>
                <w:color w:val="auto"/>
                <w:spacing w:val="0"/>
                <w:position w:val="0"/>
                <w:highlight w:val="none"/>
                <w:shd w:val="clear" w:fill="auto"/>
              </w:rPr>
            </w:pPr>
            <w:r>
              <w:rPr>
                <w:rFonts w:hint="eastAsia" w:ascii="宋体" w:hAnsi="宋体" w:cs="宋体"/>
                <w:b/>
                <w:bCs/>
                <w:color w:val="auto"/>
                <w:sz w:val="24"/>
                <w:highlight w:val="none"/>
                <w:lang w:val="en-US" w:eastAsia="zh-CN"/>
              </w:rPr>
              <w:t xml:space="preserve">二次报价 </w:t>
            </w:r>
          </w:p>
        </w:tc>
      </w:tr>
      <w:tr w14:paraId="08A8741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A74E96">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lang w:val="en-US" w:eastAsia="zh-CN"/>
              </w:rPr>
            </w:pPr>
            <w:r>
              <w:rPr>
                <w:rFonts w:hint="eastAsia" w:ascii="宋体" w:hAnsi="宋体" w:eastAsia="宋体" w:cs="宋体"/>
                <w:color w:val="auto"/>
                <w:spacing w:val="0"/>
                <w:position w:val="0"/>
                <w:sz w:val="22"/>
                <w:highlight w:val="none"/>
                <w:shd w:val="clear" w:fill="auto"/>
                <w:lang w:val="en-US" w:eastAsia="zh-CN"/>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B9D2DE">
            <w:pPr>
              <w:keepNext w:val="0"/>
              <w:keepLines w:val="0"/>
              <w:pageBreakBefore w:val="0"/>
              <w:widowControl w:val="0"/>
              <w:kinsoku/>
              <w:wordWrap/>
              <w:overflowPunct/>
              <w:topLinePunct w:val="0"/>
              <w:bidi w:val="0"/>
              <w:spacing w:line="400" w:lineRule="exact"/>
              <w:ind w:left="0" w:leftChars="0" w:firstLine="0" w:firstLineChars="0"/>
              <w:jc w:val="center"/>
              <w:rPr>
                <w:rFonts w:hint="default" w:ascii="宋体" w:hAnsi="宋体" w:eastAsiaTheme="minorEastAsia" w:cstheme="minorBidi"/>
                <w:b w:val="0"/>
                <w:bCs w:val="0"/>
                <w:color w:val="auto"/>
                <w:sz w:val="24"/>
                <w:szCs w:val="24"/>
                <w:highlight w:val="none"/>
                <w:lang w:val="en-US" w:eastAsia="zh-CN" w:bidi="ar-SA"/>
              </w:rPr>
            </w:pPr>
            <w:r>
              <w:rPr>
                <w:rFonts w:hint="eastAsia" w:ascii="宋体" w:hAnsi="宋体" w:eastAsiaTheme="minorEastAsia" w:cstheme="minorBidi"/>
                <w:b w:val="0"/>
                <w:bCs w:val="0"/>
                <w:color w:val="auto"/>
                <w:sz w:val="24"/>
                <w:szCs w:val="24"/>
                <w:highlight w:val="none"/>
                <w:lang w:val="en-US" w:eastAsia="zh-CN" w:bidi="ar-SA"/>
              </w:rPr>
              <w:t>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18D83">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eastAsiaTheme="minorEastAsia" w:cstheme="minorBidi"/>
                <w:b w:val="0"/>
                <w:bCs w:val="0"/>
                <w:color w:val="auto"/>
                <w:sz w:val="24"/>
                <w:szCs w:val="24"/>
                <w:highlight w:val="none"/>
                <w:lang w:val="en-US" w:eastAsia="zh-CN" w:bidi="ar-SA"/>
              </w:rPr>
            </w:pPr>
            <w:r>
              <w:rPr>
                <w:rFonts w:hint="eastAsia" w:ascii="宋体" w:hAnsi="宋体" w:eastAsiaTheme="minorEastAsia" w:cstheme="minorBidi"/>
                <w:b w:val="0"/>
                <w:bCs w:val="0"/>
                <w:color w:val="auto"/>
                <w:sz w:val="24"/>
                <w:szCs w:val="24"/>
                <w:highlight w:val="none"/>
                <w:lang w:val="en-US" w:eastAsia="zh-CN" w:bidi="ar-SA"/>
              </w:rPr>
              <w:t>工业</w:t>
            </w:r>
          </w:p>
        </w:tc>
      </w:tr>
      <w:tr w14:paraId="57C3A14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A2C652">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lang w:val="en-US" w:eastAsia="zh-CN"/>
              </w:rPr>
            </w:pPr>
            <w:r>
              <w:rPr>
                <w:rFonts w:hint="eastAsia" w:ascii="宋体" w:hAnsi="宋体" w:eastAsia="宋体" w:cs="宋体"/>
                <w:color w:val="auto"/>
                <w:spacing w:val="0"/>
                <w:position w:val="0"/>
                <w:sz w:val="22"/>
                <w:highlight w:val="none"/>
                <w:shd w:val="clear" w:fill="auto"/>
                <w:lang w:val="en-US" w:eastAsia="zh-CN"/>
              </w:rPr>
              <w:t>25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D1DC3B">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eastAsiaTheme="minorEastAsia" w:cstheme="minorBidi"/>
                <w:b w:val="0"/>
                <w:bCs w:val="0"/>
                <w:color w:val="auto"/>
                <w:sz w:val="24"/>
                <w:szCs w:val="24"/>
                <w:highlight w:val="none"/>
                <w:lang w:val="en-US" w:eastAsia="zh-CN" w:bidi="ar-SA"/>
              </w:rPr>
            </w:pPr>
            <w:r>
              <w:rPr>
                <w:rFonts w:hint="eastAsia" w:ascii="宋体" w:hAnsi="宋体"/>
                <w:b w:val="0"/>
                <w:bCs w:val="0"/>
                <w:color w:val="auto"/>
                <w:sz w:val="24"/>
                <w:szCs w:val="24"/>
                <w:highlight w:val="none"/>
                <w:lang w:val="en-US" w:eastAsia="zh-CN"/>
              </w:rPr>
              <w:t>其它</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FF9D03">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eastAsiaTheme="minorEastAsia" w:cstheme="minorBidi"/>
                <w:b w:val="0"/>
                <w:bCs w:val="0"/>
                <w:color w:val="auto"/>
                <w:sz w:val="24"/>
                <w:szCs w:val="24"/>
                <w:highlight w:val="none"/>
                <w:lang w:val="en-US" w:eastAsia="zh-CN" w:bidi="ar-SA"/>
              </w:rPr>
            </w:pPr>
            <w:r>
              <w:rPr>
                <w:rFonts w:hint="eastAsia" w:ascii="宋体" w:hAnsi="宋体"/>
                <w:b w:val="0"/>
                <w:bCs w:val="0"/>
                <w:color w:val="auto"/>
                <w:sz w:val="24"/>
                <w:szCs w:val="24"/>
                <w:highlight w:val="none"/>
                <w:lang w:val="en-US" w:eastAsia="zh-CN"/>
              </w:rPr>
              <w:t>供应商对其提供的产品请出具《关于符合本国产品标准的声明函》或财政部会同有关部门规定的有关证明文件。</w:t>
            </w:r>
          </w:p>
        </w:tc>
      </w:tr>
    </w:tbl>
    <w:p w14:paraId="2CE01247">
      <w:pPr>
        <w:pStyle w:val="17"/>
        <w:rPr>
          <w:rFonts w:hint="eastAsia" w:ascii="Times New Roman" w:hAnsi="Times New Roman" w:eastAsia="宋体" w:cs="Times New Roman"/>
          <w:color w:val="auto"/>
          <w:spacing w:val="0"/>
          <w:position w:val="0"/>
          <w:sz w:val="24"/>
          <w:highlight w:val="none"/>
          <w:shd w:val="clear" w:color="FFFFFF" w:fill="D9D9D9"/>
          <w:lang w:val="en-US" w:eastAsia="zh-CN"/>
        </w:rPr>
      </w:pPr>
    </w:p>
    <w:p w14:paraId="0FE985E0">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一、总则</w:t>
      </w:r>
    </w:p>
    <w:p w14:paraId="50F4E662">
      <w:pPr>
        <w:spacing w:before="0" w:after="0" w:line="5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1．适用范围</w:t>
      </w:r>
    </w:p>
    <w:p w14:paraId="6E3F77C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1.1本竞争性磋商文件仅适用于本次竞争性磋商邀请函中所述项目。</w:t>
      </w:r>
    </w:p>
    <w:p w14:paraId="513B716B">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2．定义</w:t>
      </w:r>
    </w:p>
    <w:p w14:paraId="3D3A829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2.1“采购代理机构”：周口市公共资源交易中心政府采购中心。</w:t>
      </w:r>
    </w:p>
    <w:p w14:paraId="1174BB99">
      <w:pPr>
        <w:tabs>
          <w:tab w:val="left" w:pos="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2.2“采购人”：</w:t>
      </w:r>
      <w:r>
        <w:rPr>
          <w:rFonts w:hint="eastAsia" w:ascii="宋体" w:hAnsi="宋体" w:eastAsia="宋体" w:cs="宋体"/>
          <w:color w:val="auto"/>
          <w:spacing w:val="0"/>
          <w:position w:val="0"/>
          <w:sz w:val="24"/>
          <w:highlight w:val="none"/>
          <w:shd w:val="clear" w:fill="auto"/>
        </w:rPr>
        <w:t>周口市第一高级中学</w:t>
      </w:r>
    </w:p>
    <w:p w14:paraId="2EDAEA0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2.3“供应商”系指按竞争性磋商文件规定取得竞争性磋商文件并参加竞争性磋商活动的法人、其他组织或者自然人。</w:t>
      </w:r>
    </w:p>
    <w:p w14:paraId="1E976CA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2.4“供应商代表”：系指代表供应商参加本次竞争性磋商活动的供应商的法定代表人或其委托代理人。</w:t>
      </w:r>
    </w:p>
    <w:p w14:paraId="617C469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2.5“货物“：系指各种形态和种类的物品，包括原材料、燃料、设备、产品等，包括与之相关的备品备件、工具、手册及安装、调试、技术协助、校准、培训、验收、售后服务等。</w:t>
      </w:r>
    </w:p>
    <w:p w14:paraId="40D7560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7822342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2.7“重大违法记录”系指供应商因违法经营受到刑事处罚或者责令停产停业、吊销许可证或者执照、较大数额罚款等行政处罚。</w:t>
      </w:r>
    </w:p>
    <w:p w14:paraId="4684F61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2.8“不具备良好的商业信誉”是指：</w:t>
      </w:r>
    </w:p>
    <w:p w14:paraId="6A3F2A2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（1）有重大违法记录的（满三年的除外）；</w:t>
      </w:r>
    </w:p>
    <w:p w14:paraId="6C2BED3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（2）被各级财政部门列入政府采购严重违法失信行为信息记录的（期限已满的除外）；</w:t>
      </w:r>
    </w:p>
    <w:p w14:paraId="6682C79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（3）被各级政府采购监督管理部门禁止在一定期限内参加政府采购活动等处罚的（期限已满的除外）；</w:t>
      </w:r>
    </w:p>
    <w:p w14:paraId="7F6431E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（4）被各级法院列入失信名单的（已依法解除的除外）；</w:t>
      </w:r>
    </w:p>
    <w:p w14:paraId="4D4DAA9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（5）法律法规规定的其他情形。</w:t>
      </w:r>
    </w:p>
    <w:p w14:paraId="2FAAE6D2">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3.采购预算</w:t>
      </w:r>
    </w:p>
    <w:p w14:paraId="19AAA4B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3.1本次采购预算：见公告。</w:t>
      </w:r>
    </w:p>
    <w:p w14:paraId="2B826D3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4.合格的供应商</w:t>
      </w:r>
    </w:p>
    <w:p w14:paraId="2453448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4.1.1符合</w:t>
      </w:r>
      <w:r>
        <w:rPr>
          <w:rFonts w:ascii="宋体" w:hAnsi="宋体" w:eastAsia="宋体" w:cs="宋体"/>
          <w:color w:val="auto"/>
          <w:spacing w:val="0"/>
          <w:position w:val="0"/>
          <w:sz w:val="24"/>
          <w:highlight w:val="none"/>
          <w:shd w:val="clear" w:fill="auto"/>
        </w:rPr>
        <w:t>供应商资格条件（详见第一部分供应商资格条件）</w:t>
      </w:r>
    </w:p>
    <w:p w14:paraId="02E893E4">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FFFFFF"/>
        </w:rPr>
      </w:pPr>
      <w:r>
        <w:rPr>
          <w:rFonts w:ascii="宋体" w:hAnsi="宋体" w:eastAsia="宋体" w:cs="宋体"/>
          <w:color w:val="auto"/>
          <w:spacing w:val="0"/>
          <w:position w:val="0"/>
          <w:sz w:val="24"/>
          <w:highlight w:val="none"/>
          <w:shd w:val="clear" w:fill="FFFFFF"/>
        </w:rPr>
        <w:t>4.1.2</w:t>
      </w:r>
      <w:r>
        <w:rPr>
          <w:rFonts w:ascii="宋体" w:hAnsi="宋体" w:eastAsia="宋体" w:cs="宋体"/>
          <w:color w:val="auto"/>
          <w:spacing w:val="0"/>
          <w:position w:val="0"/>
          <w:sz w:val="24"/>
          <w:highlight w:val="none"/>
          <w:shd w:val="clear" w:fill="auto"/>
        </w:rPr>
        <w:t>参加政府采购活动前三年内，在经营活动中没有重大违法记录的声明函</w:t>
      </w:r>
      <w:r>
        <w:rPr>
          <w:rFonts w:ascii="宋体" w:hAnsi="宋体" w:eastAsia="宋体" w:cs="宋体"/>
          <w:color w:val="auto"/>
          <w:spacing w:val="0"/>
          <w:position w:val="0"/>
          <w:sz w:val="24"/>
          <w:highlight w:val="none"/>
          <w:shd w:val="clear" w:fill="FFFFFF"/>
        </w:rPr>
        <w:t>；</w:t>
      </w:r>
    </w:p>
    <w:p w14:paraId="49CC982A">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4.1.3 政府采购供应商诚信承诺书；</w:t>
      </w:r>
    </w:p>
    <w:p w14:paraId="22EA9169">
      <w:pPr>
        <w:spacing w:before="0" w:after="12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4.1.4 供应商自觉抵制政府采购领域商业贿赂行为承诺书；</w:t>
      </w:r>
    </w:p>
    <w:p w14:paraId="43EDB7D3">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4.2 供应商需提供售后服务体系与承诺。</w:t>
      </w:r>
    </w:p>
    <w:p w14:paraId="31DDBDCA">
      <w:pPr>
        <w:spacing w:before="0" w:after="120" w:line="360" w:lineRule="auto"/>
        <w:ind w:left="0" w:right="0" w:firstLine="480"/>
        <w:jc w:val="left"/>
        <w:rPr>
          <w:rFonts w:ascii="宋体" w:hAnsi="宋体" w:eastAsia="宋体" w:cs="宋体"/>
          <w:color w:val="auto"/>
          <w:spacing w:val="15"/>
          <w:position w:val="0"/>
          <w:sz w:val="24"/>
          <w:highlight w:val="none"/>
          <w:shd w:val="clear" w:fill="auto"/>
        </w:rPr>
      </w:pPr>
      <w:r>
        <w:rPr>
          <w:rFonts w:ascii="宋体" w:hAnsi="宋体" w:eastAsia="宋体" w:cs="宋体"/>
          <w:color w:val="auto"/>
          <w:spacing w:val="0"/>
          <w:position w:val="0"/>
          <w:sz w:val="24"/>
          <w:highlight w:val="none"/>
          <w:shd w:val="clear" w:fill="auto"/>
        </w:rPr>
        <w:t>4.3符合本竞争性磋商文件规定的供应商资格要求及项目要求的其它条件，并按照要求提供相关证明材料。</w:t>
      </w:r>
    </w:p>
    <w:p w14:paraId="2A6CDD8D">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4.4供应商应遵守国家法律、法规有关竞争性磋商的规定。</w:t>
      </w:r>
    </w:p>
    <w:p w14:paraId="5210C938">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4.5 凡通过磋商小组符合性审查的供应商均为合格供应商。未通过符合性审查的供应商将视为不响应本项目的竞争性磋商文件被否决。</w:t>
      </w:r>
    </w:p>
    <w:p w14:paraId="7033E82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注：单位负责人为同一人或者存在直接控股、管理关系的不同供应商，不得参加同一合同项下的政府采购活动。</w:t>
      </w:r>
    </w:p>
    <w:p w14:paraId="6A918B4A">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5.竞争性磋商文件的约束力 </w:t>
      </w:r>
    </w:p>
    <w:p w14:paraId="26E614D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5.l供应商一旦参加竞争性磋商，即被认为接受了本竞争性磋商文件中的所有条款和规定。</w:t>
      </w:r>
    </w:p>
    <w:p w14:paraId="7CFF57C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6150C8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5.3本磋商文件由采购人负责解释。</w:t>
      </w:r>
    </w:p>
    <w:p w14:paraId="118055F3">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08900268">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016415FE">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二、竞争性磋商文件</w:t>
      </w:r>
    </w:p>
    <w:p w14:paraId="21157EF4">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6．竞争性磋商文件的组成</w:t>
      </w:r>
    </w:p>
    <w:p w14:paraId="6D6AE0A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6.1竞争性磋商文件是用以阐明的采购需求、采购程序和合同格式等的规范性文件。竞争性磋商文件主要由以下部分组成：</w:t>
      </w:r>
    </w:p>
    <w:p w14:paraId="182FF89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（1）竞争性磋商邀请函；</w:t>
      </w:r>
    </w:p>
    <w:p w14:paraId="1E2694F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（2）供应商须知；</w:t>
      </w:r>
    </w:p>
    <w:p w14:paraId="54ECBC2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（3）采购需求；</w:t>
      </w:r>
    </w:p>
    <w:p w14:paraId="0070BC3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（4）响应性文件内容及格式；</w:t>
      </w:r>
    </w:p>
    <w:p w14:paraId="51C1065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（5）合同主要条款。</w:t>
      </w:r>
    </w:p>
    <w:p w14:paraId="328F8CB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0D050C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6.3供应商被视为充分熟悉本采购项目所在地的与履行合同有关的各种情况，包括自然环境、气候条件、劳动力及公用设施等，本竞争性磋商文件不再对上述情况进行描述。</w:t>
      </w:r>
    </w:p>
    <w:p w14:paraId="6588DB1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625CAEA5">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7.竞争性磋商文件的澄清与修改</w:t>
      </w:r>
    </w:p>
    <w:p w14:paraId="3762FCB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CAFBE8D">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三、响应性文件的编制</w:t>
      </w:r>
    </w:p>
    <w:p w14:paraId="5D87102C">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8.要求</w:t>
      </w:r>
    </w:p>
    <w:p w14:paraId="552ED17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0052DF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8.2任何对竞争性磋商文件的忽略或误解不能作为响应性文件没有完全响应竞争性磋商文件的有效理由。</w:t>
      </w:r>
    </w:p>
    <w:p w14:paraId="6C9F2677">
      <w:pPr>
        <w:spacing w:before="0" w:after="0" w:line="560" w:lineRule="auto"/>
        <w:ind w:left="0" w:right="0" w:firstLine="480"/>
        <w:jc w:val="both"/>
        <w:rPr>
          <w:rFonts w:ascii="宋体" w:hAnsi="宋体" w:eastAsia="宋体" w:cs="宋体"/>
          <w:i/>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8.3供应商没有按照竞争性磋商文件要求提供全部资料，或者供应商没有对竞争性磋商文件在各方面都作出实质性响应是供应商的风险，并可能导致其响应性文件被拒绝。</w:t>
      </w:r>
    </w:p>
    <w:p w14:paraId="3D2D71D5">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9.响应性文件的语言及度量衡 </w:t>
      </w:r>
    </w:p>
    <w:p w14:paraId="35B5F5F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9.1响应性文件以及供应商与采购代理机构之间的所有书面往来都应用简体中文书写。 </w:t>
      </w:r>
    </w:p>
    <w:p w14:paraId="01F1255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9.2供应商使用其他语言的，以中文翻译为准。 </w:t>
      </w:r>
    </w:p>
    <w:p w14:paraId="444D1A0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9.3关于计量单位，竞争性磋商文件已有明确规定的，使用竞争性磋商文件规定的计量单位；竞争性磋商文件没有规定的，应采用中华人民共和国法定计量单位。</w:t>
      </w:r>
    </w:p>
    <w:p w14:paraId="063D2D4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9.4本竞争性磋商文件所表述的时间均为北京时间。</w:t>
      </w:r>
    </w:p>
    <w:p w14:paraId="67528C92">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10.响应性文件的组成</w:t>
      </w:r>
    </w:p>
    <w:p w14:paraId="478DBEB1">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10.1响应性文件由</w:t>
      </w:r>
      <w:r>
        <w:rPr>
          <w:rFonts w:ascii="宋体" w:hAnsi="宋体" w:eastAsia="宋体" w:cs="宋体"/>
          <w:color w:val="auto"/>
          <w:spacing w:val="0"/>
          <w:position w:val="0"/>
          <w:sz w:val="24"/>
          <w:highlight w:val="none"/>
          <w:u w:val="single"/>
          <w:shd w:val="clear" w:fill="auto"/>
        </w:rPr>
        <w:t>资格性证明材料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符合性证明材料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其他材料</w:t>
      </w:r>
      <w:r>
        <w:rPr>
          <w:rFonts w:ascii="宋体" w:hAnsi="宋体" w:eastAsia="宋体" w:cs="宋体"/>
          <w:color w:val="auto"/>
          <w:spacing w:val="0"/>
          <w:position w:val="0"/>
          <w:sz w:val="24"/>
          <w:highlight w:val="none"/>
          <w:shd w:val="clear" w:fill="auto"/>
        </w:rPr>
        <w:t>三部分组成。具体内容和格式见竞争性磋商文件第四章。</w:t>
      </w:r>
    </w:p>
    <w:p w14:paraId="20892BAC">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11.响应性文件格式</w:t>
      </w:r>
    </w:p>
    <w:p w14:paraId="5D1B1BB9">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D159055">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12.竞争性磋商报价</w:t>
      </w:r>
    </w:p>
    <w:p w14:paraId="3A14928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12.1报价包括所投货物、保险、税费、包装、加工及加工损耗、运输、现场落地、安装及安装损耗、调试、检测、验收和交付后约定期限内免费维保等工作所发生的一切应有费用。</w:t>
      </w:r>
    </w:p>
    <w:p w14:paraId="54E7F97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12.2经过磋商后进行的报价为供应商的最终报价。</w:t>
      </w:r>
    </w:p>
    <w:p w14:paraId="43221D4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12.3采购人不接受有选择的报价。</w:t>
      </w:r>
    </w:p>
    <w:p w14:paraId="62195BB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12.4最终报价不得超过采购预算。</w:t>
      </w:r>
    </w:p>
    <w:p w14:paraId="29CB4E1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12.5报价均须以人民币为计算单位。</w:t>
      </w:r>
    </w:p>
    <w:p w14:paraId="39883D5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13．响应性文件有效期 </w:t>
      </w:r>
    </w:p>
    <w:p w14:paraId="1FF37DD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13.l响应性文件有效期为自竞争性磋商开始之日起60</w:t>
      </w:r>
      <w:r>
        <w:rPr>
          <w:rFonts w:hint="eastAsia" w:ascii="宋体" w:hAnsi="宋体" w:eastAsia="宋体" w:cs="宋体"/>
          <w:color w:val="auto"/>
          <w:spacing w:val="0"/>
          <w:position w:val="0"/>
          <w:sz w:val="24"/>
          <w:highlight w:val="none"/>
          <w:shd w:val="clear" w:fill="auto"/>
          <w:lang w:val="en-US" w:eastAsia="zh-CN"/>
        </w:rPr>
        <w:t>日历日</w:t>
      </w:r>
      <w:r>
        <w:rPr>
          <w:rFonts w:ascii="宋体" w:hAnsi="宋体" w:eastAsia="宋体" w:cs="宋体"/>
          <w:color w:val="auto"/>
          <w:spacing w:val="0"/>
          <w:position w:val="0"/>
          <w:sz w:val="24"/>
          <w:highlight w:val="none"/>
          <w:shd w:val="clear" w:fill="auto"/>
        </w:rPr>
        <w:t>，有效期短于此规定的响应性文件将被视为无效。</w:t>
      </w:r>
    </w:p>
    <w:p w14:paraId="5018537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4BDE7F8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14.响应性文件的签署、盖章</w:t>
      </w:r>
    </w:p>
    <w:p w14:paraId="1EB13BB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777A9C2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16FB32D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14.3供应商提交的资料应证明其满足竞争性磋商文件要求，该文件可以是</w:t>
      </w:r>
      <w:r>
        <w:rPr>
          <w:rFonts w:ascii="宋体" w:hAnsi="宋体" w:eastAsia="宋体" w:cs="宋体"/>
          <w:color w:val="auto"/>
          <w:spacing w:val="0"/>
          <w:position w:val="0"/>
          <w:sz w:val="24"/>
          <w:highlight w:val="none"/>
          <w:shd w:val="clear" w:fill="auto"/>
        </w:rPr>
        <w:t>文字资料、图纸和数据等详细描述的资料。</w:t>
      </w:r>
    </w:p>
    <w:p w14:paraId="6D5CA41C">
      <w:pPr>
        <w:spacing w:line="360" w:lineRule="auto"/>
        <w:ind w:firstLine="550"/>
        <w:rPr>
          <w:color w:val="auto"/>
          <w:highlight w:val="none"/>
        </w:rPr>
      </w:pPr>
      <w:r>
        <w:rPr>
          <w:rFonts w:hint="eastAsia" w:ascii="宋体" w:hAnsi="宋体" w:eastAsia="宋体" w:cs="宋体"/>
          <w:color w:val="auto"/>
          <w:spacing w:val="0"/>
          <w:position w:val="0"/>
          <w:sz w:val="24"/>
          <w:highlight w:val="none"/>
          <w:shd w:val="clear" w:fill="auto"/>
          <w:lang w:val="en-US" w:eastAsia="zh-CN"/>
        </w:rPr>
        <w:t>15</w:t>
      </w:r>
      <w:r>
        <w:rPr>
          <w:rFonts w:hint="eastAsia" w:ascii="宋体" w:hAnsi="宋体" w:cs="宋体"/>
          <w:color w:val="auto"/>
          <w:sz w:val="24"/>
          <w:highlight w:val="none"/>
          <w:lang w:val="en-US" w:eastAsia="zh-CN"/>
        </w:rPr>
        <w:t>电子投标文件制作</w:t>
      </w:r>
      <w:r>
        <w:rPr>
          <w:rFonts w:hint="eastAsia" w:ascii="宋体" w:hAnsi="宋体" w:cs="宋体"/>
          <w:color w:val="auto"/>
          <w:sz w:val="24"/>
          <w:highlight w:val="none"/>
          <w:lang w:eastAsia="zh-CN"/>
        </w:rPr>
        <w:t>，</w:t>
      </w:r>
      <w:r>
        <w:rPr>
          <w:rFonts w:hint="eastAsia" w:ascii="宋体" w:hAnsi="宋体" w:cs="宋体"/>
          <w:color w:val="auto"/>
          <w:sz w:val="24"/>
          <w:highlight w:val="none"/>
        </w:rPr>
        <w:t>见周口市公共资源交易中心</w:t>
      </w:r>
      <w:r>
        <w:rPr>
          <w:rFonts w:hint="eastAsia" w:ascii="宋体" w:hAnsi="宋体" w:cs="宋体"/>
          <w:color w:val="auto"/>
          <w:sz w:val="24"/>
          <w:highlight w:val="none"/>
          <w:lang w:val="en-US" w:eastAsia="zh-CN"/>
        </w:rPr>
        <w:t>网站下载中心版块</w:t>
      </w:r>
      <w:r>
        <w:rPr>
          <w:rFonts w:hint="eastAsia" w:ascii="宋体" w:hAnsi="宋体" w:cs="宋体"/>
          <w:color w:val="auto"/>
          <w:sz w:val="24"/>
          <w:highlight w:val="none"/>
        </w:rPr>
        <w:t>《投标单位-电子投标文件视频制作手册》的相关规定。</w:t>
      </w:r>
    </w:p>
    <w:p w14:paraId="37C2586F">
      <w:pPr>
        <w:pStyle w:val="18"/>
        <w:rPr>
          <w:color w:val="auto"/>
          <w:highlight w:val="none"/>
        </w:rPr>
      </w:pPr>
    </w:p>
    <w:p w14:paraId="7800D829">
      <w:pPr>
        <w:numPr>
          <w:ilvl w:val="0"/>
          <w:numId w:val="24"/>
        </w:numPr>
        <w:tabs>
          <w:tab w:val="left" w:pos="720"/>
        </w:tabs>
        <w:spacing w:before="0" w:after="0" w:line="720" w:lineRule="auto"/>
        <w:ind w:left="720" w:right="0" w:hanging="72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响应性文件的递交</w:t>
      </w:r>
    </w:p>
    <w:p w14:paraId="0D7505E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文件和纸质</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文件均不再提交。在解密投标</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开始时30分钟内进行解密，超时视为放</w:t>
      </w:r>
      <w:r>
        <w:rPr>
          <w:rFonts w:hint="eastAsia" w:ascii="宋体" w:hAnsi="宋体" w:eastAsia="宋体" w:cs="宋体"/>
          <w:color w:val="auto"/>
          <w:spacing w:val="0"/>
          <w:position w:val="0"/>
          <w:sz w:val="24"/>
          <w:highlight w:val="none"/>
          <w:shd w:val="clear" w:fill="auto"/>
        </w:rPr>
        <w:t>弃递交</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w:t>
      </w:r>
    </w:p>
    <w:p w14:paraId="26E8B551">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注：加密的电子投标文件的递交</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rPr>
        <w:t>见周口市公共资源交易中心</w:t>
      </w:r>
      <w:r>
        <w:rPr>
          <w:rFonts w:hint="eastAsia" w:ascii="宋体" w:hAnsi="宋体" w:eastAsia="宋体" w:cs="宋体"/>
          <w:color w:val="auto"/>
          <w:spacing w:val="0"/>
          <w:position w:val="0"/>
          <w:sz w:val="24"/>
          <w:highlight w:val="none"/>
          <w:shd w:val="clear" w:fill="auto"/>
          <w:lang w:val="en-US" w:eastAsia="zh-CN"/>
        </w:rPr>
        <w:t>网站下载中心版块</w:t>
      </w:r>
      <w:r>
        <w:rPr>
          <w:rFonts w:hint="eastAsia" w:ascii="宋体" w:hAnsi="宋体" w:eastAsia="宋体" w:cs="宋体"/>
          <w:color w:val="auto"/>
          <w:spacing w:val="0"/>
          <w:position w:val="0"/>
          <w:sz w:val="24"/>
          <w:highlight w:val="none"/>
          <w:shd w:val="clear" w:fill="auto"/>
        </w:rPr>
        <w:t>《投标单位-电子投标文件视频制作手册》的相关规定。如未在招标文件规定的投标时间截止前上传网上</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文件，投标无效。</w:t>
      </w:r>
    </w:p>
    <w:p w14:paraId="55543FF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highlight w:val="none"/>
          <w:shd w:val="clear" w:fill="auto"/>
          <w:lang w:val="en-US" w:eastAsia="zh-CN"/>
        </w:rPr>
        <w:t>办事指南《</w:t>
      </w:r>
      <w:r>
        <w:rPr>
          <w:rFonts w:hint="eastAsia" w:ascii="宋体" w:hAnsi="宋体" w:eastAsia="宋体" w:cs="宋体"/>
          <w:color w:val="auto"/>
          <w:spacing w:val="0"/>
          <w:position w:val="0"/>
          <w:sz w:val="24"/>
          <w:highlight w:val="none"/>
          <w:shd w:val="clear" w:fill="auto"/>
        </w:rPr>
        <w:t>不见面开标远程在线解密会员端操作手册操作指南</w:t>
      </w:r>
      <w:r>
        <w:rPr>
          <w:rFonts w:hint="eastAsia" w:ascii="宋体" w:hAnsi="宋体" w:eastAsia="宋体" w:cs="宋体"/>
          <w:color w:val="auto"/>
          <w:spacing w:val="0"/>
          <w:position w:val="0"/>
          <w:sz w:val="24"/>
          <w:highlight w:val="none"/>
          <w:shd w:val="clear" w:fill="auto"/>
          <w:lang w:val="en-US" w:eastAsia="zh-CN"/>
        </w:rPr>
        <w:t>》</w:t>
      </w:r>
      <w:r>
        <w:rPr>
          <w:rFonts w:hint="eastAsia" w:ascii="宋体" w:hAnsi="宋体" w:eastAsia="宋体" w:cs="宋体"/>
          <w:color w:val="auto"/>
          <w:spacing w:val="0"/>
          <w:position w:val="0"/>
          <w:sz w:val="24"/>
          <w:highlight w:val="none"/>
          <w:shd w:val="clear" w:fill="auto"/>
        </w:rPr>
        <w:t>。</w:t>
      </w:r>
    </w:p>
    <w:p w14:paraId="48D0AE8E">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16.响应性文件的递交</w:t>
      </w:r>
    </w:p>
    <w:p w14:paraId="73E4091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16.1供应商应在竞争性磋商邀请函中规定的截止日期和时间前，将响应性文件在会员系统成功上传，递交（接收）地点为竞争性磋商邀请函中规定的地址。</w:t>
      </w:r>
    </w:p>
    <w:p w14:paraId="1C62E89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16.2若采购人推迟了响应性文件接收截止时间，采购人和供应商受响应性文件接收截止时间制约的所有权利和义务均应以新的截止时间为准。 </w:t>
      </w:r>
    </w:p>
    <w:p w14:paraId="3A6ADA17">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17.响应性文件的修改和撤回</w:t>
      </w:r>
    </w:p>
    <w:p w14:paraId="22352F50">
      <w:pPr>
        <w:widowControl w:val="0"/>
        <w:spacing w:before="0" w:after="0" w:line="560" w:lineRule="auto"/>
        <w:ind w:left="279" w:right="0" w:firstLine="24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17.1供应商在提交响应性文件截止时间前，可以对已上传的响应文件进行撤回补充、修改或撤回，补充、修改，之后进行再次上传，再次上传内容作为响应性文件的组成部分。</w:t>
      </w:r>
    </w:p>
    <w:p w14:paraId="30706B46">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17.2响应性文件的补充、修改文件应按照本竞争性磋商文件有关规定进行密封、签署，修改后的加密的电子投标文件须在投标截止时间前成功上传。 </w:t>
      </w:r>
    </w:p>
    <w:p w14:paraId="36F61169">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17.3供应商在响应性文件接收截止时间后不得修改、撤回响应性文件。供应商在响应性文件接收截止时间后修改响应性文件的，将被拒绝接受。</w:t>
      </w:r>
    </w:p>
    <w:p w14:paraId="7EBF8688">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17.4供应商有下列情形之一的，采购人将拒绝接受其响应性文件：</w:t>
      </w:r>
    </w:p>
    <w:p w14:paraId="09062DFF">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17.4.1在竞争性磋商文件规定的响应性文件接收截止时间之后递交响应性文件的；</w:t>
      </w:r>
    </w:p>
    <w:p w14:paraId="327DECC5">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17.4.2响应性文件未按竞争性磋商文件规定密封、签署、盖章的；</w:t>
      </w:r>
    </w:p>
    <w:p w14:paraId="0CEB8633">
      <w:pPr>
        <w:widowControl w:val="0"/>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17.4.3一个供应商不止递交一套响应性文件的。</w:t>
      </w:r>
    </w:p>
    <w:p w14:paraId="6BF2790F">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五、竞争性磋商</w:t>
      </w:r>
    </w:p>
    <w:p w14:paraId="24C1E7BE">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18.组建竞争性磋商小组</w:t>
      </w:r>
    </w:p>
    <w:p w14:paraId="7A9C224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18.1采购人根据采购项目的特点依法组建竞争性磋商小组。</w:t>
      </w:r>
    </w:p>
    <w:p w14:paraId="45B9052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18.2竞争性磋商小组确认竞争性磋商文件，并负责具体评审事务，根据有关法律法规和竞争性磋商文件规定的评审程序，按照评审方法及评审标准独立履行竞争性磋商小组职责。</w:t>
      </w:r>
    </w:p>
    <w:p w14:paraId="24EC44F9">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19.资格性和符合性审查</w:t>
      </w:r>
    </w:p>
    <w:p w14:paraId="2C5D26B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E20C109">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19.1.1资格性审查的内容包括：竞争性磋商文件规定的供应商资格条件；</w:t>
      </w:r>
    </w:p>
    <w:p w14:paraId="1E07B0C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C3996B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19.2.1符合性审查的内容包括：</w:t>
      </w:r>
    </w:p>
    <w:p w14:paraId="649491F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（1）响应性文件的有效性(签署情况等)；</w:t>
      </w:r>
    </w:p>
    <w:p w14:paraId="7E81A0C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（2）响应性文件的完整性；</w:t>
      </w:r>
    </w:p>
    <w:p w14:paraId="67B51D8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（3）对竞争性磋商文件的响应程度（是否存在重大负偏离等）。 </w:t>
      </w:r>
    </w:p>
    <w:p w14:paraId="7B19E79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u w:val="single"/>
          <w:shd w:val="clear" w:fill="auto"/>
        </w:rPr>
        <w:t>以上资格性审查和符合性审查的内容只要有一条不满足，则响应性文件无效，将不进入竞争性磋商程序。</w:t>
      </w:r>
    </w:p>
    <w:p w14:paraId="3C00201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注意事项：资格性、符合性证明材料见竞争性磋商文件第四章规定。</w:t>
      </w:r>
    </w:p>
    <w:p w14:paraId="37ABA1D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19.3实质性响应的响应性文件是指与竞争性磋商文件的全部条款、条件和规格相符，没有重大偏离；重大负偏离的认定须经竞争性磋商小组三分之二以上同意。</w:t>
      </w:r>
    </w:p>
    <w:p w14:paraId="6EF25C1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5016D4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19.5如果响应性文件实质上没有响应竞争性磋商文件的要求，将作为无效处理，供应商不得再对响应性文件进行任何修正从而使其响应性文件成为实质上响应的文件；</w:t>
      </w:r>
    </w:p>
    <w:p w14:paraId="2240D25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19.6竞争性磋商小组审定响应性文件的响应性只根据响应性文件本身的内容而不寻求外部证据。</w:t>
      </w:r>
    </w:p>
    <w:p w14:paraId="106085C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19.7凡有下列情况之一的，其响应性文件也被视为未实质性响应竞争性磋商文件，按照无效处理（不再参加竞争性磋商）：</w:t>
      </w:r>
    </w:p>
    <w:p w14:paraId="03D4BAE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19.7.1未按竞争性磋商文件规定要求签署、盖章的；</w:t>
      </w:r>
    </w:p>
    <w:p w14:paraId="16937DB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19.7.2资格证明文件不全的，或不符合竞争性磋商文件中规定的资格要求的；</w:t>
      </w:r>
    </w:p>
    <w:p w14:paraId="40E62EE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19.7.3供应商代表未能出具有效身份证明，或与身份不符的；</w:t>
      </w:r>
    </w:p>
    <w:p w14:paraId="6DAB22A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19.7.4不符合竞争性磋商文件规定的实质性要求的；</w:t>
      </w:r>
    </w:p>
    <w:p w14:paraId="57198E7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19.7.5响应性文件内容不齐全或内容虚假的；</w:t>
      </w:r>
    </w:p>
    <w:p w14:paraId="2893606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19.7.6响应性文件的实质性内容未使用中文表述；</w:t>
      </w:r>
    </w:p>
    <w:p w14:paraId="733BBCF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19.7.7响应性文件的内容修改处未按规定签名或盖章的；</w:t>
      </w:r>
    </w:p>
    <w:p w14:paraId="4FE094E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19.7.8违反法律、行政法规、竞争性磋商文件规定的其他情形的。</w:t>
      </w:r>
    </w:p>
    <w:p w14:paraId="603BEA49">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1A3FFECF">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1131EDC7">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6B43D4C8">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18E95316">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2575C6F3">
      <w:pPr>
        <w:spacing w:line="360" w:lineRule="auto"/>
        <w:ind w:firstLine="480" w:firstLineChars="200"/>
        <w:rPr>
          <w:rFonts w:hint="eastAsia" w:eastAsia="宋体"/>
          <w:color w:val="auto"/>
          <w:highlight w:val="none"/>
          <w:lang w:eastAsia="zh-CN"/>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41C7107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19.8在评审过程中，竞争性磋商小组发现供应商有下列情形之一的，视为供应商相互串通，按照无效处理并依据法律、法规追究其相关责任。具体表现形式如下：</w:t>
      </w:r>
    </w:p>
    <w:p w14:paraId="15A0579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19.8.1不同供应商的响应性文件互相混装的；</w:t>
      </w:r>
    </w:p>
    <w:p w14:paraId="10187AD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19.8.2不同供应商授权同一人作为供应商委托代理人的；</w:t>
      </w:r>
    </w:p>
    <w:p w14:paraId="1264AA2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19.8.3不同供应商的响应性文件载明的项目管理成员为同一人的；</w:t>
      </w:r>
    </w:p>
    <w:p w14:paraId="7B041DC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19.8.4有证据证明供应商与采购人、采购代理机构或者其他供应商串通的其他情形；</w:t>
      </w:r>
    </w:p>
    <w:p w14:paraId="48F5D42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19.8.5竞争性磋商小组认定的其他串通情形。</w:t>
      </w:r>
    </w:p>
    <w:p w14:paraId="2181D3D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07DDC25">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3"/>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137C3F51">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6FCA2B">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项目符合性审查表</w:t>
            </w:r>
          </w:p>
        </w:tc>
      </w:tr>
      <w:tr w14:paraId="0B4E342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90506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1A8DF3">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F53FD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3D1DFE">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是否</w:t>
            </w:r>
          </w:p>
          <w:p w14:paraId="6D4F209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F92309">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投标文件格式及</w:t>
            </w:r>
          </w:p>
          <w:p w14:paraId="1832237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提交资料要求</w:t>
            </w:r>
          </w:p>
        </w:tc>
      </w:tr>
      <w:tr w14:paraId="0A6CA61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F0BCE2">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0A9CC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894BF3">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433E57">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85828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0055F01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3C9B9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E139A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A0B87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7A740B">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49773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11E8398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78EDF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A0717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659F90">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34AC7B">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BFCB3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512D94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64AF9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D1FB87">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A73E3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AD9860">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EE123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95CEE4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5DBF9A">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D3FC8B">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D2E61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213422">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F3E82A">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506293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D5A61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8D113B">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EE971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9F9B50">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4DA697">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735679C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C084CE">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75B323">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B0394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9536A3">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06ED5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7649147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996382">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BB7E6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BC97F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F557FC">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05B98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922931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1C2AB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FA7796">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126B78">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B9AE0F">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71332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ACD149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AAA68A">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630F28">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B75A2F">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EFA462">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D92EF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0B0A574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E3100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6F7DE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ABE0D6">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FE3A05">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FDA4A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7683FC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076F33">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D003FF">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13E3C1">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11B5E8">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659FA8">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7E79B6F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D7442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82F1DE">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56C375">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99B023">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9617B">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062EFD8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33F5EE">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BCE02B">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E6CBB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是否通过审查</w:t>
            </w:r>
          </w:p>
        </w:tc>
      </w:tr>
    </w:tbl>
    <w:p w14:paraId="4496B7CF">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98FA511">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C43101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20.响应性文件的澄清</w:t>
      </w:r>
    </w:p>
    <w:p w14:paraId="0E0941B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1624A3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1DE190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20.3供应商拒不进行澄清、说明、补正的，或者不能在竞争性磋商小组规定时间内作出书面澄清、说明、补正的，其响应性文件将被作为无效处理。</w:t>
      </w:r>
    </w:p>
    <w:p w14:paraId="74CFE51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20.4供应商的书面澄清材料作为响应性文件的补充。 </w:t>
      </w:r>
    </w:p>
    <w:p w14:paraId="5AD45C6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20.5竞争性磋商小组不得接受供应商主动提出的澄清和解释。 </w:t>
      </w:r>
    </w:p>
    <w:p w14:paraId="4E6F2B7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20.6并非每个供应商都将被询问、澄清。</w:t>
      </w:r>
    </w:p>
    <w:p w14:paraId="0DB7522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21.竞争性磋商</w:t>
      </w:r>
    </w:p>
    <w:p w14:paraId="7F53FA8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21.1资格性审查和符合性审查合格的供应商，将进入本次竞争性磋商程序。</w:t>
      </w:r>
    </w:p>
    <w:p w14:paraId="2B057E0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21.2竞争性磋商将按照供应商的签到顺序进行。</w:t>
      </w:r>
    </w:p>
    <w:p w14:paraId="00A7DBE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21.3磋商内容包括：</w:t>
      </w:r>
    </w:p>
    <w:p w14:paraId="6A0C137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21.3.1按照竞争性磋商文件中商务部分的内容，对照供应商提交的响应文件逐一进行比较各项指标和要求。</w:t>
      </w:r>
    </w:p>
    <w:p w14:paraId="0A21BD0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21.3.2按照竞争性磋商文件中技术部分的内容，对照供应商提交的响应文件逐一进行比较各项指标和要求。</w:t>
      </w:r>
    </w:p>
    <w:p w14:paraId="4AB6E15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21.3.3按照竞争性磋商文件中合同条款部分的内容，对照供应商提交的响应文件逐一进行比较各项指标和要求。</w:t>
      </w:r>
    </w:p>
    <w:p w14:paraId="1A6C444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21.3.4在磋商中，磋商的任何一方不得透露与磋商有关的其他供应商的技术资料及其他信息。</w:t>
      </w:r>
    </w:p>
    <w:p w14:paraId="5C8FADC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A908B1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21.4.1对竞争性磋商文件作出实质性变动是竞争性磋商文件的有效组成部分，竞争性磋商小组应当及时以书面形式同时通知所有参加竞争性磋商的供应商。</w:t>
      </w:r>
    </w:p>
    <w:p w14:paraId="3880A37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21.4.2供应商应当按照竞争性磋商文件的变动情况和竞争性磋商小组的要求重新提交响应性文件，并由其法定代表人或授权代表签字或者加盖公章。</w:t>
      </w:r>
    </w:p>
    <w:p w14:paraId="6DAFEB14">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0F5A4C7D">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264F07D2">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lang w:val="en-US" w:eastAsia="zh-CN"/>
        </w:rPr>
        <w:t>报价次数见供应商须知前附表。</w:t>
      </w:r>
    </w:p>
    <w:p w14:paraId="760810E8">
      <w:pPr>
        <w:spacing w:line="560" w:lineRule="exact"/>
        <w:ind w:firstLine="480" w:firstLineChars="200"/>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z w:val="24"/>
          <w:highlight w:val="none"/>
          <w:lang w:val="en-US" w:eastAsia="zh-CN"/>
        </w:rPr>
        <w:t>开标后请供应商在计算前等待报价，网上报价</w:t>
      </w:r>
      <w:r>
        <w:rPr>
          <w:rFonts w:hint="eastAsia" w:ascii="宋体" w:hAnsi="宋体" w:eastAsia="宋体" w:cs="宋体"/>
          <w:color w:val="auto"/>
          <w:sz w:val="24"/>
          <w:highlight w:val="none"/>
          <w:lang w:val="zh-CN" w:eastAsia="zh-CN"/>
        </w:rPr>
        <w:t>，</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68BCBB80">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六、评定标准</w:t>
      </w:r>
    </w:p>
    <w:p w14:paraId="2D1BE89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22.竞争性磋商过程及保密原则</w:t>
      </w:r>
    </w:p>
    <w:p w14:paraId="388335AF">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52AAAB71">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采购代理机构在评标结束后2个工作日内将评标报告送采购人。采购人自收到评标报告之日起５个工作日内，在评标报告确定的中标候选人名单中确定中标人。</w:t>
      </w:r>
    </w:p>
    <w:p w14:paraId="4D64B33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22.2对通过初步审查的响应文件，采用百分制综合评分法进行评价。</w:t>
      </w:r>
    </w:p>
    <w:p w14:paraId="7683D72A">
      <w:pP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p>
    <w:p w14:paraId="0A4E6DBA">
      <w:pPr>
        <w:pStyle w:val="2"/>
        <w:rPr>
          <w:rFonts w:hint="eastAsia" w:eastAsia="仿宋_GB2312"/>
          <w:color w:val="auto"/>
          <w:highlight w:val="none"/>
          <w:lang w:val="en-US" w:eastAsia="zh-CN"/>
        </w:rPr>
      </w:pPr>
      <w:r>
        <w:rPr>
          <w:rFonts w:hint="eastAsia"/>
          <w:color w:val="auto"/>
          <w:highlight w:val="none"/>
          <w:lang w:val="en-US" w:eastAsia="zh-CN"/>
        </w:rPr>
        <w:t>评分办法</w:t>
      </w:r>
    </w:p>
    <w:tbl>
      <w:tblPr>
        <w:tblStyle w:val="13"/>
        <w:tblW w:w="0" w:type="auto"/>
        <w:jc w:val="center"/>
        <w:tblLayout w:type="fixed"/>
        <w:tblCellMar>
          <w:top w:w="0" w:type="dxa"/>
          <w:left w:w="10" w:type="dxa"/>
          <w:bottom w:w="0" w:type="dxa"/>
          <w:right w:w="10" w:type="dxa"/>
        </w:tblCellMar>
      </w:tblPr>
      <w:tblGrid>
        <w:gridCol w:w="1000"/>
        <w:gridCol w:w="767"/>
        <w:gridCol w:w="4534"/>
        <w:gridCol w:w="2406"/>
      </w:tblGrid>
      <w:tr w14:paraId="44018C46">
        <w:trPr>
          <w:trHeight w:val="0" w:hRule="atLeast"/>
          <w:jc w:val="center"/>
        </w:trPr>
        <w:tc>
          <w:tcPr>
            <w:tcW w:w="10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CA9B3D">
            <w:pPr>
              <w:keepNext w:val="0"/>
              <w:keepLines w:val="0"/>
              <w:pageBreakBefore w:val="0"/>
              <w:widowControl w:val="0"/>
              <w:kinsoku/>
              <w:wordWrap/>
              <w:overflowPunct/>
              <w:topLinePunct w:val="0"/>
              <w:autoSpaceDE/>
              <w:autoSpaceDN/>
              <w:bidi w:val="0"/>
              <w:adjustRightInd/>
              <w:snapToGrid w:val="0"/>
              <w:spacing w:before="0" w:line="360" w:lineRule="auto"/>
              <w:ind w:left="0"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b/>
                <w:color w:val="auto"/>
                <w:spacing w:val="0"/>
                <w:position w:val="0"/>
                <w:sz w:val="24"/>
                <w:szCs w:val="24"/>
                <w:highlight w:val="none"/>
                <w:shd w:val="clear" w:fill="auto"/>
              </w:rPr>
              <w:t>评分指标</w:t>
            </w:r>
          </w:p>
        </w:tc>
        <w:tc>
          <w:tcPr>
            <w:tcW w:w="7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0F1DCA">
            <w:pPr>
              <w:keepNext w:val="0"/>
              <w:keepLines w:val="0"/>
              <w:pageBreakBefore w:val="0"/>
              <w:widowControl w:val="0"/>
              <w:kinsoku/>
              <w:wordWrap/>
              <w:overflowPunct/>
              <w:topLinePunct w:val="0"/>
              <w:autoSpaceDE/>
              <w:autoSpaceDN/>
              <w:bidi w:val="0"/>
              <w:adjustRightInd/>
              <w:snapToGrid w:val="0"/>
              <w:spacing w:before="0" w:line="360" w:lineRule="auto"/>
              <w:ind w:left="0"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b/>
                <w:color w:val="auto"/>
                <w:spacing w:val="0"/>
                <w:position w:val="0"/>
                <w:sz w:val="24"/>
                <w:szCs w:val="24"/>
                <w:highlight w:val="none"/>
                <w:shd w:val="clear" w:fill="auto"/>
              </w:rPr>
              <w:t>分值</w:t>
            </w:r>
          </w:p>
        </w:tc>
        <w:tc>
          <w:tcPr>
            <w:tcW w:w="45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B6A83D">
            <w:pPr>
              <w:keepNext w:val="0"/>
              <w:keepLines w:val="0"/>
              <w:pageBreakBefore w:val="0"/>
              <w:widowControl w:val="0"/>
              <w:kinsoku/>
              <w:wordWrap/>
              <w:overflowPunct/>
              <w:topLinePunct w:val="0"/>
              <w:autoSpaceDE/>
              <w:autoSpaceDN/>
              <w:bidi w:val="0"/>
              <w:adjustRightInd/>
              <w:snapToGrid w:val="0"/>
              <w:spacing w:before="0" w:line="360" w:lineRule="auto"/>
              <w:ind w:left="0"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b/>
                <w:color w:val="auto"/>
                <w:spacing w:val="0"/>
                <w:position w:val="0"/>
                <w:sz w:val="24"/>
                <w:szCs w:val="24"/>
                <w:highlight w:val="none"/>
                <w:shd w:val="clear" w:fill="auto"/>
              </w:rPr>
              <w:t>指标说明及评分标准</w:t>
            </w:r>
          </w:p>
        </w:tc>
        <w:tc>
          <w:tcPr>
            <w:tcW w:w="24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F2CDE0">
            <w:pPr>
              <w:keepNext w:val="0"/>
              <w:keepLines w:val="0"/>
              <w:pageBreakBefore w:val="0"/>
              <w:widowControl w:val="0"/>
              <w:kinsoku/>
              <w:wordWrap/>
              <w:overflowPunct/>
              <w:topLinePunct w:val="0"/>
              <w:autoSpaceDE/>
              <w:autoSpaceDN/>
              <w:bidi w:val="0"/>
              <w:adjustRightInd/>
              <w:snapToGrid w:val="0"/>
              <w:spacing w:before="0" w:line="360" w:lineRule="auto"/>
              <w:ind w:left="0" w:right="0" w:firstLine="0"/>
              <w:jc w:val="center"/>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b/>
                <w:color w:val="auto"/>
                <w:spacing w:val="0"/>
                <w:position w:val="0"/>
                <w:sz w:val="24"/>
                <w:szCs w:val="24"/>
                <w:highlight w:val="none"/>
                <w:shd w:val="clear" w:fill="auto"/>
              </w:rPr>
              <w:t>评分依据</w:t>
            </w:r>
          </w:p>
        </w:tc>
      </w:tr>
      <w:tr w14:paraId="3C856F55">
        <w:trPr>
          <w:trHeight w:val="10501" w:hRule="atLeast"/>
          <w:jc w:val="center"/>
        </w:trPr>
        <w:tc>
          <w:tcPr>
            <w:tcW w:w="10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237CC7">
            <w:pPr>
              <w:keepNext w:val="0"/>
              <w:keepLines w:val="0"/>
              <w:pageBreakBefore w:val="0"/>
              <w:widowControl w:val="0"/>
              <w:kinsoku/>
              <w:wordWrap/>
              <w:overflowPunct/>
              <w:topLinePunct w:val="0"/>
              <w:autoSpaceDE/>
              <w:autoSpaceDN/>
              <w:bidi w:val="0"/>
              <w:adjustRightInd/>
              <w:snapToGrid w:val="0"/>
              <w:spacing w:before="0" w:line="360" w:lineRule="auto"/>
              <w:ind w:left="0" w:right="0" w:firstLine="0"/>
              <w:jc w:val="left"/>
              <w:textAlignment w:val="auto"/>
              <w:rPr>
                <w:rFonts w:ascii="宋体" w:hAnsi="宋体" w:eastAsia="宋体" w:cs="宋体"/>
                <w:b/>
                <w:bCs w:val="0"/>
                <w:color w:val="auto"/>
                <w:spacing w:val="0"/>
                <w:position w:val="0"/>
                <w:sz w:val="24"/>
                <w:szCs w:val="24"/>
                <w:highlight w:val="none"/>
                <w:shd w:val="clear" w:fill="auto"/>
              </w:rPr>
            </w:pPr>
            <w:r>
              <w:rPr>
                <w:rFonts w:ascii="宋体" w:hAnsi="宋体" w:eastAsia="宋体" w:cs="宋体"/>
                <w:b/>
                <w:bCs w:val="0"/>
                <w:color w:val="auto"/>
                <w:spacing w:val="0"/>
                <w:position w:val="0"/>
                <w:sz w:val="24"/>
                <w:szCs w:val="24"/>
                <w:highlight w:val="none"/>
                <w:shd w:val="clear" w:fill="auto"/>
              </w:rPr>
              <w:t>报价得分（30分）</w:t>
            </w:r>
          </w:p>
        </w:tc>
        <w:tc>
          <w:tcPr>
            <w:tcW w:w="7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24CD81">
            <w:pPr>
              <w:keepNext w:val="0"/>
              <w:keepLines w:val="0"/>
              <w:pageBreakBefore w:val="0"/>
              <w:widowControl w:val="0"/>
              <w:kinsoku/>
              <w:wordWrap/>
              <w:overflowPunct/>
              <w:topLinePunct w:val="0"/>
              <w:autoSpaceDE/>
              <w:autoSpaceDN/>
              <w:bidi w:val="0"/>
              <w:adjustRightInd/>
              <w:snapToGrid w:val="0"/>
              <w:spacing w:before="0" w:line="360" w:lineRule="auto"/>
              <w:ind w:left="0" w:right="0" w:firstLine="0"/>
              <w:jc w:val="center"/>
              <w:textAlignment w:val="auto"/>
              <w:rPr>
                <w:rFonts w:ascii="宋体" w:hAnsi="宋体" w:eastAsia="宋体" w:cs="宋体"/>
                <w:b/>
                <w:bCs w:val="0"/>
                <w:color w:val="auto"/>
                <w:spacing w:val="0"/>
                <w:position w:val="0"/>
                <w:sz w:val="24"/>
                <w:szCs w:val="24"/>
                <w:highlight w:val="none"/>
                <w:shd w:val="clear" w:fill="auto"/>
              </w:rPr>
            </w:pPr>
            <w:r>
              <w:rPr>
                <w:rFonts w:ascii="宋体" w:hAnsi="宋体" w:eastAsia="宋体" w:cs="宋体"/>
                <w:b/>
                <w:bCs w:val="0"/>
                <w:color w:val="auto"/>
                <w:spacing w:val="0"/>
                <w:position w:val="0"/>
                <w:sz w:val="24"/>
                <w:szCs w:val="24"/>
                <w:highlight w:val="none"/>
                <w:shd w:val="clear" w:fill="auto"/>
              </w:rPr>
              <w:t>30分</w:t>
            </w:r>
          </w:p>
        </w:tc>
        <w:tc>
          <w:tcPr>
            <w:tcW w:w="6940"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0DD347">
            <w:pPr>
              <w:keepNext w:val="0"/>
              <w:keepLines w:val="0"/>
              <w:pageBreakBefore w:val="0"/>
              <w:widowControl w:val="0"/>
              <w:kinsoku/>
              <w:wordWrap/>
              <w:overflowPunct/>
              <w:topLinePunct w:val="0"/>
              <w:autoSpaceDE/>
              <w:autoSpaceDN/>
              <w:bidi w:val="0"/>
              <w:adjustRightInd/>
              <w:snapToGrid w:val="0"/>
              <w:spacing w:before="0" w:line="360"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满足磋商文件要求且最后报价最低的供应商的价格为磋商基准价，其价格分为满分。其他供应商的价格分统一按照下列公式计算：</w:t>
            </w:r>
          </w:p>
          <w:p w14:paraId="5EE58ED8">
            <w:pPr>
              <w:keepNext w:val="0"/>
              <w:keepLines w:val="0"/>
              <w:pageBreakBefore w:val="0"/>
              <w:widowControl w:val="0"/>
              <w:kinsoku/>
              <w:wordWrap/>
              <w:overflowPunct/>
              <w:topLinePunct w:val="0"/>
              <w:autoSpaceDE/>
              <w:autoSpaceDN/>
              <w:bidi w:val="0"/>
              <w:adjustRightInd/>
              <w:snapToGrid w:val="0"/>
              <w:spacing w:before="0" w:line="360"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磋商报价得分=（磋商基准价/最后磋商报价）×价格权值×100</w:t>
            </w:r>
          </w:p>
          <w:p w14:paraId="3F1CBD7F">
            <w:pPr>
              <w:keepNext w:val="0"/>
              <w:keepLines w:val="0"/>
              <w:pageBreakBefore w:val="0"/>
              <w:widowControl w:val="0"/>
              <w:kinsoku/>
              <w:wordWrap/>
              <w:overflowPunct/>
              <w:topLinePunct w:val="0"/>
              <w:autoSpaceDE/>
              <w:autoSpaceDN/>
              <w:bidi w:val="0"/>
              <w:adjustRightInd/>
              <w:snapToGrid w:val="0"/>
              <w:spacing w:before="0" w:line="360"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备注：价格分计算保留小数点后二位。</w:t>
            </w:r>
          </w:p>
          <w:p w14:paraId="122B02EA">
            <w:pPr>
              <w:keepNext w:val="0"/>
              <w:keepLines w:val="0"/>
              <w:pageBreakBefore w:val="0"/>
              <w:widowControl w:val="0"/>
              <w:kinsoku/>
              <w:wordWrap/>
              <w:overflowPunct/>
              <w:topLinePunct w:val="0"/>
              <w:autoSpaceDE/>
              <w:autoSpaceDN/>
              <w:bidi w:val="0"/>
              <w:adjustRightInd/>
              <w:snapToGrid w:val="0"/>
              <w:spacing w:before="0" w:line="360"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注：</w:t>
            </w:r>
          </w:p>
          <w:p w14:paraId="6B6C0FD0">
            <w:pPr>
              <w:keepNext w:val="0"/>
              <w:keepLines w:val="0"/>
              <w:pageBreakBefore w:val="0"/>
              <w:widowControl w:val="0"/>
              <w:kinsoku/>
              <w:wordWrap/>
              <w:overflowPunct/>
              <w:topLinePunct w:val="0"/>
              <w:autoSpaceDE/>
              <w:autoSpaceDN/>
              <w:bidi w:val="0"/>
              <w:adjustRightInd/>
              <w:snapToGrid w:val="0"/>
              <w:spacing w:before="0" w:line="360"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1.若投标人投标价格均超过控制价，做废标处理。</w:t>
            </w:r>
          </w:p>
          <w:p w14:paraId="7A56D2BA">
            <w:pPr>
              <w:keepNext w:val="0"/>
              <w:keepLines w:val="0"/>
              <w:pageBreakBefore w:val="0"/>
              <w:widowControl w:val="0"/>
              <w:kinsoku/>
              <w:wordWrap/>
              <w:overflowPunct/>
              <w:topLinePunct w:val="0"/>
              <w:autoSpaceDE/>
              <w:autoSpaceDN/>
              <w:bidi w:val="0"/>
              <w:adjustRightInd/>
              <w:snapToGrid w:val="0"/>
              <w:spacing w:before="0" w:line="360"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2.对小型、微型、监狱企业、残疾人福利性单位投标报价给予</w:t>
            </w:r>
            <w:r>
              <w:rPr>
                <w:rFonts w:hint="eastAsia" w:ascii="宋体" w:hAnsi="宋体" w:eastAsia="宋体" w:cs="宋体"/>
                <w:color w:val="auto"/>
                <w:spacing w:val="0"/>
                <w:position w:val="0"/>
                <w:sz w:val="24"/>
                <w:szCs w:val="24"/>
                <w:highlight w:val="none"/>
                <w:shd w:val="clear" w:fill="auto"/>
                <w:lang w:val="en-US" w:eastAsia="zh-CN"/>
              </w:rPr>
              <w:t>20</w:t>
            </w:r>
            <w:r>
              <w:rPr>
                <w:rFonts w:hint="eastAsia" w:ascii="宋体" w:hAnsi="宋体" w:eastAsia="宋体" w:cs="宋体"/>
                <w:color w:val="auto"/>
                <w:spacing w:val="0"/>
                <w:position w:val="0"/>
                <w:sz w:val="24"/>
                <w:szCs w:val="24"/>
                <w:highlight w:val="none"/>
                <w:shd w:val="clear" w:fill="auto"/>
              </w:rPr>
              <w:t>%的扣除，用扣除后的价格参与评审。参加本项目的中小企业应当提供《中小企业声明函》（格式详见《政府采购促进中小企业发展</w:t>
            </w:r>
            <w:r>
              <w:rPr>
                <w:rFonts w:hint="eastAsia" w:ascii="宋体" w:hAnsi="宋体" w:eastAsia="宋体" w:cs="宋体"/>
                <w:color w:val="auto"/>
                <w:spacing w:val="0"/>
                <w:position w:val="0"/>
                <w:sz w:val="24"/>
                <w:szCs w:val="24"/>
                <w:highlight w:val="none"/>
                <w:shd w:val="clear" w:fill="auto"/>
                <w:lang w:val="en-US" w:eastAsia="zh-CN"/>
              </w:rPr>
              <w:t>管理</w:t>
            </w:r>
            <w:r>
              <w:rPr>
                <w:rFonts w:hint="eastAsia" w:ascii="宋体" w:hAnsi="宋体" w:eastAsia="宋体" w:cs="宋体"/>
                <w:color w:val="auto"/>
                <w:spacing w:val="0"/>
                <w:position w:val="0"/>
                <w:sz w:val="24"/>
                <w:szCs w:val="24"/>
                <w:highlight w:val="none"/>
                <w:shd w:val="clear" w:fill="auto"/>
              </w:rPr>
              <w:t>办法》）。</w:t>
            </w:r>
          </w:p>
          <w:p w14:paraId="5D348797">
            <w:pPr>
              <w:keepNext w:val="0"/>
              <w:keepLines w:val="0"/>
              <w:pageBreakBefore w:val="0"/>
              <w:widowControl w:val="0"/>
              <w:kinsoku/>
              <w:wordWrap/>
              <w:overflowPunct/>
              <w:topLinePunct w:val="0"/>
              <w:autoSpaceDE/>
              <w:autoSpaceDN/>
              <w:bidi w:val="0"/>
              <w:adjustRightInd/>
              <w:snapToGrid w:val="0"/>
              <w:spacing w:before="0" w:line="360" w:lineRule="auto"/>
              <w:ind w:left="0" w:right="0" w:firstLine="0"/>
              <w:jc w:val="both"/>
              <w:textAlignment w:val="auto"/>
              <w:rPr>
                <w:rFonts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4A42E80F">
        <w:tblPrEx>
          <w:tblCellMar>
            <w:top w:w="0" w:type="dxa"/>
            <w:left w:w="10" w:type="dxa"/>
            <w:bottom w:w="0" w:type="dxa"/>
            <w:right w:w="10" w:type="dxa"/>
          </w:tblCellMar>
        </w:tblPrEx>
        <w:trPr>
          <w:trHeight w:val="0" w:hRule="atLeast"/>
          <w:jc w:val="center"/>
        </w:trPr>
        <w:tc>
          <w:tcPr>
            <w:tcW w:w="1000"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7C90278D">
            <w:pPr>
              <w:keepNext w:val="0"/>
              <w:keepLines w:val="0"/>
              <w:pageBreakBefore w:val="0"/>
              <w:widowControl w:val="0"/>
              <w:tabs>
                <w:tab w:val="left" w:pos="5130"/>
              </w:tabs>
              <w:kinsoku/>
              <w:wordWrap/>
              <w:overflowPunct/>
              <w:topLinePunct w:val="0"/>
              <w:autoSpaceDE/>
              <w:autoSpaceDN/>
              <w:bidi w:val="0"/>
              <w:adjustRightInd/>
              <w:snapToGrid w:val="0"/>
              <w:spacing w:before="0" w:line="360" w:lineRule="auto"/>
              <w:ind w:left="0" w:right="0" w:firstLine="0"/>
              <w:jc w:val="both"/>
              <w:textAlignment w:val="auto"/>
              <w:rPr>
                <w:rFonts w:ascii="宋体" w:hAnsi="宋体" w:eastAsia="宋体" w:cs="宋体"/>
                <w:b/>
                <w:bCs w:val="0"/>
                <w:color w:val="auto"/>
                <w:spacing w:val="0"/>
                <w:position w:val="0"/>
                <w:sz w:val="24"/>
                <w:szCs w:val="24"/>
                <w:highlight w:val="none"/>
                <w:shd w:val="clear" w:fill="auto"/>
              </w:rPr>
            </w:pPr>
            <w:r>
              <w:rPr>
                <w:rFonts w:ascii="宋体" w:hAnsi="宋体" w:eastAsia="宋体" w:cs="宋体"/>
                <w:b/>
                <w:bCs w:val="0"/>
                <w:color w:val="auto"/>
                <w:spacing w:val="0"/>
                <w:position w:val="0"/>
                <w:sz w:val="24"/>
                <w:szCs w:val="24"/>
                <w:highlight w:val="none"/>
                <w:shd w:val="clear" w:fill="auto"/>
              </w:rPr>
              <w:t>技术部分(</w:t>
            </w:r>
            <w:r>
              <w:rPr>
                <w:rFonts w:hint="eastAsia" w:ascii="宋体" w:hAnsi="宋体" w:eastAsia="宋体" w:cs="宋体"/>
                <w:b/>
                <w:bCs w:val="0"/>
                <w:color w:val="auto"/>
                <w:spacing w:val="0"/>
                <w:position w:val="0"/>
                <w:sz w:val="24"/>
                <w:szCs w:val="24"/>
                <w:highlight w:val="none"/>
                <w:shd w:val="clear" w:fill="auto"/>
                <w:lang w:val="en-US" w:eastAsia="zh-CN"/>
              </w:rPr>
              <w:t>50</w:t>
            </w:r>
            <w:r>
              <w:rPr>
                <w:rFonts w:ascii="宋体" w:hAnsi="宋体" w:eastAsia="宋体" w:cs="宋体"/>
                <w:b/>
                <w:bCs w:val="0"/>
                <w:color w:val="auto"/>
                <w:spacing w:val="0"/>
                <w:position w:val="0"/>
                <w:sz w:val="24"/>
                <w:szCs w:val="24"/>
                <w:highlight w:val="none"/>
                <w:shd w:val="clear" w:fill="auto"/>
              </w:rPr>
              <w:t>分）</w:t>
            </w:r>
          </w:p>
        </w:tc>
        <w:tc>
          <w:tcPr>
            <w:tcW w:w="767"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311EB00A">
            <w:pPr>
              <w:keepNext w:val="0"/>
              <w:keepLines w:val="0"/>
              <w:pageBreakBefore w:val="0"/>
              <w:widowControl w:val="0"/>
              <w:kinsoku/>
              <w:wordWrap/>
              <w:overflowPunct/>
              <w:topLinePunct w:val="0"/>
              <w:autoSpaceDE/>
              <w:autoSpaceDN/>
              <w:bidi w:val="0"/>
              <w:adjustRightInd w:val="0"/>
              <w:snapToGrid w:val="0"/>
              <w:spacing w:before="0" w:line="360" w:lineRule="auto"/>
              <w:ind w:left="0" w:right="-21" w:firstLine="0"/>
              <w:jc w:val="center"/>
              <w:textAlignment w:val="auto"/>
              <w:rPr>
                <w:rFonts w:ascii="宋体" w:hAnsi="宋体" w:eastAsia="宋体" w:cs="宋体"/>
                <w:b/>
                <w:bCs w:val="0"/>
                <w:color w:val="auto"/>
                <w:spacing w:val="0"/>
                <w:position w:val="0"/>
                <w:sz w:val="24"/>
                <w:szCs w:val="24"/>
                <w:highlight w:val="none"/>
                <w:shd w:val="clear" w:fill="auto"/>
              </w:rPr>
            </w:pPr>
            <w:r>
              <w:rPr>
                <w:rFonts w:hint="eastAsia" w:ascii="宋体" w:hAnsi="宋体" w:eastAsia="宋体" w:cs="宋体"/>
                <w:b/>
                <w:bCs w:val="0"/>
                <w:color w:val="auto"/>
                <w:spacing w:val="0"/>
                <w:position w:val="0"/>
                <w:sz w:val="24"/>
                <w:szCs w:val="24"/>
                <w:highlight w:val="none"/>
                <w:shd w:val="clear" w:fill="auto"/>
                <w:lang w:val="en-US" w:eastAsia="zh-CN"/>
              </w:rPr>
              <w:t>5</w:t>
            </w:r>
            <w:r>
              <w:rPr>
                <w:rFonts w:hint="eastAsia" w:ascii="宋体" w:hAnsi="宋体" w:eastAsia="宋体" w:cs="宋体"/>
                <w:b/>
                <w:bCs w:val="0"/>
                <w:color w:val="auto"/>
                <w:spacing w:val="0"/>
                <w:position w:val="0"/>
                <w:sz w:val="24"/>
                <w:szCs w:val="24"/>
                <w:highlight w:val="none"/>
                <w:shd w:val="clear" w:fill="auto"/>
              </w:rPr>
              <w:t>0</w:t>
            </w:r>
          </w:p>
        </w:tc>
        <w:tc>
          <w:tcPr>
            <w:tcW w:w="6940"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6121E5D8">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default" w:ascii="宋体" w:hAnsi="宋体" w:eastAsia="宋体" w:cs="宋体"/>
                <w:b/>
                <w:bCs/>
                <w:color w:val="auto"/>
                <w:spacing w:val="0"/>
                <w:position w:val="0"/>
                <w:sz w:val="24"/>
                <w:szCs w:val="24"/>
                <w:highlight w:val="none"/>
                <w:shd w:val="clear" w:fill="auto"/>
                <w:lang w:val="en-US" w:eastAsia="zh-CN"/>
              </w:rPr>
            </w:pPr>
            <w:r>
              <w:rPr>
                <w:rFonts w:hint="eastAsia" w:ascii="宋体" w:hAnsi="宋体" w:eastAsia="宋体" w:cs="宋体"/>
                <w:b/>
                <w:bCs/>
                <w:color w:val="auto"/>
                <w:spacing w:val="0"/>
                <w:position w:val="0"/>
                <w:sz w:val="24"/>
                <w:szCs w:val="24"/>
                <w:highlight w:val="none"/>
                <w:shd w:val="clear" w:fill="auto"/>
                <w:lang w:val="en-US" w:eastAsia="zh-CN"/>
              </w:rPr>
              <w:t>1.货物技术指标15分</w:t>
            </w:r>
          </w:p>
          <w:p w14:paraId="02D37149">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eastAsia" w:ascii="宋体" w:hAnsi="宋体" w:eastAsia="宋体" w:cs="宋体"/>
                <w:b w:val="0"/>
                <w:bCs w:val="0"/>
                <w:color w:val="auto"/>
                <w:spacing w:val="0"/>
                <w:position w:val="0"/>
                <w:sz w:val="24"/>
                <w:szCs w:val="24"/>
                <w:highlight w:val="none"/>
                <w:shd w:val="clear" w:fill="auto"/>
                <w:lang w:val="en-US" w:eastAsia="zh-CN"/>
              </w:rPr>
            </w:pPr>
            <w:r>
              <w:rPr>
                <w:rFonts w:hint="eastAsia" w:ascii="宋体" w:hAnsi="宋体" w:eastAsia="宋体" w:cs="宋体"/>
                <w:b w:val="0"/>
                <w:bCs w:val="0"/>
                <w:color w:val="auto"/>
                <w:spacing w:val="0"/>
                <w:position w:val="0"/>
                <w:sz w:val="24"/>
                <w:szCs w:val="24"/>
                <w:highlight w:val="none"/>
                <w:shd w:val="clear" w:fill="auto"/>
                <w:lang w:val="en-US" w:eastAsia="zh-CN"/>
              </w:rPr>
              <w:t>满足采购文件要求的全部技术指标得15分。评委要充分考虑投标人提供</w:t>
            </w:r>
            <w:r>
              <w:rPr>
                <w:rFonts w:hint="eastAsia" w:ascii="宋体" w:hAnsi="宋体" w:eastAsia="宋体" w:cs="宋体"/>
                <w:b w:val="0"/>
                <w:bCs w:val="0"/>
                <w:color w:val="auto"/>
                <w:spacing w:val="0"/>
                <w:position w:val="0"/>
                <w:sz w:val="24"/>
                <w:szCs w:val="24"/>
                <w:highlight w:val="none"/>
                <w:shd w:val="clear" w:fill="auto"/>
                <w:lang w:val="en-US" w:eastAsia="zh-CN"/>
              </w:rPr>
              <w:t>投标产品的详细技术指标，参考其相关证明材料（证明材料可以是生产厂家官方网站截图或产品白皮书或第三方机构检验报告或其他相关证明材料）</w:t>
            </w:r>
            <w:r>
              <w:rPr>
                <w:rFonts w:hint="eastAsia" w:ascii="宋体" w:hAnsi="宋体" w:eastAsia="宋体" w:cs="宋体"/>
                <w:b w:val="0"/>
                <w:bCs w:val="0"/>
                <w:color w:val="auto"/>
                <w:spacing w:val="0"/>
                <w:position w:val="0"/>
                <w:sz w:val="24"/>
                <w:szCs w:val="24"/>
                <w:highlight w:val="none"/>
                <w:shd w:val="clear" w:fill="auto"/>
                <w:lang w:val="en-US" w:eastAsia="zh-CN"/>
              </w:rPr>
              <w:t>进行认定；</w:t>
            </w:r>
          </w:p>
          <w:p w14:paraId="1C647048">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eastAsia" w:ascii="宋体" w:hAnsi="宋体" w:eastAsia="宋体" w:cs="宋体"/>
                <w:b w:val="0"/>
                <w:bCs w:val="0"/>
                <w:color w:val="auto"/>
                <w:spacing w:val="0"/>
                <w:position w:val="0"/>
                <w:sz w:val="24"/>
                <w:szCs w:val="24"/>
                <w:highlight w:val="none"/>
                <w:shd w:val="clear" w:fill="auto"/>
                <w:lang w:val="en-US" w:eastAsia="zh-CN"/>
              </w:rPr>
            </w:pPr>
            <w:r>
              <w:rPr>
                <w:rFonts w:hint="eastAsia" w:ascii="宋体" w:hAnsi="宋体" w:eastAsia="宋体" w:cs="宋体"/>
                <w:b w:val="0"/>
                <w:bCs w:val="0"/>
                <w:color w:val="auto"/>
                <w:spacing w:val="0"/>
                <w:position w:val="0"/>
                <w:sz w:val="24"/>
                <w:szCs w:val="24"/>
                <w:highlight w:val="none"/>
                <w:shd w:val="clear" w:fill="auto"/>
                <w:lang w:val="en-US" w:eastAsia="zh-CN"/>
              </w:rPr>
              <w:t>每有一项非实质性负偏差扣1分，扣完为止（如技术参数偏离表的响应情况与技术证明文件资料或其它合法证明文件描述不符，专家有权认定为负偏离）。</w:t>
            </w:r>
          </w:p>
          <w:p w14:paraId="2B36FA96">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default" w:ascii="宋体" w:hAnsi="宋体" w:eastAsia="宋体" w:cs="宋体"/>
                <w:b/>
                <w:bCs/>
                <w:color w:val="auto"/>
                <w:spacing w:val="0"/>
                <w:position w:val="0"/>
                <w:sz w:val="24"/>
                <w:szCs w:val="24"/>
                <w:highlight w:val="none"/>
                <w:shd w:val="clear" w:fill="auto"/>
                <w:lang w:val="en-US" w:eastAsia="zh-CN"/>
              </w:rPr>
            </w:pPr>
            <w:r>
              <w:rPr>
                <w:rFonts w:hint="eastAsia" w:ascii="宋体" w:hAnsi="宋体" w:eastAsia="宋体" w:cs="宋体"/>
                <w:b/>
                <w:bCs/>
                <w:color w:val="auto"/>
                <w:spacing w:val="0"/>
                <w:position w:val="0"/>
                <w:sz w:val="24"/>
                <w:szCs w:val="24"/>
                <w:highlight w:val="none"/>
                <w:shd w:val="clear" w:fill="auto"/>
                <w:lang w:val="en-US" w:eastAsia="zh-CN"/>
              </w:rPr>
              <w:t>2.组织实施保障12分</w:t>
            </w:r>
          </w:p>
          <w:p w14:paraId="48688E03">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①投标人提供本项目团队配备方案，至少配备项目负责人、技术负责人、售后服务人员等（可以兼任）。包括但不限于：人员的姓名、身份证、职务、职责、详细的地址、联系方式；</w:t>
            </w:r>
          </w:p>
          <w:p w14:paraId="3BA7EB29">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项目团队资料信息详细（包含上述要求所有信息），得6分；</w:t>
            </w:r>
          </w:p>
          <w:p w14:paraId="1D4FA404">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项目团队资料信息不详细（上述要求所有信息有缺项），得1分；</w:t>
            </w:r>
          </w:p>
          <w:p w14:paraId="6ED6E5A9">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未响应或未提供的不得分。</w:t>
            </w:r>
          </w:p>
          <w:p w14:paraId="2EB892D0">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②提供项目保障计划、质量保证、正品保障措施等。</w:t>
            </w:r>
          </w:p>
          <w:p w14:paraId="722FEDB4">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评标委员会根据投标人提供的方案进行评定，实施方案内容高于采购文件要求，并提供相关证明材料或实施能力分析，能够高于采购文件要求实施本项目的，得6分；</w:t>
            </w:r>
          </w:p>
          <w:p w14:paraId="5CC00C94">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实施方案内容基本满足采购文件要求，提供相关证明材料或实施能力分析，不足以证明所述内容，不能判定其高于采购文件要求实施本项目的，得1分；</w:t>
            </w:r>
          </w:p>
          <w:p w14:paraId="594D71FA">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方案内容未响应或未提供的不得分。</w:t>
            </w:r>
          </w:p>
          <w:p w14:paraId="538FCC90">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eastAsia" w:ascii="宋体" w:hAnsi="宋体" w:eastAsia="宋体" w:cs="宋体"/>
                <w:b/>
                <w:bCs/>
                <w:color w:val="auto"/>
                <w:spacing w:val="0"/>
                <w:position w:val="0"/>
                <w:sz w:val="24"/>
                <w:szCs w:val="24"/>
                <w:highlight w:val="none"/>
                <w:shd w:val="clear" w:fill="auto"/>
                <w:lang w:val="en-US" w:eastAsia="zh-CN"/>
              </w:rPr>
            </w:pPr>
            <w:r>
              <w:rPr>
                <w:rFonts w:hint="eastAsia" w:ascii="宋体" w:hAnsi="宋体" w:eastAsia="宋体" w:cs="宋体"/>
                <w:b/>
                <w:bCs/>
                <w:color w:val="auto"/>
                <w:spacing w:val="0"/>
                <w:position w:val="0"/>
                <w:sz w:val="24"/>
                <w:szCs w:val="24"/>
                <w:highlight w:val="none"/>
                <w:shd w:val="clear" w:fill="auto"/>
                <w:lang w:val="en-US" w:eastAsia="zh-CN"/>
              </w:rPr>
              <w:t>3.售后服务方案12分</w:t>
            </w:r>
          </w:p>
          <w:p w14:paraId="252C531A">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投标人提供完善的售后服务体系、售后服务响应机制；</w:t>
            </w:r>
          </w:p>
          <w:p w14:paraId="633C14E6">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评标委员会根据各项服务方案进行评定，各项服务方案内容不低于采购文件要求，并提供相关证明材料或服务能力分析，能够不低于采购文件要求提供服务的，得12分；</w:t>
            </w:r>
          </w:p>
          <w:p w14:paraId="2130E959">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各项服务方案内容基本满足采购文件要求，提供相关证明材料或服务能力分析，不足以证明所述内容，不能满足采购文件要求提供服务的，得6分；</w:t>
            </w:r>
          </w:p>
          <w:p w14:paraId="2A57C1E3">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方案内容未响应或未提供的不得分。</w:t>
            </w:r>
          </w:p>
          <w:p w14:paraId="1AEF7D59">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default" w:ascii="宋体" w:hAnsi="宋体" w:eastAsia="宋体" w:cs="宋体"/>
                <w:b/>
                <w:bCs/>
                <w:color w:val="auto"/>
                <w:spacing w:val="0"/>
                <w:position w:val="0"/>
                <w:sz w:val="24"/>
                <w:szCs w:val="24"/>
                <w:highlight w:val="none"/>
                <w:shd w:val="clear" w:fill="auto"/>
                <w:lang w:val="en-US" w:eastAsia="zh-CN"/>
              </w:rPr>
            </w:pPr>
            <w:r>
              <w:rPr>
                <w:rFonts w:hint="eastAsia" w:ascii="宋体" w:hAnsi="宋体" w:eastAsia="宋体" w:cs="宋体"/>
                <w:b/>
                <w:bCs/>
                <w:color w:val="auto"/>
                <w:spacing w:val="0"/>
                <w:position w:val="0"/>
                <w:sz w:val="24"/>
                <w:szCs w:val="24"/>
                <w:highlight w:val="none"/>
                <w:shd w:val="clear" w:fill="auto"/>
                <w:lang w:val="en-US" w:eastAsia="zh-CN"/>
              </w:rPr>
              <w:t>4</w:t>
            </w:r>
            <w:r>
              <w:rPr>
                <w:rFonts w:hint="default" w:ascii="宋体" w:hAnsi="宋体" w:eastAsia="宋体" w:cs="宋体"/>
                <w:b/>
                <w:bCs/>
                <w:color w:val="auto"/>
                <w:spacing w:val="0"/>
                <w:position w:val="0"/>
                <w:sz w:val="24"/>
                <w:szCs w:val="24"/>
                <w:highlight w:val="none"/>
                <w:shd w:val="clear" w:fill="auto"/>
                <w:lang w:val="en-US" w:eastAsia="zh-CN"/>
              </w:rPr>
              <w:t>.实施进度计划</w:t>
            </w:r>
            <w:r>
              <w:rPr>
                <w:rFonts w:hint="eastAsia" w:ascii="宋体" w:hAnsi="宋体" w:eastAsia="宋体" w:cs="宋体"/>
                <w:b/>
                <w:bCs/>
                <w:color w:val="auto"/>
                <w:spacing w:val="0"/>
                <w:position w:val="0"/>
                <w:sz w:val="24"/>
                <w:szCs w:val="24"/>
                <w:highlight w:val="none"/>
                <w:shd w:val="clear" w:fill="auto"/>
                <w:lang w:val="en-US" w:eastAsia="zh-CN"/>
              </w:rPr>
              <w:t>6</w:t>
            </w:r>
            <w:r>
              <w:rPr>
                <w:rFonts w:hint="default" w:ascii="宋体" w:hAnsi="宋体" w:eastAsia="宋体" w:cs="宋体"/>
                <w:b/>
                <w:bCs/>
                <w:color w:val="auto"/>
                <w:spacing w:val="0"/>
                <w:position w:val="0"/>
                <w:sz w:val="24"/>
                <w:szCs w:val="24"/>
                <w:highlight w:val="none"/>
                <w:shd w:val="clear" w:fill="auto"/>
                <w:lang w:val="en-US" w:eastAsia="zh-CN"/>
              </w:rPr>
              <w:t>分</w:t>
            </w:r>
          </w:p>
          <w:p w14:paraId="31CAD1C1">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default" w:ascii="宋体" w:hAnsi="宋体" w:eastAsia="宋体" w:cs="宋体"/>
                <w:color w:val="auto"/>
                <w:spacing w:val="0"/>
                <w:position w:val="0"/>
                <w:sz w:val="24"/>
                <w:szCs w:val="24"/>
                <w:highlight w:val="none"/>
                <w:shd w:val="clear" w:fill="auto"/>
                <w:lang w:val="en-US" w:eastAsia="zh-CN"/>
              </w:rPr>
            </w:pPr>
            <w:r>
              <w:rPr>
                <w:rFonts w:hint="default" w:ascii="宋体" w:hAnsi="宋体" w:eastAsia="宋体" w:cs="宋体"/>
                <w:color w:val="auto"/>
                <w:spacing w:val="0"/>
                <w:position w:val="0"/>
                <w:sz w:val="24"/>
                <w:szCs w:val="24"/>
                <w:highlight w:val="none"/>
                <w:shd w:val="clear" w:fill="auto"/>
                <w:lang w:val="en-US" w:eastAsia="zh-CN"/>
              </w:rPr>
              <w:t>投标人提供完善的实施进度计划。</w:t>
            </w:r>
          </w:p>
          <w:p w14:paraId="12D7AEE5">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default" w:ascii="宋体" w:hAnsi="宋体" w:eastAsia="宋体" w:cs="宋体"/>
                <w:color w:val="auto"/>
                <w:spacing w:val="0"/>
                <w:position w:val="0"/>
                <w:sz w:val="24"/>
                <w:szCs w:val="24"/>
                <w:highlight w:val="none"/>
                <w:shd w:val="clear" w:fill="auto"/>
                <w:lang w:val="en-US" w:eastAsia="zh-CN"/>
              </w:rPr>
            </w:pPr>
            <w:r>
              <w:rPr>
                <w:rFonts w:hint="default" w:ascii="宋体" w:hAnsi="宋体" w:eastAsia="宋体" w:cs="宋体"/>
                <w:color w:val="auto"/>
                <w:spacing w:val="0"/>
                <w:position w:val="0"/>
                <w:sz w:val="24"/>
                <w:szCs w:val="24"/>
                <w:highlight w:val="none"/>
                <w:shd w:val="clear" w:fill="auto"/>
                <w:lang w:val="en-US" w:eastAsia="zh-CN"/>
              </w:rPr>
              <w:t>评标委员会根据服务方案进行评定，服务方案内容高于采购文件要求，并提供相关证明材料或服务能力分析，能够高于采购文件要求提供服务的，得</w:t>
            </w:r>
            <w:r>
              <w:rPr>
                <w:rFonts w:hint="eastAsia" w:ascii="宋体" w:hAnsi="宋体" w:eastAsia="宋体" w:cs="宋体"/>
                <w:color w:val="auto"/>
                <w:spacing w:val="0"/>
                <w:position w:val="0"/>
                <w:sz w:val="24"/>
                <w:szCs w:val="24"/>
                <w:highlight w:val="none"/>
                <w:shd w:val="clear" w:fill="auto"/>
                <w:lang w:val="en-US" w:eastAsia="zh-CN"/>
              </w:rPr>
              <w:t>6</w:t>
            </w:r>
            <w:r>
              <w:rPr>
                <w:rFonts w:hint="default" w:ascii="宋体" w:hAnsi="宋体" w:eastAsia="宋体" w:cs="宋体"/>
                <w:color w:val="auto"/>
                <w:spacing w:val="0"/>
                <w:position w:val="0"/>
                <w:sz w:val="24"/>
                <w:szCs w:val="24"/>
                <w:highlight w:val="none"/>
                <w:shd w:val="clear" w:fill="auto"/>
                <w:lang w:val="en-US" w:eastAsia="zh-CN"/>
              </w:rPr>
              <w:t>分；</w:t>
            </w:r>
          </w:p>
          <w:p w14:paraId="1325CE09">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default" w:ascii="宋体" w:hAnsi="宋体" w:eastAsia="宋体" w:cs="宋体"/>
                <w:color w:val="auto"/>
                <w:spacing w:val="0"/>
                <w:position w:val="0"/>
                <w:sz w:val="24"/>
                <w:szCs w:val="24"/>
                <w:highlight w:val="none"/>
                <w:shd w:val="clear" w:fill="auto"/>
                <w:lang w:val="en-US" w:eastAsia="zh-CN"/>
              </w:rPr>
            </w:pPr>
            <w:r>
              <w:rPr>
                <w:rFonts w:hint="default" w:ascii="宋体" w:hAnsi="宋体" w:eastAsia="宋体" w:cs="宋体"/>
                <w:color w:val="auto"/>
                <w:spacing w:val="0"/>
                <w:position w:val="0"/>
                <w:sz w:val="24"/>
                <w:szCs w:val="24"/>
                <w:highlight w:val="none"/>
                <w:shd w:val="clear" w:fill="auto"/>
                <w:lang w:val="en-US" w:eastAsia="zh-CN"/>
              </w:rPr>
              <w:t>服务方案内容基本满足采购文件要求，提供相关证明材料或服务能力分析，不足以证明所述内容，不能判定其高于采购文件要求提供服务的，得</w:t>
            </w:r>
            <w:r>
              <w:rPr>
                <w:rFonts w:hint="eastAsia" w:ascii="宋体" w:hAnsi="宋体" w:eastAsia="宋体" w:cs="宋体"/>
                <w:color w:val="auto"/>
                <w:spacing w:val="0"/>
                <w:position w:val="0"/>
                <w:sz w:val="24"/>
                <w:szCs w:val="24"/>
                <w:highlight w:val="none"/>
                <w:shd w:val="clear" w:fill="auto"/>
                <w:lang w:val="en-US" w:eastAsia="zh-CN"/>
              </w:rPr>
              <w:t>3</w:t>
            </w:r>
            <w:r>
              <w:rPr>
                <w:rFonts w:hint="default" w:ascii="宋体" w:hAnsi="宋体" w:eastAsia="宋体" w:cs="宋体"/>
                <w:color w:val="auto"/>
                <w:spacing w:val="0"/>
                <w:position w:val="0"/>
                <w:sz w:val="24"/>
                <w:szCs w:val="24"/>
                <w:highlight w:val="none"/>
                <w:shd w:val="clear" w:fill="auto"/>
                <w:lang w:val="en-US" w:eastAsia="zh-CN"/>
              </w:rPr>
              <w:t>分；</w:t>
            </w:r>
          </w:p>
          <w:p w14:paraId="66731665">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default" w:ascii="宋体" w:hAnsi="宋体" w:eastAsia="宋体" w:cs="宋体"/>
                <w:color w:val="auto"/>
                <w:spacing w:val="0"/>
                <w:position w:val="0"/>
                <w:sz w:val="24"/>
                <w:szCs w:val="24"/>
                <w:highlight w:val="none"/>
                <w:shd w:val="clear" w:fill="auto"/>
                <w:lang w:val="en-US" w:eastAsia="zh-CN"/>
              </w:rPr>
            </w:pPr>
            <w:r>
              <w:rPr>
                <w:rFonts w:hint="default" w:ascii="宋体" w:hAnsi="宋体" w:eastAsia="宋体" w:cs="宋体"/>
                <w:color w:val="auto"/>
                <w:spacing w:val="0"/>
                <w:position w:val="0"/>
                <w:sz w:val="24"/>
                <w:szCs w:val="24"/>
                <w:highlight w:val="none"/>
                <w:shd w:val="clear" w:fill="auto"/>
                <w:lang w:val="en-US" w:eastAsia="zh-CN"/>
              </w:rPr>
              <w:t>方案内容未响应或未提供的不得分。</w:t>
            </w:r>
          </w:p>
          <w:p w14:paraId="2A8F65E2">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default" w:ascii="宋体" w:hAnsi="宋体" w:eastAsia="宋体" w:cs="宋体"/>
                <w:b/>
                <w:bCs/>
                <w:color w:val="auto"/>
                <w:spacing w:val="0"/>
                <w:position w:val="0"/>
                <w:sz w:val="24"/>
                <w:szCs w:val="24"/>
                <w:highlight w:val="none"/>
                <w:shd w:val="clear" w:fill="auto"/>
                <w:lang w:val="en-US" w:eastAsia="zh-CN"/>
              </w:rPr>
            </w:pPr>
            <w:r>
              <w:rPr>
                <w:rFonts w:hint="eastAsia" w:ascii="宋体" w:hAnsi="宋体" w:eastAsia="宋体" w:cs="宋体"/>
                <w:b/>
                <w:bCs/>
                <w:color w:val="auto"/>
                <w:spacing w:val="0"/>
                <w:position w:val="0"/>
                <w:sz w:val="24"/>
                <w:szCs w:val="24"/>
                <w:highlight w:val="none"/>
                <w:shd w:val="clear" w:fill="auto"/>
                <w:lang w:val="en-US" w:eastAsia="zh-CN"/>
              </w:rPr>
              <w:t>5.整体实施方案、技术解决方案、安装调试方案5分</w:t>
            </w:r>
          </w:p>
          <w:p w14:paraId="271ED0EE">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评标委员会根据各项方案进行评定，各项方案内容高于采购文件要求，并提供相关证明材料或能力分析，能够高于采购文件要求提供方案的，得5分；</w:t>
            </w:r>
          </w:p>
          <w:p w14:paraId="57472D19">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各项方案内容基本满足采购文件要求，提供相关证明材料或能力分析，不足以证明所述内容，不能判定其高于采购文件要求提供方案的，得1分；</w:t>
            </w:r>
          </w:p>
          <w:p w14:paraId="115207A8">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default"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方案内容未响应或未提供的不得分。</w:t>
            </w:r>
          </w:p>
        </w:tc>
      </w:tr>
      <w:tr w14:paraId="302D609E">
        <w:tblPrEx>
          <w:tblCellMar>
            <w:top w:w="0" w:type="dxa"/>
            <w:left w:w="10" w:type="dxa"/>
            <w:bottom w:w="0" w:type="dxa"/>
            <w:right w:w="10" w:type="dxa"/>
          </w:tblCellMar>
        </w:tblPrEx>
        <w:trPr>
          <w:trHeight w:val="0" w:hRule="atLeast"/>
          <w:jc w:val="center"/>
        </w:trPr>
        <w:tc>
          <w:tcPr>
            <w:tcW w:w="1000"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63C778DB">
            <w:pPr>
              <w:keepNext w:val="0"/>
              <w:keepLines w:val="0"/>
              <w:pageBreakBefore w:val="0"/>
              <w:widowControl w:val="0"/>
              <w:tabs>
                <w:tab w:val="left" w:pos="5130"/>
              </w:tabs>
              <w:kinsoku/>
              <w:wordWrap/>
              <w:overflowPunct/>
              <w:topLinePunct w:val="0"/>
              <w:autoSpaceDE/>
              <w:autoSpaceDN/>
              <w:bidi w:val="0"/>
              <w:adjustRightInd/>
              <w:snapToGrid w:val="0"/>
              <w:spacing w:before="0" w:line="360" w:lineRule="auto"/>
              <w:ind w:left="0" w:right="0" w:firstLine="0"/>
              <w:jc w:val="both"/>
              <w:textAlignment w:val="auto"/>
              <w:rPr>
                <w:rFonts w:ascii="宋体" w:hAnsi="宋体" w:eastAsia="宋体" w:cs="宋体"/>
                <w:b/>
                <w:bCs w:val="0"/>
                <w:color w:val="auto"/>
                <w:spacing w:val="0"/>
                <w:position w:val="0"/>
                <w:sz w:val="24"/>
                <w:szCs w:val="24"/>
                <w:highlight w:val="none"/>
                <w:shd w:val="clear" w:fill="auto"/>
              </w:rPr>
            </w:pPr>
            <w:r>
              <w:rPr>
                <w:rFonts w:ascii="宋体" w:hAnsi="宋体" w:eastAsia="宋体" w:cs="宋体"/>
                <w:b/>
                <w:bCs w:val="0"/>
                <w:color w:val="auto"/>
                <w:spacing w:val="0"/>
                <w:position w:val="0"/>
                <w:sz w:val="24"/>
                <w:szCs w:val="24"/>
                <w:highlight w:val="none"/>
                <w:shd w:val="clear" w:fill="auto"/>
              </w:rPr>
              <w:t>商务部分（</w:t>
            </w:r>
            <w:r>
              <w:rPr>
                <w:rFonts w:hint="eastAsia" w:ascii="宋体" w:hAnsi="宋体" w:eastAsia="宋体" w:cs="宋体"/>
                <w:b/>
                <w:bCs w:val="0"/>
                <w:color w:val="auto"/>
                <w:spacing w:val="0"/>
                <w:position w:val="0"/>
                <w:sz w:val="24"/>
                <w:szCs w:val="24"/>
                <w:highlight w:val="none"/>
                <w:shd w:val="clear" w:fill="auto"/>
                <w:lang w:val="en-US" w:eastAsia="zh-CN"/>
              </w:rPr>
              <w:t>20</w:t>
            </w:r>
            <w:r>
              <w:rPr>
                <w:rFonts w:ascii="宋体" w:hAnsi="宋体" w:eastAsia="宋体" w:cs="宋体"/>
                <w:b/>
                <w:bCs w:val="0"/>
                <w:color w:val="auto"/>
                <w:spacing w:val="0"/>
                <w:position w:val="0"/>
                <w:sz w:val="24"/>
                <w:szCs w:val="24"/>
                <w:highlight w:val="none"/>
                <w:shd w:val="clear" w:fill="auto"/>
              </w:rPr>
              <w:t>分）</w:t>
            </w:r>
          </w:p>
        </w:tc>
        <w:tc>
          <w:tcPr>
            <w:tcW w:w="767"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28E19BBA">
            <w:pPr>
              <w:keepNext w:val="0"/>
              <w:keepLines w:val="0"/>
              <w:pageBreakBefore w:val="0"/>
              <w:widowControl w:val="0"/>
              <w:kinsoku/>
              <w:wordWrap/>
              <w:overflowPunct/>
              <w:topLinePunct w:val="0"/>
              <w:autoSpaceDE/>
              <w:autoSpaceDN/>
              <w:bidi w:val="0"/>
              <w:adjustRightInd w:val="0"/>
              <w:snapToGrid w:val="0"/>
              <w:spacing w:before="0" w:line="360" w:lineRule="auto"/>
              <w:ind w:left="0" w:right="0" w:firstLine="0"/>
              <w:jc w:val="center"/>
              <w:textAlignment w:val="auto"/>
              <w:rPr>
                <w:rFonts w:hint="default" w:ascii="宋体" w:hAnsi="宋体" w:eastAsia="宋体" w:cs="宋体"/>
                <w:b/>
                <w:bCs w:val="0"/>
                <w:color w:val="auto"/>
                <w:spacing w:val="0"/>
                <w:position w:val="0"/>
                <w:sz w:val="24"/>
                <w:szCs w:val="24"/>
                <w:highlight w:val="none"/>
                <w:shd w:val="clear" w:fill="auto"/>
                <w:lang w:val="en-US" w:eastAsia="zh-CN"/>
              </w:rPr>
            </w:pPr>
            <w:r>
              <w:rPr>
                <w:rFonts w:hint="eastAsia" w:ascii="宋体" w:hAnsi="宋体" w:eastAsia="宋体" w:cs="宋体"/>
                <w:b/>
                <w:bCs w:val="0"/>
                <w:color w:val="auto"/>
                <w:spacing w:val="0"/>
                <w:position w:val="0"/>
                <w:sz w:val="24"/>
                <w:szCs w:val="24"/>
                <w:highlight w:val="none"/>
                <w:shd w:val="clear" w:fill="auto"/>
                <w:lang w:val="en-US" w:eastAsia="zh-CN"/>
              </w:rPr>
              <w:t>20</w:t>
            </w:r>
          </w:p>
        </w:tc>
        <w:tc>
          <w:tcPr>
            <w:tcW w:w="6940"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36CCEA09">
            <w:pPr>
              <w:keepNext w:val="0"/>
              <w:keepLines w:val="0"/>
              <w:pageBreakBefore w:val="0"/>
              <w:widowControl w:val="0"/>
              <w:tabs>
                <w:tab w:val="left" w:pos="5130"/>
              </w:tabs>
              <w:kinsoku/>
              <w:wordWrap/>
              <w:overflowPunct/>
              <w:topLinePunct w:val="0"/>
              <w:autoSpaceDE/>
              <w:autoSpaceDN/>
              <w:bidi w:val="0"/>
              <w:adjustRightInd w:val="0"/>
              <w:snapToGrid w:val="0"/>
              <w:spacing w:before="0" w:line="360" w:lineRule="auto"/>
              <w:ind w:left="0" w:right="0" w:firstLine="0"/>
              <w:jc w:val="both"/>
              <w:textAlignment w:val="auto"/>
              <w:rPr>
                <w:rFonts w:hint="eastAsia" w:ascii="宋体" w:hAnsi="宋体" w:eastAsia="宋体" w:cs="宋体"/>
                <w:b/>
                <w:bCs/>
                <w:color w:val="auto"/>
                <w:spacing w:val="0"/>
                <w:position w:val="0"/>
                <w:sz w:val="24"/>
                <w:szCs w:val="24"/>
                <w:highlight w:val="none"/>
                <w:shd w:val="clear" w:fill="auto"/>
              </w:rPr>
            </w:pPr>
            <w:r>
              <w:rPr>
                <w:rFonts w:hint="eastAsia" w:ascii="宋体" w:hAnsi="宋体" w:eastAsia="宋体" w:cs="宋体"/>
                <w:b/>
                <w:bCs/>
                <w:color w:val="auto"/>
                <w:spacing w:val="0"/>
                <w:position w:val="0"/>
                <w:sz w:val="24"/>
                <w:szCs w:val="24"/>
                <w:highlight w:val="none"/>
                <w:shd w:val="clear" w:fill="auto"/>
              </w:rPr>
              <w:t>1.企业业绩</w:t>
            </w:r>
            <w:r>
              <w:rPr>
                <w:rFonts w:hint="eastAsia" w:ascii="宋体" w:hAnsi="宋体" w:eastAsia="宋体" w:cs="宋体"/>
                <w:b/>
                <w:bCs/>
                <w:color w:val="auto"/>
                <w:spacing w:val="0"/>
                <w:position w:val="0"/>
                <w:sz w:val="24"/>
                <w:szCs w:val="24"/>
                <w:highlight w:val="none"/>
                <w:shd w:val="clear" w:fill="auto"/>
                <w:lang w:val="en-US" w:eastAsia="zh-CN"/>
              </w:rPr>
              <w:t>6</w:t>
            </w:r>
            <w:r>
              <w:rPr>
                <w:rFonts w:hint="eastAsia" w:ascii="宋体" w:hAnsi="宋体" w:eastAsia="宋体" w:cs="宋体"/>
                <w:b/>
                <w:bCs/>
                <w:color w:val="auto"/>
                <w:spacing w:val="0"/>
                <w:position w:val="0"/>
                <w:sz w:val="24"/>
                <w:szCs w:val="24"/>
                <w:highlight w:val="none"/>
                <w:shd w:val="clear" w:fill="auto"/>
              </w:rPr>
              <w:t>分</w:t>
            </w:r>
          </w:p>
          <w:p w14:paraId="0A532413">
            <w:pPr>
              <w:keepNext w:val="0"/>
              <w:keepLines w:val="0"/>
              <w:pageBreakBefore w:val="0"/>
              <w:widowControl w:val="0"/>
              <w:tabs>
                <w:tab w:val="left" w:pos="5130"/>
              </w:tabs>
              <w:kinsoku/>
              <w:wordWrap/>
              <w:overflowPunct/>
              <w:topLinePunct w:val="0"/>
              <w:autoSpaceDE/>
              <w:autoSpaceDN/>
              <w:bidi w:val="0"/>
              <w:adjustRightInd w:val="0"/>
              <w:snapToGrid w:val="0"/>
              <w:spacing w:before="0" w:line="360"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提供</w:t>
            </w:r>
            <w:r>
              <w:rPr>
                <w:rFonts w:hint="eastAsia" w:ascii="宋体" w:hAnsi="宋体" w:eastAsia="宋体" w:cs="宋体"/>
                <w:color w:val="auto"/>
                <w:spacing w:val="0"/>
                <w:position w:val="0"/>
                <w:sz w:val="24"/>
                <w:szCs w:val="24"/>
                <w:highlight w:val="none"/>
                <w:shd w:val="clear" w:fill="auto"/>
              </w:rPr>
              <w:t>投标人近三年（投标截止日前）完成的同类项目案例，要求必须提供投标人自身与最终用户签订的合同（包括合同首页、合同金额所在页、签字盖章页、供货明细单）作为证明，每提供一份得</w:t>
            </w:r>
            <w:r>
              <w:rPr>
                <w:rFonts w:hint="eastAsia" w:ascii="宋体" w:hAnsi="宋体" w:eastAsia="宋体" w:cs="宋体"/>
                <w:color w:val="auto"/>
                <w:spacing w:val="0"/>
                <w:position w:val="0"/>
                <w:sz w:val="24"/>
                <w:szCs w:val="24"/>
                <w:highlight w:val="none"/>
                <w:shd w:val="clear" w:fill="auto"/>
                <w:lang w:val="en-US" w:eastAsia="zh-CN"/>
              </w:rPr>
              <w:t>2</w:t>
            </w:r>
            <w:r>
              <w:rPr>
                <w:rFonts w:hint="eastAsia" w:ascii="宋体" w:hAnsi="宋体" w:eastAsia="宋体" w:cs="宋体"/>
                <w:color w:val="auto"/>
                <w:spacing w:val="0"/>
                <w:position w:val="0"/>
                <w:sz w:val="24"/>
                <w:szCs w:val="24"/>
                <w:highlight w:val="none"/>
                <w:shd w:val="clear" w:fill="auto"/>
              </w:rPr>
              <w:t>分，最高得</w:t>
            </w:r>
            <w:r>
              <w:rPr>
                <w:rFonts w:hint="eastAsia" w:ascii="宋体" w:hAnsi="宋体" w:eastAsia="宋体" w:cs="宋体"/>
                <w:color w:val="auto"/>
                <w:spacing w:val="0"/>
                <w:position w:val="0"/>
                <w:sz w:val="24"/>
                <w:szCs w:val="24"/>
                <w:highlight w:val="none"/>
                <w:shd w:val="clear" w:fill="auto"/>
                <w:lang w:val="en-US" w:eastAsia="zh-CN"/>
              </w:rPr>
              <w:t>6</w:t>
            </w:r>
            <w:r>
              <w:rPr>
                <w:rFonts w:hint="eastAsia" w:ascii="宋体" w:hAnsi="宋体" w:eastAsia="宋体" w:cs="宋体"/>
                <w:color w:val="auto"/>
                <w:spacing w:val="0"/>
                <w:position w:val="0"/>
                <w:sz w:val="24"/>
                <w:szCs w:val="24"/>
                <w:highlight w:val="none"/>
                <w:shd w:val="clear" w:fill="auto"/>
              </w:rPr>
              <w:t>分</w:t>
            </w:r>
            <w:r>
              <w:rPr>
                <w:rFonts w:hint="eastAsia" w:ascii="宋体" w:hAnsi="宋体" w:eastAsia="宋体" w:cs="宋体"/>
                <w:color w:val="auto"/>
                <w:spacing w:val="0"/>
                <w:position w:val="0"/>
                <w:sz w:val="24"/>
                <w:szCs w:val="24"/>
                <w:highlight w:val="none"/>
                <w:shd w:val="clear" w:fill="auto"/>
                <w:lang w:eastAsia="zh-CN"/>
              </w:rPr>
              <w:t>，未提供的不得分</w:t>
            </w:r>
            <w:r>
              <w:rPr>
                <w:rFonts w:hint="eastAsia" w:ascii="宋体" w:hAnsi="宋体" w:eastAsia="宋体" w:cs="宋体"/>
                <w:color w:val="auto"/>
                <w:spacing w:val="0"/>
                <w:position w:val="0"/>
                <w:sz w:val="24"/>
                <w:szCs w:val="24"/>
                <w:highlight w:val="none"/>
                <w:shd w:val="clear" w:fill="auto"/>
              </w:rPr>
              <w:t>。</w:t>
            </w:r>
          </w:p>
          <w:p w14:paraId="5301024B">
            <w:pPr>
              <w:keepNext w:val="0"/>
              <w:keepLines w:val="0"/>
              <w:pageBreakBefore w:val="0"/>
              <w:widowControl w:val="0"/>
              <w:tabs>
                <w:tab w:val="left" w:pos="5130"/>
              </w:tabs>
              <w:kinsoku/>
              <w:wordWrap/>
              <w:overflowPunct/>
              <w:topLinePunct w:val="0"/>
              <w:autoSpaceDE/>
              <w:autoSpaceDN/>
              <w:bidi w:val="0"/>
              <w:adjustRightInd w:val="0"/>
              <w:snapToGrid w:val="0"/>
              <w:spacing w:before="0" w:line="360" w:lineRule="auto"/>
              <w:ind w:left="0" w:right="0" w:firstLine="0"/>
              <w:jc w:val="both"/>
              <w:textAlignment w:val="auto"/>
              <w:rPr>
                <w:rFonts w:hint="eastAsia" w:ascii="宋体" w:hAnsi="宋体" w:eastAsia="宋体" w:cs="宋体"/>
                <w:b/>
                <w:bCs/>
                <w:color w:val="auto"/>
                <w:spacing w:val="0"/>
                <w:position w:val="0"/>
                <w:sz w:val="24"/>
                <w:szCs w:val="24"/>
                <w:highlight w:val="none"/>
                <w:shd w:val="clear" w:color="auto" w:fill="auto"/>
                <w:lang w:val="en-US" w:eastAsia="zh-CN"/>
              </w:rPr>
            </w:pPr>
            <w:r>
              <w:rPr>
                <w:rFonts w:hint="eastAsia" w:ascii="宋体" w:hAnsi="宋体" w:eastAsia="宋体" w:cs="宋体"/>
                <w:b/>
                <w:bCs/>
                <w:color w:val="auto"/>
                <w:spacing w:val="0"/>
                <w:position w:val="0"/>
                <w:sz w:val="24"/>
                <w:szCs w:val="24"/>
                <w:highlight w:val="none"/>
                <w:shd w:val="clear" w:color="auto" w:fill="auto"/>
              </w:rPr>
              <w:t>2.检测</w:t>
            </w:r>
            <w:r>
              <w:rPr>
                <w:rFonts w:hint="eastAsia" w:ascii="宋体" w:hAnsi="宋体" w:eastAsia="宋体" w:cs="宋体"/>
                <w:b/>
                <w:bCs/>
                <w:color w:val="auto"/>
                <w:spacing w:val="0"/>
                <w:position w:val="0"/>
                <w:sz w:val="24"/>
                <w:szCs w:val="24"/>
                <w:highlight w:val="none"/>
                <w:shd w:val="clear" w:color="auto" w:fill="auto"/>
                <w:lang w:val="en-US" w:eastAsia="zh-CN"/>
              </w:rPr>
              <w:t>报告6分</w:t>
            </w:r>
          </w:p>
          <w:p w14:paraId="1079C197">
            <w:pPr>
              <w:keepNext w:val="0"/>
              <w:keepLines w:val="0"/>
              <w:pageBreakBefore w:val="0"/>
              <w:widowControl w:val="0"/>
              <w:tabs>
                <w:tab w:val="left" w:pos="5130"/>
              </w:tabs>
              <w:kinsoku/>
              <w:wordWrap/>
              <w:overflowPunct/>
              <w:topLinePunct w:val="0"/>
              <w:autoSpaceDE/>
              <w:autoSpaceDN/>
              <w:bidi w:val="0"/>
              <w:adjustRightInd w:val="0"/>
              <w:snapToGrid w:val="0"/>
              <w:spacing w:before="0" w:line="360" w:lineRule="auto"/>
              <w:ind w:left="0" w:right="0" w:firstLine="0"/>
              <w:jc w:val="both"/>
              <w:textAlignment w:val="auto"/>
              <w:rPr>
                <w:rFonts w:hint="default" w:ascii="宋体" w:hAnsi="宋体" w:eastAsia="宋体" w:cs="宋体"/>
                <w:color w:val="auto"/>
                <w:spacing w:val="0"/>
                <w:position w:val="0"/>
                <w:sz w:val="24"/>
                <w:szCs w:val="24"/>
                <w:highlight w:val="none"/>
                <w:shd w:val="clear" w:color="auto" w:fill="auto"/>
                <w:lang w:val="en-US" w:eastAsia="zh-CN"/>
              </w:rPr>
            </w:pPr>
            <w:r>
              <w:rPr>
                <w:rFonts w:hint="eastAsia" w:ascii="宋体" w:hAnsi="宋体" w:eastAsia="宋体" w:cs="宋体"/>
                <w:color w:val="auto"/>
                <w:spacing w:val="0"/>
                <w:position w:val="0"/>
                <w:sz w:val="24"/>
                <w:szCs w:val="24"/>
                <w:highlight w:val="none"/>
                <w:shd w:val="clear" w:color="auto" w:fill="auto"/>
                <w:lang w:val="en-US" w:eastAsia="zh-CN"/>
              </w:rPr>
              <w:t>提供家具相关检测报告（粉末、钢材、木材质等），每提供一份得2分，最高得6分，未提供的不得分。</w:t>
            </w:r>
          </w:p>
          <w:p w14:paraId="5F249595">
            <w:pPr>
              <w:keepNext w:val="0"/>
              <w:keepLines w:val="0"/>
              <w:pageBreakBefore w:val="0"/>
              <w:widowControl w:val="0"/>
              <w:tabs>
                <w:tab w:val="left" w:pos="5130"/>
              </w:tabs>
              <w:kinsoku/>
              <w:wordWrap/>
              <w:overflowPunct/>
              <w:topLinePunct w:val="0"/>
              <w:autoSpaceDE/>
              <w:autoSpaceDN/>
              <w:bidi w:val="0"/>
              <w:adjustRightInd w:val="0"/>
              <w:snapToGrid w:val="0"/>
              <w:spacing w:before="0" w:line="360" w:lineRule="auto"/>
              <w:ind w:left="0" w:right="0" w:firstLine="0"/>
              <w:jc w:val="both"/>
              <w:textAlignment w:val="auto"/>
              <w:rPr>
                <w:rFonts w:hint="default" w:ascii="宋体" w:hAnsi="宋体" w:eastAsia="宋体" w:cs="宋体"/>
                <w:b/>
                <w:bCs/>
                <w:color w:val="auto"/>
                <w:spacing w:val="0"/>
                <w:position w:val="0"/>
                <w:sz w:val="24"/>
                <w:szCs w:val="24"/>
                <w:highlight w:val="none"/>
                <w:shd w:val="clear" w:color="auto" w:fill="auto"/>
                <w:lang w:val="en-US" w:eastAsia="zh-CN"/>
              </w:rPr>
            </w:pPr>
            <w:r>
              <w:rPr>
                <w:rFonts w:hint="eastAsia" w:ascii="宋体" w:hAnsi="宋体" w:eastAsia="宋体" w:cs="宋体"/>
                <w:b/>
                <w:bCs/>
                <w:color w:val="auto"/>
                <w:spacing w:val="0"/>
                <w:position w:val="0"/>
                <w:sz w:val="24"/>
                <w:szCs w:val="24"/>
                <w:highlight w:val="none"/>
                <w:shd w:val="clear" w:color="auto" w:fill="auto"/>
                <w:lang w:val="en-US" w:eastAsia="zh-CN"/>
              </w:rPr>
              <w:t>4.生产设备3分</w:t>
            </w:r>
          </w:p>
          <w:p w14:paraId="1C3B0324">
            <w:pPr>
              <w:keepNext w:val="0"/>
              <w:keepLines w:val="0"/>
              <w:pageBreakBefore w:val="0"/>
              <w:widowControl w:val="0"/>
              <w:tabs>
                <w:tab w:val="left" w:pos="5130"/>
              </w:tabs>
              <w:kinsoku/>
              <w:wordWrap/>
              <w:overflowPunct/>
              <w:topLinePunct w:val="0"/>
              <w:autoSpaceDE/>
              <w:autoSpaceDN/>
              <w:bidi w:val="0"/>
              <w:adjustRightInd w:val="0"/>
              <w:snapToGrid w:val="0"/>
              <w:spacing w:before="0" w:line="360" w:lineRule="auto"/>
              <w:ind w:left="0" w:right="0" w:firstLine="0"/>
              <w:jc w:val="both"/>
              <w:textAlignment w:val="auto"/>
              <w:rPr>
                <w:rFonts w:hint="default" w:ascii="宋体" w:hAnsi="宋体" w:eastAsia="宋体" w:cs="宋体"/>
                <w:color w:val="auto"/>
                <w:spacing w:val="0"/>
                <w:position w:val="0"/>
                <w:sz w:val="24"/>
                <w:szCs w:val="24"/>
                <w:highlight w:val="none"/>
                <w:shd w:val="clear" w:color="auto" w:fill="auto"/>
                <w:lang w:val="en-US" w:eastAsia="zh-CN"/>
              </w:rPr>
            </w:pPr>
            <w:r>
              <w:rPr>
                <w:rFonts w:hint="eastAsia" w:ascii="宋体" w:hAnsi="宋体" w:eastAsia="宋体" w:cs="宋体"/>
                <w:color w:val="auto"/>
                <w:spacing w:val="0"/>
                <w:position w:val="0"/>
                <w:sz w:val="24"/>
                <w:szCs w:val="24"/>
                <w:highlight w:val="none"/>
                <w:shd w:val="clear" w:color="auto" w:fill="auto"/>
                <w:lang w:val="en-US" w:eastAsia="zh-CN"/>
              </w:rPr>
              <w:t>投标人或生产厂家提供相关生产设备，提供折弯机、剪板机、打磨机、螺杆机、攻丝机、电焊机、抛丸机、铣边机、空压机、切管机、冲床等设备实拍图，每提供一份得0.5分，最高得3分，未提供的不得分。</w:t>
            </w:r>
          </w:p>
          <w:p w14:paraId="457EB4B5">
            <w:pPr>
              <w:keepNext w:val="0"/>
              <w:keepLines w:val="0"/>
              <w:pageBreakBefore w:val="0"/>
              <w:widowControl w:val="0"/>
              <w:tabs>
                <w:tab w:val="left" w:pos="5130"/>
              </w:tabs>
              <w:kinsoku/>
              <w:wordWrap/>
              <w:overflowPunct/>
              <w:topLinePunct w:val="0"/>
              <w:autoSpaceDE/>
              <w:autoSpaceDN/>
              <w:bidi w:val="0"/>
              <w:adjustRightInd w:val="0"/>
              <w:snapToGrid w:val="0"/>
              <w:spacing w:before="0" w:line="360" w:lineRule="auto"/>
              <w:ind w:left="0" w:right="0" w:firstLine="0"/>
              <w:jc w:val="both"/>
              <w:textAlignment w:val="auto"/>
              <w:rPr>
                <w:rFonts w:hint="default" w:ascii="宋体" w:hAnsi="宋体" w:eastAsia="宋体" w:cs="宋体"/>
                <w:b/>
                <w:bCs/>
                <w:color w:val="auto"/>
                <w:spacing w:val="0"/>
                <w:position w:val="0"/>
                <w:sz w:val="24"/>
                <w:szCs w:val="24"/>
                <w:highlight w:val="none"/>
                <w:shd w:val="clear" w:color="auto" w:fill="auto"/>
                <w:lang w:val="en-US" w:eastAsia="zh-CN"/>
              </w:rPr>
            </w:pPr>
            <w:r>
              <w:rPr>
                <w:rFonts w:hint="eastAsia" w:ascii="宋体" w:hAnsi="宋体" w:eastAsia="宋体" w:cs="宋体"/>
                <w:b/>
                <w:bCs/>
                <w:color w:val="auto"/>
                <w:spacing w:val="0"/>
                <w:position w:val="0"/>
                <w:sz w:val="24"/>
                <w:szCs w:val="24"/>
                <w:highlight w:val="none"/>
                <w:shd w:val="clear" w:color="auto" w:fill="auto"/>
                <w:lang w:val="en-US" w:eastAsia="zh-CN"/>
              </w:rPr>
              <w:t>5.售后服务管理成熟度5分</w:t>
            </w:r>
          </w:p>
          <w:p w14:paraId="11AC1E78">
            <w:pPr>
              <w:keepNext w:val="0"/>
              <w:keepLines w:val="0"/>
              <w:pageBreakBefore w:val="0"/>
              <w:widowControl w:val="0"/>
              <w:tabs>
                <w:tab w:val="left" w:pos="5130"/>
              </w:tabs>
              <w:kinsoku/>
              <w:wordWrap/>
              <w:overflowPunct/>
              <w:topLinePunct w:val="0"/>
              <w:autoSpaceDE/>
              <w:autoSpaceDN/>
              <w:bidi w:val="0"/>
              <w:adjustRightInd w:val="0"/>
              <w:snapToGrid w:val="0"/>
              <w:spacing w:before="0" w:line="360" w:lineRule="auto"/>
              <w:ind w:left="0" w:right="0" w:firstLine="0"/>
              <w:jc w:val="both"/>
              <w:textAlignment w:val="auto"/>
              <w:rPr>
                <w:rFonts w:hint="default" w:eastAsia="宋体"/>
                <w:color w:val="auto"/>
                <w:highlight w:val="none"/>
                <w:lang w:val="en-US" w:eastAsia="zh-CN"/>
              </w:rPr>
            </w:pPr>
            <w:r>
              <w:rPr>
                <w:rFonts w:hint="eastAsia" w:ascii="宋体" w:hAnsi="宋体" w:eastAsia="宋体" w:cs="宋体"/>
                <w:color w:val="auto"/>
                <w:spacing w:val="0"/>
                <w:position w:val="0"/>
                <w:sz w:val="24"/>
                <w:szCs w:val="24"/>
                <w:highlight w:val="none"/>
                <w:shd w:val="clear" w:color="auto" w:fill="auto"/>
                <w:lang w:val="en-US" w:eastAsia="zh-CN"/>
              </w:rPr>
              <w:t>根据投标人售后能力打分，提供五至八星级以上售后服务管理成熟度认证证书得3分，提供九至十星级售后服务管理成熟度认证证书得4分，提供十星级以上售后服务管理成熟度认证证书得5分，未提供的不得分。</w:t>
            </w:r>
          </w:p>
        </w:tc>
      </w:tr>
    </w:tbl>
    <w:p w14:paraId="0062A3D2">
      <w:pPr>
        <w:pStyle w:val="17"/>
        <w:numPr>
          <w:ilvl w:val="0"/>
          <w:numId w:val="0"/>
        </w:numPr>
        <w:rPr>
          <w:color w:val="auto"/>
          <w:highlight w:val="none"/>
        </w:rPr>
      </w:pPr>
    </w:p>
    <w:p w14:paraId="259B0D74">
      <w:pPr>
        <w:pStyle w:val="17"/>
        <w:rPr>
          <w:color w:val="auto"/>
          <w:highlight w:val="none"/>
        </w:rPr>
      </w:pPr>
    </w:p>
    <w:p w14:paraId="1DBE22C8">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最终得分为磋商小组所有成员计分的算术平均值，计算保留小数点两位，小数点后第三位四舍五入。</w:t>
      </w:r>
    </w:p>
    <w:p w14:paraId="308F69D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22.3磋商小组根据综合评分情况，按照评审得分由高到低顺序推荐成交候选供应商，并编写评审报告。综合得分相同的供应商，报价较低者优先；报价也相同的，由采购人自行确定。</w:t>
      </w:r>
    </w:p>
    <w:p w14:paraId="4FAE314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8901218">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22.5若供应商的报价高于项目预算，磋商小组有权根据采购人意见及其实际情况，拒绝该报价。</w:t>
      </w:r>
    </w:p>
    <w:p w14:paraId="0F9E618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24B246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22.7在竞争性磋商期间，供应商不得向竞争性磋商小组成员询问其它供应商竞争性磋商情况，不得进行旨在影响成交结果的活动。</w:t>
      </w:r>
    </w:p>
    <w:p w14:paraId="51E9966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22.8在竞争性磋商期间，采购人将有专门人员与供应商进行联络。</w:t>
      </w:r>
    </w:p>
    <w:p w14:paraId="4EB0618D">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23.竞争性磋商终止</w:t>
      </w:r>
    </w:p>
    <w:p w14:paraId="43B60B2D">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23.1出现下列情形之一时，采购人有权宣布竞争性磋商终止，并将理由通知所有供应商：</w:t>
      </w:r>
    </w:p>
    <w:p w14:paraId="164323B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（1）因情况变化，不再符合竞争性磋商适用情形的；</w:t>
      </w:r>
    </w:p>
    <w:p w14:paraId="4C675E5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（2）出现影响采购公正的违法、违规行为的；</w:t>
      </w:r>
    </w:p>
    <w:p w14:paraId="7CE3D11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（3）在采购过程中符合磋商文件要求的供应商不足3家的；</w:t>
      </w:r>
    </w:p>
    <w:p w14:paraId="5A67235C">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（4）在采购活动中因重大变故，采购任务取消的；</w:t>
      </w:r>
    </w:p>
    <w:p w14:paraId="0603D30C">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七、成交通知</w:t>
      </w:r>
    </w:p>
    <w:p w14:paraId="0F4AAD24">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24.成交通知</w:t>
      </w:r>
    </w:p>
    <w:p w14:paraId="6D50141D">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24.1在发出成交公告后请采购人、中标人登录周口市公共资源交易中心网（http://jyzx.zhoukou.gov.cn）自行下载成交通知书，成交通知书将作为签订合同的依据。</w:t>
      </w:r>
    </w:p>
    <w:p w14:paraId="3F13F2C0">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24.2成交通知书对采购人和成交供应商具有同等法律效力。成交通知书发出后，采购人改变成交结果，或者成交供应商放弃成交，应当承担相应的法律责任。</w:t>
      </w:r>
    </w:p>
    <w:p w14:paraId="6D29A706">
      <w:pPr>
        <w:spacing w:before="0" w:after="0" w:line="72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八、合同授予</w:t>
      </w:r>
    </w:p>
    <w:p w14:paraId="50689382">
      <w:pPr>
        <w:tabs>
          <w:tab w:val="left" w:pos="162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25.签订合同及合同的执行</w:t>
      </w:r>
    </w:p>
    <w:p w14:paraId="468F058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25.1采购人、成交供应商按照竞争性磋商文件确定的合同文本签订政府采购合同。</w:t>
      </w:r>
    </w:p>
    <w:p w14:paraId="5320C33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25.2采购人不得向成交供应商提出超过竞争性磋商文件以外的任何要求作为签订合同的条件，不得与成交供应商订立背离竞争性磋商文件确定的合同文本协议。</w:t>
      </w:r>
    </w:p>
    <w:p w14:paraId="4841440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4736EB2">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九、质疑处理</w:t>
      </w:r>
    </w:p>
    <w:p w14:paraId="2133AED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26.质疑程序及处理</w:t>
      </w:r>
    </w:p>
    <w:p w14:paraId="2CCE4BF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ED5616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26.2采购人在收到供应商的书面质疑后七个工作日内做出答复，并以书面形式通知质疑供应商和其他供应商，但答复内容不得涉及商业秘密。</w:t>
      </w:r>
    </w:p>
    <w:p w14:paraId="180192E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59BEB9D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6A9DEBE">
      <w:pPr>
        <w:spacing w:before="0" w:after="0" w:line="560" w:lineRule="auto"/>
        <w:ind w:left="0" w:right="0" w:firstLine="0"/>
        <w:jc w:val="both"/>
        <w:rPr>
          <w:rFonts w:ascii="宋体" w:hAnsi="宋体" w:eastAsia="宋体" w:cs="宋体"/>
          <w:color w:val="auto"/>
          <w:spacing w:val="0"/>
          <w:position w:val="0"/>
          <w:sz w:val="24"/>
          <w:highlight w:val="none"/>
          <w:shd w:val="clear" w:fill="auto"/>
        </w:rPr>
      </w:pPr>
    </w:p>
    <w:p w14:paraId="41A368BA">
      <w:pP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br w:type="page"/>
      </w:r>
    </w:p>
    <w:p w14:paraId="0E21FF7F">
      <w:pPr>
        <w:numPr>
          <w:ilvl w:val="0"/>
          <w:numId w:val="25"/>
        </w:num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采购项目内容及要求</w:t>
      </w:r>
    </w:p>
    <w:p w14:paraId="4683DA48">
      <w:pPr>
        <w:pStyle w:val="8"/>
        <w:numPr>
          <w:ilvl w:val="0"/>
          <w:numId w:val="0"/>
        </w:numPr>
        <w:rPr>
          <w:rFonts w:hint="default"/>
          <w:color w:val="auto"/>
          <w:highlight w:val="none"/>
          <w:lang w:val="en-US" w:eastAsia="zh-CN"/>
        </w:rPr>
      </w:pPr>
    </w:p>
    <w:p w14:paraId="2D7B4827">
      <w:pPr>
        <w:numPr>
          <w:ilvl w:val="0"/>
          <w:numId w:val="0"/>
        </w:numPr>
        <w:spacing w:before="0" w:after="0" w:line="480" w:lineRule="auto"/>
        <w:ind w:right="0" w:rightChars="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szCs w:val="22"/>
          <w:highlight w:val="none"/>
          <w:shd w:val="clear" w:fill="auto"/>
          <w:lang w:val="en-US" w:eastAsia="zh-CN"/>
        </w:rPr>
        <w:t>生物教室工程技术参数及数量</w:t>
      </w:r>
    </w:p>
    <w:tbl>
      <w:tblPr>
        <w:tblStyle w:val="13"/>
        <w:tblW w:w="895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7"/>
        <w:gridCol w:w="740"/>
        <w:gridCol w:w="6035"/>
        <w:gridCol w:w="780"/>
        <w:gridCol w:w="841"/>
      </w:tblGrid>
      <w:tr w14:paraId="5EB6E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 w:hRule="atLeast"/>
          <w:tblHeader/>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426E9">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序号</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C3BCF">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产品名称</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089D7">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基础参数</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61844">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数量</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4054B">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单位</w:t>
            </w:r>
          </w:p>
        </w:tc>
      </w:tr>
      <w:tr w14:paraId="29F07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8C9E1">
            <w:pPr>
              <w:keepNext w:val="0"/>
              <w:keepLines w:val="0"/>
              <w:widowControl/>
              <w:suppressLineNumbers w:val="0"/>
              <w:jc w:val="center"/>
              <w:textAlignment w:val="center"/>
              <w:rPr>
                <w:rFonts w:hint="eastAsia" w:ascii="宋体" w:hAnsi="宋体" w:eastAsia="宋体" w:cs="宋体"/>
                <w:b/>
                <w:bCs/>
                <w:i w:val="0"/>
                <w:iCs w:val="0"/>
                <w:color w:val="auto"/>
                <w:kern w:val="0"/>
                <w:sz w:val="20"/>
                <w:szCs w:val="20"/>
                <w:highlight w:val="none"/>
                <w:u w:val="none"/>
                <w:lang w:val="en-US" w:eastAsia="zh-CN" w:bidi="ar"/>
              </w:rPr>
            </w:pPr>
          </w:p>
        </w:tc>
        <w:tc>
          <w:tcPr>
            <w:tcW w:w="83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F09B2A2">
            <w:pPr>
              <w:keepNext w:val="0"/>
              <w:keepLines w:val="0"/>
              <w:widowControl/>
              <w:suppressLineNumbers w:val="0"/>
              <w:jc w:val="center"/>
              <w:textAlignment w:val="center"/>
              <w:rPr>
                <w:rFonts w:hint="eastAsia" w:ascii="宋体" w:hAnsi="宋体" w:eastAsia="宋体" w:cs="宋体"/>
                <w:b/>
                <w:bCs/>
                <w:i w:val="0"/>
                <w:iCs w:val="0"/>
                <w:color w:val="auto"/>
                <w:kern w:val="0"/>
                <w:sz w:val="20"/>
                <w:szCs w:val="20"/>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吊装实验室</w:t>
            </w:r>
          </w:p>
        </w:tc>
      </w:tr>
      <w:tr w14:paraId="02364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BCB5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397A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教师演示台</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35BC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Style w:val="23"/>
                <w:color w:val="auto"/>
                <w:highlight w:val="none"/>
                <w:lang w:val="en-US" w:eastAsia="zh-CN" w:bidi="ar"/>
              </w:rPr>
              <w:t>规格：长2800mm×宽700mm×高850mm</w:t>
            </w:r>
            <w:r>
              <w:rPr>
                <w:rStyle w:val="23"/>
                <w:color w:val="auto"/>
                <w:highlight w:val="none"/>
                <w:lang w:val="en-US" w:eastAsia="zh-CN" w:bidi="ar"/>
              </w:rPr>
              <w:br w:type="textWrapping"/>
            </w:r>
            <w:r>
              <w:rPr>
                <w:rStyle w:val="23"/>
                <w:color w:val="auto"/>
                <w:highlight w:val="none"/>
                <w:lang w:val="en-US" w:eastAsia="zh-CN" w:bidi="ar"/>
              </w:rPr>
              <w:t>1.台面采用12.7mm厚实芯理化板，外露边沿修圆弧，整体美观大方，耐高温、耐酸碱、耐腐蚀、不吸水、防火、阻燃、防静电、抗老化、无毒、无褪色、材质坚硬，牢固可靠。</w:t>
            </w:r>
            <w:r>
              <w:rPr>
                <w:rStyle w:val="23"/>
                <w:color w:val="auto"/>
                <w:highlight w:val="none"/>
                <w:lang w:val="en-US" w:eastAsia="zh-CN" w:bidi="ar"/>
              </w:rPr>
              <w:br w:type="textWrapping"/>
            </w:r>
            <w:r>
              <w:rPr>
                <w:rStyle w:val="23"/>
                <w:color w:val="auto"/>
                <w:highlight w:val="none"/>
                <w:lang w:val="en-US" w:eastAsia="zh-CN" w:bidi="ar"/>
              </w:rPr>
              <w:t>2.桌柜采用16mm厚聚木屑三聚氰胺双面板。</w:t>
            </w:r>
            <w:r>
              <w:rPr>
                <w:rStyle w:val="23"/>
                <w:color w:val="auto"/>
                <w:highlight w:val="none"/>
                <w:lang w:val="en-US" w:eastAsia="zh-CN" w:bidi="ar"/>
              </w:rPr>
              <w:br w:type="textWrapping"/>
            </w:r>
            <w:r>
              <w:rPr>
                <w:rStyle w:val="23"/>
                <w:color w:val="auto"/>
                <w:highlight w:val="none"/>
                <w:lang w:val="en-US" w:eastAsia="zh-CN" w:bidi="ar"/>
              </w:rPr>
              <w:t>3.桌架采用40mm×60mm×1.2mm方钢管。</w:t>
            </w:r>
            <w:r>
              <w:rPr>
                <w:rStyle w:val="23"/>
                <w:color w:val="auto"/>
                <w:highlight w:val="none"/>
                <w:lang w:val="en-US" w:eastAsia="zh-CN" w:bidi="ar"/>
              </w:rPr>
              <w:br w:type="textWrapping"/>
            </w:r>
            <w:r>
              <w:rPr>
                <w:rStyle w:val="23"/>
                <w:color w:val="auto"/>
                <w:highlight w:val="none"/>
                <w:lang w:val="en-US" w:eastAsia="zh-CN" w:bidi="ar"/>
              </w:rPr>
              <w:t>4.五金配件</w:t>
            </w:r>
            <w:r>
              <w:rPr>
                <w:rStyle w:val="23"/>
                <w:color w:val="auto"/>
                <w:highlight w:val="none"/>
                <w:lang w:val="en-US" w:eastAsia="zh-CN" w:bidi="ar"/>
              </w:rPr>
              <w:br w:type="textWrapping"/>
            </w:r>
            <w:r>
              <w:rPr>
                <w:rStyle w:val="23"/>
                <w:color w:val="auto"/>
                <w:highlight w:val="none"/>
                <w:lang w:val="en-US" w:eastAsia="zh-CN" w:bidi="ar"/>
              </w:rPr>
              <w:t>1）拉手：采用一字型铝合金拉手。</w:t>
            </w:r>
            <w:r>
              <w:rPr>
                <w:rStyle w:val="23"/>
                <w:color w:val="auto"/>
                <w:highlight w:val="none"/>
                <w:lang w:val="en-US" w:eastAsia="zh-CN" w:bidi="ar"/>
              </w:rPr>
              <w:br w:type="textWrapping"/>
            </w:r>
            <w:r>
              <w:rPr>
                <w:rStyle w:val="23"/>
                <w:color w:val="auto"/>
                <w:highlight w:val="none"/>
                <w:lang w:val="en-US" w:eastAsia="zh-CN" w:bidi="ar"/>
              </w:rPr>
              <w:t>2）铰链：采用铰链，最大开启角度110°，开启15º以内具有自闭功能。耐腐蚀、承重、经久耐用。</w:t>
            </w:r>
            <w:r>
              <w:rPr>
                <w:rStyle w:val="23"/>
                <w:color w:val="auto"/>
                <w:highlight w:val="none"/>
                <w:lang w:val="en-US" w:eastAsia="zh-CN" w:bidi="ar"/>
              </w:rPr>
              <w:br w:type="textWrapping"/>
            </w:r>
            <w:r>
              <w:rPr>
                <w:rStyle w:val="23"/>
                <w:color w:val="auto"/>
                <w:highlight w:val="none"/>
                <w:lang w:val="en-US" w:eastAsia="zh-CN" w:bidi="ar"/>
              </w:rPr>
              <w:t>3）导轨：采用超静音三节滚珠滑轨。</w:t>
            </w:r>
            <w:r>
              <w:rPr>
                <w:rStyle w:val="23"/>
                <w:color w:val="auto"/>
                <w:highlight w:val="none"/>
                <w:lang w:val="en-US" w:eastAsia="zh-CN" w:bidi="ar"/>
              </w:rPr>
              <w:br w:type="textWrapping"/>
            </w:r>
            <w:r>
              <w:rPr>
                <w:rStyle w:val="23"/>
                <w:color w:val="auto"/>
                <w:highlight w:val="none"/>
                <w:lang w:val="en-US" w:eastAsia="zh-CN" w:bidi="ar"/>
              </w:rPr>
              <w:t>4）地脚：ABS工程塑料可调脚，螺杆≥Φ10mm，具有减缓冲击力功能。</w:t>
            </w:r>
            <w:r>
              <w:rPr>
                <w:rStyle w:val="23"/>
                <w:color w:val="auto"/>
                <w:highlight w:val="none"/>
                <w:lang w:val="en-US" w:eastAsia="zh-CN" w:bidi="ar"/>
              </w:rPr>
              <w:br w:type="textWrapping"/>
            </w:r>
            <w:r>
              <w:rPr>
                <w:rStyle w:val="23"/>
                <w:color w:val="auto"/>
                <w:highlight w:val="none"/>
                <w:lang w:val="en-US" w:eastAsia="zh-CN" w:bidi="ar"/>
              </w:rPr>
              <w:t>结构：</w:t>
            </w:r>
            <w:r>
              <w:rPr>
                <w:rStyle w:val="23"/>
                <w:color w:val="auto"/>
                <w:highlight w:val="none"/>
                <w:lang w:val="en-US" w:eastAsia="zh-CN" w:bidi="ar"/>
              </w:rPr>
              <w:br w:type="textWrapping"/>
            </w:r>
            <w:r>
              <w:rPr>
                <w:rStyle w:val="23"/>
                <w:color w:val="auto"/>
                <w:highlight w:val="none"/>
                <w:lang w:val="en-US" w:eastAsia="zh-CN" w:bidi="ar"/>
              </w:rPr>
              <w:t>1.钢木左右结构；</w:t>
            </w:r>
            <w:r>
              <w:rPr>
                <w:rStyle w:val="23"/>
                <w:color w:val="auto"/>
                <w:highlight w:val="none"/>
                <w:lang w:val="en-US" w:eastAsia="zh-CN" w:bidi="ar"/>
              </w:rPr>
              <w:br w:type="textWrapping"/>
            </w:r>
            <w:r>
              <w:rPr>
                <w:rStyle w:val="23"/>
                <w:color w:val="auto"/>
                <w:highlight w:val="none"/>
                <w:lang w:val="en-US" w:eastAsia="zh-CN" w:bidi="ar"/>
              </w:rPr>
              <w:t>2.钢架采用“工”字形结构，前面放置木柜，木柜下设钢管托撑，并有M8mm螺丝顶固，带可调地脚；</w:t>
            </w:r>
            <w:r>
              <w:rPr>
                <w:rStyle w:val="23"/>
                <w:color w:val="auto"/>
                <w:highlight w:val="none"/>
                <w:lang w:val="en-US" w:eastAsia="zh-CN" w:bidi="ar"/>
              </w:rPr>
              <w:br w:type="textWrapping"/>
            </w:r>
            <w:r>
              <w:rPr>
                <w:rStyle w:val="23"/>
                <w:color w:val="auto"/>
                <w:highlight w:val="none"/>
                <w:lang w:val="en-US" w:eastAsia="zh-CN" w:bidi="ar"/>
              </w:rPr>
              <w:t>3.桌柜上设抽屉，下设储物柜；水槽柜设检修门；</w:t>
            </w:r>
            <w:r>
              <w:rPr>
                <w:rStyle w:val="23"/>
                <w:color w:val="auto"/>
                <w:highlight w:val="none"/>
                <w:lang w:val="en-US" w:eastAsia="zh-CN" w:bidi="ar"/>
              </w:rPr>
              <w:br w:type="textWrapping"/>
            </w:r>
            <w:r>
              <w:rPr>
                <w:rStyle w:val="23"/>
                <w:color w:val="auto"/>
                <w:highlight w:val="none"/>
                <w:lang w:val="en-US" w:eastAsia="zh-CN" w:bidi="ar"/>
              </w:rPr>
              <w:t>工艺：</w:t>
            </w:r>
            <w:r>
              <w:rPr>
                <w:rStyle w:val="23"/>
                <w:color w:val="auto"/>
                <w:highlight w:val="none"/>
                <w:lang w:val="en-US" w:eastAsia="zh-CN" w:bidi="ar"/>
              </w:rPr>
              <w:br w:type="textWrapping"/>
            </w:r>
            <w:r>
              <w:rPr>
                <w:rStyle w:val="23"/>
                <w:color w:val="auto"/>
                <w:highlight w:val="none"/>
                <w:lang w:val="en-US" w:eastAsia="zh-CN" w:bidi="ar"/>
              </w:rPr>
              <w:t>1.板材截面采用pvc封边条机械高温封边；</w:t>
            </w:r>
            <w:r>
              <w:rPr>
                <w:rStyle w:val="23"/>
                <w:color w:val="auto"/>
                <w:highlight w:val="none"/>
                <w:lang w:val="en-US" w:eastAsia="zh-CN" w:bidi="ar"/>
              </w:rPr>
              <w:br w:type="textWrapping"/>
            </w:r>
            <w:r>
              <w:rPr>
                <w:rStyle w:val="23"/>
                <w:color w:val="auto"/>
                <w:highlight w:val="none"/>
                <w:lang w:val="en-US" w:eastAsia="zh-CN" w:bidi="ar"/>
              </w:rPr>
              <w:t>2.钢材采用CO</w:t>
            </w:r>
            <w:r>
              <w:rPr>
                <w:rStyle w:val="24"/>
                <w:rFonts w:eastAsia="宋体"/>
                <w:color w:val="auto"/>
                <w:highlight w:val="none"/>
                <w:lang w:val="en-US" w:eastAsia="zh-CN" w:bidi="ar"/>
              </w:rPr>
              <w:t>₂</w:t>
            </w:r>
            <w:r>
              <w:rPr>
                <w:rStyle w:val="23"/>
                <w:color w:val="auto"/>
                <w:highlight w:val="none"/>
                <w:lang w:val="en-US" w:eastAsia="zh-CN" w:bidi="ar"/>
              </w:rPr>
              <w:t>保护焊焊接，钢材表面经喷砂抛丸去油除锈，静电喷涂；</w:t>
            </w:r>
            <w:r>
              <w:rPr>
                <w:rStyle w:val="23"/>
                <w:color w:val="auto"/>
                <w:highlight w:val="none"/>
                <w:lang w:val="en-US" w:eastAsia="zh-CN" w:bidi="ar"/>
              </w:rPr>
              <w:br w:type="textWrapping"/>
            </w:r>
            <w:r>
              <w:rPr>
                <w:rStyle w:val="23"/>
                <w:color w:val="auto"/>
                <w:highlight w:val="none"/>
                <w:lang w:val="en-US" w:eastAsia="zh-CN" w:bidi="ar"/>
              </w:rPr>
              <w:t>性能：1.台面双面膜耐腐蚀实芯理化板，耐酸、耐碱、耐高温，坚固耐用，防潮、无细孔、不膨胀、不龟裂、不变形、不导电、便于维护及具有良好的承重性；</w:t>
            </w:r>
            <w:r>
              <w:rPr>
                <w:rStyle w:val="23"/>
                <w:color w:val="auto"/>
                <w:highlight w:val="none"/>
                <w:lang w:val="en-US" w:eastAsia="zh-CN" w:bidi="ar"/>
              </w:rPr>
              <w:br w:type="textWrapping"/>
            </w:r>
            <w:r>
              <w:rPr>
                <w:rStyle w:val="23"/>
                <w:color w:val="auto"/>
                <w:highlight w:val="none"/>
                <w:lang w:val="en-US" w:eastAsia="zh-CN" w:bidi="ar"/>
              </w:rPr>
              <w:t>3.桌柜离地150mm左右，方便打扫卫生；</w:t>
            </w:r>
            <w:r>
              <w:rPr>
                <w:rStyle w:val="23"/>
                <w:color w:val="auto"/>
                <w:highlight w:val="none"/>
                <w:lang w:val="en-US" w:eastAsia="zh-CN" w:bidi="ar"/>
              </w:rPr>
              <w:br w:type="textWrapping"/>
            </w:r>
            <w:r>
              <w:rPr>
                <w:rStyle w:val="23"/>
                <w:color w:val="auto"/>
                <w:highlight w:val="none"/>
                <w:lang w:val="en-US" w:eastAsia="zh-CN" w:bidi="ar"/>
              </w:rPr>
              <w:t>4.水池柜：演示台一侧应设置水池柜，安放高密度黑色PPR一体化水槽，其内腔尺寸（长宽高）480mm×380mm×280mm。并设置活动检修门，便于进行维护。</w:t>
            </w:r>
            <w:r>
              <w:rPr>
                <w:rStyle w:val="23"/>
                <w:color w:val="auto"/>
                <w:highlight w:val="none"/>
                <w:lang w:val="en-US" w:eastAsia="zh-CN" w:bidi="ar"/>
              </w:rPr>
              <w:br w:type="textWrapping"/>
            </w:r>
            <w:r>
              <w:rPr>
                <w:rStyle w:val="23"/>
                <w:color w:val="auto"/>
                <w:highlight w:val="none"/>
                <w:lang w:val="en-US" w:eastAsia="zh-CN" w:bidi="ar"/>
              </w:rPr>
              <w:t>5.水嘴：喷塑三联式高位水嘴、陶瓷芯片水阀水槽。</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EB46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F434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r>
      <w:tr w14:paraId="04F7A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CBA5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65D5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生物实验室总控电源</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2FE3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产品外壳采用镀锌板折弯焊接成型，表面喷塑。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1.电源面板表面贴面膜，设有漏电总开关、交流220V五孔带防护插座。</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D170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8F42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09BAB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A41B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22E3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学生实验台</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EE3D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规格：长1200mm×宽600mm×高780mm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1.台面：台面采用≥12mm 双面膜理化板台面，学生位置设圆弧造型 两侧设阻水边。台面后方卡入学生桌铝型槽内。耐酸、耐碱、耐高温，坚固耐用，防潮、无细孔、不膨胀、不龟裂、不变形、不导电、便于维护及具有良好的承重性能。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2.结构：新型钢塑结构，符合人体工程学设计，美观大方。专用书包斗采用 ABS 工程塑料一次性注塑成型结合，内净尺寸≥365mm×280mm×120mm。镂空设计，底部设有排水孔，便于清理，不屯垃圾，中间设挂凳卡。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3.桌架：桌腿采用≥90mm×60mm×2mm 椭圆管模具一体成型为”Y”字型（不得二次焊接），下开口采用磨具成型改性工程塑料材料装饰，上端连接件采用铸铝一体成型，上框采用 20mm×30mm矩形管焊接成型，并用高强度内六角螺丝连接，便于组装及拆卸，外观流线形设计，简洁美观，易碰撞处全部采用倒圆角，产品款式要求整体设计美观、合理、安全、牢固、耐用。金属表面经静电粉沫喷涂处理。要做到承重性能强和耐酸碱、耐腐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4.挡水板：后挡水板采用≥1150mm×140mm×20mm 厚一体成型铝合金，左右堵头连接件采用ABS模具一体成型，固定于台架不易脱落，便于组装及拆卸，外观流线形设计，简洁美观,易碰撞处全部采用倒圆角，产品款式要求整体设计美观、合理、安全牢固、耐用。金属表面经静电粉沫喷涂处理。要做到承重性能强和耐酸碱、耐腐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5.桌脚：采用一体注塑模具成型，结构美观牢固，并设有防滑调整脚，同时可以与地面固定，防止桌体移动。采用专用注塑模具件装饰。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为保证产品质量以及从环保角度保障实验室人员健康，产品必须通过GB24820-2009《实验室家具通用技术条件》检测，符合以下技术参数及要求：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▲（1）、台面宽度，净操作面深度，台面高度，操作台高度，操作台下净空高，操作台下净空宽；满足第三方检测机构主要尺寸检测，检测结果均为符合。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▲（2）、外形尺寸偏差，台面翘曲度，台面平整度，底脚平稳性；满足第三方检测机构外形尺寸偏差及形状位置公差测检测，检测结果均为符合。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操作台面的裂缝和渗透，板件或部件的毛刺和光滑，封边或包边不应出现脱胶，贴面应严密和平整，零部件结合的严密和牢固，配件安装的无松动，金属件应闭口和焊接无虚焊，焊疤表面波纹应均匀、高低之差应不大于1mm，金属件涂层应无漏喷、锈蚀和脱色、掉色现象，涂层应光滑均匀、色泽一致、应无流挂、疙瘩、皱皮、飞漆等缺陷；满足第三方检测机构检测，检测结果均为符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▲（4）、台面磨耗值28mg/100r，表面情况应无露底现象，无整圈连续划痕、无开裂，耐龟裂性0级，无裂纹、鼓泡、起皱和无明显变色，无凸起、龟裂和 明显变色，耐干热1级，冲击凹坑直径7.5mm，化学实验台面抗化学试剂符合要求，耐高温，耐污染1级；满足第三方检测机构检测，检测结果均为符合。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▲（5）、金属喷(漆)塑涂层硬度3H，冲击强度符合要求，耐腐蚀10级；满足第三方检测机构检测，检测结果均为符合。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产品整体的力学性能经过水平静载荷试验，垂直静载荷试验，持续垂直静载荷，独立操作台水平冲击稳定性试验，独立操作台垂直加载稳定性试验，水平耐久性试验，垂直冲击试验；满足第三方检测机构检测，检测结果均为符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▲（7）、甲醛释放量：0.2mg/L；满足第三方检测机构检测，检测结果均为符合。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▲（8）、重金属含量中的可溶性铅、可溶性镉、可溶性铬、可溶性汞；满足第三方检测机构检测，检测结果均为符合。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响应文件中需提供国家认可的检测机构出具的检测报告（复印件盖供应商公章），原件现场核查。且报告中须反应以上（1）～（8）项技术指标。</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B9B9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28</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5E52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r>
      <w:tr w14:paraId="2B628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F9B8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2DCF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实验凳</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439A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规格：Φ315mm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1.螺旋式升降。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2.凳脚材质：4个凳脚采用17mm×34mm×1.2mm无缝钢管模具一次弯管成型。二氧化碳保护焊焊接，结构牢固，金属表面经静电粉沫喷涂处理。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3.凳面材质：采用聚丙烯共聚级注塑,厚5mm。表面细纹咬花，防滑不发光。凳面底部镶嵌4枚铜质螺纹，采用螺丝与圆型托盘固定。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4.脚垫材质：采用PP加耐磨纤维质塑料，实心倒勾式一体射出成型凳面与凳脚留有一定的空间便于凳子挂在挂凳扣上。方便教室的打扫。</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▲（1）、实验凳座高430mm，满足第三方检测机构主要尺寸及偏差检测，检测结果均为符合。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▲（2）、实验凳着地平稳性；满足第三方检测机构形状和位置公差检测，检测结果均为符合。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▲（3）、实验凳外观性能-金属件的喷涂层应涂层应无漏喷、锈蚀和脱色、掉色现象，涂层应光滑均匀、色泽一致，应无流挂、疙瘩、皱皮、飞漆；满足第三方检测机构检测，检测结果均为符合。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▲（4）、实验凳外观性能-塑料件应无裂纹，无明 显变形，应无明显缩孔、气泡、杂质、伤痕，外表用塑料件表面应光洁、无划痕，无污渍，无明显色差；满足第三方检测机构检测，检测结果均为符合。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▲（5）、实验凳应满足安全性能-结构安全的要求；满足第三方检测机构检测，检测结果均为符合。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▲（6）、实验凳金属喷漆 ( 塑 )涂层的硬度4H，冲击高度400mm,应无剥落、裂纹、皱纹，附着力1级，耐腐蚀应无鼓泡产生、无锈迹、剥落、起皱、变色 和失光等现象；满足第三方检测机构检测，检测结果均为符合。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▲（7）、实验凳的塑料件冲击强度29J/m²；满足第三方检测机构检测，检测结果均为符合。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实验凳整体的力学性能通过座面和椅背静载荷试验-座面静载荷试验，座面和椅背静载荷试验-椅背静载荷试验，座面耐久性试验，椅背耐久性试验，椅腿前向静载荷试验，椅腿侧向静载荷试验，座面冲击试验，椅背冲击试验，跌落试验，凳子任意方向的倾翻试验；满足第三方检测机构检测，检测结果均为符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▲（9）、实验凳重金属含量中的可溶性铅、可溶性镉、可溶性铬、可溶性汞；满足第三方检测机构检测，检测结果均为符合。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响应文件中需提供国家认可的检测机构出具的检测报告（复印件盖供应商公章），原件现场核查。且报告中须反应以上（1）～（9）项技术指标。</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6B78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57</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971D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r>
      <w:tr w14:paraId="61A01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452B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5B96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移动水槽台</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2981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规格：长600mm×宽460mm×高820mm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1.由柜体和水槽底座部分组成。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水槽内规格≥400mm×300mm×240mm,柜体底座采用ABS注塑成型，水槽采用PP塑料一次模具成型，确保柜体结构稳固；柜体前后带有磁吸检修门，方便日后维修，前沿带有围边挡水，带有防溢水孔，水槽预留安装水嘴孔，洗眼器孔，按压洗手液孔，柜体内设有隐藏式抽屉方便放置洗涤用品，水封式水塞可防止废水回流和堵塞。</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3.水嘴：喷塑三联式高位水嘴。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4.水槽专配型排水管，不锈钢卡扣连接，安装方便不渗漏，储水罐PP材质。</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AF45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BEBC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r>
      <w:tr w14:paraId="06B7F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13C1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0782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控制机柜</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C25E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1、外观设计整洁美观，采用1.0mm厚钢板经数控折弯加工，表面硅烷处理、喷塑。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2、箱门上安裝控制屏、启动开关，急停开关。</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控制箱内置3P总电源开关，智能控制总开关，漏电、过载、短路保护开关，485通讯输出，微电脑控制器及功能扩展模块，微电脑保护模块，急停控制系统，电源分组控制系统，照明分组控制系统，给排水控制系统，吊臂控制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FF13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FBCA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3356E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502D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8EE5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总控软件系统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7638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1、开机即用，无系统启动时间。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2、经密码验证之后，方可进入控制系统界面，以增加控制安全性。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3、接通总开关和支路开关，可集中或分组控制吊臂的升降、照明灯亮与灭、交流220V插座、给排水控制（排水自动检测并及时排水）、低压交直流电压输出并可控。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4、系统时间可设置、可延时关机、可定时关机。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5、可支持拓展远程控制系统使用。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6、控制柜与各个吊臂之间采用高可靠性的Modbus-RTU通讯协议下进行控制：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a、吊臂控制系统：教师通过智能控制屏对实验室进行单独、分组、全部控制，升、降、暂停，升、降到位后会自动停止。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b、电源控制系统：教师通过智能控制屏对实验室进行单独、分组、全部控制交流220V输出和学生用低压输出。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c、照明控制系统：教师通过智能控制屏对实验室吊仓上的照明进行单独、分组、全部控制。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d、给排水控制系统：每个学生终端配置一组水流自动检测传感器，当给水时自动进行排水控制；吊臂下方配有插拔式自动锁紧排水接口，接口与学生水槽柜下方水箱连接通过具有耐酸碱、耐腐蚀功能的改性PVC橡胶塑料软管连接，即插即用，用完拔下收起，给排水管具有到位检测功能，在没有拔下水管，吊臂不能收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7、总电源控制：可以通过选择触摸控制屏的电源界面，按下屏幕中间的“总电源”按键开机，再按关机。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8、吊臂升降控制：可以通过单选按键或屏下方的“全选”“反选”按键，选中位置号，按下吊臂升、吊臂暂停、吊臂降按键，吊臂执行相应操作，并在升降过程中，到达顶部和底部停止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照明灯控制：可以通过单选按键或屏下方的“全选”、“反选”按键，选中位置号，按下照明键，打开照明灯电源，再按下关闭照明灯电源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9、220V插座控制：可以通过单选按键或屏下方的“全选反选”按键，选中位置号，按 220V 电按键，打开220V插电源，再按下关闭220V插座电源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低压电源控制：可以通过单选按键或屏下方“全选”、“反选”按键，选中位置号，按下直流区域/交流区域，按下“锁电压”或“锁上限”弹出对话框，拖动电压条到设定位置，按确定输出直流/交流;可以在上限锁定后，学生在锁定范围内调整电压:可以在过载后进入恒流状态并关闭输出;可以在排除故障后，按学生端任意键复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11、给排水控制：可以通过单选按键或屏下方的“全选”、“反选”按键，选中位置号，按下给水开按键，打开给水，并进行排水;可以按下给水关按键，关闭给水，排水在废水排完后停止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12、通风控制：可以通过选择触摸屏的排风界面，按下“排风”按键，启动通风风机;可以滑动风速变化条改变风量大小;可以显示风量百分比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▲产品应符合GB/T 25000.51-2016《系统与软件工程系统与软件质量要求和评价(SQuaRE)第51部分:就绪可用软件产品(RUSP)的质量要求和测试细则》的检测要求，需提供国家认可的检测机构出具的检测报告（复印件盖供应商公章），原件现场核查。</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8878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2F2A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21C4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D64D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9072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控制屏</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D0EA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1、控制屏幕采用12.1寸，外部用铝合金包边，分辨率为1024*768。</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2、屏幕为电容触摸，支持单点、滑动触摸。</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2C91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321D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300A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7980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101E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远程控制系统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2FF0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1、远程控制系统自适应PC、平板、手机端，兼顾不同系统不同终端的使用需求。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2、远程控制系统采用终端账号统一管理，实现账号与实验室一一对应，避免误操作和账号管理分散，登录验证唯一性，保证安全。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3、远程控制系统与总控软件系统实时通信，保证状态实时同步，实现远程实时对总控软件系统的远程操作。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4、具有良好的拓展性，可以接入其他标准系统接口，实现对实验室产品控制功能的拓展。</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总电源控制：可以通过选择触摸控制屏的电源界面，按下屏幕中间的“总电源”按键开机，再按关机。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5、吊臂升降控制：可以通过单选按键或屏下方的“全选”“反选”按键，选中位置号，按下吊臂升、吊臂暂停、吊臂降按键，吊臂执行相应操作，并在升降过程中，到达顶部和底部停止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照明灯控制：可以通过单选按键或屏下方的“全选”、“反选”按键，选中位置号，按下照明键，打开照明灯电源，再按下关闭照明灯电源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6、220V插座控制：可以通过单选按键或屏下方的“全选反选”按键，选中位置号，按 220V 电按键，打开220V插电源，再按下关闭220V插座电源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低压电源控制：可以通过单选按键或屏下方“全选”、“反选”按键，选中位置号，按下直流区域/交流区域，按下“锁电压”或“锁上限”弹出对话框，拖动电压条到设定位置，按确定输出直流/交流;可以在上限锁定后，学生在锁定范围内调整电压:可以在过载后进入恒流状态并关闭输出;可以在排除故障后，按学生端任意键复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8、给排水控制：可以通过单选按键或屏下方的“全选”、“反选”按键，选中位置号，按下给水开按键，打开给水，并进行排水;可以按下给水关按键，关闭给水，排水在废水排完后停止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9、通风控制：可以通过选择触摸屏的排风界面，按下“排风”按键，启动通风风机;可以滑动风速变化条改变风量大小;可以显示风量百分比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10、系统设置：可以修改密码数据;可以设置开关机时间;可以查看报警日志、运行日志</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▲产品应符合GB/T 25000.51-2016《系统与软件工程系统与软件质量要求和评价(SOuaRE)第51部分:就绪可用软件产品(RUSP的质量要求和测试细则》，需提供国家认可的检测机构出具的检测报告（复印件盖供应商公章），原件现场核查。</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8CB9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D2BB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7CAB27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5947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4569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环境检测套件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301B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可在实验室加装温度、湿度等传感装置，实时监控房间内的温度和湿度，保障室内舒适的环境舒适性，在控制系统中进行显示</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6F3D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1484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2B14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1B87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8027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吊舱模组</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F9D9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Style w:val="23"/>
                <w:color w:val="auto"/>
                <w:highlight w:val="none"/>
                <w:lang w:val="en-US" w:eastAsia="zh-CN" w:bidi="ar"/>
              </w:rPr>
              <w:t>规格：1200mm×550mm×240mm</w:t>
            </w:r>
            <w:r>
              <w:rPr>
                <w:rStyle w:val="23"/>
                <w:color w:val="auto"/>
                <w:highlight w:val="none"/>
                <w:lang w:val="en-US" w:eastAsia="zh-CN" w:bidi="ar"/>
              </w:rPr>
              <w:br w:type="textWrapping"/>
            </w:r>
            <w:r>
              <w:rPr>
                <w:rStyle w:val="23"/>
                <w:color w:val="auto"/>
                <w:highlight w:val="none"/>
                <w:lang w:val="en-US" w:eastAsia="zh-CN" w:bidi="ar"/>
              </w:rPr>
              <w:t>1、材质：吊舱整体采用1mm冷轧钢板经数控折弯成型，连接处采用3mm冷轧钢板加固，金属框架部分为一体式结构，比分体式或拼插式结构具有更高的结构强度，内部设有20*40*1.2mm矩管做为加强龙骨，两侧设有LED灯，照度不小于150lx，下方设有可拆卸挡板，方便检修；工艺：钢材采用焊接机器人CO</w:t>
            </w:r>
            <w:r>
              <w:rPr>
                <w:rStyle w:val="24"/>
                <w:rFonts w:eastAsia="宋体"/>
                <w:color w:val="auto"/>
                <w:highlight w:val="none"/>
                <w:lang w:val="en-US" w:eastAsia="zh-CN" w:bidi="ar"/>
              </w:rPr>
              <w:t>₂</w:t>
            </w:r>
            <w:r>
              <w:rPr>
                <w:rStyle w:val="23"/>
                <w:color w:val="auto"/>
                <w:highlight w:val="none"/>
                <w:lang w:val="en-US" w:eastAsia="zh-CN" w:bidi="ar"/>
              </w:rPr>
              <w:t>保护焊焊接，表层采用去油、除锈、打磨、喷塑工艺处理。</w:t>
            </w:r>
            <w:r>
              <w:rPr>
                <w:rStyle w:val="23"/>
                <w:color w:val="auto"/>
                <w:highlight w:val="none"/>
                <w:lang w:val="en-US" w:eastAsia="zh-CN" w:bidi="ar"/>
              </w:rPr>
              <w:br w:type="textWrapping"/>
            </w:r>
            <w:r>
              <w:rPr>
                <w:rStyle w:val="23"/>
                <w:color w:val="auto"/>
                <w:highlight w:val="none"/>
                <w:lang w:val="en-US" w:eastAsia="zh-CN" w:bidi="ar"/>
              </w:rPr>
              <w:t>为保证产品质量以及从环保角度保障实验室人员健康，产品必须符合以下技术参数及要求：</w:t>
            </w:r>
            <w:r>
              <w:rPr>
                <w:rStyle w:val="23"/>
                <w:color w:val="auto"/>
                <w:highlight w:val="none"/>
                <w:lang w:val="en-US" w:eastAsia="zh-CN" w:bidi="ar"/>
              </w:rPr>
              <w:br w:type="textWrapping"/>
            </w:r>
            <w:r>
              <w:rPr>
                <w:rStyle w:val="23"/>
                <w:color w:val="auto"/>
                <w:highlight w:val="none"/>
                <w:lang w:val="en-US" w:eastAsia="zh-CN" w:bidi="ar"/>
              </w:rPr>
              <w:t>▲（1）、吊装舱依据GB24820-2009《实验室家具通用技术条件》测试，喷涂层涂层应无漏喷、锈蚀和脱色、掉色现象，涂层应光滑均匀、色泽一致，无流挂、疙瘩、皱皮、飞漆等缺陷，电镀层表面应无剥落、返锈、毛刺，表面应无烧焦、起泡、针孔、裂纹、花斑(不包括镀彩锌)和划痕；检测结果均为符合。</w:t>
            </w:r>
            <w:r>
              <w:rPr>
                <w:rStyle w:val="23"/>
                <w:color w:val="auto"/>
                <w:highlight w:val="none"/>
                <w:lang w:val="en-US" w:eastAsia="zh-CN" w:bidi="ar"/>
              </w:rPr>
              <w:br w:type="textWrapping"/>
            </w:r>
            <w:r>
              <w:rPr>
                <w:rStyle w:val="23"/>
                <w:color w:val="auto"/>
                <w:highlight w:val="none"/>
                <w:lang w:val="en-US" w:eastAsia="zh-CN" w:bidi="ar"/>
              </w:rPr>
              <w:t>▲（2）、吊装舱涂层-硬度为4H，耐腐蚀，抗盐雾；满足第三方检测机构检测，检测结果均为符合。</w:t>
            </w:r>
            <w:r>
              <w:rPr>
                <w:rStyle w:val="23"/>
                <w:color w:val="auto"/>
                <w:highlight w:val="none"/>
                <w:lang w:val="en-US" w:eastAsia="zh-CN" w:bidi="ar"/>
              </w:rPr>
              <w:br w:type="textWrapping"/>
            </w:r>
            <w:r>
              <w:rPr>
                <w:rStyle w:val="23"/>
                <w:color w:val="auto"/>
                <w:highlight w:val="none"/>
                <w:lang w:val="en-US" w:eastAsia="zh-CN" w:bidi="ar"/>
              </w:rPr>
              <w:t>▲（3）、吊装舱重金属含量中的可溶性铅、可溶性镉、可溶性铬、可溶性汞；满足第三方检测机构检测，检测结果均为符合。</w:t>
            </w:r>
            <w:r>
              <w:rPr>
                <w:rStyle w:val="23"/>
                <w:color w:val="auto"/>
                <w:highlight w:val="none"/>
                <w:lang w:val="en-US" w:eastAsia="zh-CN" w:bidi="ar"/>
              </w:rPr>
              <w:br w:type="textWrapping"/>
            </w:r>
            <w:r>
              <w:rPr>
                <w:rStyle w:val="23"/>
                <w:color w:val="auto"/>
                <w:highlight w:val="none"/>
                <w:lang w:val="en-US" w:eastAsia="zh-CN" w:bidi="ar"/>
              </w:rPr>
              <w:t>▲（4）、吊装舱依据GB/T9286-2021标准《色漆和清漆划格试验》测试，附着力为0级；</w:t>
            </w:r>
            <w:r>
              <w:rPr>
                <w:rStyle w:val="23"/>
                <w:color w:val="auto"/>
                <w:highlight w:val="none"/>
                <w:lang w:val="en-US" w:eastAsia="zh-CN" w:bidi="ar"/>
              </w:rPr>
              <w:br w:type="textWrapping"/>
            </w:r>
            <w:r>
              <w:rPr>
                <w:rStyle w:val="23"/>
                <w:color w:val="auto"/>
                <w:highlight w:val="none"/>
                <w:lang w:val="en-US" w:eastAsia="zh-CN" w:bidi="ar"/>
              </w:rPr>
              <w:t>响应文件中需提供国家认可的检测机构出具的检测报告（复印件盖供应商公章），原件现场核查。且报告中须反应以上（1）～（4）项技术指标。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5AA2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BEC6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6AE91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D999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935D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吊臂模组</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4B9E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1、吊臂由铝合金加工成型，表面和经环氧树脂粉末静电喷涂、高温固化处理，耐腐蚀，吊臂截面尺寸为80*40的D型管材，壁厚2mm；长度645mm。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2、吊臂模组可由总控系统控制升降，不使用时可收于吊舱之内，起到防止阻挡视线的功能。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3、吊臂模组可以实现单独控制、分组控制和整体控制。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4、在吊臂升降中，如遇障碍物可以实现回弹、或停止，避免出现机械故障或人员夹伤。</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8748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AACA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E68F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8C4A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6487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吊臂控制系统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4271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摇臂接收智能控制系统信号实现远程遥控，动力采用直流24V减速低压电机。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1、可通过总控系统对实验室的吊臂进行控制，可以实现单独控制、分组控制。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2、系统自带障碍物保护功能，具有防夹，防卡功能，当摇臂在运动的过程中遇到障碍物时会自动停止，具有过流保护功能。</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29E6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88FE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r>
      <w:tr w14:paraId="16A0D1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294D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9D75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吊舱端头模组</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DF28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规格：300mm×550mm×240mm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整体采用1mm冷轧钢板经数控折弯成型。连接处采用3mm冷轧钢板加固，整体框架为一体式结构.</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DEB6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5768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62602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D1DD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7497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电源分组控制系统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E914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1、可通过电源控制系统控制学生电源的220V供电的开启和关闭，可以实现单独控制、分组控制。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2、可通过电源控制系统控制选择学生电源的电源交、直流输出的开关。</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3、可通过电源控制系统锁定学生电源的低压交直流输出，锁定后受控学生电源不能修改。可锁定学生低压交直流输出上限，锁定后只可向下调整电压，解锁后学生方可自由调节。</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866B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28</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6F16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1A67D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F286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12BF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学生电源</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2CA5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1、学生电源安装于吊臂模组末端ABS塑料壳体之上。美观大方，壳体正面由钢板加工成型并贴面板膜，文字符号清晰，按键分布合理。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每个吊臂上安装两组学生电源，分别有低压交、直流输出香焦插座，五孔插座4个、过载短路复位开关1个，网线插孔2个，急停按钮1个。学生用电源设（∧、V、AC/DC按键、过载按任意键复位），2组1.3寸OLED显示屏，显示电压和电流输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学生用电源参数符合JY/T0374一2004标准中低压输出标准要求。符合以下性能要求：a.交流输出：电压0∨-30Ⅴ、显示±0.5V，每0.5V一档，可随负载变化自动稳压，0V-18V额定电流3A，18V-30V额定电流2A。b.直流稳压输出：电压0V-36Ⅴ、显示±0.2V，连续无极可调，每0.1V递增，0V-16V额定电流2A，16.1V-36V额定电流1A。电压稳定性：≤2%U标+0.1Ⅴ，负载稳定性：≤2%U标+0.1Ⅴ，波纹电压：电源电压保持220V，达到额定电流时&lt;3mV。c.电压电流：可实时输出电压和电流，电压分辩率0.1V，电流分辩率0.01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具备过载保护功能：交流输出0V-18V输出3.2A、16.1V-30∨输出2.2A，直流稳压输出0∨-16V输出2.1A、16.1V-36V输出1.1A，当输出过载或短路时电源进入恒流状态延时1分钟后自动关闭输出，并能启动不大于额定电流的白炽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5、电源输入：AC220Ⅴ±22V，50H±0.5Hz。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6、工作环境条件，温度0~40℃；湿度≤90%（40℃），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7、连续工作时间：输出电流在额定电流范围内，允许8小时连续使用。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8、急停按钮：单个吊臂使用端用电异常时，可快速切断此吊臂高低压电源。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9、国标五孔插座：带安全防护门，额定电流5A。交流220V输出有过载短路复位开关，避免因保险丝熔断更换造成的麻烦。</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062D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28</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CF11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组</w:t>
            </w:r>
          </w:p>
        </w:tc>
      </w:tr>
      <w:tr w14:paraId="5C9D6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8823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8763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给排水控制系统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45D5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自动排水模块1组、水模拟量控制器1组、电源控制器1套、自动保护系统1组。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所有排水由智能化控制系统集中控制，接口均采用自动锁紧插拔式连接方式（拔掉时没有污水流出），用时接上，不用时可收起。连接软管采用防爆PVC橡胶塑料，具有防酸、防碱、耐腐蚀功能，当学生水槽柜下方水箱水量达到一定值时系统自动排水、污水经过连接管排至顶部排水管总管后流出，当水槽柜下方水箱污水排净后排水系统自动关闭。控制系统设置一键排空功能，可一键将管道内所有的污水排空。</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4AA8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52B3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08B4E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1D48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756C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给排水模组</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5CAB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1、给排水接口采用PVC材质，具有耐酸碱，拔插轻松，不生锈；即插即用，具有高密封性能，即使在供水排水工作时，随时拔掉接口不会有任何滴漏现象。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2、给水主管选用φ20-32mmPP-R给水管，模块化设计，每组模块间采用活接式连接，方便安装、检修。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3、排水管选用加厚φ50-75mmPVC-U国标管（具有防酸、防碱、耐腐蚀功能），模块化设计，每组模块间采用活接式连接，方便安装、检修。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4、给水主管前端为减少水中颗粒物设置前置过滤器。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5、单个模组设置4分电磁阀。</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4452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21A3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BE69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92E2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C667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实验室灯</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D26D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规格：长1200mm×宽300mm×高15mm/长600mm×宽600mm×高15mm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1、功率：36W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2、色温：5000K±200K</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3、显指：Ra≥95,R9≥80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4、整灯光通量：≥3200LM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5、蓝光：RG0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6、频闪：无显著影响水平</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7、防护等级：IP40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8、寿命：50000h</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9、质保：5年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10、结构：金属底壳+微晶出光板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11、安装方式：吊装/嵌装</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331A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F7D1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盏</w:t>
            </w:r>
          </w:p>
        </w:tc>
      </w:tr>
      <w:tr w14:paraId="726D3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27C5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6381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安装支架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1750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采用专业连接件、吊装专用支架、三角连接件、吊装实验室专用安装支架和墙顶连接件、吊装挂件等。</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6459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37B6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室</w:t>
            </w:r>
          </w:p>
        </w:tc>
      </w:tr>
      <w:tr w14:paraId="0421C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C139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5723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系统调试</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9AAB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1.吊顶式安装系统采用模块化结构设计，采用吊装安装方式。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2.系统结构调试。</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3.系统控制调试。</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4.供电系统调试。</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5.照明系统调试。</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78E8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3C90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055C7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6CCF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C06A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系统安装辅件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9834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采用门型框架安装方式，减少楼板承重，防止左右晃动。主要辅件有：吊装专用支架、三角连接件、吊装实验室专用安装支架和墙顶连接件、吊装挂件等。</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38CE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BD65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r>
      <w:tr w14:paraId="2E282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A23B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774E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安装与实施</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0CA1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需要提供根据项目地的设计布局图、水电风路图等施工图纸。实验室水路布线系统铺设、电源布线系统铺设、台案安装，不包含土建。</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6518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640D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6FE03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5FAC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D592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仪器柜</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23B9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规格：长1000mm×宽500mm×高2000mm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1.柜体：侧板、顶底板采用改性PP材料模具一次成型，表面沙面和光面相结合处理，保证柜体之坚固及密封性，耐腐蚀性强，顶板、底板预留模具成型排风孔。底部镶嵌15mm*30*1.2mm钢制横梁，承重力强。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2.下柜柜门：内框采用改性PP材质模具一次成型，外嵌5mm厚钢化烤漆玻璃。上下拉手及三角对称五点固定，防止玻璃的松动或开合。伸缩式PP旋转门轴，四角圆弧倒角，内侧弧形圆边，配锁。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3.上柜柜门：内框采用改性PP材质模具一次成型，外嵌5mm厚钢化烤漆玻璃，中间烤漆镂空制作。上下拉手及三角对称五点固定，防止玻璃的松动或开合。伸缩式PP旋转门轴，四角圆弧倒角，内侧弧形圆边。配锁。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层板：上柜配置两块活动层板，下柜配置一块活动层板，层板全部采用改性PP材料模具一次成型，表面沙面和光面相结合处理，四周有阻水边，底部镶嵌两根15mm*30*1.2mm钢制横梁，承重力强。整体设计为活动式，可随意抽取放在合适的隔层，自由组合各层空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5.拉手：采用改性PP材料模具一次成型，直角梯形四周倒圆与柜门平行，开启方便。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6.门铰链：采用改性PP材料模具一次成型，伸缩式PP旋转门轴，永不生锈，耐腐蚀性好。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4ADB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C454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组</w:t>
            </w:r>
          </w:p>
        </w:tc>
      </w:tr>
      <w:tr w14:paraId="1A908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9C56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3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C2A756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生物学创新实验仪器</w:t>
            </w:r>
          </w:p>
        </w:tc>
      </w:tr>
      <w:tr w14:paraId="4C703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90CC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F7DF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电子显微镜</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5E67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一、显微镜参数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1.目镜：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①宽视野WF10X目镜；视野直径18mm,工作距离24.95mm。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 目镜放大率准确度不超过±4.67%。</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2.物镜：DIN消色差物镜系统。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 成像清晰圆直径：4X:≥13.7；  10X:≥14；40X:≥13.6；100X:≥11.0。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 齐焦允差：10X→4X: ≤±0.028；10X→40X: ≤±0.018；40X→100X: ≤±0.015。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③ ▲ 10X物镜景深内偏摆：≤0.05mm。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④ ▲ 显微镜物镜放大准确度：≤±2.8%。</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3.物镜共轭距离：195mm。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4.观察头：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铰链式三目头，30°倾斜，可以360°自由转动。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双筒的调节范围为55mm-75mm。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③ ▲  倾斜式目镜筒作360°旋转时目镜焦平面上像中心的位移≤0.45mm。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5.转换器：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滚动轴承结构，定位准确保证显微镜齐焦和中心统一。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 转换器稳定性：≤0.020mm。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6.载物台：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双层机械式载物台，面积125*125mm。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X,Y方向移动范围40*60mm;移动精度0.1mm。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③ ▲ 用机械使标本在5mm*5mm范围内移动时的离焦量≤0.010mm。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④ ▲ 载物台侧向受5N水平方向作用力最大位移≤0.005mm；不重复性≤0.005mm。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7.聚光镜：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阿贝聚光镜(N.A:1.25)。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 聚光镜上升到最高位置，顶端低于载物台表面的距离≤0.26mm。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8.调焦系统：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采用粗、微同轴的齿轮齿条调焦机构。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 微调机构空回≤0.008mm。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9.光源系统：3.5V/1W LED光源，可通过调光拨盘调节照明亮度， LED灯光柔和寿命长（约100000小时）安全性好，发热少。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10.双目系统：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 左右两系统放大率差≤1.35%。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 双目系统左右两像面光谱色一致，明暗差≤12.8%。</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③ ▲ 双目系统左右视场中心偏差：上下≤0.14mm;左右外侧≤0.20mm；左右内侧≤0.20mm。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④ ▲ 双目系统左右光轴平行度：水平发散≤36′；水平汇聚≤16′；垂直交叉≤22′。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⑤ ▲ 零视度时，左右系统的目镜端面位置差≤0.20mm。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二、一体式数码液晶屏摄像系统: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▲11、机身一体化设计,仪器打开包装箱通上电源即可呈现镜下图像，无需再进行目镜、物镜及其他部件的组装；液晶屏与机身一体式设计，拆开包装，液晶屏与机身已完好连接非分体式设计。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12、一体化数码摄像系统，1/2.8 英寸逐行扫描传感器，高清晰彩色芯片， 2592*1944 像素 CMOS 感光芯片。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▲13、10.1 寸液晶显示屏，分辨率≥1920*1200；支持UVC、 USB 、HDMI接口输出。USB座可以正常连接电脑，实现电脑与显微镜之间的数据传输；支持 UVC 和显示屏同时输出；HDMI导出全高清数字信号。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▲14、嵌入式LINUX系统；运行更简单，操作更便捷。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▲15、具备WIFI6功能，支持AP模式和STA模式；AP模式可以无线连接手机、平板等智能终端设备，STA模式下可以组成无线互动系统。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学生端直接通过图像传感器经CPU处理后直接驱动LCD屏幕显示；有效防止因学生误操作断开网络等原因中断信号，确保图像品质以及稳定性。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内置式显微镜数码头具备网络数据连接功能，可将将64台数码显微镜图像，经过高速传输处理器汇聚处理后，教师可通过图像互动系统，实现多视频实时传输、实时显示，保证速度流畅、画质清晰。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参数带“▲”项需提供第三方检测机构出具的具有CMA或CNAS标识的检测报告内容佐证。</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2C1B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91BC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09B11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9BFC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F8A8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光学显微镜</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1D95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1.目镜：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①宽视野WF10X目镜；视野直径18mm,工作距离24.95mm。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 目镜放大率准确度不超过±4.67%。</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2.物镜：DIN消色差物镜系统；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▲成像清晰圆直径：4X:≥7.2；  10X:≥7.4；40X:≥6.8；100X:≥4.8；</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▲齐焦允差：10X➝ 4X: ≤±0.035；10X➝ 40X: ≤±0.028；40X➝100X: ≤ ±0.028；</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③ ▲0X物镜景深内偏摆：≤0.05mm；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④ ▲显微镜物镜放大准确度：≤±1.2%。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3.物镜共轭距离：195mm。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4.观察头：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铰链式双目头，30°倾斜，可以360°自由转动；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双筒的调节范围为55mm-75mm；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③ ▲倾斜式目镜筒作360°旋转时目镜焦平面上像中心的位移≤0.48mm。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5.转换器：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滚动轴承结构，定位准确保证显微镜齐焦和中心统一；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▲转换器稳定性：≤0.025mm。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6.载物台：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双层机械式载物台，面积125*125mm;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X,Y方向移动范围40*60mm;移动精度0.1mm；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③ ▲用机械使标本在5mm*5mm范围内移动时的离焦量≤0.012mm；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④ ▲载物台侧向受5N水平方向作用力最大位移≤0.005mm；不重复性≤0.005mm。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7.聚光镜：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阿贝聚光镜(N.A:1.25)；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▲聚光镜上升到最高位置，顶端低于载物台表面的距离≤0.4mm。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8.调焦系统：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采用粗、微同轴的齿轮齿条调焦机构；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▲微调机构空回≤0.006mm；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9.光源系统：3.5V/1W LED光源，可通过调光拨盘调节照明亮度， LED灯光柔和寿命长（约100000小时）安全性好，发热少。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10.双目系统：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① ▲左右两系统放大率差≤0.40%；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② ▲双目系统左右两像面光谱色一致，明暗差≤16.5%；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③ ▲双目系统左右视场中心偏差：上下≤0.12mm;左右外侧≤0.12mm；左右内侧≤0.10mm；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④ ▲双目系统左右光轴平行度：水平发散≤26′；水平汇聚≤18′；垂直交叉≤15′；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⑤ ▲ 零视度时，左右系统的目镜端面位置差≤0.18mm。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16.两镜臂中间设置有DC5.5*—2.5mm母头，可插入外置LED上光源做体视显微镜使用。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参数“▲”项提供第三方检测机构出具的具有CMA或CNAS标识的检测报告。</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A207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A27F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639F5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DF45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B62F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数据采集器</w:t>
            </w:r>
          </w:p>
        </w:tc>
        <w:tc>
          <w:tcPr>
            <w:tcW w:w="6035" w:type="dxa"/>
            <w:tcBorders>
              <w:top w:val="single" w:color="000000" w:sz="4" w:space="0"/>
              <w:left w:val="single" w:color="000000" w:sz="4" w:space="0"/>
              <w:bottom w:val="single" w:color="000000" w:sz="4" w:space="0"/>
              <w:right w:val="nil"/>
            </w:tcBorders>
            <w:shd w:val="clear" w:color="auto" w:fill="auto"/>
            <w:vAlign w:val="center"/>
          </w:tcPr>
          <w:p w14:paraId="67A2570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1、模块化结构，透明外壳设计，内含状态、电源指示灯；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2、与计算机采用USB2.0通讯协议，四路全数字通道，单通道最大采样率20KByte，采集器最大采样率80KByte，数字通道采样精度达5微妙；</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3、通过USB接口供电，无需外接电源，所有端口具备防静电保护功能；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4、与传感器采用BT自锁接口，支持热插拔，即插即用，传感器可以任意组合，采集分辨率12bits；</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5、内置双处理器主板，CPU主频48Mhz；支持有线/无线状态下的四通道并行采集；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6、采用插接式结构，可根据实验教学需要，方便有线、无线工作模式切换。</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BAC9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6FE7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5B9CC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DF04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1CFF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无线接口</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5F8D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1、模块化结构；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2、采用无线方式接入四种相同或不同的传感器并支持四通道并行采集，全数字通道；</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3、与数据采集采用SATA接口连接；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4、无线接口自带指示灯，可指示传感器连接通道。</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5522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F2C5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14660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D9EE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60BD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传感器无线发射模块</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E3BC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1、模块化结构，独立无线传输模块，协议传输，20m内互不干扰。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2、自动识别，通过与各种传感器组合使之具备与采集器的无线通讯功能，可实现多通道长距离无线传输，满足实验教学需求。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3、连接插口采用通用BT接口，具有方向性和自锁功能，可以防止传感器脱落保证数据传输稳定，支持热插拔，可连接专用充电线进行充电。</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3300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0684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60A2D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1A1B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7320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传感器数据显示模块</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0C1D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1、模块化设计既可以与传感器通过BT接口连接，也可以与计算机通过USB直接连接。数据的获取和上传无需通过数据采集器即可实现；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2、自带≥1.8寸彩色LED屏，可实时显示传感器数据；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3、自动识别传感器及测量范围和分度。无需按键调控，简洁、美观、实用，减少因按键失灵造成的实验功能缺失；</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4、接口采用BT接口连接，自带锁扣，有效防止脱落。同时具有单向连接属性，避免因连接失误导致的数据传输失败。支持热插拔，使用寿命：≥10000次插拔；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5、自带≥8M内存；</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数据上传有线模式：数据显示模块自带miniUSB接口，可与计算机连接。通过软件将数据上传并自动绘制变化图像。导出数据以Excel形式保存，图像可以图片的形式保存。可用于编制实验报告上传至实验评测系统进行数据统计及分析（也可结合学校实际情况上传至云端服务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7、数据上传无线模式：设备自带X二维码，可用移动手持终端（手机、平板等）通过移动端实验软件扫描，导出实验数据，并绘制变化图线；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8、自带可充电锂电池，最大电池容量不低于1100MAh。全铜触点，双保电芯，自动锁电。3.7V。满电最大待机续航时间≥240h。可通过专用充电器完成充电，也可通过数据上传有线模式完成充电。</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47CB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CCFD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68BA7A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3A61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1141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传感器转接模块</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03FF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两端分别是BT接头与BT接口转换器，用于特种传感器与无线发射模块或数据显示模块的转接</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2EE5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415D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7A403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AA40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3D8F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温度传感器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9972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1、测量范围：-50℃～200℃；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3、不锈钢探针，可测各种物体或溶液的温度；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B152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180E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423DE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17B0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7351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相对压强传感器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6FC0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1、测量范围：-20kPa~+20kPa；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2、分度：0.01 kPa；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3、可用于测量气体的相对压强；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1308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6EB9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7E3DA9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2686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EBEC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相对湿度传感器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3D72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1、测量范围：0～100%；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3、测量灵感件置于探管中，便于测量罐体的湿度值；</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57AB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345E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6C0EA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B1DE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AA19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pH传感器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D02C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1、测量范围：0-14；</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2、分度：0.01，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3、具有快速响应的特点，测量数据能在5秒内达到真实值的90%， 10秒内稳定；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59D5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70B0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0F2AC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3D8C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849C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多量程电导率传感器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9BEA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1、测量范围：0~20000μS/cm；分度：10μS/cm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测量范围：0~2000μS/cm；分度：1μS/cm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测量范围：0~200μS/cm；分度：0.1μS/cm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E367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626B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698F5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9547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51CB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氧气传感器B</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5EC3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1、测量范围：0～30%；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2、分度：0.01%；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3、自带硬件校准按钮；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28EA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1180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4D20B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5512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8C44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溶解氧传感器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7418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 mg/L～20mg/L；</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2、分度：0.01 mg/L；</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3、带有温补功能；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1378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994E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6B26CC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3D9B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F56B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二氧化碳传感器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1266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 ppm～50000ppm；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2、分度1ppm；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3、红外原理，为保证测量数据准确性和时效性，要求该传感器采用泵动循环，方便气体循环；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2978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6EA5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2AD3D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8A6F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F0F7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色度传感器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8FB0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1、测量范围：透光率0～100％；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2、分度：0.1％，三波长光源（R、G、B）测量；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0E40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DD52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35DB1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1596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1646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二氧化硫传感器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71D4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 ppm～20ppm，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2、分度0.01 ppm；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8AE7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2AC1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2E73B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E3EB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6CA1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气态酒精传感器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DECF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1、测量范围：0mg/L～2mg/L；</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6EE7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AA2B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415B4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59D1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3965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心电图传感器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806E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1、测量范围：-5mV ～5mV</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2、用于生成EKG曲线，能清晰的显示出人体P波、QRS波、T波与U波，可通过RR间期计算出心率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3、尺寸：不大于80mm*41mm*25（±5mm,不含电极夹具）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73CB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889F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BC47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8084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101E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心率传感器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081E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1、测量范围：0次～200次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2、可通过专用软件实时显示心率大小以及心电心率波形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3、尺寸：不大于80mm*41mm*25（±5mm,不含电极夹具）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7、支持系统：windows、Android、iOS系统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▲提供省级或以上教育相关部门出具的检测报告</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CFD4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0096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0A337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7CEB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EAAB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呼吸率传感器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0412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1、满足人体生理特征；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5、支持系统：windows、Android、iOS系统。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▲提供省级或以上教育相关部门出具的检测报告</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97F9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34B4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7DDEA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F7E7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AF84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红外温度传感器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5A28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1、测量范围：-70℃~+380℃；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3、不锈钢探针，可测各种物体或溶液的温度；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706C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9411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5BD94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72F3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66F3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压强传感器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99DF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 kPa～700 kPa；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2、分度：0.1 kPa；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3、自带传感器固定卡槽和螺口，便于和配套实验器材固定；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6、支持系统：windows、Android、iOS系统。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配件：20ml注射器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FF2F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B192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281BF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E0CF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D3E2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微电流传感器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EB06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1、测量范围：-5μA～5μA；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2、分度：0.01μA；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3、鳄鱼夹导线，便于与多种电学仪器连接；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8、支持系统：</w:t>
            </w:r>
            <w:r>
              <w:rPr>
                <w:rFonts w:hint="eastAsia" w:ascii="宋体" w:hAnsi="宋体" w:eastAsia="宋体" w:cs="宋体"/>
                <w:i w:val="0"/>
                <w:iCs w:val="0"/>
                <w:color w:val="auto"/>
                <w:kern w:val="0"/>
                <w:sz w:val="20"/>
                <w:szCs w:val="20"/>
                <w:highlight w:val="none"/>
                <w:u w:val="none"/>
                <w:lang w:val="en-US" w:eastAsia="zh-CN" w:bidi="ar"/>
              </w:rPr>
              <w:t>windows、Android、iOS系统</w:t>
            </w:r>
            <w:r>
              <w:rPr>
                <w:rFonts w:hint="eastAsia" w:ascii="宋体" w:hAnsi="宋体" w:eastAsia="宋体" w:cs="宋体"/>
                <w:i w:val="0"/>
                <w:iCs w:val="0"/>
                <w:color w:val="auto"/>
                <w:kern w:val="0"/>
                <w:sz w:val="20"/>
                <w:szCs w:val="20"/>
                <w:highlight w:val="none"/>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680B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C80B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7A498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EE44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125F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氧气传感器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F81E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1、测量范围：1～100%；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3、自带硬件校准按钮；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6、支持系统：</w:t>
            </w:r>
            <w:r>
              <w:rPr>
                <w:rFonts w:hint="eastAsia" w:ascii="宋体" w:hAnsi="宋体" w:eastAsia="宋体" w:cs="宋体"/>
                <w:i w:val="0"/>
                <w:iCs w:val="0"/>
                <w:color w:val="auto"/>
                <w:kern w:val="0"/>
                <w:sz w:val="20"/>
                <w:szCs w:val="20"/>
                <w:highlight w:val="none"/>
                <w:u w:val="none"/>
                <w:lang w:val="en-US" w:eastAsia="zh-CN" w:bidi="ar"/>
              </w:rPr>
              <w:t>windows、Android、iOS系统</w:t>
            </w:r>
            <w:r>
              <w:rPr>
                <w:rFonts w:hint="eastAsia" w:ascii="宋体" w:hAnsi="宋体" w:eastAsia="宋体" w:cs="宋体"/>
                <w:i w:val="0"/>
                <w:iCs w:val="0"/>
                <w:color w:val="auto"/>
                <w:kern w:val="0"/>
                <w:sz w:val="20"/>
                <w:szCs w:val="20"/>
                <w:highlight w:val="none"/>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88E2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BE9C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68042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4846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7382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二氧化碳传感器B</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8724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1、测量范围：0~100000mL/m3；</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2、分度：1mL/m3用于检测气体中二氧化碳含量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3、自带硬件校准按钮；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w:t>
            </w:r>
            <w:r>
              <w:rPr>
                <w:rFonts w:hint="eastAsia" w:ascii="宋体" w:hAnsi="宋体" w:eastAsia="宋体" w:cs="宋体"/>
                <w:i w:val="0"/>
                <w:iCs w:val="0"/>
                <w:color w:val="auto"/>
                <w:kern w:val="0"/>
                <w:sz w:val="20"/>
                <w:szCs w:val="20"/>
                <w:highlight w:val="none"/>
                <w:u w:val="none"/>
                <w:lang w:val="en-US" w:eastAsia="zh-CN" w:bidi="ar"/>
              </w:rPr>
              <w:t>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FDEB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8593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027BD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AE76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68BD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溶解二氧化碳传感器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81DA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1、测量范围：4.4 ppm ~1800ppm；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2、分度：0.1 ppm；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3、可检测水中二氧化碳含量；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0D95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157B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31F1A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29B5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B7DA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双量程光照度传感器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A6F3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 lx～5000lx～50000lx，分度：1 lx、10 lx；</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2、连接插口采用BT接口，具有方向性和自锁功能，可以防止传感器脱落保证数据传输稳定；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3、支持与采集器的有线通讯、无线通讯和彩屏独立数据显示三种工作方式，支持热插拔；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4、可在windows、iOS、鸿蒙和安卓系统（手机或平板）下分别进行实验。</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F2D4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D1C6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0978F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156D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ED7F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甲烷传感器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0FC2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2、分度：0.01%；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3、可检测气体中甲烷含量；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DE04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E808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68065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9797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90D9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一氧化碳传感器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C2C5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1、测量范围：0～1000ppm；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2、分度：1ppm；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3、自带传感器固定口，便于传感器固定；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4、自带硬件调零按钮；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5、模块化设计，可与有线接口、无线发射模块、数据显示模块连接，实现有线通讯、无线通讯、独立彩屏数据显示三种工作模式；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543F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A317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32D57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644A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CF17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学生健康指标测量系统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24AC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由采集器、呼吸率传感器、皮肤电阻传感器、心电图传感器、血压/心率传感器、耳蜗式无线体温传感器、充电器、数据线、收纳袋及APP组成。可同时测量体温、血压、心率、呼吸率、皮肤电阻、心电图共6项人体生理指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89C4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8D74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64B50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CC8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99B8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磁力固定座</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1D9C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三角型底座配三个强力磁铁，铝合金支柱，适用于固定较大型实验器材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D971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3B11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75E05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D8C3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F3CF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多用途生化传感器支架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6331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由机械臂、传感器电极夹及固定夹组成，机械臂固定在实验台边，能在三维空间内灵活移动并准确定位，稳定性好；电极夹口径适合常用生化传感器的电极，方便生化实验操作，具有保护传感器不受损坏、提高空间利用率和实验效率功能。</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B27A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3FC5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16228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124D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06AD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多向转接头</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C360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配合各类传感器和辅材可进行多向固定</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8668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0967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69B84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77F2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3355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磁力搅拌器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52C4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电源：AC220V±10%；搅拌转速：0～1500r/min；最大搅拌容量：1000ml；加热功率：200W；适合中和滴定、溶液多种参数测量实验。</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B263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E46A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CAB6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DCFE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04D8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溶液稀释池</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A145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倒置三角烧杯结构，上端开口，底端封闭，配合实验室匀速滴管使用。用于稀释倍数较大，且对初始溶解有一定量要求的化学实验;提供自主知识产权证明文件、产品图片复印件。</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5EA6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5F8A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30BDC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9F77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C408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气液相密封实验器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57BF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与生物化学传感器密闭连接，可完成陆水生植物光合作用、种子萌发、呼吸作用、酶的特性等实验；</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AF7F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45AD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117CC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69D9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B29A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袖珍生化密封实验器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342A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与生物化学传感器密闭连接，可完成陆水生植物光合作用、种子萌发、呼吸作用、酶的特性等实验</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FA8C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71E3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626AA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80D6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073E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酶的高效性实验器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A709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由Y型管和胶塞总成构成，配合相对压强传感器使用进行生物酶的特性等实验。</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42CE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B563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4739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C7AD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5EB7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多用途密封塞 </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2793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配合压强传感器、温度传感器、二氧化碳传感器、氧气传感器使用，可以与实验室常用玻璃容器结合。</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4B06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A75A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02178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AABE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98F3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数字化实验软件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D7F2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1、为数字化实验分析软件软件。用于数据收集和结果分析。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2、包含教材通用软件、物理教材专用软件、化学专用软件、生物专用软件、传感器校准软件与数据导入软件六个部分。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2.1、通用软件：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可实现传感器数据的自动识别及控制：传感器接入后自动识别测量种类、测量范围、分度、单位、通道序号等。可改变传感器的显示方式：数字表、模拟表、示波。可根据实验调整传感器的采样频率、开始与暂停、字体颜色、字号大小、调零、示波图线的移动及大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组合图线：拥有2个完全相同的组合图线显示窗口，可并行使用。通过该功能的应用可完成基于传感器的实时数据变化的描绘和计算表格数据描绘及分析、处理等操作。数据的分析及处理包括：拟合、求导、积分、统计、包格线等。可通过回访功能重复观察实验的变化规律。对图像可根据实验进行放大、缩小。可对引用的传感器进行同步的停止和开始，达到很好的同时性；可对引用的传感器进行同步的调零，达到很好的一致性；可对引用的传感器进行同步采样频率调整，达到很好的精确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计算表格：可自动识别接入的传感器，并按照接入的通道自动标号。可通过变量、公式、求平均、绘图等按钮对数据进行处理。根据不同的实验要求可选择自动记录和手动记录。自动记录可调整时间间隔、选择采样条件，手动记录可根据需要进行点击记录，有效减少无效数据对实验结果的干扰。可引用现有实验模板也可DIY实验模板，并保存。支持表格的复制、粘贴、剪切。具备放大缩小功能，还支持打印机直接引用（无需退出实验软件），进行结果打印。实验结果可通过Excel形式进行保存。也可将保存的数据多次调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（4）实验录制：可同时将实验操作过程和软件的实验界面进行同屏录制，实现了实验现象和数据的对应。解决了数字实验无现象的难题（为减少软件操作复杂性，用其他软件录屏视为功能性缺失。）</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2.2、物理专用软件：界面简洁、风格独特、一键OK的特点。思涵盖了人教、粤教、鲁科等教材的重点实验。明确了实验题目，使用时直接接入传感器即可。大大的方便了课堂教学。实验完全符合现行教材，用户可直接根据教材进行实验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2.3、化学专用软件：涵盖了初高中重点实验，起到温故知新的作用。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2.4、生物专用软件：涵盖了初高中重点实验，起到温故知新的作用。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2.5、传感器校准软件：根据国际计量公用应用规范，针对生物、化学传感器进行校准，以减少误差，提高精度。应用于PH、溶解氧、色度、浊度、氧化还原等传感器。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2.6、数据导入软件：和数据显示模块配合使用，将数据显示模块的数据导入电脑进行长期保存和数据处理。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3、应用平台：支持windows、Android、iOS系统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62B6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321F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67240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55FB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76DE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附件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41F2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1、含USB通讯线1条、转接器4只、传感器线4条；两端为BT插头，插口具有方向性和自锁功能插接方便、配合严密、方便教学；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2、彩色印刷版高中实验指南书，有详细实验案例介绍（实验器材、实验装置图、实验操作步骤等）。</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4C42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7B13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554C2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E98F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A1A1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铝合金箱</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5EF9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尺寸≥510*340*175（mm），由铝合金主架、铝塑板面构成，内设隔断海棉内衬传感器铝合金实验箱</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C870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8AA4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3C33C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6ADB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2EA7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计算机数据采集处理系统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542E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CPU：不低于Intel酷睿13代I7处理器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液晶屏：≥15.6” FHD LED防眩光液晶显示屏（1920x1080），配置合金转轴，屏幕180度开合，更加牢固、美观、耐用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卡：支持高保真, 内置麦克风，双扬声器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内存：≥16G DDR5 5200MHz内存，双内存插槽设计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硬盘：≥512G SSD PCIe-NVME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无线网卡：RJ45千兆有线网卡，802.11 AX 2x2无线网卡（支持WIFI6协议）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标准接口：不少于3个USB接口（含1个全功能type-c接口）HDMI接口、耳麦二合一接口、HDMI2.0接口、耳麦二合一接口、RJ45接口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摄像头：720P高清摄像头，支持物理防窥功能，保护个人隐私安全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标配电池: 内置≥47WHr锂电池电池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操作系统：原厂正版Windows 11 或以上操作系统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C824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E4E8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1620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D4AD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0DF6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超净工作台</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4F20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1、主体采用冷轧钢板静电喷涂工艺，耐酸碱，美观大方，垂直层流送风，防止操作室内部样品相互交叉污染，45度下倾式操作面板，便于实验操作时进行调节；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2、工作台面选用优质304不锈钢材质，美观、易清理、耐腐蚀；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▲3、4.3寸嵌入式液晶彩色触摸屏控制,可显示温度、湿度、光照度，具有温度补偿功能，开启温度补偿键，进行温度补偿，便于湿冷环境的操作；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▲4、显示开机时间和持续运行时间；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▲5、可以预约杀菌时间，节约实验准备时间，具有杀菌定时功能；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6、洁净等级：100级，0.5μm；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7、菌落数：0.5个/皿·时(Φ90mm 培养平皿)；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8、光照度：300LX；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9、单向交流：220V/50Hz；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10、最大功耗：0.3kW，内有紫外杀菌接种器接入电源，振动半峰值 ≤0.5μm(X.Y.Z方向)；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11、高效过滤器规格及数量：715mm×460mm×46mm（±20mm），一个；</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12、荧光灯15W一个，紫外灯15W一个；</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▲13、风速：0.25-0.45m/s(标配高、中、低档三速)；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▲14、噪声：62dB；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15、外型尺寸（长*宽*高）：850mm×600mm×1600mm（±20mm）；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16、工作区尺寸（长*宽*高）：700mm×550mm×520mm（±20mm）；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▲17、电源：AC220V/50Hz；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▲18、功率：不大于200W。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提供省级以上（含省级）质量检测机构检测报告复印件加盖厂家公章，带▲参数第3、4、5、13、14、17、18项必须在出具的检测报告中体现。</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455F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2E02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194BA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04A0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1523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磁力搅拌恒温水浴锅</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A60E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1、孔数：四孔；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2、功率：800W；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3、控温范围：室温+5℃～99.9℃，温度均匀性：±0.5℃，水温波动±0.5℃；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4、数显；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5、外壳：不锈钢。不锈钢内胆拉伸成型，外壳静电绝缘喷塑；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6、控温系统：微机PID智能控制。延时控温装置。</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7334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38E1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28E93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B61D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9897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紫外线消毒灯</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BA78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无菌室闪烁警示灯提醒装置，单独控制，独立线路，含安装。</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AC7C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43C5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54055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2ED0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EA0C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榨汁机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3DBB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≥18000r/min，≥1.0L</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57A1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ECC8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6BBA3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6E84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EEBE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梯度基因扩增仪（科研型）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F94B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1、6个温度循环器专用长寿命Peltier模块，组成3组回路可独立控制3个温区；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2、模块类型：0.2ml×96孔；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3、适用管型：0.2ml，8联排管，12联排管，96孔微孔板，兼容无裙边、半裙边96孔PCR反应板；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▲4、温度范围：在0-105℃范围可调；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▲5、变温速率：：在0-5℃/秒可调；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6、温度均匀性：≤±0.2℃；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7、温度准确度：≤±0.1℃；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▲8、梯度宽度： 1-42℃；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9、控温方式：模拟管+模块；</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▲10、电源适应性：仪器在220V±10%，AC50/60Hz供电条件下正常工作；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11、变温速度可调：是；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12、液晶显示：10.1英寸液晶屏+电容式触摸屏；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13、可存储程序数：机内20000+U盘储存无限制；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14、最大循环数：200；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15、断电保护：有；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16、宽电压范围：100-240VAC, 50/60Hz；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17、热盖温度：30℃-115℃可调；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▲18、热盖结构：自适应压杆式热盖，能完成合盖紧盖功能；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▲19、风道结构：前进后出式风道；</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▲20、运行指示灯带：有循环亮和常亮模式可选；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▲21、操作方式：采用安卓操作系统，可使用触摸屏和鼠标操作使用；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22、实时显示程序进展及剩余时间，支持PCR仪运行中间编程；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23、一键快速孵育功能，满足变性、酶切/酶连、ELISA等实验需要；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24、内置多个标准程序文件模板，能快速编辑所需文件；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25、支持实验程序结束发送邮件提醒功能；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26、内置WIFI模块，用电脑或手机通过网络连接可实现一机同时控制多台PCR仪；</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27、支持U盘升级软件；终生维护。</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提供质量检测机构检测报告扫描件，参数第4、5、8、10、18、19、20、21项必须在出具的检测报告中体现。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▲提供厂家质保书复印件及加盖公章彩页样本</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7A9E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80B7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0E8E4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03ED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EDB1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电泳仪</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4F38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四组输出，输出电压：2V～200V、输出电流：2mA～200mA，具有36V电压限制、稳压和稳流功能</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6737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3764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764AE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6D22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428D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DNA电泳图谱观察仪</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9785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非紫外光源，观察凝胶面积＞100mm×100mm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564D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52F2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2C18D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B6F5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D2FE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水平电泳槽</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8AF9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1、适用鉴定、分离、制备DNA及测定其分子量；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2、专用制胶器模具成型，制胶方便；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3、透明上盖开孔式设计，便于散热，方便观察；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4、凝胶托盘带有荧光标尺，便于观察；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5、高柔韧性双色导线，开盖断电，确保安全；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6、聚碳酸酯注塑成型，无渗漏桥式设计，节省缓冲液；</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7、耐高温，不变形限位功能，操作准确；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8、可拆卸电极架及电极头，方便彻底清洗和维修；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9、凝胶面积（W×L）：60×60（mm）；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10、样品通量：（1.0mm厚）8、14；（1.5mm厚）8、14齿；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11、缓冲液容积：～260（ml）；</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12、外形尺寸（长*宽*高）： 270mm×115mm×110mm（±20mm）。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4E1F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50B1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52783B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C263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F292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微量移液器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3FFA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1、人体学的手柄挂钩设计,；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2、管嘴弹出按钮设计轻巧，PP退管装置；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3、清晰的显示读数窗口，量程连续可调；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4、管嘴化学材料具有极好的耐化学腐蚀性，整支灭菌；</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5、五种规格为一套，量程分别为：0.5-10μL、10-100μL、20-200μL、100-1000μL、1000-5000μL。</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▲产品需具有国家二级计量站出具的校检报告复印件加盖厂家公章</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357A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F3F8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4DB3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3EC9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B047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微量离心管（0.2ml和0.5ml）</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6994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0.2ml和0.5ml各1000个</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91F5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8317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批</w:t>
            </w:r>
          </w:p>
        </w:tc>
      </w:tr>
      <w:tr w14:paraId="0784E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E3D6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1795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台式高速离心机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A84E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1、整机设计符合人机工程学，流线型设计，全钢结构，不锈钢离心腔，安全美观实用；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2、TFT真彩大屏幕触控液晶显示，智能化控制、简单方便地操作、触摸面板，同时显示设定参数和运行参数；                                                                                                                 3、无刷直流变频电机驱动，运行宁静；</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▲4、设有离心力切换专用键；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▲5、采用静音机电，一体化电机门锁；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6、设有减震装置，减少振动，运行平稳，噪音≤54 dBA；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7、10种升、降速率选择，最快升速30秒，最快降速30秒；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8、技术参数：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▲标配角转子：12×1.5ml；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▲最高转速:16500r/min；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▲最大离心力:18780xg；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▲电机：无刷直流变频电机；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▲定时范围:0-99h59min。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提供省级以上（含省级）质量检测机构检测报告复印件加盖厂家公章，带▲参数第4、5、8项参数必须在出具的检测报告中体现。</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750F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FB88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042561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0A58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3763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台式低速离心机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035A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1、采用直流无刷电机，单片机控制,转速,时间全数显,全触摸,可预选，自动平衡,电动门锁,操作简便；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2、最高转速：4000r/min；</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3、最大相对离心力：2100xg；</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4、定时范围：0-99min；</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5、离心最大容量：12*5ml；</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6、电源：AC220V 50Hz 10A 450w。</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7AEC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4DCB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2F268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AAF0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A67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微波炉</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B60D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≥20L</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9E73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6705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14C41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F35C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3AEA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分析天平</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09F9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1、大屏幕：大屏幕TFT液晶显示器，提供丰富的称量显示信息，方便读取；</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2、完全拆卸式结构设计，方便运输，用户使用时清洁方便；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3、显示模块、CPU数字处理模块、电磁机械传感器部分分离式结构设计，可避免相互干扰影响，提高仪器抗干扰精度；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4、用户操作：丰富的操作信息提示，帮助用户更高效的完成工作流程；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5、内置程序：标配的便于使用的内置应用程序，以用于各种称量任务具有零点跟踪和自动去皮功能；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6、卓越的红外感应操作系统，能让您“左右”互搏之间，可设置操作自动校正和去皮功能；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7、电磁平衡式传感器，仪器稳定性和运算速度都得到了提升；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8、全铝制底座设计，防止低频震动，增强称量稳定性；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9、实际分度值：0.1mg；</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10、最大称量范围：200g；</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11、可重复性标准偏差：0.0001g；</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12、校准砝码值：200g；</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13、类型：外部自动校准；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14、天平的外形尺寸：365mm×223mm×338mm（±20mm）；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15、天平的包装尺寸：500mm×310mm×450mm（±20mm）；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16、秤盘尺寸：Ф80mm；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17、风罩有效容积：160mm×165mm×200mm。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7B61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1759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25DDF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BC70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DC66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研磨过滤器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09CB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容量20mL</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BCBD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25</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50F0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r>
      <w:tr w14:paraId="5C83A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8E25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1BC4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生物玻片</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3390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蚕豆叶下表皮装片、胞间连丝切片、迎春叶横切、黑藻叶装片、线粒体切片、酵母菌装片、水绵装片、大肠杆菌涂片、细菌三型涂片、草履虫分裂生殖装片、人血涂片、蛙血涂片、动物上皮细胞装片、骨骼肌纵横切、平滑肌分离装片、心肌切片、运动神经元装片、蝗虫精巢减数分裂切片、植物花粉减数分裂装片、正常人染色体装片各60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1BC4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7437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批</w:t>
            </w:r>
          </w:p>
        </w:tc>
      </w:tr>
      <w:tr w14:paraId="170C5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5D6F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C19F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植物细胞模型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D395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以洋葱表皮细胞为参考材料，长260mm，宽120mm，高65mm，材料釆用PvC环保树脂制作，置于白塑料色底板上。产品示细胞辟，细胞膜，细胞核，核仁和液泡等结构。</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08A8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831C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19030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1818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2C3F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植物细胞模型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（真核细胞）</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C94B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材料釆用PvC环保树脂制作，置于白塑料色底板上。产品示细胞辟，细胞膜，细胞核，核仁、粗面内质网、光滑面内质网、叶绿体、线立体、和中央液泡等结构。长115mm，宽40mm，高16mm，</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DDBD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1F34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13072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9FDD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F746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植物细胞模型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CC15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PvC吸塑制造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E95D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5A41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39342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8378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020C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细胞器结构模型6件组成</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6FE7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pvC环保硬树脂制造，叶绿体长240mm高150mm，高尔基体长250mm高100mm，线立体长160mm高80mm，内质网长90mm，宽90mm</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B132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7BCC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59CC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71D2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C308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动植物细胞有丝分裂及减数分裂模型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4C6F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动物细胞﹕1间期、2前期早期、3前期、4中期、5后期、6未期、各个别阶段组成。植物细胞﹕1间期、2前期联会阶段、3四分体阶段、4中期、5后期、6未期各个阶段组成。</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AF86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20B7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5FB9A2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B176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B129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细胞亚显微结构模型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86BE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PVC材质。显示细胞核、细胞质等，产品尺寸﹕175mm*210mm*230mm产品釆用环保PvC硬树脂制造。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5386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E1F0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9064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6C24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30E4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动植物细胞对比模型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389A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动植物细胞对比模型 PVC制。植物模型长15cm，宽9cm；动物模型长14cm，宽11cm。</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F4A4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0A48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7D8E5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FA8F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0789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细胞膜结构模型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96E5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生物模型，放大1千倍用于讲解细胞膜结构结构。材质为PVC，无毒且环保耐用。产品尺寸；220mm*180mm*110mm。产品纹路清晰。</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6C0B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22BF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763C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48AB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E39B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细胞膜结构模型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1C8E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生物模型，用于讲解细胞膜结构结构。材质为PVC，无毒且环保耐用。产品尺寸；220mm*180mm*110mm。产品纹路清晰。</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2A81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6FAC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5FEB74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B170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02D7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细胞膜流动镶嵌模型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D421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适用于高中生物课堂演示实验用；产品釆用环保PvC硬树脂制造。产品尺寸﹕340mm*150mm*150mm</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D30B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EEF1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78CF0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4453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9FD3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动物细胞模型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9AFC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放大2000倍，1；原生质膜。2；细胞质。3；核。4；核膜，5；核仁，6；染色质，7；中心体，8；高尔基体，9；内质网，10；光滑的内质网，11；线立体，12；溶酶体，13；脂滴，14核糖体。产品尺寸﹕290mm*200mm*100mm,pvC环保硬树脂制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0A1B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87A5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件</w:t>
            </w:r>
          </w:p>
        </w:tc>
      </w:tr>
      <w:tr w14:paraId="311CD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4FC4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3A4A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动物细胞模型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1BDA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放大数百倍，1；原生质膜。2；细胞质。3；核。4；核膜，5；核仁，6；染色质，7；中心体，8；高尔基体，9；内质网，10；光滑的内质网，11；线立体，12；溶酶体，13；脂滴，14﹕核糖体。产品尺寸﹕120mm*60mm*140mm,pvC环保硬树脂制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7B90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32AD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件</w:t>
            </w:r>
          </w:p>
        </w:tc>
      </w:tr>
      <w:tr w14:paraId="5783F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F4C4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5EF6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浸制标本</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6E34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脊椎动物五纲脑比较标本、脊椎动物五纲心比较标本、蛙的消化泄殖系统标本、鸽的消化泄殖系统标本、兔生殖系统标本、兔消化系统标本、兔神经系统标本、河蚌解剖标本、蚯蚓解剖标本、水蛭标本、沙蚕标本、海盘车标本、马面鲀标本、鲨鱼标本、比目鱼标本、沼虾标本、真鲷鱼标本、缁鱼标本、圆蛛浸制标本、蜈蚣标本、尺蠖拟态标本、珍贵植物标本各一件，菌类植物保色浸制10种。</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CF65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0F53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批</w:t>
            </w:r>
          </w:p>
        </w:tc>
      </w:tr>
      <w:tr w14:paraId="17BFA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FA3C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0801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温室改造</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D52C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1、拆除人行道：6cm透水砖140m2；新建厚10cm 宽度 0.8-1.2m 透水砖140m2；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2、金属（塑钢、断桥）窗更换2樘；</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3、栽植高杆月季110株；塑料种植皿11组；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4、拆除及安装梯形塑料种植皿80m；塔形种植皿安装6组；螺旋形种植皿安装2组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5、安装50供水管30m；安装室内32供水管6m；过滤器1组；水喷淋(雾）DN25喷头21个；鱼水共生系统清理安装1组；防爆日光灯安装3套</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6、程控柜调整调试1台；温室配套1组；其它费用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7C46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ECA4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r>
      <w:tr w14:paraId="67295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9CAB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83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7D864B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远程教学中心</w:t>
            </w:r>
          </w:p>
        </w:tc>
      </w:tr>
      <w:tr w14:paraId="5BA8B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9167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8EDD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高清AI录播主机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7F9E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1.主机需具备录制、导播、自动跟踪、音频编码、视频编码、音频处理、视频处理、存储、点播、互动等功能；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▲2.视频接口：数字视频接口D-Video（RJ45）≥6，HDMI输入≥2，HDMI输出≥2路，分辨率均支持1080P@30fps(提供具有国家权威检测机构出具的检测报告复印件并加盖厂家公章);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▲3.音频接口：Linein接口≥2，Lineout≥2，数字音频接口D-Mic（RJ45）≥6(提供具有国家权威检测机构出具的检测报告复印件并加盖厂家公章)；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4.主机架构：整体采用嵌入式、标准1U机架式设计；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5.网络接口：RJ45≥1，支持100/1000M网络自适应及IPv4、IPv6双协议栈；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6.控制接口：RJ45≥2，支持RS232串行通信协议进行外接控制；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7.外设接口：USB2.0≥2；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8.系统存储≥2T；</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▲9.支持视频一线通，支持</w:t>
            </w:r>
            <w:r>
              <w:rPr>
                <w:rFonts w:hint="eastAsia" w:ascii="宋体" w:hAnsi="宋体" w:eastAsia="宋体" w:cs="宋体"/>
                <w:i w:val="0"/>
                <w:iCs w:val="0"/>
                <w:color w:val="auto"/>
                <w:kern w:val="0"/>
                <w:sz w:val="20"/>
                <w:szCs w:val="20"/>
                <w:highlight w:val="none"/>
                <w:u w:val="none"/>
                <w:lang w:val="en-US" w:eastAsia="zh-CN" w:bidi="ar"/>
              </w:rPr>
              <w:t>同品牌</w:t>
            </w:r>
            <w:r>
              <w:rPr>
                <w:rFonts w:hint="eastAsia" w:ascii="宋体" w:hAnsi="宋体" w:eastAsia="宋体" w:cs="宋体"/>
                <w:i w:val="0"/>
                <w:iCs w:val="0"/>
                <w:color w:val="auto"/>
                <w:kern w:val="0"/>
                <w:sz w:val="20"/>
                <w:szCs w:val="20"/>
                <w:highlight w:val="none"/>
                <w:u w:val="none"/>
                <w:lang w:val="en-US" w:eastAsia="zh-CN" w:bidi="ar"/>
              </w:rPr>
              <w:t>摄像机到录播主机端的视频采集和传输过程无需编解码、无画质损耗并实现≤100ms的声画同步(提供具有国家权威检测机构出具的检测报告复印件并加盖厂家公章)；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10.支持音频一线通；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11.视频录制兼容标准H.264，支持4K@30fps、1080P@30fps、720P@30fps，以及AAC音频编解码协议标准；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12.支持AI全场景跟踪；</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13.支持录播主机配套同品牌摄像机支持在多机位接入的情况下所有画面高度同步；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14.支持标签设置；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15.支持录制模式和互动模式等独立音频场景设置；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16.支持内置互动模块，实现互动课堂教学应用，支持会议互动模式，可创建或加入大规模视音频实时互动；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17.支持FTP文件传输协议，主机录制生成的视频文件与应用平台实现自动归档上传；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▲18.为方便教师设计与制作精品课，所投录播主机生产厂家具有与国家级精品课程团队联合编写过针对“精品课”活动的立体化教材。(投标文件中提供图书在版编目（CIP）数据截图并加盖生产厂家公章)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▲19.高清录播主机提供厂家对此项目的参数证明函和售后服务承诺函。（投标文件中提供证明函并加盖生产厂家公章，格式自拟）</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8D61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42B3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5F36E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04DD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2695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AI录播导播软件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F18F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1.便捷导播：软件需采用B/S架构设计，支持通过浏览器即可进行管理配置与操作，而无需额外安装客户端或APP；</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2.分段录制：支持30分钟分段、60分钟分段两种分段录制方式，系统可在不结束录制的条件下根据分段时长自动将视频录制为多个分段文件；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3.录制存储：采用H.264/H.265的视频编码格式和MP4的视频封装格式，支持在断网情况下也可以进行视频录制并存储于录播主机中，也支持在联网情况下通过FTP自动上传视频文件；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4.导播模式：支持全自动、半自动、手动三种导播模式，且支持在录制、直播和互动过程中任意切换导播模式；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5.导播预览：支持对接入的所有画面进行导播预览，包括教师特写、教师全景、学生全景、学生特写、电脑画面等，电脑画面包括两路HDMI画面可切换，并支持点击预览画面即可切换为导播输出画面；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6.视频布局：支持二分屏、三分屏、画中画等布局，也支持自定义布局方式，且支持对布局内的每个画面窗口进行拖动、叠加、缩放和指定视频源的操作，实现灵活调整；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7.台标字幕：需支持在导播预览界面添加Logo台标与字幕，可自主上传Logo图标、设置logo位置、编辑字幕内容、选择字幕字体颜色与是否滚动显示，且后台管理设置可预设字幕作为备选，方便灵活调整与切换；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8.片头片尾：需支持片头片尾设置，可上传JPG格式图片作为录制默认的片头片尾画面，并可自定义片头片尾显示时长，支持片头片尾显示视频信息；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摄像机控制：支持对接入摄像机特写画面进行电子云台控制，包括画面上下左右移动、放大缩小变焦等操作。云台控制功能应具有鼠标快速定位功能，通过鼠标点击快速居中画面区域。也支持设置和调用摄像机预置位，支持不少于8个预置位；</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1EE6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C264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7206C0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4069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ABE9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AI录播流媒体处理软件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5E24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1.要求软件在出厂时内嵌于录播主机中，且应具备自主知识产权，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2.录制模式：支持电影模式和资源模式两种录制模式。电影模式下支持将多路视频信号的复合成一路画面进行录制；资源模式下支持将接入的摄像机画面和电脑画面进行独立录制；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2.同步录制：支持外接存储设备（如U盘），实现在视频录制的过程中，自动同步录制多一份并存储至U盘中；</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3.录制关联：支持在录制启动时自动关联开启直播和全自动跟踪模式；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4.视频管理：支持查看已录制的视频文件，并可按录制时间进行排序和按关键字检索查看，也支持对视频文件进行在线播放、下载、删除和FTP上传；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5.网络导播：支持通过浏览器即可访问并使用导播功能，而无需额外安装客户端或APP；</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6.音量控制：支持在导播过程中进行音量控制，可调整相关输入输出的音量大小，且支持一键静音功能；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7.直播码流：需支持主码流和子码流高低双码流，且支持自定义清晰度、帧率和码流，主码流清晰度不小于1080P；</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8.直播推流：支持不少于4路RTMP同步推流直播，并可自定义选择主码流或子码流进行推流直播；</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9.直播模式：需支持RTMP直播、TS直播、集控推流直播等不少于3种不同直播模式，以适应不同场景直播需求；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10.权限管理：需支持对主机后台设置管理员用户与普通用户两种使用权限，普通用户无法进行相关参数与配置修改；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11.系统状态：支持在导播界面实时查看主机当前CPU温度、磁盘空间占用情况、视频录制的参数配置和正在录制的视频时长与大小等信息；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12.UVC/UAC功能：要求主机具备通过USB口直接输出音视频信号的能力，实现便捷的视频会议软件接入；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13.智能音频处理：支持音频采样率的设置，且支持AGC自动增益、ANS噪声抑制、EQ均衡、AEC回声抑制等音频处理功能；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14.录制码流：支持主码流和子码流的高低双码流录制，且支持自定义清晰度、帧率、码率和I帧间隔，支持动态比特率或静态比特率两种模式；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15.存储管理：需支持录像文件循环覆盖功能，开启循环覆盖功能后，录播硬盘在已存储90%的空间时，再次启动录制将删除录播内现存时间最早的录像文件以应对录制频率比较高的情况；</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16.中英双语：需支持中英双语版本切换，适合不同用户的应用需求。要求通过网络导播界面即可便捷切换，无需进行更改授权、系统升级等复杂操作；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17.上电模式：需支持通电模式选择，实现主机通电后自动进入相应模式，包含但不限于自动开机、开机且休眠、不开机等模式；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18.版本管理：支持查看系统软件版本， 提供离线文件升级、网络在线升级和定时自动升级三种升级方式，且支持导出和导入系统配置文件；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19.安装信息：支持填写设备的安装信息，包括位置、所在学校、安装地点、联系人等；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20.休眠唤醒：需支持定时休眠唤醒功能， 提供精确到秒的自定义时间设置，可以单独设置是否定时休眠或者定时唤醒；</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059D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A3EE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041EA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1E8B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FC10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AI录播在线互动软件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2B5B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1.互动协议：需支持H.323、SIP 、BFCP、WebRTC等视音频互动协议技术，也支持内置互动模块，无需额外MCU类设备即可进行远程互动教学应用；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2.互动画质：支持1080P@30fps的高清互动画质，且支持设置互动码流，并支持基于SVC技术实现在不同网络状况下的画面质量自适应；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3.互动模式：支持互动授课模式和多方视频会议模式，授课模式支持主讲端查看所有听讲端画面并可控制听讲端的互动画面显示，会议模式支持二分屏、三分屏、四分屏等布局，也支持选择参会方进行轮巡显示；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双流互动：支持在实时互动过程中，可将教学场景信号与电脑课件信号以互相独立的信号进行传输，并最终在接收端可通过两路独立HDMI接口将接收到的教学场景画面与电脑课件画面同时分别输出到两个显示设备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5.发言权限控制：支持通过网络导播界面，主讲端在互动过程中对其余互动参与者的发言权限进行控制，支持单人禁言/开启以及全场禁言/开启的控制方式；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6.呼叫应答：需支持呼叫应答设置，满足不同互动场景的需要，包括自动应答与勾选手动应答两种方式；</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E8D3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1F3A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3DA46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0CB3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38A8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高清全景AI摄像机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802D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1.采用CMOS类型图像传感器，尺寸≥1/2.5英寸；</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▲2.有效像素≥800万；视频分辨率：最大可支持3840×2160并向下兼容(提供具有国家权威检测机构出具的检测报告复印件并加盖厂家公章)；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3.支持自动和手动变焦，光学变焦倍数≥22倍；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4.具备机械云台可进行转动跟踪，水平转动速度范围不少于1.0°~94.2°/s，垂直转动速度范围不少于1.0°~74.8°/s；</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5.支持H.265/H.264高清视频编码协议；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6.具备数字视频输出口（RJ45）≥1，HDMI视频输出口≥1；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7.具备RS232/RS422≥1、RJ45网络接口≥1，并支持100M/1000M自适应以太网接入与RTSP协议网络视频输出、Linein输入口≥1、具备USBType-A≥1；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8.支持VISCA/ONVIF协议；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9.具备背光补偿；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10.支持2D/3D数字降噪，信噪比≥55dB；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11.支持一线通，同品牌录播主机实现≤100ms的声画同步；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12.支持AI跟踪，根据AI智能算法，实现同一摄像机根据部署使用场景不同自动设置为教师、学生跟踪模式；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13.支持对锁定跟拍对象进行人脸特征与肢体双重认证识别；</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14.支持在拍摄画面有显示设备或其他动态视频播放的情况下，自动启用AI抗干扰能力；</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15.支持PTZ实时跟焦；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16.支持录播主机供电和DC12V电源适配器等供电方式；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17.要求摄像机与录播主机为同一品牌。</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703E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BFC7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22E18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C52B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8F42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高清全景AI摄像机跟踪拍摄软件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DD17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1.采用B/S架构，支持通用浏览器直接访问进行管理；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2.支持曝光模式设置功能，包括自动、手动；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3.支持抗闪烁频率、动态范围、光圈、快门参数设置；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4.支持自动白平衡设置功能，红、蓝增益可调；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5.支持噪声抑制设置功能，支持2D、3D降噪；</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6.支持摄像机图像质量调节功能，包括亮度、对比度、色调、饱和度；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7.支持图像水平、垂直翻转，适应摄像机不同的安装方式要求；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8.支持摄像机控制功能，包括云台控制、预置位设置与调用、焦距调节等，预置位数≥255；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9.支持配合录播主机设置五分像、七分像、全身像等多种教师图像跟踪画面模式，根据实际需要设置选用教师跟踪画面的大小；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10.支持配合录播主机划分的自动跟踪区域，当锁定跟踪人物走出自动跟踪区域时即停止跟踪，直到重新回到区域出现在画面中为止；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支持依据录播主机设置的跟踪目标更新周期时间，被跟拍人员脱离跟踪拍摄区域后开始计时，到达更新周期时间后自动解除目标跟拍锁定，回归默认状态，待下一位人员进入画面中开始重新锁定跟踪(提供具有国家权威检测机构出具的检测报告复印件并加盖厂家公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0F67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4604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72527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28B1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8FCE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高清特写AI摄像机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1629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1.采用CMOS类型图像传感器，尺寸≥1/2.5英寸；</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2.有效像素≥800万；视频分辨率：最大可支持3840×2160并向下兼容；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3.支持自动和手动变焦，光学变焦倍数≥22倍；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4.具备机械云台可进行转动跟踪。水平转动速度范围不少于1.0°~94.2°/s，垂直转动速度范围不少于1.0°~74.8°/s；</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5.支持H.265/H.264高清视频编码协议；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6.具备数字视频输出口（RJ45）≥1，HDMI视频输出口≥1；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7.具备RS232/RS422≥1、.RJ45网络接口≥1，并支持100M/1000M自适应以太网接入与RTSP协议网络视频输出、音频接口：Linein输入口≥1、USB接口：要求具备USBType-A≥1；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8.支持VISCA/ONVIF协议满足多种场景控制要求；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9.具备背光补偿；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10.支持2D/3D数字降噪，信噪比≥55dB；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11.支持一线通连接，摄像机供电、控制以及视频信号传输，同品牌录播主机实现≤100ms的声画同步；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支持AI跟踪，实现水平运动、俯仰运动、变焦、聚焦四维实时跟踪等人像自动跟踪功能；根据AI智能算法，实现同一摄像机根据部署使用场景不同自动设置为教师、学生跟踪模式(提供具有国家权威检测机构出具的检测报告复印件并加盖厂家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13.支持对锁定跟拍对象进行人脸特征与肢体双重认证的交叉识别，在多人同时进入拍摄画面的情况下，持续锁定跟踪对象，不出现跟丢和误跟的情况；</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▲14.支持在拍摄画面有显示设备或其他动态视频播放的情况下，自动启用AI抗干扰能力(提供具有国家权威检测机构出具的检测报告复印件并加盖厂家公章)；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15.支持PTZ实时跟焦；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16.支持录播主机供电和DC12V电源适配器等供电方式；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17.要求摄像机与录播主机为同一品牌。</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8476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8C7E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52EBD2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767A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A2DA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高清特写AI摄像机跟踪拍摄软件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2656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1.摄像机传输处理软件需采用B/S架构，支持通用浏览器直接访问进行管理；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2.需支持曝光模式设置功能，包括自动、手动；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3.需支持抗闪烁频率、动态范围、光圈、快门参数设置；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4.需支持自动白平衡设置功能，红、蓝增益可调；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5.需支持噪声抑制设置功能，支持2D、3D降噪；</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6.需支持摄像机图像质量调节功能，包括亮度、对比度、色调、饱和度；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7.需支持图像水平、垂直翻转，适应摄像机不同的安装方式要求；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8.需支持摄像机控制功能，包括云台控制、预置位设置与调用、焦距调节等，预置位数≥255；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9.支持配合录播主机设置五分像、七分像、全身像等多种教师图像跟踪画面模式，根据实际需要设置选用教师跟踪画面的大小；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10.支持配合录播主机划分的自动跟踪区域，当锁定跟踪人物走出自动跟踪区域时即停止跟踪，直到重新回到区域出现在画面中为止；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11.需支持依据录播主机设置的跟踪目标更新周期时间，被跟拍人员脱离跟踪拍摄区域后开始计时，到达更新周期时间后自动解除目标跟拍锁定，回归默认状态，待下一位人员进入画面中开始重新锁定跟踪；</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6732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A4D1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5C723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1641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5A12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高清板书AI摄像机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C4AA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1.传感器：要求采用CMOS类型图像传感器，尺寸≥1/2.5英寸；</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2.像素：有效像素≥800万；视频分辨率：最大可支持3840×2160并向下兼容；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3.变焦：要求支持自动和手动变焦，光学变焦倍数≥22倍；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4.云台转动：要求具备机械云台可进行转动跟踪。水平转动速度范围不少于1.0°~ 94.2°/s，垂直转动速度范围不少于1.0°~ 74.8°/s；</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5.视频编码：要求支持H.265、H.264高清视频编码协议；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6.视频输出：要求具备数字视频输出口（RJ45）≥1，HDMI视频输出口≥1；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7.通讯接口：要求具备RS232/RS422≥1；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8.网络接入：RJ45网络接口≥1，并支持100M/1000M自适应以太网接入与RTSP协议网络视频输出；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9.音频接口：Line in输入口≥1；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10.USB接口：要求具备USB Type-A≥1；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11.协议支持：要求支持VISCA/ONVIF协议满足多种场景控制要求；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12.背光补偿：要求具备背光补偿功能；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13.数字降噪：支持2D/3D数字降噪，信噪比≥55dB；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14.一线通：要求与搭配的录播主机实现基于RJ45双绞线的一线通连接，完成摄像机供电、控制以及视频信号传输；</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15.高效数据传输：支持对同品牌录播主机实现基于数据链路层的数字视频数据传输技术，能实现≤100ms的声画同步，在拍摄运动画面和复杂画面时不存在镜头呼吸效应带来的周期性画面焦距抖动；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16.AI跟踪：要求内置跟踪算法，摄像机内无额外辅助摄像头也无需增加任何设备即可实现人像自动跟踪，包括水平运动、俯仰运动、变焦、聚焦四维实时跟踪；</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17.跟踪逻辑自选：要求支持根据AI智能算法，同一摄像机可根据部署使用场景智能应用为教师、学生跟踪模式，无需手动设置；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18.交叉识别：需支持对锁定跟拍对象进行人脸特征与肢体双重认证识别，在多人同时进入拍摄画面的情况下，持续锁定跟踪对象，不出现跟丢和误跟的情况；</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19.AI抗干扰：支持在拍摄画面有显示设备或其他动态视频播放的情况下，自动启用AI抗干扰能力，保障画面始终锁定被跟踪对象，且跟踪效果不受影响；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20.PTZ自适应：需支持PTZ实时跟焦，AI跟踪的状态下能实现摄像机水平旋转、垂直旋转、变焦的实时同步变化，无需等待拍摄对象稳定后再变焦调整画面，移动过程不虚焦，实现拍摄画面的自适应稳定调整；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21.电源支持：支持录播主机供电和DC12V电源适配器等供电方式；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22.要求摄像机与录播主机为同一品牌。</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1981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2E3F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4B86A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032D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25E4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高清板书AI摄像机跟踪拍摄软件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18A8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1.摄像机传输处理软件需采用B/S架构，支持通用浏览器直接访问进行管理；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2.需支持曝光模式设置功能，包括自动、手动；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3.需支持抗闪烁频率、动态范围、光圈、快门参数设置；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4.需支持自动白平衡设置功能，红、蓝增益可调；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5.需支持噪声抑制设置功能，支持2D、3D降噪；</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6.需支持摄像机图像质量调节功能，包括亮度、对比度、色调、饱和度；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7.需支持图像水平、垂直翻转，适应摄像机不同的安装方式要求；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8.需支持摄像机控制功能，包括云台控制、预置位设置与调用、焦距调节等，预置位数≥255；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9.支持配合录播主机设置五分像、七分像、全身像等多种教师图像跟踪画面模式，根据实际需要设置选用教师跟踪画面的大小；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10.支持配合录播主机划分的自动跟踪区域，当锁定跟踪人物走出自动跟踪区域时即停止跟踪，直到重新回到区域出现在画面中为止；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11.需支持依据录播主机设置的跟踪目标更新周期时间，被跟拍人员脱离跟踪拍摄区域后开始计时，到达更新周期时间后自动解除目标跟拍锁定，回归默认状态，待下一位人员进入画面中开始重新锁定跟踪；</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13FB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B75C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0C403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B241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C25B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高清巡视摄像机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0CB0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 扫描方式：逐行扫描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 输出帧率：30fps</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3. 摄像元件：1/3 "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 有效像素：1920（H）×1080（V)</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 最低照度：0.3Lux</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 通讯方式：RJ-45，支持POE供电</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0B7A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86CD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6E741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AB75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AC4B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高清巡视摄像机跟踪拍摄软件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7145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 采用B/S架构设计，支持通用浏览器进行远程访问进行管理；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 支持多个区域屏蔽功能，避免屏蔽区域内的干扰，提高系统识别效果；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 具有“模糊防抖”功能，避免人员小幅度活动时引起的摄像机画面抖动现象；</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9E1E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AED0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6A936F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1343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3B54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AI智能跟踪处理软件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12BD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1.跟踪逻辑：支持智能识别接入摄像机的使用定位，并联动摄像机选用对应的跟踪逻辑，如教师跟踪、学生跟踪等；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2.检测区域：支持对接入摄像机的AI跟踪检测区域设置，可基于实景拍摄画面框选跟踪区域，框选后只在区域中方能触发跟踪，所见所得方便操作；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3.跟踪切换：支持根据设定的跟踪策略形成跟踪指令，实现多路接入摄像机的全自动AI跟踪画面切换；且支持自定义跟踪切换逻辑的画面布局，包含但不限于双分屏、画中画与自定义布局等；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4.跟踪策略：支持对接入摄像机自定义设置AI跟踪目标更新周期时间，摄像机依据配置实现相应跟踪策略；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5.智能构图：支持设置摄像机拍摄画面的智能构图模式，包含但不限于五分像、七分像、全身像等；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6.全场景跟拍：要求支持基于计算机视觉CV技术的AI人工智能跟踪算法，实现教师识别、教师移动跟拍、教师轨迹识别以及学生上台识别、板书行为识别、单人与多人起立识别等教学焦点进行自动捕捉与切换；</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1BC7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6524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1FF8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B26F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1B52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录制面板</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25CC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 安装方式：采用物理按键，在讲台上镶嵌式安装。</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 控制接口：要求支持RS232控制接口用以连接录播主机。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 信号指示灯：要求具备信号指示灯。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 支持一键式系统电源开关控制。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 一键式录制、停止、锁定电脑信号。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 支持本地录播全自动的开启、关闭控制。该功能同时支持录播模式和互动模式。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 支持通过面板一键发起与远端设备互动连接。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 支持通过交互控制面板切换互动画面的信号源，并传输到听课室，包括本地老师信号、学生信号、电脑信号、远端课室画面。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 支持对各画面的自由布局控制，包括单画面全屏、双分屏、三分屏、四分屏、画中画，并传输到听课室。</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10.支持远程“一键静音”功能，主讲端可一键关闭远端互动教室发言，进入主讲授课模式。</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1E1A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B9CF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35C73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B4B1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94DE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音频处理系统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50A9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1.支持录播模式和互动模式下的音频多场景调配；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2.支持主音量调配，支持远端音频模式调配；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3.支持自动增益，噪音抑制，EQ均衡；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4.支持直播比特率，录制比特率，采样率调配；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5.支持回声抑制。</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3E2B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B789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72C08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9487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AD15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指向性话筒</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BAE9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1.指向性：超心型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2.频率响应：40Hz—16kHz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3.灵敏度≥-7dB±1dB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4.最大声压级≥110dB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5.信噪比≥62dB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6.动态范围≥78.5dB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7.使用电源：麦克风一线通供电</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8.输出接口：RJ45，数字音频接口</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8B68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E547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支</w:t>
            </w:r>
          </w:p>
        </w:tc>
      </w:tr>
      <w:tr w14:paraId="3A5D1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08C0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319A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电源管理器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DB16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1.向录播视频系统、音频系统、显示系统 提供统一的、至少八路电源管理；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2.支持对录播系统控制功能，实现通过录制面板一键启动录播系统相关设备的电源；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3.支持时序电源控制功能，每路延迟一秒，可编程控制；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4.具备内置光电隔离模块，保障负载运行安全；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5.支持 提供1路最大电流不低于10A的电源输出接口；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6.支持RS-485/RS-422/RS-232 等控制协议。</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C17F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6DBC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0839D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2ADE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DB3F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智能课堂行为分析软件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0F09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一.整体要求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1.兼容对接：配套高清录播主机，实现视频数据分析；同时支持与视频资源管理平台无缝对接，可将数据通过平台进行分析结果数据展示。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2.多维分析：支持对课堂数据进行综合多维度的分析，包括“课堂语言分析”、“教学行为分析”、“教师活动轨迹”、“课堂时间分配”、“学生课堂动作表情分析”等维度数据。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二.课堂教情分析要求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1.教学行为分析：支持“教师讲授”、“学生汇报”、“师生互动”、“生生互动”、“教师巡视”多种维度的教学行为识别。</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2.教师轨迹分析：支持统计整个课节时间内授课教师的授课行动轨迹，直观呈现教师授课过程中的授课位置数据。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3.教师巡视分析：要求支持教师巡视情况统计并形成教师巡视数据，分析数据应包括教师课堂巡视次数、时长等数据。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三.课堂学生分析要求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1.班级出勤率统计：以班级维度进行班级出勤人数统计，实际出席人数、出勤率等。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2.支持学生课堂动作分析，包括趴桌子、举手、站立等肢体语言，可对各类动作进行检测。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3.支持对学生动作的统计分析，统计当前每种学生动作的峰值次数和占比。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4.支持学生课堂表情分析，包括积极、平淡、消极等表情。并支持对各类表情进行实时检测，统计课堂中各类表情的学生人数。</w:t>
            </w:r>
          </w:p>
        </w:tc>
        <w:tc>
          <w:tcPr>
            <w:tcW w:w="780" w:type="dxa"/>
            <w:tcBorders>
              <w:top w:val="nil"/>
              <w:left w:val="single" w:color="000000" w:sz="4" w:space="0"/>
              <w:bottom w:val="single" w:color="000000" w:sz="4" w:space="0"/>
              <w:right w:val="single" w:color="000000" w:sz="4" w:space="0"/>
            </w:tcBorders>
            <w:shd w:val="clear" w:color="auto" w:fill="auto"/>
            <w:noWrap/>
            <w:vAlign w:val="center"/>
          </w:tcPr>
          <w:p w14:paraId="7E6A162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C6E8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1DB45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1E7A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A81F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智能语音分析软件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6A7E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1.教师提问情况分析：支持基于课堂语音识别能力进行教师课堂提问行为分析，从提问次数与高频时间段两个核心维度进行数据统计，实现课堂提问情况的清晰回顾。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2.教师语速分析：支持通过语音识别能力进行教师课堂授课语速分析，呈现数据需包括教师课堂说话词数以及平均语速。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3.课堂语音转写：要求基于语音语义识别完成课堂音频的文字转换，实现课堂教学过程语音全纪录。</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4.课堂关键词分析：支持通过AI语音识别能力，抓取统计提前设置好的课堂知识点关键词，统计各关键词出现的次数频率，并标注出现的时间点和显示所在的语句内容。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5.课堂高频词分析：支持通过AI语音识别能力，抓取授课过程中出现的高频词汇，并统计出现频次，判断课堂教学重点；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6.课堂语气词分析：支持通过进行课堂语音识别，判断老师教学过程中出现的常规语气词出现频次，辅助老师调整教学过程中的不良习惯；</w:t>
            </w:r>
          </w:p>
        </w:tc>
        <w:tc>
          <w:tcPr>
            <w:tcW w:w="780" w:type="dxa"/>
            <w:tcBorders>
              <w:top w:val="nil"/>
              <w:left w:val="single" w:color="000000" w:sz="4" w:space="0"/>
              <w:bottom w:val="single" w:color="000000" w:sz="4" w:space="0"/>
              <w:right w:val="single" w:color="000000" w:sz="4" w:space="0"/>
            </w:tcBorders>
            <w:shd w:val="clear" w:color="auto" w:fill="auto"/>
            <w:noWrap/>
            <w:vAlign w:val="center"/>
          </w:tcPr>
          <w:p w14:paraId="7FF1C92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10CD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544D3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A53A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740" w:type="dxa"/>
            <w:tcBorders>
              <w:top w:val="nil"/>
              <w:left w:val="single" w:color="000000" w:sz="4" w:space="0"/>
              <w:bottom w:val="single" w:color="000000" w:sz="4" w:space="0"/>
              <w:right w:val="single" w:color="000000" w:sz="4" w:space="0"/>
            </w:tcBorders>
            <w:shd w:val="clear" w:color="auto" w:fill="auto"/>
            <w:vAlign w:val="center"/>
          </w:tcPr>
          <w:p w14:paraId="0BA9D07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录直播服主机</w:t>
            </w:r>
          </w:p>
        </w:tc>
        <w:tc>
          <w:tcPr>
            <w:tcW w:w="6035" w:type="dxa"/>
            <w:tcBorders>
              <w:top w:val="single" w:color="000000" w:sz="4" w:space="0"/>
              <w:left w:val="single" w:color="000000" w:sz="4" w:space="0"/>
              <w:bottom w:val="nil"/>
              <w:right w:val="single" w:color="000000" w:sz="4" w:space="0"/>
            </w:tcBorders>
            <w:shd w:val="clear" w:color="auto" w:fill="auto"/>
            <w:vAlign w:val="center"/>
          </w:tcPr>
          <w:p w14:paraId="6F8DAAD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（1）设备高度：≤1U</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（2）硬件架构：嵌入式ARM架构设计，主机出厂内置视频资源管理平台，无需进行复杂的系统环境、软件安装操作。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（3）系统支持：Linux系统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（4）数据库支持：MYSQL</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（5）存储容量：4TB SATA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（6）网络连接：RJ45千兆网口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（7）通讯接口：USB2.0≥2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（8）支持Rst设备一键复位功能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（9）采用安全电压不大于DC36V供电，节能环保，采用无风扇设计，低噪音。</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（10）支持流媒体转发、直播、点播功能，单台主机支持不少于200点转发直播、支持大规模点播。</w:t>
            </w:r>
          </w:p>
        </w:tc>
        <w:tc>
          <w:tcPr>
            <w:tcW w:w="780" w:type="dxa"/>
            <w:tcBorders>
              <w:top w:val="nil"/>
              <w:left w:val="single" w:color="000000" w:sz="4" w:space="0"/>
              <w:bottom w:val="single" w:color="000000" w:sz="4" w:space="0"/>
              <w:right w:val="single" w:color="000000" w:sz="4" w:space="0"/>
            </w:tcBorders>
            <w:shd w:val="clear" w:color="auto" w:fill="auto"/>
            <w:noWrap/>
            <w:vAlign w:val="center"/>
          </w:tcPr>
          <w:p w14:paraId="1D1D265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B1BE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4CD7C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3A4A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21</w:t>
            </w:r>
          </w:p>
        </w:tc>
        <w:tc>
          <w:tcPr>
            <w:tcW w:w="740" w:type="dxa"/>
            <w:tcBorders>
              <w:top w:val="nil"/>
              <w:left w:val="single" w:color="000000" w:sz="4" w:space="0"/>
              <w:bottom w:val="single" w:color="000000" w:sz="4" w:space="0"/>
              <w:right w:val="single" w:color="000000" w:sz="4" w:space="0"/>
            </w:tcBorders>
            <w:shd w:val="clear" w:color="auto" w:fill="auto"/>
            <w:vAlign w:val="center"/>
          </w:tcPr>
          <w:p w14:paraId="207FAAE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录直播教学视频资源管理系统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720E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1.信息管理功能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（1）录播管理：支持把录播设备接入平台，实现自动转码、无缝直播点播，并具备直播和点播功能。支持对录播进行远程关机、休眠唤醒、启动录制等操作。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（2）多级平台对接：支持校平台与上级区平台进行对接，校平台资源可像区平台提交数据资源。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录制预约：平台支持用户远程进行在线录课预约，可实现单个或批量预约；支持预约信息的申请。支持用户手机扫码预约录制，扫码后手机端填写录播预约信息即可快速完成预约，录制结束后也可扫码在平台回顾或下载已录制的视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（4）资源颗粒度管理：支持视频资源多维度分类，如按年级、学科等分类管理，支持用户自定义分类类型。并支持根据发布时间、用户推荐度和点击热度的不同维度在平台呈现。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（5）视频专辑：支持用户可灵活创建各种视频专辑，并自定义专辑类型，可将一同类型的视频进行归类，便于视频的归整和便捷查询。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公告发布：平台首页提供公告模块，支持通过平台发布校务公告、活动通知、时势新闻等多种类型公告。公告支持按定义的类型进行归类查询，支持用户自定义公告类型。提供平台首页公告截图并加盖厂家投标专用章或公章及上述类型的公告设置功能界面截图并加盖厂家投标专用章或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（7）自动转码功能：支持视频下载、上传、编辑、管理。可实现所有主流视频文件格式自动转码，包括asf、mpg、rmvb、mov、rm、avi、3gp、wmv、flv、mp4等，可设置下载及观看权限，可设置高标清转码清晰度码流。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虚拟切片：支持视频自动划分知识点和教学环节片段，且不破坏视频原来的完整性。支持快速点击知识点、教学环节跳转到相应节点播放。支持对上传的视频添加和修改“知识点”和“教学环节”。提供添加和修改的功能界面截图并加盖厂家投标专用章或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教学行为分析：支持弗兰德斯教学行为分析法（S-T），平台根据跟踪数据生成S-T曲线图，帮助用户进行教学技能提升和评估。S-T行为数据支持后期在线编辑修改，便于教师进行错误修正。提供S-T功能界面截图并加盖厂家投标专用章或公章和编辑界面截图并加盖厂家投标专用章或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（10）文件检索：支持关键字搜索功能，用户可直接在资源管理平台的页面搜索框输入关键字，对某个视频标题、知识点进行搜索。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（11）一键置灰：支持平台肤色一键置灰功能，切合特殊纪念日氛围。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（12）指定播放：支持设置指定播放源，用户点击任意视频均强制播放指定视频源，便于学校进行重要视频的统一播放和管理。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流量统计：支持平台对用户访问数、页面访问量进行数量统计，访问流量数据可按日、周、月、年、总浏览数进行分类统计。支持以曲线图形式展现10天内的访问流量变化趋势。支持对视频直播量、点播量统计。提供功能界面截图并加盖厂家投标专用章或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存储管理：平台支持自定义视频的保存期限，支持永久保存，支持自定义视频保存天数期限，到达期限后自动删除；同时支持平台对录播内的视频保存期限进行管理，支持永久保存和自定义期限并在到达期限后录播自动删除视频文件。提供功能界面截图并加盖厂家投标专用章或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▲（15）提供基于录播设备的智能教学信息处理系统相关自主知识产权证明文件复印件并加盖厂家投标专用章或公章。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2.直播点播功能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（1）基于FLV、HLS主流协议直播技术，无需安装插件即可进行跨平台（Windows、Linux、IOS等）视频点播观看。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（2）支持流媒体转发服务，平台支持不少于200点以上高清直播功能。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（3）集群技术：支持直播集群技术，以支持系统的横向拓展，随系统应用规模的拓展逐渐增加转发服务器以支持更大规模直播。</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（4）多码率支持：点播视频时可根据网络情况在播放器窗口进行高标清切换观看。提供转发高标清设置功能界面截图并加盖厂家投标专用章或公章。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（5）支持直播权限及密码设置，让直播信息更加安全。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（6）支持上传教案、课件等视频附件，附件可与视频进行绑定。支持word、excel、ppt、PDF、jpeg等格式。用户在点播视频时下载附件。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（7）提供视频转发分享功能，支持二维码分享和一键转发分享至新浪微博、QQ、微信等社交平台中。</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3.微课管理功能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（1）提供微课管理模块，支持自定义微课时长限制，在规定时长内的视频上传平台后自动归类到微课模块当中，并支持按学段、学科进行自动归类整理。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提供专业微课录制软件，支持直接从平台下载微课录制软件并安装于笔记本电脑中。微课视频录制完毕后支持一键上传到平台，或下载到本地电脑保存。提供微课软件客户端在平台下载界面截图并加盖厂家投标专用章或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（3）微课录制软件需满足包括教师头像、实物展台、课件PPT在内的三路视频源切换及组合布局录制，支持课件与老师画中画模式。提供软件界面截图并加盖厂家投标专用章或公章。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（4）支持PPT课件导入、课件批注，在微课录制的同时支持PPT分页预览，并进行切换录制。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▲（5）提供微课制作软件相关软件著作权证书复印件并加盖厂家投标专用章或公章。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4.移动APP应用服务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（1）提供自主研发的平台移动端APP，支持Android系统，可与视频资源管理平台对接。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（2）移动端APP应提供视频在线直播、视频点播、专辑点播等功能。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（3）移动端同步支持虚拟切片功能，实现知识点的快速跳转观看、学习，提高学生的学习效率。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（4）支持移动端APP点播视频时查看视频信息、视频附件。提供APP功能界面截图并加盖厂家投标专用章或公章。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▲（5）提供移动学习软件相关软件著作权证书复印件并加盖厂家投标专用章或公章。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5.其他要求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▲（1）为了保证系统兼容性，要求平台与录播主机为同一品牌，提供教学视频资源管理系统相关软件著作权证书复印件并加盖厂家投标专用章或公章。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041E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6638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E287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7CBE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22</w:t>
            </w:r>
          </w:p>
        </w:tc>
        <w:tc>
          <w:tcPr>
            <w:tcW w:w="740" w:type="dxa"/>
            <w:tcBorders>
              <w:top w:val="nil"/>
              <w:left w:val="single" w:color="000000" w:sz="4" w:space="0"/>
              <w:bottom w:val="single" w:color="000000" w:sz="4" w:space="0"/>
              <w:right w:val="single" w:color="000000" w:sz="4" w:space="0"/>
            </w:tcBorders>
            <w:shd w:val="clear" w:color="auto" w:fill="auto"/>
            <w:vAlign w:val="center"/>
          </w:tcPr>
          <w:p w14:paraId="752F026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无线领夹手持话筒</w:t>
            </w:r>
          </w:p>
        </w:tc>
        <w:tc>
          <w:tcPr>
            <w:tcW w:w="6035" w:type="dxa"/>
            <w:tcBorders>
              <w:top w:val="nil"/>
              <w:left w:val="single" w:color="000000" w:sz="4" w:space="0"/>
              <w:bottom w:val="single" w:color="000000" w:sz="4" w:space="0"/>
              <w:right w:val="single" w:color="000000" w:sz="4" w:space="0"/>
            </w:tcBorders>
            <w:shd w:val="clear" w:color="auto" w:fill="auto"/>
            <w:vAlign w:val="center"/>
          </w:tcPr>
          <w:p w14:paraId="4863038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 采用UHF超高频段，DPLL数字锁相环多信道频率合成技术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 提供至少200个信道选择</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 红外线对频技术，发射机自动追锁接收机频率， 频率范围：740-790MHz</w:t>
            </w:r>
          </w:p>
        </w:tc>
        <w:tc>
          <w:tcPr>
            <w:tcW w:w="780" w:type="dxa"/>
            <w:tcBorders>
              <w:top w:val="nil"/>
              <w:left w:val="single" w:color="000000" w:sz="4" w:space="0"/>
              <w:bottom w:val="single" w:color="000000" w:sz="4" w:space="0"/>
              <w:right w:val="single" w:color="000000" w:sz="4" w:space="0"/>
            </w:tcBorders>
            <w:shd w:val="clear" w:color="auto" w:fill="auto"/>
            <w:vAlign w:val="center"/>
          </w:tcPr>
          <w:p w14:paraId="18C668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nil"/>
              <w:left w:val="single" w:color="000000" w:sz="4" w:space="0"/>
              <w:bottom w:val="single" w:color="000000" w:sz="4" w:space="0"/>
              <w:right w:val="single" w:color="000000" w:sz="4" w:space="0"/>
            </w:tcBorders>
            <w:shd w:val="clear" w:color="auto" w:fill="auto"/>
            <w:vAlign w:val="center"/>
          </w:tcPr>
          <w:p w14:paraId="083CADF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07726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4D79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8785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交换机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AFCF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1.16口千兆网络交换机，全钢壳设计自动散热，无风扇；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2.采用存储转发机制，内部集成高容量缓存；</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3.自动进行MDI/MDIX翻转，自动协商端口工作速率；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4.支持“标准交换”、“VLAN隔离”和“网络克隆”等工作模式。</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2C19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E15F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20381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295A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591B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机柜</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FAF8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规格：600*600*1200㎜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材质：主体≥0.8㎜冷轧钢板，设活动层板；立柱壁厚≥1.2㎜；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结构：前开门，后背板带网格散热孔，底部设出线孔。</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ACC1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AF40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r>
      <w:tr w14:paraId="21261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A751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BDA1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系统集成</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6ED0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HDMI线15米2条、HDMI线1.5米跳线1条、HDMI分配器一分四1个、话筒吊咪线15米、音箱线无氧铜100支30米、网线超五或六类3条、网线跳线1.5米3条、双3.5mm成品线1.5米2条、3.5转双莲花1.5米6条、水晶头50个、电胶带，扎带等若干、8孔插排2个。</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BA99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1BEA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间</w:t>
            </w:r>
          </w:p>
        </w:tc>
      </w:tr>
      <w:tr w14:paraId="24BD6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89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A584671">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生物学学科中心</w:t>
            </w:r>
          </w:p>
        </w:tc>
      </w:tr>
      <w:tr w14:paraId="2280E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24F8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5072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触控一体机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6DDA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一、整机要求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▲1.屏体要求：86英寸，液晶LED，A规屏，显示比例(16：9)；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2.亮度：≥300cd/m2、对比度：≥5000:1、屏体物理分辨率≥3840*2160；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3.防眩光功能：采用 4mm 厚 AG 钢化玻璃，防眩光，减少玻璃反射光的影响，反射率小于 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4.触摸技术：红外感应技术，20点触控，</w:t>
            </w:r>
            <w:r>
              <w:rPr>
                <w:rFonts w:hint="eastAsia" w:ascii="宋体" w:hAnsi="宋体" w:eastAsia="宋体" w:cs="宋体"/>
                <w:i w:val="0"/>
                <w:iCs w:val="0"/>
                <w:color w:val="auto"/>
                <w:kern w:val="0"/>
                <w:sz w:val="20"/>
                <w:szCs w:val="20"/>
                <w:highlight w:val="none"/>
                <w:u w:val="none"/>
                <w:lang w:val="en-US" w:eastAsia="zh-CN" w:bidi="ar"/>
              </w:rPr>
              <w:t>支持安卓、windows 系统20笔或以上同时书写。</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▲5.前置接口：≥USB3.0*3；≥Type C*1；≥Touch USB*1；≥HDMI in*1（提供具有CNAS标识的检测报告复印件加盖厂家公章）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6.前置≥3个USB 3.0 接口全部支持 Windows 及 Android 双系统读取，将 U 盘插入任意前置 USB 接口，均能被 Windows 及 Android 系统识别。</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▲7.后置接口：≥MIC In*1、≥YPBPR*1、≥COAXIAL Out*1、≥Earphone Out*1、≥PC Audio In*1、≥VGA*1、≥RS232*1、≥AV In*1、≥AV Out*1、≥LAN In*1、≥HDMI in*1、USB*2、≥Touch USB*1、≥TF Card*1；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▲8.前置按键≥7个包括：录屏、图像比例、音量-、音量+、设置、护眼、电源； （提供具有CNAS标识的检测报告复印件加盖厂家公章）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9.整机开关、电脑开关和节能待机键三合一，操作便捷；设备支持通过前置按键一键启动录屏功能，可将屏幕中显示的课件、音频等内容与老师人声同步录制，方便制作教学视频；支持OPS一键还原。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w:t>
            </w:r>
            <w:r>
              <w:rPr>
                <w:rFonts w:hint="eastAsia" w:ascii="宋体" w:hAnsi="宋体" w:eastAsia="宋体" w:cs="宋体"/>
                <w:i w:val="0"/>
                <w:iCs w:val="0"/>
                <w:color w:val="auto"/>
                <w:kern w:val="0"/>
                <w:sz w:val="20"/>
                <w:szCs w:val="20"/>
                <w:highlight w:val="none"/>
                <w:u w:val="none"/>
                <w:lang w:val="en-US" w:eastAsia="zh-CN" w:bidi="ar"/>
              </w:rPr>
              <w:t>安卓系统版本11.0 或以上，内</w:t>
            </w:r>
            <w:r>
              <w:rPr>
                <w:rFonts w:hint="eastAsia" w:ascii="宋体" w:hAnsi="宋体" w:eastAsia="宋体" w:cs="宋体"/>
                <w:i w:val="0"/>
                <w:iCs w:val="0"/>
                <w:color w:val="auto"/>
                <w:kern w:val="0"/>
                <w:sz w:val="20"/>
                <w:szCs w:val="20"/>
                <w:highlight w:val="none"/>
                <w:u w:val="none"/>
                <w:lang w:val="en-US" w:eastAsia="zh-CN" w:bidi="ar"/>
              </w:rPr>
              <w:t xml:space="preserve">部缓存容量（RAM）：≥2GB ；内部存储容量（ROM）：≥16GB。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11.内置双路 WIFI，支持 AP 热点，Wifi : 2.4GHz / AP : 2.4GHz/5GHz。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12.一键调整分辨率: 可通过及触摸按键对内置电脑画面实现一键切换屏幕分辨率，调整画面显示比例；整机支持一键黑屏节能 70%。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13.信源通道自动识别：设备能自动识别并切换到最新接入的信号源通道，且断开后能回到上一通道。自动跳转前支持选择确认，待确认后再跳转。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14.童锁开关：产品应支持童锁开关功能，当开启童锁功能后，界面将被锁住，避免学生随意操作出现的系统故障问题。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悬浮菜单：在任意信号源通道下均可调用悬浮菜单，悬浮菜单具有一键启用应用软件、随时批注擦除，切换信号源等功能，悬浮菜单中的信号源支持自定义修改且可一键直达常用信号源可通过两指调用到屏幕任意位置。悬浮菜单中的应用可根据使用需求进行应用或功能的替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16.整机具备智能手势识别功能，在任意信号源通道下均可识别五指上、下、左、右方向手势滑动，调取熄屏、批注、桌面、半屏模式功能。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二、质量保证要求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1、所投产品具有CNAS标识的MTBF≥30万小时可靠性实验的检测报告复印件，提供检测报告复印件并加盖制造厂家公章。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2、所投产品具有CNAS标识的防蓝光检测报告且危害等级达到RG0级的检测报复印件，提供检测报告复印件并加盖制造厂家公章。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3、.所投产品具有硬件及教育系统相关软件具有售后服务完善程度评价规范和GB/T27922-2011商品售后服务体系达到十星认证证书，提供证明并加提供证明复印件并加盖制造厂家公章。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4、所投产品制造厂商具有“项目质量管理体系认证证书”，“标准化等级评价体系认证证书AAAA级”、“有害物质过程管理体系认证证书”，提供证明复印件并加盖制造厂家公章。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5.所投产品具有《全国质量信誉保障产品》证书、《全国产品和服务质量诚信品牌》证书、《全国教育装备行业质量领先品牌》证书、《全国质量检验稳定合格产品》证书，提供证书复印件加盖制造商公章</w:t>
            </w:r>
            <w:r>
              <w:rPr>
                <w:rFonts w:hint="eastAsia" w:ascii="宋体" w:hAnsi="宋体" w:eastAsia="宋体" w:cs="宋体"/>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6.所投产品具有CNAS标识的高低温及恒定湿热可靠性实验的检测报告，提供CNAS认可机构出具的检测报告。</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3E94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F524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3182B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3B2A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62C5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内置电脑</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D027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1.插拔式OPS微型PC设计，采用Intel十代或以上 I5CPU、8GB内存、256G固态硬盘；开放式可插接INTEL规范接口（OPS接口），双面合计80针。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2.支持WIFI无线网络，带双天线，带RJ45接口100M/1000Mbs。</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3.支持电源：AC input:100-240V/50-60HZ ；DC output:19V/5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23FE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0CBA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5D819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EDD5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EDE7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教学应用软件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792B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A、白板软件要求：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1.基于手势操作开发，简单易用，手指单点或使用触控笔就能一键快速调取教学软件及工具；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▲2.备授课功能，具有备课模式及授课模式，且操作界面根据备课和授课使用场景不同而区别设计，包含数、英语、化学等 14 个不同背景，支持自定义图片生成 PPT 背景;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3.支持一键调取 PPT 文件，可选择本地导入或打开两种不同形式获取课件，并支持对调取课件进行再次编辑，保存生成独立格式保护校本资源；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支持备课模式下，对课件添加文本编辑、思维导图等功能，并支持对所添加内容编辑进入和退出方式，可选择百叶窗、淡入、缩放、浮现、飞入、旋转、劈裂、弹跳、淡出、浮出、弹跳、擦除等不同的编辑方式，支持对输入的文本添加朗读读音，读音支持导出音频文件并支持一键插入 ppt、word、excel 等文件；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5.支持备课模式下，对课件页面添加动画效果，可选择新闻快报、缩放、揭开、切出、淡出、推进、覆盖等不同的编辑方式；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支持汉字描红功能，将手写汉字文本快速识别成规则文本，可对汉字进行笔画逐步描红，并可拓展相关汉字读音、偏旁部首、释义等内容，支持拼音读写功能，将手写拼音文本快速识别成规则文本，可对拼音进行示范朗读，支持汉字注音功能，可将输入文本一键注- 入拼音，并点击一键插入白板可自动添加至文本上方；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7.黑板书写支持不少于 10 种风格笔的书写，包含硬笔，智能笔，荧光笔，竹笔，纹理笔，软笔，手势笔，图章笔，激光笔，粉笔类型；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8.支持手势擦除功能，当识别到 5 指手势，画面自动由手写状态变成板擦状态，符合老师随写随擦的教学习惯，板擦大小至少有 3 级选择；</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B、移动端设备管理要求：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1.支持移动端远程巡课功能，在小程序端可查看大屏设备 Windows桌面，支持打开大屏端摄像头，麦克风，实时查看教室情况。摄像头，麦克风选项支持打开，关闭，支持静音观看。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▲2.一体机设备软硬件检测功能，支持在手机上查看电脑软硬件信息（包含 CPU，主板，内存，开机市场，硬盘，显卡，声卡，网卡，系统等），且支持电脑关机时查看，设备在线状态可以实时监视电脑CPU、内存使用率与温度等变化；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▲3.移动端控制电脑，支持远程控制一体机电脑关机、重启、锁定、睡眠、倒计时关机、定时任务；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4.定时任务，像设置闹钟一样简单，为电脑设置定时任务，让电脑使用更有规划，助力生产力，节约人力成本与能源；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5.应用管理，不用远程控制桌面，也能掌握电脑中所有应用的开启与关闭，实时监控应用状态；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C、移动授课要求：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1.PPT助手：把手机变成PPT翻页笔，支持PPT的播放、退出、翻页功能，且能锁定操作、屏幕常亮、触感震动反馈等，支持夜间模式；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▲2.个性化：可将手机变为移动展台，将手机中图片、现场拍摄照片一键上传至电脑，变为电脑桌面，通过透明批注工具对桌面进行批注、擦除。支持一键截图设备桌面并保存至手机端本地。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移动端、电脑文件双向互传功能：通过管理小程序能随时随地连接一体机电脑硬盘，找到想要的文件，支持从手机上传照片、视频、微信中收发的文件到电脑；一键上传文件，在电脑上，任意文件右键，即可一键把文件从PC上传发送到手机。支持移动端直接下载PC端文件至本地和链接形式分享给微信客户端好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4.手机可变成智能笔，含PPT助手功能、调节一体机声音大小、上下音频切换、PC与移动端文件互传功能、云书签功能等，便于教师移动授课。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D、售后服务工具要求：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▲1.智慧黑板端带一个使用反馈入口，点击显示反馈二维码，用户使用微信扫描进入小程序反馈平台，提交上传异常问题，异常现象等图片或视频，一键上报售后；</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2.用户通过售后小程序可以快速查询产品使用指南，支持填写申请，预约售后服务人员；</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3.用户通过售后小程序可以进行对产品，售后服务的评价，投诉；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4.售后服务通过小程序，可以查询机器的维修记录，后台可以实时了解异常情况，快速获取反馈人信息及联系方式，指定维修人员及时服务。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E、无线投屏要求: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1.无线投屏支持 windows,mac,ios,android 平台登录使用；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2.PC 端和移动端可以通过设备码互相投屏，支持手机端扫码投屏到PC 端；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3.PC 端投屏，可以设置投屏端声音投放系统声音或者麦克风的外音；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4.移动端向 PC 端投屏时，可在 PC 端进行批注、录制、截屏、画面旋转、画面置顶等功能；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F、教学资源要求：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智慧课堂界面内一键进入免费的在线教学资源，支持一年级到高三的学科类课程，名师讲堂课程讲解，同时支持专题教育类课程，包含（防疫教育，防疫常识，防疫科学，战疫课堂，战疫故事，品德教育，党史教育，国史教育，爱国主义教育，社会主义核心价值观教育，优秀传统文化，生命教育，安全教育，自然灾害防护，意外伤害防护，公共卫生，社会安全，网络安全，心理健康教育，居家建议，情绪适调，人际交往，学会学习，家庭教育，亲子沟通，习惯养成，经典阅读，主题阅读，中华经典，电子书籍，研学教育）。(提供具有CNAS标识的检测报告复印件加盖厂家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支持3D太阳系功能，可查看太阳系8大行星的星球参数，星球简介，星球结构，可查看行星运行轨迹。支持查看星球赤道直径，质量，与太阳平均距离，自转周期，日星轨道周期。支持查看表面重力，昼夜温度，别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3.支持电子琴功能，可以模拟钢琴发声，包含自由演奏，乐理学习，。自由演奏可以实现实时录音，曲库中有若干乐曲可播放学习。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支持植物生长功能，支持查看植物的叶，茎，花，树干结构，支持查看光合作用过程，支持查看在不同光照情况下树干的形成情况。植物生长模块中包含护林小帮手互动答题游戏，可实现互动教学。(提供具有CNAS标识的检测报告复印件加盖厂家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5．支持书法知识功能，收录古代以及近代多篇知名书法作品，可供学生欣赏，临摹学习。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6．支持体育知识功能，可以查看多种运动项目知识介绍，包括速度力量类，竞争对抗类，耐力竞技类，难美表现类，精准技能类，同时可查看运动精彩集锦。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7．支持英文音标功能，可以查看所有音标的发音教学，包括元音，辅音，半元音等。同时收录英文音标发音教学视频和英文音标发音小技巧视频。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8．支持英文字母功能，内置26个字母教学视频，同时有字母歌视频辅助学习。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▲9.快速录制屏幕，支持同时录制屏幕，麦克风声音以及摄像头人像画面；录制画面可以自定义区域，摄像头画面可设定3种模式大小；(提供具有CNAS标识的检测报告复印件加盖厂家公章)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微课录制完成后视频支持选择存储在本地或者云空间，并修改录制文件的名称，保存在云空间时，自动弹出云空间网站，支持文件公开分享或设为收费视频（设为收费视频为选配），支持将云空间的视频下载至本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11.支持二维码或者复制链接进行视频分享，可设置访问密码，支持使用微信、QQ等工具扫二维码直接观看，观看过程中可在视频时间轴添加表情互动评论，视频进度条中显示表情与评论；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12.每个用户微课云空间支持至少1G存储，并提示存储量；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13.每个微课分享后可以统计观看人数、标记看完人次、互动评价内容等；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14.客户端支持MACOS，windows，android，IOS平台；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15.录制人像时，可讲画面调整为圆形或方形，并对画面进行拖动或者关闭功能，支持选配人像抠图及背景虚拟功能；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G、质量保证要求：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▲1.提供厂家针对本项目的技术参数证明函及白板软件检测报告。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2.为保证兼容性、软件升级及售后便捷与时效，与硬件为同品牌。</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70A5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1ADA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70B23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CE48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0296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视频展台</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6E33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1、箱体采用ABS环保材质，轻便耐腐蚀，箱内无可见连接线，整机圆边设计，安全防碰伤。</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2、采用三折叠式开合托板，非气压杆联动，平稳无故障。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3、像素：800万像素，A4幅面。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视频展台具有2个USB数据采集接口，支持USB下出线和侧边出线2种方式，满足不同的现场安装需求；箱体外侧内嵌2个USB扩展口，可外接U盘或无线键鼠的接收器。(提供权威第三方检测机构出具的带CNAS标识的功能检测报告复印件并加盖厂家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5、采用AF自动对焦，课件翻页和光线变化时不能出现频繁对焦的情况，提高教学演示效率。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6、整机自带LED补光灯，可触摸式三级灯光调节。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7、界面与功能图标内嵌中文，清晰易用，老师不用查阅帮助就能使用，减少误操作。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8、软件基础功能：可预设画笔批注的粗细及颜色，支持对展台画面进行移动、缩放。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故障检测：软件支持故障自检功能，帮助用户检测“无画面”的原因，并给出引导性的修复和解决方案，可判断硬件连接、解码器、显卡驱动、摄像头通道占用等问题，同时也有显示微信和技术电话提供协助。</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10、二维码扫码功能：打开扫一扫功能后，将书本上的二维码放入扫描框内即可自动扫描，并进入系统浏览器获取二维码的链接内容，帮助老师快速获取电子教学资源。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11、软件自带虚拟黑板功能，截取实物展示的某一重点内容在虚拟黑板模式下进行单独批注讲解，板书支持保存和二次打开、编辑，使授课变得简单轻松。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12、图像特技：延时拍照、聚光灯、负片、镜像、黑白、自动曝光、视频冻结、同屏对比、旋转、屏幕录制。</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4759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96AF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0EEDC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050C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BBA8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无尘互联黑板</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F5BF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1、产品整体结构上采取左、右柔性液晶光能黑板+中间86寸液晶一体机的组合方式，总尺寸≥4500mm*1158mm。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2、无粉尘、无耗材：光能黑板依靠压力改变液晶分子排布，使用任何硬度适中的物体均可书写，书写压力50-300g，笔迹粗细大于4mm，书写延时≤7ms，无需任何耗材，杜绝粉尘污染，单点书写10万次后无划痕。</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3、▲板面：透光率不低于87%，雾度不高于40%。（提供有CNAS及CMA认证标识的第三方检测报告）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4、板面结构：产品单块尺寸≥1290*1158mm，独立开放式设计，独立拆装，配有可调节高度装置，调节高度范围大于50mm，与一体机尺寸配套。</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5、▲可视距离：书写笔迹可视距离≥40米，可视角度≥149°，对比度680:1。（提供国家认可CMA及CNAS资质的第三方检测报告）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6、保护视力：纯自然光反射呈字，无电离辐射，长时间观看不刺激眼睛，保护视力。</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7、▲局部擦除：可使用板擦和手势对错误字迹进行局部擦除，擦除精度≤9.7mm*9.7mm，擦除延时＜60ms。（提供有CNAS及CMA认证标识的第三方检测报告）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8、▲供电：内置可充电锂电池，电池容量≥2600mAh。(提供标有CNAS及CMA国家认可的第三方检测报告）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9、▲耐高、低温：光能黑板通过低温-30℃，高温80℃，恒定湿热40℃，95%RH测试，功能正常。（提供有CNAS及CMA认证标识的第三方检测报告）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10、同步传输保存：板书内容可以同步传输到光能板所配套显示设备中进行保存，方便后期的课件使用。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11、电压调节：内部设计电压补偿机制，通过手势按压板面特定位置控制内部电压的高低，实现擦除灵敏度调节。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12、▲光能黑板通过1500V测试，无击穿现象。(提供标有CNAS及CMA国家认可的第三方检测报告）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13、▲光能黑板抗紫外线测试，紫外线阻隔率不低于99.5%。(提供标有CNAS及CMA国家认可的第三方检测报告）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14、▲光能黑板外壳防尘等级不低于IP4X。(提供标有CNAS及CMA国家认可的第三方检测报告）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二、软件要求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1、同步互联：左、右光能黑板可与触控一体机进行互动，将光能黑板的内容与触控一体机无缝连接，教师在光能黑板上的书写内容可同步显示在触控一体机上。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2、颜色切换：可设置不同的软件端笔迹颜色，可实现老师对于教学重点的标识及批注；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3、板书记录：可同步传输老师的板书到软件界面；按下清除键后，板面和软件端的笔迹均可以被清除；点击“前一页”可找回清除掉的板书；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4、单双页切换：两种光能黑板的书写记录模式，支持单板书写记录内容为一个单页面，也可以支持双板同时书写时记录在一个页面上；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5、桌面切换：黑板书写内容和屏体显示内容可一键切换，不影响老师正常授课操作。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6、一键保存：支持将板书内容保存为PDF文档，便于学校对课堂板书的管理和传递。无需花费时间找存储路径，点击“打开”，直接进入存储位置，快速找到存储文件。</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D760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2A46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1C7A9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5786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EFCA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红外无线扩声一体机（主箱）</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6D5E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 一体化设计。集成：数字功放，红外无线接收模块，红外线传感器，反馈抑制模块，DSP数字音频处理模块，扬声器于一体。</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 采用红外光线进行音频传输，可在室外阳光环境下工作，不串频，无干扰。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 频道组数≥3通道，支持两支红外无线话筒和一支红外翻页笔同时使用。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 内嵌超广角多阵列式红外线接收管≥24颗。</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 一路红外传输扩展接口：RJ45网口。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 线路输入接口1个；USB数字声卡接口1个；混音输出接口1个；幻象供电话筒接口1个；话筒独立输出1个，音箱接线端口1组。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 支持RS232中控，实现每路音量调节，高低音调节，参数储存/恢复，电源开关等中控控制。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 控制面板配置中文液晶屏，及时反馈设备状态。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 功放频率响应：50Hz~20KHz ±3dB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 失真：≤0.05%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 信噪比≥78dB(MIC),  ≥80dB(LINE),  ≥98dB(IR MIC)</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12 功放额定输出功率:（4Ω）90W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 扬声器：2×4”全频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 铝合金箱体</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447A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BA82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509FC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4A2D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D5E3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红外音箱（含支架）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5095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▲1、箱体内嵌超广角多阵列式红外线接收管24颗，与音箱融为一体。须提供具有“CNAS”和“CMA"资质的第三方实验室（检测机构）出具的检测报告。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▲2、采用RJ45网口进行红外信号传输，并具备输入输出接口。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3、单元组成2个4寸高性能铁氧体驱动单元。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4、频率响应：100Hz~18kHz（±3dB）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5、额定/峰值功率80W/160W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6、灵敏度：90dB（1W/1M）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7、最大声压级110dB（1W/1M）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 阻抗：8Ω；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 箱体材料： 铝合金一次成型，坚固耐用。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 外观工艺：阳极氧化，IPx4防水级别，室内、外均可安装。</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 尺寸（高×宽×深）mm：147.3(L)x149.7(W)x475(H)</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1F78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7AAC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r>
      <w:tr w14:paraId="52C9B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5521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B3C0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红外线话筒（翻页、绿色激光、自动休眠、磁吸充电）（颈挂+手持）</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35AD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 无线传输制式：红外线(波长850nm)，高灵敏度红外线发射管≥6颗，分布在前后左右四面，不易遮挡。须提供具有“CNAS”和“CMA"资质的第三方实验室（检测机构）出具的检测报告。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 拾音传感器：电容式驻极体音头ECM。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 有效传输距离：与配套主机实现26米（室内直线无遮挡）稳定传输。</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 通道调节：双通道设计，可自主调节红外通道。</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 功率调节：可自主设定高低两档发射功率。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 电池：内置1300mAh锂电池，工作时间≥8小时。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▲充电方式：支持磁吸座充(即话筒尾部安装环形充电磁铁，正反方向都能充电)、磁吸线充和Type-C线充。须提供具有“CNAS”和“CMA"资质的第三方实验室（检测机构）出具的检测报告。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 话筒具备PPT翻页功能。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 话筒具备绿色激光教鞭功能。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▲10.智能电源管理：话筒静置2秒后自动休眠，拿取时瞬间自动正常工作。须提供具有“CNAS”和“CMA"资质的第三方实验室（检测机构）出具的检测报告。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11.可手持可颈挂，标配可轻松调节高度的硅胶挂绳。</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▲12.通过4颗双色指示灯反馈设备电量、音量及使用状态。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 外部音源接入：能支持头戴咪和外部音源输入，可连接手机等移动设备。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 兼容性：兼容同品牌红外线全系列接收设备。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B8D8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44E9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支</w:t>
            </w:r>
          </w:p>
        </w:tc>
      </w:tr>
      <w:tr w14:paraId="23123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44AA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3CF5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组合式单充电座（桌面+嵌入+壁挂架选配）</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5C74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 标配一个充电位，支持不同形状话筒（颈挂式、手持式）和智能翻页笔充电。同时支持桌面放置、嵌入式、壁挂式三种安装方式（壁挂支架选配）。须提供具有“CNAS”和“CMA"资质的第三方实验室（检测机构）出具的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 充电保护：对不关话筒的情况下可以自动断开内部电路并进行充电。</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 充电指示：可根据充电指示灯判断充电情况。</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 电池识别保护：能自动识别是否是充电电池，检测到非充电电池会自动断电保护。</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 同时具备Type-C接口和4P凤凰插口，且都支持供电和RS-232控制协议，通过中控接口反馈充电状态，发送控制指令。须提供具有“CNAS”和“CMA"资质的第三方实验室（检测机构）出具的检测报告。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 充电电压电流：DC 5V, 500mA。</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1D7B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1DFF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r>
      <w:tr w14:paraId="398BD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82E3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8A3B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移动讲桌</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14E3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规格：1200mm×600mm×900mm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结构：钢木结构，内配储物柜，设可移动置物板。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材质：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1.台面采用 12.7mm 厚双面膜耐腐蚀实芯理化板。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2.主框架采用 30×60×1.2mm 方管、拉撑采用 25×50×1.2mm方管。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3.内配柜体采用16mm 厚 E1 级实验室专用三聚氰胺板。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4.置物板采用0.6mm冷轧钢板。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工艺：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1.台面采用数控雕刻机制作，四角倒R15 圆角，边沿倒3圆角，流畅圆滑不伤手。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2.钢架采用CO2保护焊焊接，表面经酸洗磷化、纯环氧树脂塑粉高温固化处理，平整光滑，无脱落、鼓泡、凹陷、压痕以及表面划伤、麻点、裂痕、崩角和刃口 等，切割、钻孔和倒角应去毛刺。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3.柜体板材截面采用≥1.0㎜厚PVC 封边机械高温封边。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1.台面耐酸、耐碱、耐高温，坚固耐用，防潮、无细孔、不膨胀、不龟裂、不变形、不导电、便于维护及具有良好的承重性能。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2.内配柜设抽斗和柜门，方便放置不同类型物品。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3.置物板宽度350mm，和桌面成30°夹角，采用吊装滑轨、滑轮，左右移动顺畅；</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4.桌脚采用静音万向轮，整桌可任意移动。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E659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7B21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r>
      <w:tr w14:paraId="6F83E1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A547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B5AA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可拼接学生桌</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A04D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规格：1400*700*750mm±10mm；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桌面：材质采用抗倍特一体成型。耐80度以上高温。防水：浸水24小时后的膨胀指数不多于0.1mm，面板四周采CNC修边，四周倒角，圆润光滑无任何毛边。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桌架：框架采用≥φ30*1.2㎜钢架，钢材符合国家相关标准，焊接采用二氧化碳保护焊焊接，表面经去油除锈处理，高温静电喷塑。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脚套：采用全新PE工程塑料一次注塑成型，牢固耐磨；可加活动轮。</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FEAE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89ED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r>
      <w:tr w14:paraId="1B9D3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E5CB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E792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学生椅</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365C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规格：375*390*550-座高440㎜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椅面：依据人体工程学原理，采用全新PP塑料，一体注塑成型，抗压、耐磨、耐冲击。</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椅架：钢管直径22mm，壁厚1.8mm，数控折弯成型，且设计可多把椅子堆叠存放，减少存储空间。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脚垫：材质为PP。</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3FE2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87D7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把</w:t>
            </w:r>
          </w:p>
        </w:tc>
      </w:tr>
      <w:tr w14:paraId="06A96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A6E2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kern w:val="0"/>
                <w:sz w:val="20"/>
                <w:szCs w:val="20"/>
                <w:highlight w:val="none"/>
                <w:u w:val="none"/>
                <w:lang w:val="en-US" w:eastAsia="zh-CN" w:bidi="ar"/>
              </w:rPr>
              <w:t>13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A574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kern w:val="0"/>
                <w:sz w:val="20"/>
                <w:szCs w:val="20"/>
                <w:highlight w:val="none"/>
                <w:u w:val="none"/>
                <w:lang w:val="en-US" w:eastAsia="zh-CN" w:bidi="ar"/>
              </w:rPr>
              <w:t>实验边台1</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BB6E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kern w:val="0"/>
                <w:sz w:val="20"/>
                <w:szCs w:val="20"/>
                <w:highlight w:val="none"/>
                <w:u w:val="none"/>
                <w:lang w:val="en-US" w:eastAsia="zh-CN" w:bidi="ar"/>
              </w:rPr>
              <w:t>规格：2400×600×800mm±10㎜，长度可依空间实际尺寸定制。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材质：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 台面采用12.7mm厚实芯理化板，外露边沿修圆弧，整体美观大方，耐高温、耐酸碱、耐腐蚀、不吸水、防火、阻燃、防静电、抗老化、无毒、无褪色、材质坚硬，牢固可靠。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2.桌柜采用16mm厚聚木屑三聚氰胺双面板。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3.桌架采用40×60×1.2mm方钢管。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4.水槽采用高密度黑色PPR一体化水槽，其内腔尺寸（长宽高）485mm×385 mm×290mm；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5.水嘴采用铜质喷塑三联式高位水嘴、陶瓷芯片水阀；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4.五金配件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1）拉手：采用一字型铝合金拉手。；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2）铰链：采用优质铰链，开启角度 110°铰链开启 15º以内具有自闭功能，耐腐蚀、承重、经久耐用，开合十万次以上。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3）导轨：采用超静音三节滚珠滑轨，承重≥15公斤，开合十万次以上不变形。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4）地脚：ABS工程塑料可调脚，螺杆直径 12mm，可调整高度 0-30mm，具有减缓冲击力功能。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结构：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1.钢木左右结构；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2.钢架采用“工”字形结构，前面放置木柜，木柜下设钢管托撑，并有M8mm螺丝顶固，带可调地脚；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3.桌柜上设抽屉，下设储物柜；水槽柜设检修门；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4.桌柜离地150mm左右，方便打扫卫生；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工艺：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 板材截面采用1.5㎜厚pvc封边条机械高温封边；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2.钢材采用CO2保护焊焊接，钢材表面经喷砂抛丸去油除锈，静电喷涂；</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9ABA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kern w:val="0"/>
                <w:sz w:val="20"/>
                <w:szCs w:val="20"/>
                <w:highlight w:val="none"/>
                <w:u w:val="none"/>
                <w:lang w:val="en-US" w:eastAsia="zh-CN" w:bidi="ar"/>
              </w:rPr>
              <w:t>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CF54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kern w:val="0"/>
                <w:sz w:val="20"/>
                <w:szCs w:val="20"/>
                <w:highlight w:val="none"/>
                <w:u w:val="none"/>
                <w:lang w:val="en-US" w:eastAsia="zh-CN" w:bidi="ar"/>
              </w:rPr>
              <w:t>张</w:t>
            </w:r>
          </w:p>
        </w:tc>
      </w:tr>
      <w:tr w14:paraId="56790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CC1A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47A6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实验边台2</w:t>
            </w:r>
          </w:p>
        </w:tc>
        <w:tc>
          <w:tcPr>
            <w:tcW w:w="6035" w:type="dxa"/>
            <w:tcBorders>
              <w:top w:val="single" w:color="000000" w:sz="4" w:space="0"/>
              <w:left w:val="single" w:color="000000" w:sz="4" w:space="0"/>
              <w:bottom w:val="nil"/>
              <w:right w:val="single" w:color="000000" w:sz="4" w:space="0"/>
            </w:tcBorders>
            <w:shd w:val="clear" w:color="auto" w:fill="auto"/>
            <w:vAlign w:val="center"/>
          </w:tcPr>
          <w:p w14:paraId="2D35A1A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规格：1800×600×800mm±10㎜，长度可依空间实际尺寸定制。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材质：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 台面采用12.7mm厚实芯理化板，外露边沿修圆弧，整体美观大方，耐高温、耐酸碱、耐腐蚀、不吸水、防火、阻燃、防静电、抗老化、无毒、无褪色、材质坚硬，牢固可靠。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2.桌柜采用16mm厚聚木屑三聚氰胺双面板。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3.桌架采用40×60×1.2mm方钢管。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4.五金配件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1）拉手：采用一字型铝合金拉手。；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2）铰链：采用优质铰链，开启角度 110°铰链开启 15º以内具有自闭功能，耐腐蚀、承重、经久耐用，开合十万次以上。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3）导轨：采用超静音三节滚珠滑轨，承重≥15公斤，开合十万次以上不变形。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4）地脚：ABS工程塑料可调脚，螺杆直径 12mm，可调整高度 0-30mm，具有减缓冲击力功能。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结构：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1.钢木左右结构；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2.钢架采用“工”字形结构，前面放置木柜，木柜下设钢管托撑，并有M8mm螺丝顶固，带可调地脚；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3.桌柜上设抽屉，下设储物柜；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4.桌柜离地150mm左右，方便打扫卫生。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工艺：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 板材截面采用1.5㎜厚pvc封边条机械高温封边；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2.钢材采用CO2保护焊焊接，钢材表面经喷砂抛丸去油除锈，静电喷涂；</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2B94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E9D7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张</w:t>
            </w:r>
          </w:p>
        </w:tc>
      </w:tr>
      <w:tr w14:paraId="7FDA8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2A3F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8630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学生实验凳</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CAC5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规格：Φ315mm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1.螺旋式升降。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2.凳脚材质：4个凳脚采用17mm×34mm×1.2mm无缝钢管模具一次弯管成型。二氧化碳保护焊焊接，结构牢固，金属表面经静电粉沫喷涂处理。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3.凳面材质：采用聚丙烯共聚级注塑,厚5mm。表面细纹咬花，防滑不发光。凳面底部镶嵌4枚铜质螺纹，采用螺丝与圆型托盘固定。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4.脚垫材质：采用PP加耐磨纤维质塑料，实心倒勾式一体射出成型凳面与凳脚留有一定的空间便于凳子挂在挂凳扣上。方便教室的打扫。</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B3C4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03DC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r>
      <w:tr w14:paraId="7C622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2075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47C0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控制柜                      </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ECBB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1.控制柜尺寸：≥400mm（L）×230mm（W）×780mm（H）；</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2.工艺与材质：采用≥1.2mm钢板冷轧成型，表面经过防腐氧化处理和纯环氧树脂塑粉高温固化处理，具有较强的耐蚀性。对控制系统硬件安装固定，操作面镶入雅典黑亚克力装饰板。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3.控制柜内置总电源开关，漏电保护器，主控制模块，急停控制模块，开关电源，工作指示灯。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4.集成10.1寸触显操作单元。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D699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E535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7C49F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B0BB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5AB9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智能吊装控制系统                   </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0179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1.电源操作控制系统：可实现远程分组控制学生高低压电源开启与关闭；可输出交流电范围0-30V，分辨率1V设置及实时显示，可输出直流电范围0-30V，分辨率0.1V设置及实时显示，带学生电压锁定功能。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2.照明系统：可实现远程控制照明系统开启与关闭。可单个或全组进行控制，有全选及反选功能，可实现根据周围环境手动调节亮度，实时显示照明工作状态。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3.升降控制系统：可实现控制电源升起或下降。可单个或全组进行控制，有全选及反选功能。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4.系统设置：（1）开机方式: ①直接开机; ②密码验证； （2）定时关机：0-240分钟时段设置；（3）教室编号设置；（4）自动分组功能；（5）更改密码功能。</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46F1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748E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6FFBF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81B5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C10B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电源转换及升降控制系统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4224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1、外壳规格：≥325mm（L）×110mm（W）×275mm（H）；</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2、外壳工艺材质：由ABS塑料一体注塑成型，具备抗化学腐蚀、耐热性、电绝缘性和耐候性；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3、内部构成：由开关电源和减速电机构成；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3.1、开关电源：输出电压DC≥24V，功率≥100W，为电机及低压电源供电，具备过载、过压、短路保护功能。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3.2、减速电机：采用额定工作电压为12V-24V直流减速电机，用于驱动升降机构。</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5E45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9B75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33F59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AF13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0718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升降系统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9989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1、外壳规格：≥440mm（L）×155mm（W）×390mm（H）；</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2、工艺材质：由≥1.5mm厚镀锌板与ABS塑料组成，金属部分表面经环氧树脂粉末喷涂并高温固化处理；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3、升降范围：以桌面为基准，支持垂直升降，行程调节范围为1200mm～1800mm；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4、升降方式：采用自动升降系统，电机电流实时监测，具备堵转保护与运行状态反馈；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5、布线结构：旋转线槽采用轮毂结构设计，在旋转过程中避免跳线并保护电缆完整性；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6、通信电缆：采用9芯低烟无卤阻燃型复合通信电缆，用于连接电源操作及控制模块。</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E610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F40B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6136F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7DBD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12ED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智能照明收纳系统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2BD8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1、外壳规格：≥φ385mm×145mm（H）；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2、外壳材质：壳体采用ABS塑料一体注塑成型，具备抗化学腐蚀、耐热性、电绝缘性和耐候性；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3、光源参数：采用铝基板高亮度白光LED灯，功率≥40W，照明方式为360°环形发光结构；灯光扩散片为透明亚克力材质，围绕LED灯设置≥60根防眩光格栅条，用于控制炫光。</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125D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F361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15827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A3C7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9484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学生电源操作控制系统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9AA0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1、外壳规格：≥φ225mm×175mm（H）；集成≥2个RJ45网口、≥2个供电USB接口；≥4路220V多功能插座输出；≥1个到位停止触发按键；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2、工艺材质： 壳体采用ABS塑料一体注塑成型，结构为圆弧形设计；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3、控制系统：以32位MCU为核心配合监测控制电路，对整个设备的升降、电源转换进行监测及输出响应控制；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4、显示界面：选用2.4寸（偏差±5%）触控显示屏，能够实现电流、电压的实时显示以及交/直流电压的输出设置；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5、交流输出：支持由学生或教师操作输出0-30V电源，分辨率为0.1V。0V-15.0V，额定电流≥3A；15.1V-30.0V，额定电流≥2A，具备过载报警保护功能；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6、直流输出：支持由学生或教师操作输出0-30V电源，分辨率为0.1V。0V-15.0V，额定电流≥3A；15.1V-30.0V，额定电流≥2A，具备过载报警保护功能；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7、锁定功能：当教师端启用锁定功能时，电源设置权限仅限教师端控制，学生端操作无效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8、插座输出：额定电流≥5A，带安全门；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9、机械限位：模块底部设置限位式机械到位触发装置，当模块下落至桌面时触发停止信号，控制设备停止下降并启用供电功能。</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5365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65C7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6F389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8208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E9B2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空调</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4F00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立式3匹，一级能效，变频冷暖空调；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制冷量(W)：7000W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制冷功率(W)：2000W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制热量(W)：9000W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制热功率(W)：2900W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循环风量：1200m³/h</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2A85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0FDF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r>
      <w:tr w14:paraId="2DC84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AF8E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141C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窗帘</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7565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1.材料由双层布构成，里面是透明纱窗布加遮光布组成；外层布艺面料采用聚酯纤维与棉等混纺，能断裂强力经向/纬向≥100N；水洗尺寸变化率-1.0%~+1.0%；阻燃性符合B1级标准更安全；褶皱比例≥1.5。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2.轨道或吊杆安装。轨道、吊杆金属材质。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CA85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25.2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561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m</w:t>
            </w:r>
          </w:p>
        </w:tc>
      </w:tr>
      <w:tr w14:paraId="09C8A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8632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B38B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清洁用品</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46D3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1.外箱由皮革制造，有提手，印有明显标识，外形尺寸：不小于285×165×175（mm）。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2.内装药品及器械应定位放置，取放方便，必备药品有：药用脱脂棉、纱布、胶布、创可贴、碘酒、医用酒精、高锰酸钾等。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3.要求：必备器械有：剪刀、镊子、医用手套、护目镜等。</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E939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CF61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r>
      <w:tr w14:paraId="0DE3FA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015E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035E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灭火设备</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0623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玻璃纤维材质，1800mm×1800mm。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075A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2DB5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件</w:t>
            </w:r>
          </w:p>
        </w:tc>
      </w:tr>
      <w:tr w14:paraId="3204D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A879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FA23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智能交互人体骨骼系统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8558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AI大模型-人体骨骼系统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人体骨骼系统是人体的坚固支架，成人的骨骼由206块骨头组成，这些骨头通过关节、软骨和韧带相互连接。它像积木一样支撑身体，让我们能站立和奔跑。头部的颅骨保护大脑，胸部的肋骨形成笼子状结构，守护心脏和肺部等重要器官。骨骼与肌肉合作完成动作。骨头内部藏着骨髓，其中红骨髓负责制造血液细胞，黄骨髓则储存能量。骨骼表面覆盖着光滑的软骨，能减少运动时的摩擦，而坚韧的韧带把骨头牢牢固定，防止关节脱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语音唤醒词：您好，骨骼</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语音命令词：额骨；颈椎；眉弓；锁骨；胸骨等，具体参见水晶上名称。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右侧AI大模型互动屏幕，你可以语音交互，问更深入的相关问题，可获得更多详细的科普解答。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1.高级主控板：采用国产的高性能芯片作为主控芯片。其是一款低功耗、高性能处理器，适用于 ARM 架构的 PC 和边缘计算设备、个人移动互联网设备和智能电视盒子等其他数字多媒体应用。该主板可运行Linux系统或安卓系统。可以运行各种大模型app，比如豆包爱学，秘塔AI搜索，通义千问，Deepseek等。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☆2.≥8个触点的炫彩RGB触摸模块，接口为RJ11接口，带芯片，实现单总线协议，无需对色标。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3.黑色阳极氧化铝合金六边形框，带M4螺孔，便于安装固定于墙面，高透明面框，便于学生看到内部实现原理。六边形对边尺寸大于340mm,厚度小于85mm，≥5个过线孔。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4.金属材质黑色六边形底框，6个螺丝安装孔，六边形对边尺寸大于360mm,厚度小于42mm。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5.电源转接板支持6~12V电压，≥3个D2.1-5.5防反接电源接口，≥4个RJ11接口，≥2个按键输入接口，≥2个电机输出接口，≥2个可调电位器。拥有一个电源总控制开关接口。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6.配置12V电源适配器，具有过载保护，外接220V标准电源。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7.高亮度COB01 RGB灯条，环形固定在六边形内框，不外露又能实现炫彩灯光效果，光均称无阴影。可用遥控器或者app控制灯条颜色。</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8.配置国产嵌入式芯片语音AI交互主控板1块，≥2个喇叭，≥2个麦克风，≥5英寸的彩屏，1个离线语音识别模块，≥8个触摸点的炫彩RGB触摸模块1个，人体骨骼模型1个，开关按键≥1个，高亮度炫彩COB01 RGB灯条≥1根，COB01 RGB灯条长度≥1250mm，阳极氧化铝合金六边形框≥1套、透明面框≥1套、底板≥1套、安装底座≥1套、适配器≥1个，电源转接板≥1个。</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9.一体式安装，现场无需再DIY组装，插上电源，固定螺钉即可使用。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10.案例框支持任意组合，可以是一朵花的样式，可以是相互拼接，也可以单独安装。</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44E7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6E69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2684C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E227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28D7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智能交互豆芽发芽过程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6CBD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小麦发芽过程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小麦是最重要的粮食作物之一，跟水稻和玉米三种作物占世界上食物的一半以上。认识小麦的发芽过程可以让我们知道粮食作物小麦生长过程。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语音唤醒词：你好，小麦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语音命令词：吸水膨胀；胚部萌动；种皮破裂；胚根生长；胚芽鞘伸出；第一真叶展开；幼苗形成；麦穗。</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右边AI大模型互动屏幕，你可以语音交互，问更深入的相关问题，可获得更多详细的科普解答。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0.总体介绍：xxx</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 吸水膨胀（0-12小时）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干燥麦粒吸水后体积膨胀1.5倍，种皮软化。细胞通过渗透作用吸收水分，激活胚乳中的淀粉酶和蛋白酶，启动胚的活化。</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 胚根萌发（24-48小时）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胚根突破种皮形成主根，同时胚乳中的淀粉被分解为葡萄糖，蛋白质转化为氨基酸，为生长提供能量。此阶段种子呼吸作用增强，释放二氧化碳和水。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 胚轴伸长（48-72小时）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胚轴细胞在生长素作用下纵向分裂，日均增长1-2厘米。胚芽鞘向上生长，真叶逐渐展开，叶绿体开始形成，为后续光合作用奠定基础。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 子叶展开（72小时+）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子叶完全展开后，叶绿体通过光合作用合成有机物，此时小麦芽维生素C含量较种子提升5-6倍，纤维素结构增强茎叶支撑力。</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1.高级主控板：采用国产的高性能芯片作为主控芯片。其是一款低功耗、高性能处理器，适用于 ARM 架构的 PC 和边缘计算设备、个人移动互联网设备和智能电视盒子等其他数字多媒体应用。该主板可运行Linux系统或安卓系统。可以运行各种大模型app，比如豆包爱学，秘塔AI搜索，通义千问，Deepseek等。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☆2.≥8个触点的炫彩RGB触摸模块，接口为RJ11接口，带芯片，实现单总线协议，无需对色标。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3.黑色阳极氧化铝合金六边形框，带M4螺孔，便于安装固定于墙面，高透明面框，便于学生看到内部实现原理。六边形对边尺寸大于340mm,厚度小于85mm，≥5个过线孔。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4.金属材质黑色六边形底框，6个螺丝安装孔，六边形对边尺寸大于360mm,厚度小于42mm。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5.主板接口及电子模块接口均为RJ11接口，其中电子模块大部分带芯片，方便插接，无需对色标，即插即用，带反接和防松功能，降低学习门槛。</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6.电源转接板支持6~12V电压，≥3个D2.1-5.5防反接电源接口，≥4个RJ11接口，≥2个按键输入接口，≥2个电机输出接口，≥2个可调电位器。拥有一个电源总控制开关接口。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7.配置12V电源适配器，具有过载保护，外接220V标准电源。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8.配置≥1个高性能人工智能主控板，可播放音频的喇叭≥1个，≥2个麦克风，≥5英寸的彩屏≥1个，离线语音语音识别模块≥1个，≥8个触摸点的炫彩RGB触摸模块1个，高亮度炫彩COB01 RGB灯条≥1根，COB01 RGB灯条长≥1250mm，豆芽生长模型≥1个，阳极氧化铝合金六边形框≥1套、透明面框≥1套、底板≥1套、安装底座≥1套、适配器≥1个，电源转接板≥1个。</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9.一体式安装，现场无需再DIY组装，可以实现观察到豆芽生长阶段的各个形态，同时可以进行语音交互的方式进行相关知识的科普。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10.案例框支持任意组合，可以是一朵花的样式，可以是相互拼接，也可以单独安装。</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A7A4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94E0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r>
      <w:tr w14:paraId="4D527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252E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BB1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图书展示柜</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DB4F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根据墙面尺寸定制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规格：≥5000×400×2200mm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材质：主体采用16mm三聚氰胺双面板，层板采用18mm三聚氰胺双面板；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结构：上部搁架；下部板式对开门，设一层隔板；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工艺：截面1.5mm厚塑制优质封边条机械封边。</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2EFE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597F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组</w:t>
            </w:r>
          </w:p>
        </w:tc>
      </w:tr>
      <w:tr w14:paraId="662104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A15F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E742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环境提升</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ED0D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1、地面改造，原地面打磨、清洁，表层采用3㎜PVC铺装；</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2、墙面改造，原墙体铲除及二次粉刷；室外走廊展板设计实施1套，室内文化展板2套，作品展示墙2套；</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3、顶面改造，一间铝方通造型吊顶，一间铝扣板集成吊顶；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4、电路改造，根据设计布局改动强弱电点位，以便于接通专用设备用电需求；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5、水路改造，根据设计布局改动上水管、排水管的位置，对应设备用水需求；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6、垃圾清运。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B2FE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200</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BF92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r>
    </w:tbl>
    <w:p w14:paraId="087B0950">
      <w:pPr>
        <w:pStyle w:val="17"/>
        <w:rPr>
          <w:rFonts w:hint="eastAsia"/>
          <w:color w:val="auto"/>
          <w:highlight w:val="none"/>
          <w:lang w:val="en-US" w:eastAsia="zh-CN"/>
        </w:rPr>
      </w:pPr>
    </w:p>
    <w:p w14:paraId="73FBFD09">
      <w:pPr>
        <w:pStyle w:val="17"/>
        <w:rPr>
          <w:rFonts w:ascii="宋体" w:hAnsi="宋体" w:eastAsia="宋体" w:cs="宋体"/>
          <w:color w:val="auto"/>
          <w:spacing w:val="0"/>
          <w:position w:val="0"/>
          <w:sz w:val="24"/>
          <w:highlight w:val="none"/>
          <w:shd w:val="clear" w:fill="auto"/>
        </w:rPr>
      </w:pPr>
    </w:p>
    <w:p w14:paraId="2905E7C2">
      <w:pPr>
        <w:pStyle w:val="8"/>
        <w:rPr>
          <w:color w:val="auto"/>
          <w:highlight w:val="none"/>
        </w:rPr>
      </w:pPr>
    </w:p>
    <w:p w14:paraId="1CCBAF6E">
      <w:pPr>
        <w:pStyle w:val="17"/>
        <w:rPr>
          <w:color w:val="auto"/>
          <w:highlight w:val="none"/>
        </w:rPr>
      </w:pPr>
    </w:p>
    <w:p w14:paraId="379764A5">
      <w:pPr>
        <w:rPr>
          <w:rFonts w:hint="default"/>
          <w:color w:val="auto"/>
          <w:highlight w:val="none"/>
          <w:lang w:val="en-US" w:eastAsia="zh-CN"/>
        </w:rPr>
      </w:pPr>
    </w:p>
    <w:p w14:paraId="68E1B44A">
      <w:pPr>
        <w:spacing w:before="0" w:after="0" w:line="480" w:lineRule="auto"/>
        <w:ind w:right="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2、售后服务内容及要求：</w:t>
      </w:r>
    </w:p>
    <w:p w14:paraId="6300C746">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2.1质量保证：按双方签订合同时的约定执行。</w:t>
      </w:r>
    </w:p>
    <w:p w14:paraId="3A64C92F">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2.2售后服务：免费质保</w:t>
      </w:r>
      <w:r>
        <w:rPr>
          <w:rFonts w:hint="eastAsia" w:ascii="Times New Roman" w:hAnsi="Times New Roman" w:eastAsia="宋体" w:cs="Times New Roman"/>
          <w:color w:val="auto"/>
          <w:spacing w:val="0"/>
          <w:position w:val="0"/>
          <w:sz w:val="21"/>
          <w:highlight w:val="none"/>
          <w:shd w:val="clear" w:fill="FFFFFF"/>
          <w:lang w:val="en-US" w:eastAsia="zh-CN"/>
        </w:rPr>
        <w:t>3</w:t>
      </w:r>
      <w:r>
        <w:rPr>
          <w:rFonts w:ascii="宋体" w:hAnsi="宋体" w:eastAsia="宋体" w:cs="宋体"/>
          <w:color w:val="auto"/>
          <w:spacing w:val="0"/>
          <w:position w:val="0"/>
          <w:sz w:val="24"/>
          <w:highlight w:val="none"/>
          <w:shd w:val="clear" w:fill="auto"/>
        </w:rPr>
        <w:t>年,在接到采购方服务请求后，</w:t>
      </w:r>
      <w:r>
        <w:rPr>
          <w:rFonts w:hint="eastAsia" w:ascii="Times New Roman" w:hAnsi="Times New Roman" w:eastAsia="宋体" w:cs="Times New Roman"/>
          <w:color w:val="auto"/>
          <w:spacing w:val="0"/>
          <w:position w:val="0"/>
          <w:sz w:val="21"/>
          <w:highlight w:val="none"/>
          <w:shd w:val="clear" w:fill="FFFFFF"/>
          <w:lang w:val="en-US" w:eastAsia="zh-CN"/>
        </w:rPr>
        <w:t>4</w:t>
      </w:r>
      <w:r>
        <w:rPr>
          <w:rFonts w:ascii="宋体" w:hAnsi="宋体" w:eastAsia="宋体" w:cs="宋体"/>
          <w:color w:val="auto"/>
          <w:spacing w:val="0"/>
          <w:position w:val="0"/>
          <w:sz w:val="24"/>
          <w:highlight w:val="none"/>
          <w:shd w:val="clear" w:fill="auto"/>
        </w:rPr>
        <w:t>小时响应，</w:t>
      </w:r>
      <w:r>
        <w:rPr>
          <w:rFonts w:hint="eastAsia" w:ascii="Times New Roman" w:hAnsi="Times New Roman" w:eastAsia="宋体" w:cs="Times New Roman"/>
          <w:color w:val="auto"/>
          <w:spacing w:val="0"/>
          <w:position w:val="0"/>
          <w:sz w:val="21"/>
          <w:highlight w:val="none"/>
          <w:shd w:val="clear" w:fill="FFFFFF"/>
          <w:lang w:val="en-US" w:eastAsia="zh-CN"/>
        </w:rPr>
        <w:t>24</w:t>
      </w:r>
      <w:r>
        <w:rPr>
          <w:rFonts w:ascii="宋体" w:hAnsi="宋体" w:eastAsia="宋体" w:cs="宋体"/>
          <w:color w:val="auto"/>
          <w:spacing w:val="0"/>
          <w:position w:val="0"/>
          <w:sz w:val="24"/>
          <w:highlight w:val="none"/>
          <w:shd w:val="clear" w:fill="auto"/>
        </w:rPr>
        <w:t>小时内上门解决问题；质保期内提供免费上门服务，质保期外的收费按相关行业规则或由双方协商收取。</w:t>
      </w:r>
    </w:p>
    <w:p w14:paraId="3CAE4B03">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2.3交货地点：采购人指定地点。</w:t>
      </w:r>
    </w:p>
    <w:p w14:paraId="57F2BB19">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2.4交货日期：</w:t>
      </w:r>
      <w:r>
        <w:rPr>
          <w:rFonts w:hint="eastAsia" w:ascii="宋体" w:hAnsi="宋体" w:eastAsia="宋体" w:cs="宋体"/>
          <w:color w:val="auto"/>
          <w:spacing w:val="0"/>
          <w:position w:val="0"/>
          <w:sz w:val="24"/>
          <w:highlight w:val="none"/>
          <w:shd w:val="clear" w:fill="auto"/>
          <w:lang w:val="en-US" w:eastAsia="zh-CN"/>
        </w:rPr>
        <w:t>见磋商公告</w:t>
      </w:r>
      <w:r>
        <w:rPr>
          <w:rFonts w:ascii="宋体" w:hAnsi="宋体" w:eastAsia="宋体" w:cs="宋体"/>
          <w:color w:val="auto"/>
          <w:spacing w:val="0"/>
          <w:position w:val="0"/>
          <w:sz w:val="24"/>
          <w:highlight w:val="none"/>
          <w:shd w:val="clear" w:fill="auto"/>
        </w:rPr>
        <w:t>。</w:t>
      </w:r>
    </w:p>
    <w:p w14:paraId="05B75D46">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2.1验收：由最终用户组织验收。</w:t>
      </w:r>
    </w:p>
    <w:p w14:paraId="4A183691">
      <w:pPr>
        <w:spacing w:before="0" w:after="120" w:line="415" w:lineRule="auto"/>
        <w:ind w:left="0" w:right="0" w:firstLine="480"/>
        <w:jc w:val="center"/>
        <w:rPr>
          <w:rFonts w:ascii="宋体" w:hAnsi="宋体" w:eastAsia="宋体" w:cs="宋体"/>
          <w:color w:val="auto"/>
          <w:spacing w:val="0"/>
          <w:position w:val="0"/>
          <w:sz w:val="24"/>
          <w:highlight w:val="none"/>
          <w:shd w:val="clear" w:fill="auto"/>
        </w:rPr>
      </w:pPr>
    </w:p>
    <w:p w14:paraId="772681EB">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71750332">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F99BA07">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4FC867D6">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2AB4762">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5AC77D2">
      <w:pPr>
        <w:spacing w:before="0" w:after="0" w:line="480" w:lineRule="auto"/>
        <w:ind w:left="0" w:right="0" w:firstLine="0"/>
        <w:jc w:val="center"/>
        <w:rPr>
          <w:rFonts w:ascii="宋体" w:hAnsi="宋体" w:eastAsia="宋体" w:cs="宋体"/>
          <w:b/>
          <w:bCs/>
          <w:color w:val="auto"/>
          <w:spacing w:val="0"/>
          <w:position w:val="0"/>
          <w:sz w:val="24"/>
          <w:highlight w:val="none"/>
          <w:shd w:val="clear" w:fill="auto"/>
        </w:rPr>
      </w:pPr>
      <w:r>
        <w:rPr>
          <w:rFonts w:ascii="宋体" w:hAnsi="宋体" w:eastAsia="宋体" w:cs="宋体"/>
          <w:b/>
          <w:bCs/>
          <w:color w:val="auto"/>
          <w:spacing w:val="0"/>
          <w:position w:val="0"/>
          <w:sz w:val="24"/>
          <w:highlight w:val="none"/>
          <w:shd w:val="clear" w:fill="auto"/>
        </w:rPr>
        <w:t>第四章  响应性文件内容及格式</w:t>
      </w:r>
    </w:p>
    <w:p w14:paraId="2544E88C">
      <w:pPr>
        <w:widowControl w:val="0"/>
        <w:spacing w:before="0" w:after="0" w:line="520" w:lineRule="auto"/>
        <w:ind w:left="0" w:right="0" w:firstLine="480"/>
        <w:jc w:val="center"/>
        <w:rPr>
          <w:rFonts w:ascii="宋体" w:hAnsi="宋体" w:eastAsia="宋体" w:cs="宋体"/>
          <w:color w:val="auto"/>
          <w:spacing w:val="0"/>
          <w:position w:val="0"/>
          <w:sz w:val="24"/>
          <w:highlight w:val="none"/>
          <w:shd w:val="clear" w:fill="auto"/>
        </w:rPr>
      </w:pPr>
    </w:p>
    <w:p w14:paraId="195B661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7F9D1D2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0C328D15">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重要提示：</w:t>
      </w:r>
    </w:p>
    <w:p w14:paraId="24303FE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．供应商在编制响应性文件时，对于给定格式的文件内容，必须按照给定的标准格式进行填报；对于没有给定标准格式的文件内容，可以由供应商自行设计。</w:t>
      </w:r>
    </w:p>
    <w:p w14:paraId="30B2D84D">
      <w:pPr>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br w:type="page"/>
      </w:r>
    </w:p>
    <w:p w14:paraId="0E1A41B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w:t>
      </w:r>
      <w:r>
        <w:rPr>
          <w:rFonts w:ascii="宋体" w:hAnsi="宋体" w:eastAsia="宋体" w:cs="宋体"/>
          <w:color w:val="auto"/>
          <w:spacing w:val="0"/>
          <w:position w:val="0"/>
          <w:sz w:val="24"/>
          <w:highlight w:val="none"/>
          <w:shd w:val="clear" w:fill="auto"/>
        </w:rPr>
        <w:t>.法定代表人本人参加竞争性磋商的，不需提供授权委托书。</w:t>
      </w:r>
    </w:p>
    <w:p w14:paraId="4B8432E9">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AECE90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14C203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格式2-1</w:t>
      </w:r>
    </w:p>
    <w:p w14:paraId="0A50E34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法定代表人身份证明书</w:t>
      </w:r>
    </w:p>
    <w:p w14:paraId="39F16864">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（法定代表人参加竞争性磋商的，出具此证明书）</w:t>
      </w:r>
    </w:p>
    <w:p w14:paraId="42F0ED8D">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24B199E5">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同志，系我单位法定代表人，任</w:t>
      </w:r>
    </w:p>
    <w:p w14:paraId="7FE36429">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职务。</w:t>
      </w:r>
    </w:p>
    <w:p w14:paraId="24CF87C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特此证明。</w:t>
      </w:r>
    </w:p>
    <w:p w14:paraId="14D59D57">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附：联系地址：               </w:t>
      </w:r>
    </w:p>
    <w:p w14:paraId="33E7D552">
      <w:pPr>
        <w:spacing w:before="0" w:after="0" w:line="360" w:lineRule="auto"/>
        <w:ind w:left="0" w:right="0" w:firstLine="96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联系电话：</w:t>
      </w:r>
    </w:p>
    <w:tbl>
      <w:tblPr>
        <w:tblStyle w:val="13"/>
        <w:tblW w:w="0" w:type="auto"/>
        <w:tblInd w:w="0" w:type="dxa"/>
        <w:tblLayout w:type="autofit"/>
        <w:tblCellMar>
          <w:top w:w="0" w:type="dxa"/>
          <w:left w:w="10" w:type="dxa"/>
          <w:bottom w:w="0" w:type="dxa"/>
          <w:right w:w="10" w:type="dxa"/>
        </w:tblCellMar>
      </w:tblPr>
      <w:tblGrid>
        <w:gridCol w:w="5328"/>
      </w:tblGrid>
      <w:tr w14:paraId="2611FABD">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39B009">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2DAD02C0">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4099EECF">
            <w:pPr>
              <w:spacing w:before="0" w:after="0" w:line="48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（※附：法定代表人身份证复印件※）</w:t>
            </w:r>
          </w:p>
          <w:p w14:paraId="153E61B3">
            <w:pPr>
              <w:spacing w:before="0" w:after="0" w:line="480" w:lineRule="auto"/>
              <w:ind w:left="0" w:right="0" w:firstLine="0"/>
              <w:jc w:val="both"/>
              <w:rPr>
                <w:rFonts w:ascii="宋体" w:hAnsi="宋体" w:eastAsia="宋体" w:cs="宋体"/>
                <w:color w:val="auto"/>
                <w:spacing w:val="0"/>
                <w:position w:val="0"/>
                <w:sz w:val="24"/>
                <w:highlight w:val="none"/>
                <w:shd w:val="clear" w:fill="auto"/>
              </w:rPr>
            </w:pPr>
          </w:p>
          <w:p w14:paraId="1BB0438A">
            <w:pPr>
              <w:spacing w:before="0" w:after="0" w:line="480" w:lineRule="auto"/>
              <w:ind w:left="0" w:right="0" w:firstLine="0"/>
              <w:jc w:val="both"/>
              <w:rPr>
                <w:rFonts w:ascii="宋体" w:hAnsi="宋体" w:eastAsia="宋体" w:cs="宋体"/>
                <w:color w:val="auto"/>
                <w:spacing w:val="0"/>
                <w:position w:val="0"/>
                <w:highlight w:val="none"/>
                <w:shd w:val="clear" w:fill="auto"/>
              </w:rPr>
            </w:pPr>
          </w:p>
        </w:tc>
      </w:tr>
    </w:tbl>
    <w:p w14:paraId="57F2E1A1">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6187D38B">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1640AE7D">
      <w:pPr>
        <w:spacing w:before="0" w:after="0" w:line="360" w:lineRule="auto"/>
        <w:ind w:left="0" w:right="0" w:firstLine="38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投标人电子签章： </w:t>
      </w:r>
    </w:p>
    <w:p w14:paraId="78D5D474">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61CA685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1FF4A9E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32A2B9A3">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7BE280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254B8921">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7F833516">
      <w:pP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p>
    <w:p w14:paraId="1303774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格式2-2</w:t>
      </w:r>
    </w:p>
    <w:p w14:paraId="2BEE9DC0">
      <w:pPr>
        <w:spacing w:before="0" w:after="0" w:line="360" w:lineRule="auto"/>
        <w:ind w:left="0" w:right="0" w:firstLine="48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授权委托书</w:t>
      </w:r>
    </w:p>
    <w:p w14:paraId="56DAEE57">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（委托代理人参加竞争性磋商的，出具此证明书）</w:t>
      </w:r>
    </w:p>
    <w:p w14:paraId="360B201F">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1A09F16D">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委托人授权（被委托人的姓名、职务）为委托人的委托代理人，就项目编号为的项目及合同的执行，以本单位名义处理一切与之有关的事务。</w:t>
      </w:r>
    </w:p>
    <w:p w14:paraId="6842E3D7">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本授权书于年月日签字生效，特此声明。</w:t>
      </w:r>
    </w:p>
    <w:p w14:paraId="430B5F4D">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0C0E2A2A">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w:t>
      </w:r>
    </w:p>
    <w:p w14:paraId="53CC6DD3">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1B98748E">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被委托人：</w:t>
      </w:r>
    </w:p>
    <w:p w14:paraId="00352126">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w:t>
      </w:r>
    </w:p>
    <w:tbl>
      <w:tblPr>
        <w:tblStyle w:val="13"/>
        <w:tblW w:w="0" w:type="auto"/>
        <w:tblInd w:w="0" w:type="dxa"/>
        <w:tblLayout w:type="autofit"/>
        <w:tblCellMar>
          <w:top w:w="0" w:type="dxa"/>
          <w:left w:w="10" w:type="dxa"/>
          <w:bottom w:w="0" w:type="dxa"/>
          <w:right w:w="10" w:type="dxa"/>
        </w:tblCellMar>
      </w:tblPr>
      <w:tblGrid>
        <w:gridCol w:w="5508"/>
      </w:tblGrid>
      <w:tr w14:paraId="7C3C271D">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DBC7549">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4A131361">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63C03F8B">
            <w:pPr>
              <w:spacing w:before="0" w:after="0" w:line="48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（※附：被委托人身份证复印件※）</w:t>
            </w:r>
          </w:p>
        </w:tc>
      </w:tr>
    </w:tbl>
    <w:p w14:paraId="19E6806A">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037631D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2C54068A">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E4E4B1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5505923">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2FB3C5E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1C4CF2FD">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033F4089">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2F1E964E">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9877132">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09455A0A">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5DE3C5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000D8A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05FE3E3">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46FA73A9">
      <w:pPr>
        <w:pStyle w:val="18"/>
        <w:rPr>
          <w:color w:val="auto"/>
          <w:highlight w:val="none"/>
        </w:rPr>
      </w:pPr>
    </w:p>
    <w:p w14:paraId="333CD556">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0A7160A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格式2-3</w:t>
      </w:r>
    </w:p>
    <w:p w14:paraId="3D11D2FC">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供应商资格其他资料</w:t>
      </w:r>
    </w:p>
    <w:p w14:paraId="7BB9E45A">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8C09135">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8EE774A">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0DBB9A9">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1B0AD8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格式3</w:t>
      </w:r>
    </w:p>
    <w:p w14:paraId="35714D76">
      <w:pPr>
        <w:spacing w:before="0" w:after="0" w:line="5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投标函</w:t>
      </w:r>
    </w:p>
    <w:p w14:paraId="6DF73673">
      <w:pPr>
        <w:widowControl w:val="0"/>
        <w:spacing w:before="0" w:after="0" w:line="360" w:lineRule="auto"/>
        <w:ind w:left="0" w:right="0" w:firstLine="0"/>
        <w:jc w:val="left"/>
        <w:rPr>
          <w:rFonts w:hint="eastAsia" w:ascii="宋体" w:hAnsi="宋体" w:eastAsia="宋体" w:cs="宋体"/>
          <w:color w:val="auto"/>
          <w:spacing w:val="0"/>
          <w:position w:val="0"/>
          <w:sz w:val="24"/>
          <w:highlight w:val="none"/>
          <w:shd w:val="clear" w:fill="FFFFFF"/>
          <w:lang w:val="en-US" w:eastAsia="zh-CN"/>
        </w:rPr>
      </w:pPr>
      <w:r>
        <w:rPr>
          <w:rFonts w:ascii="宋体" w:hAnsi="宋体" w:eastAsia="宋体" w:cs="宋体"/>
          <w:color w:val="auto"/>
          <w:spacing w:val="0"/>
          <w:position w:val="0"/>
          <w:sz w:val="24"/>
          <w:highlight w:val="none"/>
          <w:shd w:val="clear" w:fill="FFFFFF"/>
        </w:rPr>
        <w:t>致：周口市公共资源交易中心</w:t>
      </w:r>
      <w:r>
        <w:rPr>
          <w:rFonts w:hint="eastAsia" w:ascii="宋体" w:hAnsi="宋体" w:eastAsia="宋体" w:cs="宋体"/>
          <w:color w:val="auto"/>
          <w:spacing w:val="0"/>
          <w:position w:val="0"/>
          <w:sz w:val="24"/>
          <w:highlight w:val="none"/>
          <w:shd w:val="clear" w:fill="FFFFFF"/>
          <w:lang w:eastAsia="zh-CN"/>
        </w:rPr>
        <w:t>（</w:t>
      </w:r>
      <w:r>
        <w:rPr>
          <w:rFonts w:ascii="宋体" w:hAnsi="宋体" w:eastAsia="宋体" w:cs="宋体"/>
          <w:color w:val="auto"/>
          <w:spacing w:val="0"/>
          <w:position w:val="0"/>
          <w:sz w:val="24"/>
          <w:highlight w:val="none"/>
          <w:shd w:val="clear" w:fill="FFFFFF"/>
        </w:rPr>
        <w:t>政府采购中心</w:t>
      </w:r>
      <w:r>
        <w:rPr>
          <w:rFonts w:hint="eastAsia" w:ascii="宋体" w:hAnsi="宋体" w:eastAsia="宋体" w:cs="宋体"/>
          <w:color w:val="auto"/>
          <w:spacing w:val="0"/>
          <w:position w:val="0"/>
          <w:sz w:val="24"/>
          <w:highlight w:val="none"/>
          <w:shd w:val="clear" w:fill="FFFFFF"/>
          <w:lang w:val="en-US" w:eastAsia="zh-CN"/>
        </w:rPr>
        <w:t>)</w:t>
      </w:r>
    </w:p>
    <w:p w14:paraId="7F82484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55BE987">
      <w:pPr>
        <w:widowControl w:val="0"/>
        <w:spacing w:before="0" w:after="0" w:line="240" w:lineRule="auto"/>
        <w:ind w:left="0" w:right="0" w:firstLine="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highlight w:val="none"/>
          <w:u w:val="single"/>
          <w:shd w:val="clear" w:fill="auto"/>
        </w:rPr>
        <w:t>：    元，</w:t>
      </w:r>
      <w:r>
        <w:rPr>
          <w:rFonts w:ascii="宋体" w:hAnsi="宋体" w:eastAsia="宋体" w:cs="宋体"/>
          <w:color w:val="auto"/>
          <w:spacing w:val="0"/>
          <w:position w:val="0"/>
          <w:sz w:val="24"/>
          <w:highlight w:val="none"/>
          <w:shd w:val="clear" w:fill="auto"/>
        </w:rPr>
        <w:t>并对之负法律责任。</w:t>
      </w:r>
    </w:p>
    <w:p w14:paraId="49D935F2">
      <w:pPr>
        <w:spacing w:before="0" w:after="0" w:line="240" w:lineRule="auto"/>
        <w:ind w:left="0" w:right="0" w:firstLine="56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据此函，宣布同意如下：</w:t>
      </w:r>
    </w:p>
    <w:p w14:paraId="6208884B">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(1)我们完全理解贵方不一定要接受最低报价，并同意本文件规定的响应性文件有效期。</w:t>
      </w:r>
    </w:p>
    <w:p w14:paraId="3B511434">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(2)我们已详细审核全部竞争性磋商文件，我们知道必须放弃提出含糊不清或误解的问题的权利。</w:t>
      </w:r>
    </w:p>
    <w:p w14:paraId="0661C3D5">
      <w:pPr>
        <w:numPr>
          <w:ilvl w:val="0"/>
          <w:numId w:val="26"/>
        </w:num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同意向贵方提供贵方可能另外要求的与其竞争性磋商有关的任何证据和资料。</w:t>
      </w:r>
    </w:p>
    <w:p w14:paraId="730523EC">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(4)一旦我们成交，我们将严格履行合同责任和义务。</w:t>
      </w:r>
    </w:p>
    <w:p w14:paraId="3CB80193">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(5)我们完全理解不向未成交人解释未成交理由的义务。</w:t>
      </w:r>
    </w:p>
    <w:p w14:paraId="6F04CC30">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(6)与本次竞争性磋商有关的正式通讯地址为：</w:t>
      </w:r>
    </w:p>
    <w:p w14:paraId="0EF2AE17">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                  邮 编：</w:t>
      </w:r>
    </w:p>
    <w:p w14:paraId="01273A30">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电 话：                  传 真：</w:t>
      </w:r>
    </w:p>
    <w:p w14:paraId="38741295">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我们保证：</w:t>
      </w:r>
    </w:p>
    <w:p w14:paraId="12BB34DC">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(1)不提供虚假材料谋取成交；</w:t>
      </w:r>
    </w:p>
    <w:p w14:paraId="42783259">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(2)不以不正当手段抵毁、排挤其他供应商；</w:t>
      </w:r>
    </w:p>
    <w:p w14:paraId="12EE8E03">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(3)不与采购人和其它供应商恶意串通；</w:t>
      </w:r>
    </w:p>
    <w:p w14:paraId="0EFB3EBE">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(4)不向采购人和采购代理机构提供不正当利益；</w:t>
      </w:r>
    </w:p>
    <w:p w14:paraId="3E0DF9F6">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(5)不拒绝有关部门监督检查或提供虚假情况。</w:t>
      </w:r>
    </w:p>
    <w:p w14:paraId="6959F309">
      <w:pPr>
        <w:spacing w:before="0" w:after="0" w:line="560" w:lineRule="auto"/>
        <w:ind w:left="0" w:right="0" w:firstLine="72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联系人：              联系电话：</w:t>
      </w:r>
    </w:p>
    <w:p w14:paraId="26954DF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B57A9F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1523CD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F104197">
      <w:pPr>
        <w:spacing w:before="0" w:after="0" w:line="360" w:lineRule="auto"/>
        <w:ind w:left="0" w:right="0" w:firstLine="336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53F5F3EB">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32A350B8">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2F8D277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格式4</w:t>
      </w:r>
    </w:p>
    <w:p w14:paraId="3AFF9E2F">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一．报价一览表</w:t>
      </w:r>
    </w:p>
    <w:tbl>
      <w:tblPr>
        <w:tblStyle w:val="13"/>
        <w:tblW w:w="0" w:type="auto"/>
        <w:jc w:val="center"/>
        <w:tblLayout w:type="autofit"/>
        <w:tblCellMar>
          <w:top w:w="0" w:type="dxa"/>
          <w:left w:w="10" w:type="dxa"/>
          <w:bottom w:w="0" w:type="dxa"/>
          <w:right w:w="10" w:type="dxa"/>
        </w:tblCellMar>
      </w:tblPr>
      <w:tblGrid>
        <w:gridCol w:w="2368"/>
        <w:gridCol w:w="6154"/>
      </w:tblGrid>
      <w:tr w14:paraId="1DEB4984">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6E0FE6">
            <w:pPr>
              <w:widowControl w:val="0"/>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EA21C2">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7CD4A08C">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4C4CB">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DE5230">
            <w:pPr>
              <w:spacing w:before="0" w:after="0" w:line="360" w:lineRule="auto"/>
              <w:ind w:left="0" w:right="0" w:firstLine="0"/>
              <w:jc w:val="both"/>
              <w:rPr>
                <w:rFonts w:ascii="宋体" w:hAnsi="宋体" w:eastAsia="宋体" w:cs="宋体"/>
                <w:color w:val="auto"/>
                <w:spacing w:val="0"/>
                <w:position w:val="0"/>
                <w:sz w:val="22"/>
                <w:highlight w:val="none"/>
                <w:shd w:val="clear" w:fill="auto"/>
              </w:rPr>
            </w:pPr>
          </w:p>
        </w:tc>
      </w:tr>
      <w:tr w14:paraId="740BB15E">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5B6B3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最终投标报价（包：）</w:t>
            </w:r>
          </w:p>
          <w:p w14:paraId="57001613">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49407E">
            <w:pPr>
              <w:spacing w:before="0" w:after="0" w:line="360" w:lineRule="auto"/>
              <w:ind w:left="0" w:right="-67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 xml:space="preserve">投标总价：       大写：           </w:t>
            </w:r>
          </w:p>
        </w:tc>
      </w:tr>
      <w:tr w14:paraId="214FD6D3">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4ACBF2">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1BE657">
            <w:pPr>
              <w:spacing w:before="0" w:after="0" w:line="360" w:lineRule="auto"/>
              <w:ind w:left="0" w:right="0" w:firstLine="0"/>
              <w:jc w:val="left"/>
              <w:rPr>
                <w:rFonts w:ascii="宋体" w:hAnsi="宋体" w:eastAsia="宋体" w:cs="宋体"/>
                <w:color w:val="auto"/>
                <w:spacing w:val="0"/>
                <w:position w:val="0"/>
                <w:sz w:val="22"/>
                <w:highlight w:val="none"/>
                <w:shd w:val="clear" w:fill="auto"/>
              </w:rPr>
            </w:pPr>
          </w:p>
        </w:tc>
      </w:tr>
    </w:tbl>
    <w:p w14:paraId="50C47EA8">
      <w:pPr>
        <w:spacing w:before="100" w:after="100" w:line="360" w:lineRule="auto"/>
        <w:ind w:left="0" w:right="0" w:firstLine="492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7C4AF513">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备注：</w:t>
      </w:r>
    </w:p>
    <w:p w14:paraId="4DC15156">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1、此表用于开标会唱标之用。</w:t>
      </w:r>
    </w:p>
    <w:p w14:paraId="34F37A22">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2、表中最终投标报价即为优惠后报价，并作为评审及定标依据。任何有选择或有条件的最终投标报价，或者表中某一包填写多个报价，均为无效报价。</w:t>
      </w:r>
    </w:p>
    <w:p w14:paraId="054C0B0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格式5</w:t>
      </w:r>
    </w:p>
    <w:p w14:paraId="31CD7AC4">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．投标分项报价表</w:t>
      </w:r>
    </w:p>
    <w:p w14:paraId="5EE760F6">
      <w:pPr>
        <w:spacing w:before="0" w:after="0" w:line="240" w:lineRule="auto"/>
        <w:ind w:left="0" w:right="0" w:firstLine="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谈判供应商名称：</w:t>
      </w:r>
    </w:p>
    <w:p w14:paraId="63D26CC9">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单位：元</w:t>
      </w:r>
    </w:p>
    <w:tbl>
      <w:tblPr>
        <w:tblStyle w:val="13"/>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03B64C95">
        <w:tblPrEx>
          <w:tblCellMar>
            <w:top w:w="0" w:type="dxa"/>
            <w:left w:w="10" w:type="dxa"/>
            <w:bottom w:w="0" w:type="dxa"/>
            <w:right w:w="10" w:type="dxa"/>
          </w:tblCellMar>
        </w:tblPrEx>
        <w:trPr>
          <w:trHeight w:val="0" w:hRule="atLeast"/>
        </w:trPr>
        <w:tc>
          <w:tcPr>
            <w:tcW w:w="806"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5452F1A7">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E08E4EB">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货物名称（标明生产厂家、品牌、规格型号等）</w:t>
            </w: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876277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数量</w:t>
            </w: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666ACF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单价</w:t>
            </w: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FB1469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小计</w:t>
            </w:r>
          </w:p>
        </w:tc>
      </w:tr>
      <w:tr w14:paraId="1C9F4B90">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684F5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0B071B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B878B0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994174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9EF4B3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02C4E3A">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C828E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B4F581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CA86B4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6AACF6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21E6EB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EF9582C">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A381C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B37181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8A2699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33ECA8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C0DD4A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C6B8F7F">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C5415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A91BCD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509D08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557DB0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B876EA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5AAA138E">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2C667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0C7F7D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880AE2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44E04D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F6C7CE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2A50143">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27CF8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EB36D7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E61CB0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67A3BA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742F52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2EC94139">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566E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059308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E814AB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F6C7DD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4B2064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BCECD4B">
        <w:tblPrEx>
          <w:tblCellMar>
            <w:top w:w="0" w:type="dxa"/>
            <w:left w:w="10" w:type="dxa"/>
            <w:bottom w:w="0" w:type="dxa"/>
            <w:right w:w="10" w:type="dxa"/>
          </w:tblCellMar>
        </w:tblPrEx>
        <w:trPr>
          <w:trHeight w:val="0" w:hRule="atLeast"/>
        </w:trPr>
        <w:tc>
          <w:tcPr>
            <w:tcW w:w="8522"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4FF4CDF">
            <w:pPr>
              <w:spacing w:before="0" w:after="0" w:line="240" w:lineRule="auto"/>
              <w:ind w:left="0" w:right="0" w:firstLine="0"/>
              <w:jc w:val="center"/>
              <w:rPr>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总价（人民币大写）：￥</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元</w:t>
            </w:r>
          </w:p>
        </w:tc>
      </w:tr>
    </w:tbl>
    <w:p w14:paraId="60300285">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0F9032AF">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7821DEC2">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谈判供应商代表签字：谈判供应商公章日期：</w:t>
      </w:r>
    </w:p>
    <w:p w14:paraId="56A84720">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4CD1A3E">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24C75C7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格式6                     </w:t>
      </w:r>
      <w:r>
        <w:rPr>
          <w:rFonts w:ascii="宋体" w:hAnsi="宋体" w:eastAsia="宋体" w:cs="宋体"/>
          <w:b/>
          <w:color w:val="auto"/>
          <w:spacing w:val="0"/>
          <w:position w:val="0"/>
          <w:sz w:val="24"/>
          <w:highlight w:val="none"/>
          <w:shd w:val="clear" w:fill="auto"/>
        </w:rPr>
        <w:t>技术参数响应表</w:t>
      </w:r>
    </w:p>
    <w:p w14:paraId="71B57EBB">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4A49ECB6">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3"/>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DCF889D">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C5B41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A7AA7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按投标人所投内容填写</w:t>
            </w:r>
          </w:p>
        </w:tc>
      </w:tr>
      <w:tr w14:paraId="716E7BCC">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A29A7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19AF3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9FA18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D47F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B1DA4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偏离说明</w:t>
            </w:r>
          </w:p>
        </w:tc>
      </w:tr>
      <w:tr w14:paraId="3139449D">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6425F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C22E3B">
            <w:pPr>
              <w:widowControl w:val="0"/>
              <w:spacing w:before="0" w:after="0" w:line="240" w:lineRule="auto"/>
              <w:ind w:left="0" w:right="0" w:firstLine="0"/>
              <w:jc w:val="left"/>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E2E55AB">
            <w:pPr>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3C18367">
            <w:pPr>
              <w:widowControl w:val="0"/>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BAEED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6C312B9">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A073A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9BFF0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79E38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E684D5">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89574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5847431E">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4D316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80E42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A16D81">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76B52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CF7D7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AF0AC2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A83F1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5C417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7F007E">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992E71">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92720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76A711CF">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ADA10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F3A41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A39E76">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1ECCC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E954E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F16DCE2">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74E0C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216CD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B1A9AB">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E9E4A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EA909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bl>
    <w:p w14:paraId="0963FC69">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E0E928E">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(可根据需求自行更改)</w:t>
      </w:r>
    </w:p>
    <w:p w14:paraId="70D6E70C">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D9BA744">
      <w:pPr>
        <w:spacing w:before="0" w:after="0" w:line="360" w:lineRule="auto"/>
        <w:ind w:left="5250" w:right="0" w:firstLine="2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5694298A">
      <w:pPr>
        <w:spacing w:before="0" w:after="0" w:line="360" w:lineRule="auto"/>
        <w:ind w:left="0" w:right="0" w:firstLine="0"/>
        <w:jc w:val="righ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16E9532A">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4E97A054">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28AADBA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格式7</w:t>
      </w:r>
    </w:p>
    <w:p w14:paraId="5DFAB3D6">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1AB134E6">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售后服务承诺</w:t>
      </w:r>
    </w:p>
    <w:p w14:paraId="4F1FA29B">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176ED904">
      <w:pPr>
        <w:spacing w:before="0" w:after="0" w:line="380" w:lineRule="auto"/>
        <w:ind w:left="0" w:right="0" w:firstLine="360"/>
        <w:jc w:val="both"/>
        <w:rPr>
          <w:rFonts w:ascii="宋体" w:hAnsi="宋体" w:eastAsia="宋体" w:cs="宋体"/>
          <w:color w:val="auto"/>
          <w:spacing w:val="0"/>
          <w:position w:val="0"/>
          <w:sz w:val="24"/>
          <w:highlight w:val="none"/>
          <w:shd w:val="clear" w:fill="auto"/>
        </w:rPr>
      </w:pPr>
    </w:p>
    <w:p w14:paraId="14D8CB31">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0A62B427">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7778F0B">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56B2E9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FF60496">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77F374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27FF9CF1">
      <w:pPr>
        <w:spacing w:before="0" w:after="0" w:line="380" w:lineRule="auto"/>
        <w:ind w:left="0" w:right="0" w:firstLine="0"/>
        <w:jc w:val="both"/>
        <w:rPr>
          <w:rFonts w:ascii="宋体" w:hAnsi="宋体" w:eastAsia="宋体" w:cs="宋体"/>
          <w:color w:val="auto"/>
          <w:spacing w:val="0"/>
          <w:position w:val="0"/>
          <w:sz w:val="24"/>
          <w:highlight w:val="none"/>
          <w:shd w:val="clear" w:fill="auto"/>
        </w:rPr>
      </w:pPr>
    </w:p>
    <w:p w14:paraId="5CF8B4CA">
      <w:pPr>
        <w:spacing w:before="0" w:after="0" w:line="380" w:lineRule="auto"/>
        <w:ind w:left="0" w:right="0" w:firstLine="400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10044F1E">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04247D2F">
      <w:pPr>
        <w:spacing w:before="0" w:after="0" w:line="380" w:lineRule="auto"/>
        <w:ind w:left="0" w:right="640" w:firstLine="4680"/>
        <w:jc w:val="both"/>
        <w:rPr>
          <w:rFonts w:ascii="宋体" w:hAnsi="宋体" w:eastAsia="宋体" w:cs="宋体"/>
          <w:color w:val="auto"/>
          <w:spacing w:val="0"/>
          <w:position w:val="0"/>
          <w:sz w:val="24"/>
          <w:highlight w:val="none"/>
          <w:shd w:val="clear" w:fill="auto"/>
        </w:rPr>
      </w:pPr>
    </w:p>
    <w:p w14:paraId="3097E22E">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21FA9121">
      <w:pPr>
        <w:spacing w:before="0" w:after="0" w:line="380" w:lineRule="auto"/>
        <w:ind w:left="0" w:right="0" w:firstLine="3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4FFE016B">
      <w:pPr>
        <w:spacing w:before="0" w:after="0" w:line="380" w:lineRule="auto"/>
        <w:ind w:left="0" w:right="0" w:firstLine="360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p>
    <w:p w14:paraId="7FC950AE">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格式8</w:t>
      </w:r>
    </w:p>
    <w:p w14:paraId="626CF5B2">
      <w:pPr>
        <w:spacing w:before="0" w:after="0" w:line="360" w:lineRule="auto"/>
        <w:ind w:left="0" w:right="0" w:firstLine="16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p w14:paraId="5CBEC2A6">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F1CB86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DF22E6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E6821E1">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AEB278D">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EF80275">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3A38FA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0215CDB">
      <w:pPr>
        <w:pStyle w:val="17"/>
        <w:rPr>
          <w:color w:val="auto"/>
          <w:highlight w:val="none"/>
        </w:rPr>
      </w:pPr>
    </w:p>
    <w:p w14:paraId="14B1D6E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D527AC0">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7D4F485">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3E2AB04">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2AB1F5A">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6C6E3D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99ED84A">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71343F6">
      <w:pPr>
        <w:spacing w:before="0" w:after="0" w:line="380" w:lineRule="auto"/>
        <w:ind w:left="0" w:right="0" w:firstLine="336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489AB25E">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4AE511A6">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2EA57F1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222A050">
      <w:pPr>
        <w:pStyle w:val="17"/>
        <w:rPr>
          <w:rFonts w:ascii="宋体" w:hAnsi="宋体" w:eastAsia="宋体" w:cs="宋体"/>
          <w:b/>
          <w:color w:val="auto"/>
          <w:spacing w:val="0"/>
          <w:position w:val="0"/>
          <w:sz w:val="24"/>
          <w:highlight w:val="none"/>
          <w:shd w:val="clear" w:fill="auto"/>
        </w:rPr>
      </w:pPr>
    </w:p>
    <w:p w14:paraId="0B1E4DA3">
      <w:pPr>
        <w:pStyle w:val="8"/>
        <w:rPr>
          <w:rFonts w:ascii="宋体" w:hAnsi="宋体" w:eastAsia="宋体" w:cs="宋体"/>
          <w:b/>
          <w:color w:val="auto"/>
          <w:spacing w:val="0"/>
          <w:position w:val="0"/>
          <w:sz w:val="24"/>
          <w:highlight w:val="none"/>
          <w:shd w:val="clear" w:fill="auto"/>
        </w:rPr>
      </w:pPr>
    </w:p>
    <w:p w14:paraId="6FFD6A6E">
      <w:pPr>
        <w:rPr>
          <w:rFonts w:ascii="宋体" w:hAnsi="宋体" w:eastAsia="宋体" w:cs="宋体"/>
          <w:b/>
          <w:color w:val="auto"/>
          <w:spacing w:val="0"/>
          <w:position w:val="0"/>
          <w:sz w:val="24"/>
          <w:highlight w:val="none"/>
          <w:shd w:val="clear" w:fill="auto"/>
        </w:rPr>
      </w:pPr>
    </w:p>
    <w:p w14:paraId="0A327797">
      <w:pPr>
        <w:pStyle w:val="17"/>
        <w:rPr>
          <w:rFonts w:ascii="宋体" w:hAnsi="宋体" w:eastAsia="宋体" w:cs="宋体"/>
          <w:b/>
          <w:color w:val="auto"/>
          <w:spacing w:val="0"/>
          <w:position w:val="0"/>
          <w:sz w:val="24"/>
          <w:highlight w:val="none"/>
          <w:shd w:val="clear" w:fill="auto"/>
        </w:rPr>
      </w:pPr>
    </w:p>
    <w:p w14:paraId="2D979D50">
      <w:pPr>
        <w:pStyle w:val="8"/>
        <w:rPr>
          <w:rFonts w:ascii="宋体" w:hAnsi="宋体" w:eastAsia="宋体" w:cs="宋体"/>
          <w:b/>
          <w:color w:val="auto"/>
          <w:spacing w:val="0"/>
          <w:position w:val="0"/>
          <w:sz w:val="24"/>
          <w:highlight w:val="none"/>
          <w:shd w:val="clear" w:fill="auto"/>
        </w:rPr>
      </w:pPr>
    </w:p>
    <w:p w14:paraId="5AE20D31">
      <w:pPr>
        <w:rPr>
          <w:rFonts w:ascii="宋体" w:hAnsi="宋体" w:eastAsia="宋体" w:cs="宋体"/>
          <w:b/>
          <w:color w:val="auto"/>
          <w:spacing w:val="0"/>
          <w:position w:val="0"/>
          <w:sz w:val="24"/>
          <w:highlight w:val="none"/>
          <w:shd w:val="clear" w:fill="auto"/>
        </w:rPr>
      </w:pPr>
    </w:p>
    <w:p w14:paraId="59D6B2EF">
      <w:pPr>
        <w:pStyle w:val="17"/>
        <w:rPr>
          <w:rFonts w:ascii="宋体" w:hAnsi="宋体" w:eastAsia="宋体" w:cs="宋体"/>
          <w:b/>
          <w:color w:val="auto"/>
          <w:spacing w:val="0"/>
          <w:position w:val="0"/>
          <w:sz w:val="24"/>
          <w:highlight w:val="none"/>
          <w:shd w:val="clear" w:fill="auto"/>
        </w:rPr>
      </w:pPr>
    </w:p>
    <w:p w14:paraId="7BBA0964">
      <w:pPr>
        <w:pStyle w:val="8"/>
        <w:rPr>
          <w:rFonts w:ascii="宋体" w:hAnsi="宋体" w:eastAsia="宋体" w:cs="宋体"/>
          <w:b/>
          <w:color w:val="auto"/>
          <w:spacing w:val="0"/>
          <w:position w:val="0"/>
          <w:sz w:val="24"/>
          <w:highlight w:val="none"/>
          <w:shd w:val="clear" w:fill="auto"/>
        </w:rPr>
      </w:pPr>
    </w:p>
    <w:p w14:paraId="636493DB">
      <w:pPr>
        <w:rPr>
          <w:rFonts w:ascii="宋体" w:hAnsi="宋体" w:eastAsia="宋体" w:cs="宋体"/>
          <w:b/>
          <w:color w:val="auto"/>
          <w:spacing w:val="0"/>
          <w:position w:val="0"/>
          <w:sz w:val="24"/>
          <w:highlight w:val="none"/>
          <w:shd w:val="clear" w:fill="auto"/>
        </w:rPr>
      </w:pPr>
    </w:p>
    <w:p w14:paraId="3AAC04DC">
      <w:pPr>
        <w:pStyle w:val="17"/>
        <w:rPr>
          <w:rFonts w:ascii="宋体" w:hAnsi="宋体" w:eastAsia="宋体" w:cs="宋体"/>
          <w:b/>
          <w:color w:val="auto"/>
          <w:spacing w:val="0"/>
          <w:position w:val="0"/>
          <w:sz w:val="24"/>
          <w:highlight w:val="none"/>
          <w:shd w:val="clear" w:fill="auto"/>
        </w:rPr>
      </w:pPr>
    </w:p>
    <w:p w14:paraId="2A5670B3">
      <w:pPr>
        <w:pStyle w:val="8"/>
        <w:rPr>
          <w:rFonts w:ascii="宋体" w:hAnsi="宋体" w:eastAsia="宋体" w:cs="宋体"/>
          <w:b/>
          <w:color w:val="auto"/>
          <w:spacing w:val="0"/>
          <w:position w:val="0"/>
          <w:sz w:val="24"/>
          <w:highlight w:val="none"/>
          <w:shd w:val="clear" w:fill="auto"/>
        </w:rPr>
      </w:pPr>
    </w:p>
    <w:p w14:paraId="05DD05D9">
      <w:pPr>
        <w:rPr>
          <w:color w:val="auto"/>
          <w:highlight w:val="none"/>
        </w:rPr>
      </w:pPr>
    </w:p>
    <w:p w14:paraId="24F0E3E2">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579A610">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格式9</w:t>
      </w:r>
    </w:p>
    <w:p w14:paraId="0620CC5A">
      <w:pPr>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5B4817B2">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供的货物全部由符合政策要求的中小企业制造。相关企业</w:t>
      </w:r>
      <w:r>
        <w:rPr>
          <w:rFonts w:hint="eastAsia" w:ascii="宋体" w:hAnsi="宋体" w:eastAsia="宋体" w:cs="宋体"/>
          <w:color w:val="auto"/>
          <w:sz w:val="24"/>
          <w:szCs w:val="24"/>
          <w:highlight w:val="none"/>
          <w:u w:val="none"/>
        </w:rPr>
        <w:t>（含联合体中的中小企业、签订分包意向协议的中小企业）</w:t>
      </w:r>
      <w:r>
        <w:rPr>
          <w:rFonts w:hint="eastAsia" w:ascii="宋体" w:hAnsi="宋体" w:eastAsia="宋体" w:cs="宋体"/>
          <w:color w:val="auto"/>
          <w:sz w:val="24"/>
          <w:szCs w:val="24"/>
          <w:highlight w:val="none"/>
        </w:rPr>
        <w:t>的具体情况如下：</w:t>
      </w:r>
    </w:p>
    <w:p w14:paraId="6096CD4F">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6AE0B360">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7EB92E0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0E93B2CF">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7CB1DF9D">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4C38496F">
      <w:pPr>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193FB488">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z w:val="24"/>
          <w:szCs w:val="24"/>
          <w:highlight w:val="none"/>
        </w:rPr>
        <w:t>日 期：</w:t>
      </w:r>
    </w:p>
    <w:p w14:paraId="627F18EA">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0714BE7B">
      <w:pPr>
        <w:rPr>
          <w:rFonts w:hint="eastAsia"/>
          <w:color w:val="auto"/>
          <w:highlight w:val="none"/>
        </w:rPr>
      </w:pPr>
    </w:p>
    <w:p w14:paraId="520B249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2EF2D15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0B07958E">
      <w:pPr>
        <w:pStyle w:val="8"/>
        <w:rPr>
          <w:rFonts w:ascii="宋体" w:hAnsi="宋体" w:eastAsia="宋体" w:cs="宋体"/>
          <w:color w:val="auto"/>
          <w:spacing w:val="0"/>
          <w:position w:val="0"/>
          <w:sz w:val="24"/>
          <w:highlight w:val="none"/>
          <w:shd w:val="clear" w:fill="auto"/>
        </w:rPr>
      </w:pPr>
    </w:p>
    <w:p w14:paraId="0ED9C606">
      <w:pPr>
        <w:rPr>
          <w:color w:val="auto"/>
          <w:highlight w:val="none"/>
        </w:rPr>
      </w:pPr>
    </w:p>
    <w:p w14:paraId="2FDAF9B3">
      <w:pPr>
        <w:spacing w:before="0" w:after="0" w:line="360" w:lineRule="auto"/>
        <w:ind w:left="0" w:right="0" w:firstLine="480" w:firstLineChars="2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10</w:t>
      </w:r>
      <w:r>
        <w:rPr>
          <w:rFonts w:ascii="宋体" w:hAnsi="宋体" w:eastAsia="宋体" w:cs="宋体"/>
          <w:color w:val="auto"/>
          <w:spacing w:val="0"/>
          <w:position w:val="0"/>
          <w:sz w:val="24"/>
          <w:highlight w:val="none"/>
          <w:shd w:val="clear" w:fill="auto"/>
        </w:rPr>
        <w:t xml:space="preserve">  其他资料</w:t>
      </w:r>
    </w:p>
    <w:p w14:paraId="3DF8AB0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07C79CEB">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1C3E6903">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5654E47B">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00651DC8">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0883194A">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7D003963">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12C21FAA">
      <w:pPr>
        <w:spacing w:before="0" w:after="0" w:line="360" w:lineRule="auto"/>
        <w:ind w:left="0" w:right="0" w:firstLine="0"/>
        <w:jc w:val="both"/>
        <w:rPr>
          <w:rFonts w:hint="eastAsia" w:ascii="宋体" w:hAnsi="宋体" w:eastAsia="宋体" w:cs="宋体"/>
          <w:b/>
          <w:color w:val="auto"/>
          <w:spacing w:val="0"/>
          <w:position w:val="0"/>
          <w:sz w:val="21"/>
          <w:szCs w:val="21"/>
          <w:highlight w:val="none"/>
          <w:shd w:val="clear" w:fill="auto"/>
          <w:lang w:eastAsia="zh-CN"/>
        </w:rPr>
      </w:pPr>
      <w:r>
        <w:rPr>
          <w:rFonts w:hint="eastAsia" w:ascii="宋体" w:hAnsi="宋体" w:eastAsia="宋体" w:cs="宋体"/>
          <w:color w:val="auto"/>
          <w:spacing w:val="0"/>
          <w:position w:val="0"/>
          <w:sz w:val="21"/>
          <w:szCs w:val="21"/>
          <w:highlight w:val="none"/>
          <w:shd w:val="clear" w:fill="auto"/>
        </w:rPr>
        <w:t>格式1</w:t>
      </w:r>
      <w:r>
        <w:rPr>
          <w:rFonts w:hint="eastAsia" w:ascii="宋体" w:hAnsi="宋体" w:eastAsia="宋体" w:cs="宋体"/>
          <w:color w:val="auto"/>
          <w:spacing w:val="0"/>
          <w:position w:val="0"/>
          <w:sz w:val="21"/>
          <w:szCs w:val="21"/>
          <w:highlight w:val="none"/>
          <w:shd w:val="clear" w:fill="auto"/>
          <w:lang w:val="en-US" w:eastAsia="zh-CN"/>
        </w:rPr>
        <w:t>1</w:t>
      </w:r>
    </w:p>
    <w:p w14:paraId="0DD6A706">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政府采购供应商诚信承诺书</w:t>
      </w:r>
    </w:p>
    <w:p w14:paraId="29660C2C">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044A8635">
      <w:pPr>
        <w:spacing w:before="0" w:after="0" w:line="380" w:lineRule="auto"/>
        <w:ind w:left="0" w:right="0" w:firstLine="72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F2D7048">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（一）提供虚假材料谋取中标;</w:t>
      </w:r>
    </w:p>
    <w:p w14:paraId="142365C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（二）采取不正当手段诋毁、排挤其他供应商;</w:t>
      </w:r>
    </w:p>
    <w:p w14:paraId="4FEEEDE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（三）与招标采购单位、其他投标人恶意串通;</w:t>
      </w:r>
    </w:p>
    <w:p w14:paraId="46CA4A5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（四）向招标采购单位或提供其他不正当利益;</w:t>
      </w:r>
    </w:p>
    <w:p w14:paraId="32D88184">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（五）在招标过程中与招标采购单位进行协商谈判、不按照招标文件和投标文件订立合同，或者与采购人另立背离合同实质性内容协议;</w:t>
      </w:r>
    </w:p>
    <w:p w14:paraId="63875807">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（六）开标后擅自撤销投标，影响招标继续进行的或领取招标文件纳投标保证金后不投标导致废标;</w:t>
      </w:r>
    </w:p>
    <w:p w14:paraId="672F11D6">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（七）中标后无正当理由，在规定时间内不与采购单位签订合同;</w:t>
      </w:r>
    </w:p>
    <w:p w14:paraId="0EB9288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（八）将中标项目转让给他人或非法分包他人;</w:t>
      </w:r>
    </w:p>
    <w:p w14:paraId="33A9CC4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（九）无正当理由，拒绝履行合同义务;</w:t>
      </w:r>
    </w:p>
    <w:p w14:paraId="4253FCBF">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（十）无正当理由放弃中标（成交）项目;</w:t>
      </w:r>
    </w:p>
    <w:p w14:paraId="0713EF65">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（十ー）撞自或与与采购人串通或接受采购人要求，在履约合同中通过减少货物数量，更换品牌、降低配置、技术要求、质量和服务标准等，却仍按原合同进行虚假验收或终止政府采购合同;</w:t>
      </w:r>
    </w:p>
    <w:p w14:paraId="4E51241B">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（十二）与采购人串通，对尚未履约完毕的采购项目出具虚假验收报告；</w:t>
      </w:r>
    </w:p>
    <w:p w14:paraId="173CC6F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（十三）无不可抗力因素，拒绝提供售后服务、售后服务态度恶劣、故意提高维修配件价格（高于市场平均价）；</w:t>
      </w:r>
    </w:p>
    <w:p w14:paraId="6037F617">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（十四）开标后对招标文件的相关内容再进行质疑；</w:t>
      </w:r>
    </w:p>
    <w:p w14:paraId="1BAA186A">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（十五）恶意投诉的行为：投诉经查无实据的、捏造事实或者提供虚假设诉材料；</w:t>
      </w:r>
    </w:p>
    <w:p w14:paraId="1FB1D92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（十六）拒绝有关部门监督检查或者提供虚假情况；</w:t>
      </w:r>
    </w:p>
    <w:p w14:paraId="026AB6CC">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（十七）政府采购监管部门认定的其他政府采购活动中的不诚信行为。</w:t>
      </w:r>
    </w:p>
    <w:p w14:paraId="325E9952">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20DE5618">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供应商名称：（盖章）</w:t>
      </w:r>
    </w:p>
    <w:p w14:paraId="44190814">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法人代表或授权委托人：（签字）</w:t>
      </w:r>
    </w:p>
    <w:p w14:paraId="206F133B">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10331E39">
      <w:pPr>
        <w:spacing w:before="0" w:after="0" w:line="380" w:lineRule="auto"/>
        <w:ind w:left="0" w:right="0" w:firstLine="3360"/>
        <w:jc w:val="both"/>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日期：年月日</w:t>
      </w:r>
    </w:p>
    <w:p w14:paraId="208BFAF6">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6BBD4371">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3CD28278">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5ABCCDE4">
      <w:pPr>
        <w:spacing w:before="0" w:after="0" w:line="240" w:lineRule="auto"/>
        <w:ind w:left="0" w:right="0" w:firstLine="321"/>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周口市政府采购合同融资政策告知函</w:t>
      </w:r>
    </w:p>
    <w:p w14:paraId="5BC45CE6">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56A8BA8C">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568DA2C4">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3CC39F31">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各供应商：</w:t>
      </w:r>
    </w:p>
    <w:p w14:paraId="4C908CA3">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欢迎贵公司参与周口市政府采购活动！</w:t>
      </w:r>
    </w:p>
    <w:p w14:paraId="54A827FB">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7524A33">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贷款渠道和提供贷款的金融机构，可在河南省政府采购网“河南省政府采购合同融资平台”查询联系。</w:t>
      </w:r>
    </w:p>
    <w:p w14:paraId="44189766">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2065478">
      <w:pPr>
        <w:pStyle w:val="17"/>
        <w:rPr>
          <w:rFonts w:hint="eastAsia" w:ascii="宋体" w:hAnsi="宋体" w:eastAsia="宋体" w:cs="宋体"/>
          <w:b/>
          <w:color w:val="auto"/>
          <w:spacing w:val="0"/>
          <w:position w:val="0"/>
          <w:sz w:val="21"/>
          <w:szCs w:val="21"/>
          <w:highlight w:val="none"/>
          <w:shd w:val="clear" w:fill="auto"/>
        </w:rPr>
      </w:pPr>
    </w:p>
    <w:p w14:paraId="20484719">
      <w:pPr>
        <w:pStyle w:val="8"/>
        <w:rPr>
          <w:rFonts w:ascii="宋体" w:hAnsi="宋体" w:eastAsia="宋体" w:cs="宋体"/>
          <w:b/>
          <w:color w:val="auto"/>
          <w:spacing w:val="0"/>
          <w:position w:val="0"/>
          <w:sz w:val="28"/>
          <w:highlight w:val="none"/>
          <w:shd w:val="clear" w:fill="auto"/>
        </w:rPr>
      </w:pPr>
    </w:p>
    <w:p w14:paraId="35AF9336">
      <w:pPr>
        <w:rPr>
          <w:rFonts w:ascii="宋体" w:hAnsi="宋体" w:eastAsia="宋体" w:cs="宋体"/>
          <w:b/>
          <w:color w:val="auto"/>
          <w:spacing w:val="0"/>
          <w:position w:val="0"/>
          <w:sz w:val="28"/>
          <w:highlight w:val="none"/>
          <w:shd w:val="clear" w:fill="auto"/>
        </w:rPr>
      </w:pPr>
    </w:p>
    <w:p w14:paraId="38E0D731">
      <w:pPr>
        <w:pStyle w:val="17"/>
        <w:rPr>
          <w:rFonts w:ascii="宋体" w:hAnsi="宋体" w:eastAsia="宋体" w:cs="宋体"/>
          <w:b/>
          <w:color w:val="auto"/>
          <w:spacing w:val="0"/>
          <w:position w:val="0"/>
          <w:sz w:val="28"/>
          <w:highlight w:val="none"/>
          <w:shd w:val="clear" w:fill="auto"/>
        </w:rPr>
      </w:pPr>
    </w:p>
    <w:p w14:paraId="5C922B9C">
      <w:pPr>
        <w:pStyle w:val="8"/>
        <w:rPr>
          <w:rFonts w:ascii="宋体" w:hAnsi="宋体" w:eastAsia="宋体" w:cs="宋体"/>
          <w:b/>
          <w:color w:val="auto"/>
          <w:spacing w:val="0"/>
          <w:position w:val="0"/>
          <w:sz w:val="28"/>
          <w:highlight w:val="none"/>
          <w:shd w:val="clear" w:fill="auto"/>
        </w:rPr>
      </w:pPr>
    </w:p>
    <w:p w14:paraId="08EE8322">
      <w:pPr>
        <w:rPr>
          <w:rFonts w:ascii="宋体" w:hAnsi="宋体" w:eastAsia="宋体" w:cs="宋体"/>
          <w:b/>
          <w:color w:val="auto"/>
          <w:spacing w:val="0"/>
          <w:position w:val="0"/>
          <w:sz w:val="28"/>
          <w:highlight w:val="none"/>
          <w:shd w:val="clear" w:fill="auto"/>
        </w:rPr>
      </w:pPr>
    </w:p>
    <w:p w14:paraId="415088E1">
      <w:pPr>
        <w:pStyle w:val="17"/>
        <w:rPr>
          <w:rFonts w:ascii="宋体" w:hAnsi="宋体" w:eastAsia="宋体" w:cs="宋体"/>
          <w:b/>
          <w:color w:val="auto"/>
          <w:spacing w:val="0"/>
          <w:position w:val="0"/>
          <w:sz w:val="28"/>
          <w:highlight w:val="none"/>
          <w:shd w:val="clear" w:fill="auto"/>
        </w:rPr>
      </w:pPr>
    </w:p>
    <w:p w14:paraId="1DFBBCBF">
      <w:pPr>
        <w:pStyle w:val="8"/>
        <w:rPr>
          <w:rFonts w:ascii="宋体" w:hAnsi="宋体" w:eastAsia="宋体" w:cs="宋体"/>
          <w:b/>
          <w:color w:val="auto"/>
          <w:spacing w:val="0"/>
          <w:position w:val="0"/>
          <w:sz w:val="28"/>
          <w:highlight w:val="none"/>
          <w:shd w:val="clear" w:fill="auto"/>
        </w:rPr>
      </w:pPr>
    </w:p>
    <w:p w14:paraId="4B3F5E64">
      <w:pPr>
        <w:rPr>
          <w:rFonts w:ascii="宋体" w:hAnsi="宋体" w:eastAsia="宋体" w:cs="宋体"/>
          <w:b/>
          <w:color w:val="auto"/>
          <w:spacing w:val="0"/>
          <w:position w:val="0"/>
          <w:sz w:val="28"/>
          <w:highlight w:val="none"/>
          <w:shd w:val="clear" w:fill="auto"/>
        </w:rPr>
      </w:pPr>
    </w:p>
    <w:p w14:paraId="0731A3B8">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周口市政府采购合同（货物类）标准文本</w:t>
      </w:r>
    </w:p>
    <w:p w14:paraId="798CE393">
      <w:pPr>
        <w:spacing w:before="0" w:after="0" w:line="240" w:lineRule="auto"/>
        <w:ind w:left="0" w:right="0" w:firstLine="0"/>
        <w:jc w:val="both"/>
        <w:rPr>
          <w:rFonts w:ascii="黑体" w:hAnsi="黑体" w:eastAsia="黑体" w:cs="黑体"/>
          <w:color w:val="auto"/>
          <w:spacing w:val="0"/>
          <w:position w:val="0"/>
          <w:sz w:val="32"/>
          <w:highlight w:val="none"/>
          <w:shd w:val="clear" w:fill="auto"/>
        </w:rPr>
      </w:pPr>
    </w:p>
    <w:p w14:paraId="07EDE469">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6159701B">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48587F58">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252E7DC5">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272DF4AE">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5C287523">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71F54736">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政府采购项目名称：</w:t>
      </w:r>
    </w:p>
    <w:p w14:paraId="06848F70">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政府采购项目编号：</w:t>
      </w:r>
    </w:p>
    <w:p w14:paraId="2DF94CC9">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采      购    人：</w:t>
      </w:r>
    </w:p>
    <w:p w14:paraId="1E3B793C">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供      应    商：</w:t>
      </w:r>
    </w:p>
    <w:p w14:paraId="69D9C5F6">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 订 地：</w:t>
      </w:r>
    </w:p>
    <w:p w14:paraId="57F62BAC">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签订 时 间：</w:t>
      </w:r>
    </w:p>
    <w:p w14:paraId="068C7A46">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6FC3BF2A">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12E6446C">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07F64425">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p>
    <w:p w14:paraId="1E78AA9A">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合同签订指引</w:t>
      </w:r>
    </w:p>
    <w:p w14:paraId="115130B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5240BC7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一、采购人在签订合同时应提供的资料：</w:t>
      </w:r>
    </w:p>
    <w:p w14:paraId="7E0857D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、该政府采购项目的招标采购文件（以网上发布内容为准）；</w:t>
      </w:r>
    </w:p>
    <w:p w14:paraId="75C373D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、该政府采购项目招标文件的澄清和修改内容（公告内容）；</w:t>
      </w:r>
    </w:p>
    <w:p w14:paraId="0EB7578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、该政府采购项目评审报告；</w:t>
      </w:r>
    </w:p>
    <w:p w14:paraId="65E9F57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、采购单位法人授权委托书（法人到场并签字的除外）；</w:t>
      </w:r>
    </w:p>
    <w:p w14:paraId="2BC930F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、采购单位被授权人身份证件（法人到场并签字的除外）；</w:t>
      </w:r>
    </w:p>
    <w:p w14:paraId="6B8F365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、采购人和中标供应商约定的其它内容（不得超出招标采购文件实质性内容）。</w:t>
      </w:r>
    </w:p>
    <w:p w14:paraId="37CE8BF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二、供应商在签订合同时应提供的资料：</w:t>
      </w:r>
    </w:p>
    <w:p w14:paraId="08ED922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、该政府采购项目的投标文件（纸质或</w:t>
      </w:r>
      <w:r>
        <w:rPr>
          <w:rFonts w:ascii="Times New Roman" w:hAnsi="Times New Roman" w:eastAsia="Times New Roman" w:cs="Times New Roman"/>
          <w:color w:val="auto"/>
          <w:spacing w:val="0"/>
          <w:position w:val="0"/>
          <w:sz w:val="21"/>
          <w:highlight w:val="none"/>
          <w:shd w:val="clear" w:fill="auto"/>
        </w:rPr>
        <w:t>DPF</w:t>
      </w:r>
      <w:r>
        <w:rPr>
          <w:rFonts w:ascii="宋体" w:hAnsi="宋体" w:eastAsia="宋体" w:cs="宋体"/>
          <w:color w:val="auto"/>
          <w:spacing w:val="0"/>
          <w:position w:val="0"/>
          <w:sz w:val="21"/>
          <w:highlight w:val="none"/>
          <w:shd w:val="clear" w:fill="auto"/>
        </w:rPr>
        <w:t>格式的电子投标文件）；</w:t>
      </w:r>
    </w:p>
    <w:p w14:paraId="5394800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、针对该项目评审时评审委员会提出的质询答复（纸质并签章）；</w:t>
      </w:r>
    </w:p>
    <w:p w14:paraId="176EC3A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、该政府采购项目中标通知书；</w:t>
      </w:r>
    </w:p>
    <w:p w14:paraId="28936CC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、供应商法人授权委托书（法人到场并签字的除外）；</w:t>
      </w:r>
    </w:p>
    <w:p w14:paraId="65725B2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、供应商被授权人身份证件（法人到场并签字的除外）；</w:t>
      </w:r>
    </w:p>
    <w:p w14:paraId="7606AA1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、供应商和采购人约定的其它内容（不得超出招标采购文件实质性内容）。</w:t>
      </w:r>
    </w:p>
    <w:p w14:paraId="146D57D8">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highlight w:val="none"/>
          <w:shd w:val="clear" w:fill="auto"/>
        </w:rPr>
      </w:pPr>
      <w:r>
        <w:rPr>
          <w:rFonts w:ascii="宋体" w:hAnsi="宋体" w:eastAsia="宋体" w:cs="宋体"/>
          <w:color w:val="auto"/>
          <w:spacing w:val="0"/>
          <w:position w:val="0"/>
          <w:sz w:val="21"/>
          <w:highlight w:val="none"/>
          <w:shd w:val="clear" w:fill="auto"/>
        </w:rPr>
        <w:t>三、本合同签订后二个工作日内有采购人在“周口市政府采购网”上进行合同公示。</w:t>
      </w:r>
    </w:p>
    <w:p w14:paraId="5C20BF2A">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p>
    <w:p w14:paraId="634AAD75">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供应商履约验收指引</w:t>
      </w:r>
    </w:p>
    <w:p w14:paraId="5428CE12">
      <w:pPr>
        <w:widowControl w:val="0"/>
        <w:numPr>
          <w:ilvl w:val="0"/>
          <w:numId w:val="27"/>
        </w:numPr>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供应商不得擅自变更合同标的物内容；</w:t>
      </w:r>
    </w:p>
    <w:p w14:paraId="3D8D3DF7">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2、不得以次充好、高投低配，确因在合同执行中不可抗力因素造成的，应提供相关依据；</w:t>
      </w:r>
    </w:p>
    <w:p w14:paraId="30ECEB79">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3、对因客观上采购人采购需求发生变化造成的，应提供采、供双方的纸质备忘录材料；</w:t>
      </w:r>
    </w:p>
    <w:p w14:paraId="28E8DD8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、在满足验收条件</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个工作日内通知采购人组织验收；</w:t>
      </w:r>
    </w:p>
    <w:p w14:paraId="0CBC48DD">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、供应商应提供需验收物品的清单、参数、使用手册、人员培训情况等资料；</w:t>
      </w:r>
    </w:p>
    <w:p w14:paraId="31FF4D10">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6、采、供双方约定的验收机构及相关人员组成情况。</w:t>
      </w:r>
    </w:p>
    <w:p w14:paraId="77EC7EB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7、督促采购人在项目验收结束并达到相关要求后一个工作日内，在“周口市政府采购网”上进行“履约验收”公示。</w:t>
      </w:r>
    </w:p>
    <w:p w14:paraId="1F8C9BC4">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采购合同内容</w:t>
      </w:r>
    </w:p>
    <w:p w14:paraId="0526EA32">
      <w:pPr>
        <w:spacing w:before="0" w:after="0" w:line="52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28BCD80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p>
    <w:p w14:paraId="30D6396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供应商（乙方）：</w:t>
      </w:r>
    </w:p>
    <w:p w14:paraId="0ACA726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签订地点：</w:t>
      </w:r>
    </w:p>
    <w:p w14:paraId="0977441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项目名称：</w:t>
      </w:r>
    </w:p>
    <w:p w14:paraId="28A6FB7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项目编号：</w:t>
      </w:r>
    </w:p>
    <w:p w14:paraId="2EB82CD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财政委托号：</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财政资金项目必须填写</w:t>
      </w:r>
      <w:r>
        <w:rPr>
          <w:rFonts w:ascii="Times New Roman" w:hAnsi="Times New Roman" w:eastAsia="Times New Roman" w:cs="Times New Roman"/>
          <w:color w:val="auto"/>
          <w:spacing w:val="0"/>
          <w:position w:val="0"/>
          <w:sz w:val="21"/>
          <w:highlight w:val="none"/>
          <w:shd w:val="clear" w:fill="auto"/>
        </w:rPr>
        <w:t>)</w:t>
      </w:r>
    </w:p>
    <w:p w14:paraId="7A94216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本项目经批准采用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1F46A88">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b/>
          <w:color w:val="auto"/>
          <w:spacing w:val="0"/>
          <w:position w:val="0"/>
          <w:sz w:val="21"/>
          <w:highlight w:val="none"/>
          <w:shd w:val="clear" w:fill="auto"/>
        </w:rPr>
        <w:t>第一条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产品的名称、品种、规格、数量和价格：（若产品过多则见附表，如有附表则必须加盖印章）</w:t>
      </w:r>
    </w:p>
    <w:tbl>
      <w:tblPr>
        <w:tblStyle w:val="13"/>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4B598803">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CCB39A2">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AA93A46">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D39B150">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F6C1DE0">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42B5768">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6AB36E2">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0D5A2A6">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w:t>
            </w:r>
          </w:p>
        </w:tc>
      </w:tr>
      <w:tr w14:paraId="0F21AB3E">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EBC4B57">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7A9549F">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F3CF19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4D6B4B0">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CF9EE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6C47AE">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DDF9AD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391DB409">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C891327">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5FBFE0">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CD9B63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22CDE33">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1505E3C">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CFA95F0">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8FE8AC0">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18980646">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2170B16">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08806C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5AAEC5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1AEA20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B7FE8B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F41511F">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E9442B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629DB392">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06BAD3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合同总价款（大小写）：</w:t>
            </w:r>
          </w:p>
          <w:p w14:paraId="66A0763C">
            <w:pPr>
              <w:spacing w:before="0" w:after="0" w:line="360" w:lineRule="auto"/>
              <w:ind w:left="0" w:right="0" w:firstLine="420"/>
              <w:jc w:val="both"/>
              <w:rPr>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备注：上述产品报价含产品生产、运输</w:t>
            </w:r>
            <w:r>
              <w:rPr>
                <w:rFonts w:ascii="Times New Roman" w:hAnsi="Times New Roman" w:eastAsia="Times New Roman" w:cs="Times New Roman"/>
                <w:color w:val="auto"/>
                <w:spacing w:val="0"/>
                <w:position w:val="0"/>
                <w:sz w:val="21"/>
                <w:highlight w:val="none"/>
                <w:shd w:val="clear" w:fill="auto"/>
              </w:rPr>
              <w:t>&lt;</w:t>
            </w:r>
            <w:r>
              <w:rPr>
                <w:rFonts w:ascii="宋体" w:hAnsi="宋体" w:eastAsia="宋体" w:cs="宋体"/>
                <w:color w:val="auto"/>
                <w:spacing w:val="0"/>
                <w:position w:val="0"/>
                <w:sz w:val="21"/>
                <w:highlight w:val="none"/>
                <w:shd w:val="clear" w:fill="auto"/>
              </w:rPr>
              <w:t>送达至甲方指定地点并下货</w:t>
            </w:r>
            <w:r>
              <w:rPr>
                <w:rFonts w:ascii="Times New Roman" w:hAnsi="Times New Roman" w:eastAsia="Times New Roman" w:cs="Times New Roman"/>
                <w:color w:val="auto"/>
                <w:spacing w:val="0"/>
                <w:position w:val="0"/>
                <w:sz w:val="21"/>
                <w:highlight w:val="none"/>
                <w:shd w:val="clear" w:fill="auto"/>
              </w:rPr>
              <w:t>&gt;</w:t>
            </w:r>
            <w:r>
              <w:rPr>
                <w:rFonts w:ascii="宋体" w:hAnsi="宋体" w:eastAsia="宋体" w:cs="宋体"/>
                <w:color w:val="auto"/>
                <w:spacing w:val="0"/>
                <w:position w:val="0"/>
                <w:sz w:val="21"/>
                <w:highlight w:val="none"/>
                <w:shd w:val="clear" w:fill="auto"/>
              </w:rPr>
              <w:t>、安装、调试、检验及售后服务、税金、劳保基金、人员培训等费用。</w:t>
            </w:r>
          </w:p>
        </w:tc>
      </w:tr>
    </w:tbl>
    <w:p w14:paraId="4AADE7FD">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第二条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产品的技术标准（包括质量要求），按下列第（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4A964B8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①按国家标准执行；②按部颁标准执行；③若无以上标准，则应不低于同行业质量标准；④有特殊要求的，按甲乙双方在合同中商定的技术条件、样品或补充的技术要求执行；</w:t>
      </w:r>
    </w:p>
    <w:p w14:paraId="28406D7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28565AE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进口产品的质量标准为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w:t>
      </w:r>
    </w:p>
    <w:p w14:paraId="2E04AA5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478B846">
      <w:pPr>
        <w:spacing w:before="0" w:after="120" w:line="3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第三条</w:t>
      </w:r>
      <w:r>
        <w:rPr>
          <w:rFonts w:ascii="宋体" w:hAnsi="宋体" w:eastAsia="宋体" w:cs="宋体"/>
          <w:color w:val="auto"/>
          <w:spacing w:val="0"/>
          <w:position w:val="0"/>
          <w:sz w:val="24"/>
          <w:highlight w:val="none"/>
          <w:shd w:val="clear" w:fill="auto"/>
        </w:rPr>
        <w:t>产品的包装标准和包装物的供应与回收</w:t>
      </w:r>
      <w:r>
        <w:rPr>
          <w:rFonts w:ascii="宋体" w:hAnsi="宋体" w:eastAsia="宋体" w:cs="宋体"/>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shd w:val="clear" w:fill="auto"/>
        </w:rPr>
        <w:t>。</w:t>
      </w:r>
    </w:p>
    <w:p w14:paraId="5A4792F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（国家或行业主管部门有技术规定的，按技术规定执行；国家与行业主管部门无技术规定的，由甲乙双方商定。）</w:t>
      </w:r>
    </w:p>
    <w:p w14:paraId="341FB3A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【注：合同中约定的包装标准应与乙方在投标文件中承诺的一致，且投标文件应作为合同附件与合同具有同等法律效力。】</w:t>
      </w:r>
    </w:p>
    <w:p w14:paraId="504BCD7F">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产品的交货方法、到货地点和交货期限</w:t>
      </w:r>
    </w:p>
    <w:p w14:paraId="440CEAB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交货方法，按下列第（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1958B65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①乙方送货上门；②乙方代运；③甲方自提自运。</w:t>
      </w:r>
    </w:p>
    <w:p w14:paraId="7B1CEE8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到货地点：</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甲方指定的任何地点，安装并调试</w:t>
      </w:r>
      <w:r>
        <w:rPr>
          <w:rFonts w:ascii="Times New Roman" w:hAnsi="Times New Roman" w:eastAsia="Times New Roman" w:cs="Times New Roman"/>
          <w:color w:val="auto"/>
          <w:spacing w:val="0"/>
          <w:position w:val="0"/>
          <w:sz w:val="21"/>
          <w:highlight w:val="none"/>
          <w:shd w:val="clear" w:fill="auto"/>
        </w:rPr>
        <w:t>.)</w:t>
      </w:r>
    </w:p>
    <w:p w14:paraId="5DFAC1D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产品的交货期限</w:t>
      </w:r>
      <w:r>
        <w:rPr>
          <w:rFonts w:ascii="宋体" w:hAnsi="宋体" w:eastAsia="宋体" w:cs="宋体"/>
          <w:color w:val="auto"/>
          <w:spacing w:val="0"/>
          <w:position w:val="0"/>
          <w:sz w:val="21"/>
          <w:highlight w:val="none"/>
          <w:u w:val="single"/>
          <w:shd w:val="clear" w:fill="auto"/>
        </w:rPr>
        <w:t>                         </w:t>
      </w:r>
      <w:r>
        <w:rPr>
          <w:rFonts w:ascii="宋体" w:hAnsi="宋体" w:eastAsia="宋体" w:cs="宋体"/>
          <w:color w:val="auto"/>
          <w:spacing w:val="0"/>
          <w:position w:val="0"/>
          <w:sz w:val="21"/>
          <w:highlight w:val="none"/>
          <w:shd w:val="clear" w:fill="auto"/>
        </w:rPr>
        <w:t>。</w:t>
      </w:r>
    </w:p>
    <w:p w14:paraId="7C0EC7E2">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第五条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合同总价款</w:t>
      </w:r>
    </w:p>
    <w:p w14:paraId="05B114E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合同总价款（大小写）：</w:t>
      </w:r>
      <w:r>
        <w:rPr>
          <w:rFonts w:ascii="Times New Roman" w:hAnsi="Times New Roman" w:eastAsia="Times New Roman" w:cs="Times New Roman"/>
          <w:color w:val="auto"/>
          <w:spacing w:val="0"/>
          <w:position w:val="0"/>
          <w:sz w:val="21"/>
          <w:highlight w:val="none"/>
          <w:u w:val="single"/>
          <w:shd w:val="clear" w:fill="auto"/>
        </w:rPr>
        <w:t xml:space="preserve">                        </w:t>
      </w:r>
    </w:p>
    <w:p w14:paraId="4C8DE50A">
      <w:pPr>
        <w:numPr>
          <w:ilvl w:val="0"/>
          <w:numId w:val="28"/>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付款条件</w:t>
      </w:r>
      <w:r>
        <w:rPr>
          <w:rFonts w:ascii="Times New Roman" w:hAnsi="Times New Roman" w:eastAsia="Times New Roman" w:cs="Times New Roman"/>
          <w:color w:val="auto"/>
          <w:spacing w:val="0"/>
          <w:position w:val="0"/>
          <w:sz w:val="21"/>
          <w:highlight w:val="none"/>
          <w:shd w:val="clear" w:fill="auto"/>
        </w:rPr>
        <w:t xml:space="preserve">                  </w:t>
      </w:r>
    </w:p>
    <w:p w14:paraId="693A7EF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本合同以人民币付款。</w:t>
      </w:r>
    </w:p>
    <w:p w14:paraId="615F4BE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该项目是否实行预付款：</w:t>
      </w:r>
    </w:p>
    <w:p w14:paraId="6278936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实行预付款的条件和比例：</w:t>
      </w:r>
    </w:p>
    <w:p w14:paraId="7DE61A0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合同款项结算方式和支付比例：</w:t>
      </w:r>
      <w:r>
        <w:rPr>
          <w:rFonts w:ascii="Times New Roman" w:hAnsi="Times New Roman" w:eastAsia="Times New Roman" w:cs="Times New Roman"/>
          <w:color w:val="auto"/>
          <w:spacing w:val="0"/>
          <w:position w:val="0"/>
          <w:sz w:val="21"/>
          <w:highlight w:val="none"/>
          <w:shd w:val="clear" w:fill="auto"/>
        </w:rPr>
        <w:t xml:space="preserve">   </w:t>
      </w:r>
    </w:p>
    <w:p w14:paraId="31CD65E8">
      <w:pPr>
        <w:spacing w:before="0" w:after="0" w:line="360" w:lineRule="auto"/>
        <w:ind w:left="0" w:right="0" w:firstLine="420"/>
        <w:jc w:val="both"/>
        <w:rPr>
          <w:rFonts w:ascii="Times New Roman" w:hAnsi="Times New Roman" w:eastAsia="Times New Roman" w:cs="Times New Roman"/>
          <w:b/>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具体付款方式</w:t>
      </w:r>
      <w:r>
        <w:rPr>
          <w:rFonts w:ascii="宋体" w:hAnsi="宋体" w:eastAsia="宋体" w:cs="宋体"/>
          <w:color w:val="auto"/>
          <w:spacing w:val="0"/>
          <w:position w:val="0"/>
          <w:sz w:val="21"/>
          <w:highlight w:val="none"/>
          <w:u w:val="single"/>
          <w:shd w:val="clear" w:fill="auto"/>
        </w:rPr>
        <w:t>按投标人须知前附表以及采、购双方的具体约定</w:t>
      </w:r>
    </w:p>
    <w:p w14:paraId="2DD289A9">
      <w:pPr>
        <w:numPr>
          <w:ilvl w:val="0"/>
          <w:numId w:val="29"/>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验收方法</w:t>
      </w:r>
    </w:p>
    <w:p w14:paraId="5D56C4E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乙方安装调试后，在</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天内通知甲方组织验收，采购代理机构保留受托参与本项目验收的权利。验收不合格的，乙方应负责重新提供达到本合同约定的质量要求的产品。</w:t>
      </w:r>
    </w:p>
    <w:p w14:paraId="5A73F2D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甲、乙双方应严格履行合同有关条款，如果验收过程中发现乙方在没有征得采购人同意的情况下擅自变更合同标的物，将拒绝通过验收，由此引起的一切后果及损失由乙方承担。</w:t>
      </w:r>
    </w:p>
    <w:p w14:paraId="4432D78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CF0D76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、甲方视情况可以邀请参加本项目的其他投标人或者第三方机构参与验收，参与验收的投标人或者第三方机构的意见作为验收书的参考资料一并存档。</w:t>
      </w:r>
    </w:p>
    <w:p w14:paraId="3991709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涉及安全、消防、环保等其他需要由质检或行业主管部门进行验收的项目，必须邀请相关部门或相关专家参与验收。</w:t>
      </w:r>
    </w:p>
    <w:p w14:paraId="4B90C1F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检测、验收费用承担方式：</w:t>
      </w:r>
    </w:p>
    <w:p w14:paraId="574C66E8">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第八条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对产品提出异议的时间和办法</w:t>
      </w:r>
    </w:p>
    <w:p w14:paraId="17CA5C8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工作日内向乙方书面提出异议，并抄送采购代理机构，具体说明产品不符合规定的内容并附相关验收材料，同时提出不符合规定产品的处理意见。</w:t>
      </w:r>
    </w:p>
    <w:p w14:paraId="1FC77AA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甲方因使用、保管、保养不善等造成产品质量下降的，不得提出异议。</w:t>
      </w:r>
    </w:p>
    <w:p w14:paraId="4CF6DEE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乙方在接到甲方异议后，应在</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工作日内负责处理，否则，即视为默认甲方提出的异议和处理意见。</w:t>
      </w:r>
    </w:p>
    <w:p w14:paraId="7BC05C70">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第九条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乙方应提供完善周到的技术支持和售后服务，否则甲方视情节轻重从乙方的质量保证金中扣除部分或全部补偿甲方。</w:t>
      </w:r>
    </w:p>
    <w:p w14:paraId="382BE10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保修</w:t>
      </w:r>
    </w:p>
    <w:p w14:paraId="2A625A0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乙方对其所提供的货物免费保修</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年，保修期从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开始。乙方应在接到报修通知后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天内上门维修，负责更换有瑕疵的货物、部件或提供相应的质量保证期内的服务。由此造成的损失，甲方保留索赔的权利。</w:t>
      </w:r>
    </w:p>
    <w:p w14:paraId="194CC95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如果乙方在收到报修通知后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天内没有弥补缺陷，甲方可采取必要的补救措施，但费用和风险由乙方承担。</w:t>
      </w:r>
    </w:p>
    <w:p w14:paraId="57C1EE9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维修</w:t>
      </w:r>
    </w:p>
    <w:p w14:paraId="26E2FA5F">
      <w:pPr>
        <w:spacing w:before="0" w:after="12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保修期届满后，乙方应对其提供的货物负有维修义务，但所涉及的费用由甲方承担。</w:t>
      </w:r>
    </w:p>
    <w:p w14:paraId="773B745F">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乙方的违约责任</w:t>
      </w:r>
    </w:p>
    <w:p w14:paraId="622F242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乙方不能交货的，应向甲方偿付不能交货部分货款的</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30%</w:t>
      </w:r>
      <w:r>
        <w:rPr>
          <w:rFonts w:ascii="宋体" w:hAnsi="宋体" w:eastAsia="宋体" w:cs="宋体"/>
          <w:color w:val="auto"/>
          <w:spacing w:val="0"/>
          <w:position w:val="0"/>
          <w:sz w:val="21"/>
          <w:highlight w:val="none"/>
          <w:shd w:val="clear" w:fill="auto"/>
        </w:rPr>
        <w:t>）的违约金。</w:t>
      </w:r>
    </w:p>
    <w:p w14:paraId="0AE1544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同时，乙方应按规定，对更换件相应延长质量保证期，并赔偿甲方相应的损失。乙方不能修理或者不能调换的，按不能交货处理。</w:t>
      </w:r>
    </w:p>
    <w:p w14:paraId="46821CF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2930C12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highlight w:val="none"/>
          <w:shd w:val="clear" w:fill="auto"/>
        </w:rPr>
        <w:t>0.5%</w:t>
      </w:r>
      <w:r>
        <w:rPr>
          <w:rFonts w:ascii="宋体" w:hAnsi="宋体" w:eastAsia="宋体" w:cs="宋体"/>
          <w:color w:val="auto"/>
          <w:spacing w:val="0"/>
          <w:position w:val="0"/>
          <w:sz w:val="21"/>
          <w:highlight w:val="none"/>
          <w:shd w:val="clear" w:fill="auto"/>
        </w:rPr>
        <w:t>计收。但违约金的最高限额为迟交货物或提供服务合同价的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。一周按</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天计算，不足</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天按一周计算。如果达到最高限额，甲方应考虑终止合同，由此给甲方造成的损失由乙方承担。</w:t>
      </w:r>
    </w:p>
    <w:p w14:paraId="4275332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乙方提前交货的产品、多交的产品和不符合合同规定的产品，甲方在代保管期内实际支付的保管、保养等费用以及非因甲方保管不善而发生的损失，应当由乙方承担。</w:t>
      </w:r>
    </w:p>
    <w:p w14:paraId="488F485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乙方应对其所提供的货物承担所有权担保责任，并应保证甲方在中华人民共和国内使用该货物时不侵犯第三人的知识产权。否则乙方应承担由此引起的一切法律责任及费用。</w:t>
      </w:r>
    </w:p>
    <w:p w14:paraId="6333119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违约金。</w:t>
      </w:r>
    </w:p>
    <w:p w14:paraId="1E4C0950">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甲方的违约责任</w:t>
      </w:r>
    </w:p>
    <w:p w14:paraId="378D3E2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甲方中途退货，应向乙方偿付退货部分货款</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15%-30%</w:t>
      </w:r>
      <w:r>
        <w:rPr>
          <w:rFonts w:ascii="宋体" w:hAnsi="宋体" w:eastAsia="宋体" w:cs="宋体"/>
          <w:color w:val="auto"/>
          <w:spacing w:val="0"/>
          <w:position w:val="0"/>
          <w:sz w:val="21"/>
          <w:highlight w:val="none"/>
          <w:shd w:val="clear" w:fill="auto"/>
        </w:rPr>
        <w:t>）的违约金。</w:t>
      </w:r>
    </w:p>
    <w:p w14:paraId="54210A5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甲方违反合同规定拒绝接货的，应当承担由此造成的损失。</w:t>
      </w:r>
    </w:p>
    <w:p w14:paraId="4D39DFF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Times New Roman" w:hAnsi="Times New Roman" w:eastAsia="Times New Roman" w:cs="Times New Roman"/>
          <w:color w:val="auto"/>
          <w:spacing w:val="0"/>
          <w:position w:val="0"/>
          <w:sz w:val="21"/>
          <w:highlight w:val="none"/>
          <w:shd w:val="clear" w:fill="auto"/>
        </w:rPr>
        <w:t xml:space="preserve">3. </w:t>
      </w:r>
      <w:r>
        <w:rPr>
          <w:rFonts w:ascii="宋体" w:hAnsi="宋体" w:eastAsia="宋体" w:cs="宋体"/>
          <w:color w:val="auto"/>
          <w:spacing w:val="0"/>
          <w:position w:val="0"/>
          <w:sz w:val="21"/>
          <w:highlight w:val="none"/>
          <w:shd w:val="clear" w:fill="auto"/>
        </w:rPr>
        <w:t>甲方未按照合同约定支付货款，应向乙方违约金</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元。</w:t>
      </w:r>
    </w:p>
    <w:p w14:paraId="12C95133">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第十二条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不可抗力</w:t>
      </w:r>
    </w:p>
    <w:p w14:paraId="729A30C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80A81D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16EE367">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第十三条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履约（或质量）保证金</w:t>
      </w:r>
    </w:p>
    <w:p w14:paraId="3DEB8C8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本项目不收取履约保证金。确需收取履约保证金的，甲方不得要求乙方以现款的形式提供。乙方提供的履约保证金按规定格式以银行保函形式提供，与此有关的费用由卖方承担。</w:t>
      </w:r>
    </w:p>
    <w:p w14:paraId="776F6EE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若确需质量保证金的，质量保证金不得超过合同总价款的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w:t>
      </w:r>
    </w:p>
    <w:p w14:paraId="09B5ECF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如乙方未能履行其合同规定的任何义务，甲方有权从履约保证金中取得补偿。</w:t>
      </w:r>
    </w:p>
    <w:p w14:paraId="7278AADE">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转让与分包</w:t>
      </w:r>
    </w:p>
    <w:p w14:paraId="5C908D3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除甲方事先书面同意外，乙方不得部分转让或全部转让其应履行的合同义务。</w:t>
      </w:r>
    </w:p>
    <w:p w14:paraId="1C28EB6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78114F53">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第十五条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合同文件及资料的使用</w:t>
      </w:r>
    </w:p>
    <w:p w14:paraId="49D3186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乙方在未经甲方同意的情况下，不得将合同、合同中的规定、有关计划、图纸、样本或甲方为上述内容向乙方提供的资料透露给任何人。</w:t>
      </w:r>
    </w:p>
    <w:p w14:paraId="45811DE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除非执行合同需要，在事先未得到甲方同意的情况下，乙方不得使用前款所列的任何文件和资料。</w:t>
      </w:r>
    </w:p>
    <w:p w14:paraId="106569F8">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第十六条 </w:t>
      </w:r>
      <w:r>
        <w:rPr>
          <w:rFonts w:ascii="宋体" w:hAnsi="宋体" w:eastAsia="宋体" w:cs="宋体"/>
          <w:color w:val="auto"/>
          <w:spacing w:val="0"/>
          <w:position w:val="0"/>
          <w:sz w:val="21"/>
          <w:highlight w:val="none"/>
          <w:shd w:val="clear" w:fill="auto"/>
        </w:rPr>
        <w:t>合同纠纷调处</w:t>
      </w:r>
    </w:p>
    <w:p w14:paraId="74F1F2A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天内，按银行规定的结算办法付清，否则按逾期付款处理。但任何一方不得自行扣发货物或扣付货款来充抵。</w:t>
      </w:r>
    </w:p>
    <w:p w14:paraId="4FEF8D4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）项方式处理：①根据《中华人民共和国仲裁法》的规定向</w:t>
      </w:r>
      <w:r>
        <w:rPr>
          <w:rFonts w:ascii="宋体" w:hAnsi="宋体" w:eastAsia="宋体" w:cs="宋体"/>
          <w:b/>
          <w:color w:val="auto"/>
          <w:spacing w:val="0"/>
          <w:position w:val="0"/>
          <w:sz w:val="21"/>
          <w:highlight w:val="none"/>
          <w:u w:val="single"/>
          <w:shd w:val="clear" w:fill="auto"/>
        </w:rPr>
        <w:t>周口仲裁委员会</w:t>
      </w:r>
      <w:r>
        <w:rPr>
          <w:rFonts w:ascii="宋体" w:hAnsi="宋体" w:eastAsia="宋体" w:cs="宋体"/>
          <w:color w:val="auto"/>
          <w:spacing w:val="0"/>
          <w:position w:val="0"/>
          <w:sz w:val="21"/>
          <w:highlight w:val="none"/>
          <w:shd w:val="clear" w:fill="auto"/>
        </w:rPr>
        <w:t>申请仲裁。②向合同签订地有级别管辖权的人民法院起诉。</w:t>
      </w:r>
    </w:p>
    <w:p w14:paraId="1DC6C4DD">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、甲、乙双方均有权利向本项目具有监管职能的政府采购监督管理部门举报反映对方在合同履约中的违法违纪行为。</w:t>
      </w:r>
    </w:p>
    <w:p w14:paraId="3D61CB4C">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第十七条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下列关于周口市公共资源交易中心政府采购代理机构名称</w:t>
      </w:r>
      <w:r>
        <w:rPr>
          <w:rFonts w:ascii="宋体" w:hAnsi="宋体" w:eastAsia="宋体" w:cs="宋体"/>
          <w:color w:val="auto"/>
          <w:spacing w:val="0"/>
          <w:position w:val="0"/>
          <w:sz w:val="21"/>
          <w:highlight w:val="none"/>
          <w:u w:val="single"/>
          <w:shd w:val="clear" w:fill="auto"/>
        </w:rPr>
        <w:t>某项目（项目编号：某编号）</w:t>
      </w:r>
      <w:r>
        <w:rPr>
          <w:rFonts w:ascii="宋体" w:hAnsi="宋体" w:eastAsia="宋体" w:cs="宋体"/>
          <w:color w:val="auto"/>
          <w:spacing w:val="0"/>
          <w:position w:val="0"/>
          <w:sz w:val="21"/>
          <w:highlight w:val="none"/>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59F35E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本合同一式</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份，甲乙双方各执</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份，自双方当事人签字盖章之日起生效。</w:t>
      </w:r>
    </w:p>
    <w:p w14:paraId="04B9E8B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4C324E6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406A32F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供货人（乙方）：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p>
    <w:p w14:paraId="78F6D19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地址：</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地址：</w:t>
      </w:r>
    </w:p>
    <w:p w14:paraId="283EAF6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法定代表人：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法定代表人：</w:t>
      </w:r>
    </w:p>
    <w:p w14:paraId="7C88963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委托代理人：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委托代理人：</w:t>
      </w:r>
    </w:p>
    <w:p w14:paraId="6F72985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电话：</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电话：</w:t>
      </w:r>
    </w:p>
    <w:p w14:paraId="1067778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开户银行：</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开户银行：</w:t>
      </w:r>
    </w:p>
    <w:p w14:paraId="68AD587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账号：</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账号：</w:t>
      </w:r>
    </w:p>
    <w:p w14:paraId="5B341500">
      <w:pPr>
        <w:spacing w:before="0" w:after="0" w:line="640" w:lineRule="auto"/>
        <w:ind w:left="0" w:right="0" w:firstLine="1575"/>
        <w:jc w:val="both"/>
        <w:rPr>
          <w:rFonts w:ascii="Times New Roman" w:hAnsi="Times New Roman" w:eastAsia="Times New Roman" w:cs="Times New Roman"/>
          <w:color w:val="auto"/>
          <w:spacing w:val="0"/>
          <w:position w:val="0"/>
          <w:sz w:val="21"/>
          <w:highlight w:val="none"/>
          <w:u w:val="single"/>
          <w:shd w:val="clear" w:fill="auto"/>
        </w:rPr>
      </w:pPr>
    </w:p>
    <w:p w14:paraId="50DAE56E">
      <w:pPr>
        <w:spacing w:before="0" w:after="0" w:line="500" w:lineRule="auto"/>
        <w:ind w:left="0" w:right="0" w:firstLine="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p>
    <w:p w14:paraId="1625347B">
      <w:pPr>
        <w:spacing w:before="0" w:after="0" w:line="240" w:lineRule="auto"/>
        <w:ind w:left="0" w:right="0" w:firstLine="321"/>
        <w:jc w:val="center"/>
        <w:rPr>
          <w:rFonts w:ascii="Times New Roman" w:hAnsi="Times New Roman" w:eastAsia="Times New Roman" w:cs="Times New Roman"/>
          <w:b/>
          <w:color w:val="auto"/>
          <w:spacing w:val="0"/>
          <w:position w:val="0"/>
          <w:sz w:val="32"/>
          <w:highlight w:val="none"/>
          <w:shd w:val="clear" w:fill="auto"/>
        </w:rPr>
      </w:pPr>
    </w:p>
    <w:p w14:paraId="15AF8A92">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8AD49D9-E2F1-41AF-95CE-51259B15DED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embedRegular r:id="rId2" w:fontKey="{3BE7D493-BE1B-4FF3-8AAB-213565975ABA}"/>
  </w:font>
  <w:font w:name="华文楷体">
    <w:panose1 w:val="02010600040101010101"/>
    <w:charset w:val="86"/>
    <w:family w:val="auto"/>
    <w:pitch w:val="default"/>
    <w:sig w:usb0="00000287" w:usb1="080F0000" w:usb2="00000000" w:usb3="00000000" w:csb0="0004009F" w:csb1="DFD70000"/>
  </w:font>
  <w:font w:name="Arial Black">
    <w:panose1 w:val="020B0A04020102020204"/>
    <w:charset w:val="00"/>
    <w:family w:val="auto"/>
    <w:pitch w:val="default"/>
    <w:sig w:usb0="A00002AF" w:usb1="400078FB" w:usb2="00000000" w:usb3="00000000" w:csb0="6000009F" w:csb1="DFD70000"/>
    <w:embedRegular r:id="rId3" w:fontKey="{99711BEE-D78C-4747-8AD5-DC467BA4D238}"/>
  </w:font>
  <w:font w:name="微软简标宋">
    <w:altName w:val="宋体"/>
    <w:panose1 w:val="00000000000000000000"/>
    <w:charset w:val="00"/>
    <w:family w:val="auto"/>
    <w:pitch w:val="default"/>
    <w:sig w:usb0="00000000" w:usb1="00000000" w:usb2="00000000" w:usb3="00000000" w:csb0="00000000" w:csb1="00000000"/>
    <w:embedRegular r:id="rId4" w:fontKey="{FF3BEE12-5D29-4CF2-AD54-33A30AF3A2E8}"/>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C90B9">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DD7D50A">
                          <w:pPr>
                            <w:pStyle w:val="9"/>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2DD7D50A">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F1ACD9"/>
    <w:multiLevelType w:val="singleLevel"/>
    <w:tmpl w:val="B0F1ACD9"/>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CFE99AC6"/>
    <w:multiLevelType w:val="singleLevel"/>
    <w:tmpl w:val="CFE99AC6"/>
    <w:lvl w:ilvl="0" w:tentative="0">
      <w:start w:val="3"/>
      <w:numFmt w:val="chineseCounting"/>
      <w:suff w:val="space"/>
      <w:lvlText w:val="第%1章"/>
      <w:lvlJc w:val="left"/>
      <w:rPr>
        <w:rFonts w:hint="eastAsia"/>
      </w:rPr>
    </w:lvl>
  </w:abstractNum>
  <w:abstractNum w:abstractNumId="9">
    <w:nsid w:val="D7F9FE59"/>
    <w:multiLevelType w:val="singleLevel"/>
    <w:tmpl w:val="D7F9FE59"/>
    <w:lvl w:ilvl="0" w:tentative="0">
      <w:start w:val="1"/>
      <w:numFmt w:val="bullet"/>
      <w:lvlText w:val="•"/>
      <w:lvlJc w:val="left"/>
    </w:lvl>
  </w:abstractNum>
  <w:abstractNum w:abstractNumId="10">
    <w:nsid w:val="DCBA6B53"/>
    <w:multiLevelType w:val="singleLevel"/>
    <w:tmpl w:val="DCBA6B53"/>
    <w:lvl w:ilvl="0" w:tentative="0">
      <w:start w:val="1"/>
      <w:numFmt w:val="bullet"/>
      <w:lvlText w:val="•"/>
      <w:lvlJc w:val="left"/>
    </w:lvl>
  </w:abstractNum>
  <w:abstractNum w:abstractNumId="11">
    <w:nsid w:val="F4B5D9F5"/>
    <w:multiLevelType w:val="singleLevel"/>
    <w:tmpl w:val="F4B5D9F5"/>
    <w:lvl w:ilvl="0" w:tentative="0">
      <w:start w:val="1"/>
      <w:numFmt w:val="bullet"/>
      <w:lvlText w:val="•"/>
      <w:lvlJc w:val="left"/>
    </w:lvl>
  </w:abstractNum>
  <w:abstractNum w:abstractNumId="12">
    <w:nsid w:val="0053208E"/>
    <w:multiLevelType w:val="singleLevel"/>
    <w:tmpl w:val="0053208E"/>
    <w:lvl w:ilvl="0" w:tentative="0">
      <w:start w:val="1"/>
      <w:numFmt w:val="bullet"/>
      <w:lvlText w:val="•"/>
      <w:lvlJc w:val="left"/>
    </w:lvl>
  </w:abstractNum>
  <w:abstractNum w:abstractNumId="13">
    <w:nsid w:val="0248C179"/>
    <w:multiLevelType w:val="singleLevel"/>
    <w:tmpl w:val="0248C179"/>
    <w:lvl w:ilvl="0" w:tentative="0">
      <w:start w:val="1"/>
      <w:numFmt w:val="bullet"/>
      <w:lvlText w:val="•"/>
      <w:lvlJc w:val="left"/>
    </w:lvl>
  </w:abstractNum>
  <w:abstractNum w:abstractNumId="14">
    <w:nsid w:val="03D62ECE"/>
    <w:multiLevelType w:val="singleLevel"/>
    <w:tmpl w:val="03D62ECE"/>
    <w:lvl w:ilvl="0" w:tentative="0">
      <w:start w:val="1"/>
      <w:numFmt w:val="bullet"/>
      <w:lvlText w:val="•"/>
      <w:lvlJc w:val="left"/>
    </w:lvl>
  </w:abstractNum>
  <w:abstractNum w:abstractNumId="15">
    <w:nsid w:val="0E640482"/>
    <w:multiLevelType w:val="singleLevel"/>
    <w:tmpl w:val="0E640482"/>
    <w:lvl w:ilvl="0" w:tentative="0">
      <w:start w:val="1"/>
      <w:numFmt w:val="bullet"/>
      <w:lvlText w:val="•"/>
      <w:lvlJc w:val="left"/>
    </w:lvl>
  </w:abstractNum>
  <w:abstractNum w:abstractNumId="16">
    <w:nsid w:val="2470EC97"/>
    <w:multiLevelType w:val="singleLevel"/>
    <w:tmpl w:val="2470EC97"/>
    <w:lvl w:ilvl="0" w:tentative="0">
      <w:start w:val="1"/>
      <w:numFmt w:val="bullet"/>
      <w:lvlText w:val="•"/>
      <w:lvlJc w:val="left"/>
    </w:lvl>
  </w:abstractNum>
  <w:abstractNum w:abstractNumId="17">
    <w:nsid w:val="25B654F3"/>
    <w:multiLevelType w:val="singleLevel"/>
    <w:tmpl w:val="25B654F3"/>
    <w:lvl w:ilvl="0" w:tentative="0">
      <w:start w:val="1"/>
      <w:numFmt w:val="bullet"/>
      <w:lvlText w:val="•"/>
      <w:lvlJc w:val="left"/>
    </w:lvl>
  </w:abstractNum>
  <w:abstractNum w:abstractNumId="18">
    <w:nsid w:val="2A8F537B"/>
    <w:multiLevelType w:val="singleLevel"/>
    <w:tmpl w:val="2A8F537B"/>
    <w:lvl w:ilvl="0" w:tentative="0">
      <w:start w:val="1"/>
      <w:numFmt w:val="bullet"/>
      <w:lvlText w:val="•"/>
      <w:lvlJc w:val="left"/>
    </w:lvl>
  </w:abstractNum>
  <w:abstractNum w:abstractNumId="19">
    <w:nsid w:val="39A0D9AC"/>
    <w:multiLevelType w:val="singleLevel"/>
    <w:tmpl w:val="39A0D9AC"/>
    <w:lvl w:ilvl="0" w:tentative="0">
      <w:start w:val="1"/>
      <w:numFmt w:val="bullet"/>
      <w:lvlText w:val="•"/>
      <w:lvlJc w:val="left"/>
    </w:lvl>
  </w:abstractNum>
  <w:abstractNum w:abstractNumId="20">
    <w:nsid w:val="46A08BB8"/>
    <w:multiLevelType w:val="singleLevel"/>
    <w:tmpl w:val="46A08BB8"/>
    <w:lvl w:ilvl="0" w:tentative="0">
      <w:start w:val="1"/>
      <w:numFmt w:val="bullet"/>
      <w:lvlText w:val="•"/>
      <w:lvlJc w:val="left"/>
    </w:lvl>
  </w:abstractNum>
  <w:abstractNum w:abstractNumId="21">
    <w:nsid w:val="4C1BAE26"/>
    <w:multiLevelType w:val="singleLevel"/>
    <w:tmpl w:val="4C1BAE26"/>
    <w:lvl w:ilvl="0" w:tentative="0">
      <w:start w:val="1"/>
      <w:numFmt w:val="bullet"/>
      <w:lvlText w:val="•"/>
      <w:lvlJc w:val="left"/>
    </w:lvl>
  </w:abstractNum>
  <w:abstractNum w:abstractNumId="22">
    <w:nsid w:val="4D4DC07F"/>
    <w:multiLevelType w:val="singleLevel"/>
    <w:tmpl w:val="4D4DC07F"/>
    <w:lvl w:ilvl="0" w:tentative="0">
      <w:start w:val="1"/>
      <w:numFmt w:val="bullet"/>
      <w:lvlText w:val="•"/>
      <w:lvlJc w:val="left"/>
    </w:lvl>
  </w:abstractNum>
  <w:abstractNum w:abstractNumId="23">
    <w:nsid w:val="59ADCABA"/>
    <w:multiLevelType w:val="singleLevel"/>
    <w:tmpl w:val="59ADCABA"/>
    <w:lvl w:ilvl="0" w:tentative="0">
      <w:start w:val="1"/>
      <w:numFmt w:val="bullet"/>
      <w:lvlText w:val="•"/>
      <w:lvlJc w:val="left"/>
    </w:lvl>
  </w:abstractNum>
  <w:abstractNum w:abstractNumId="24">
    <w:nsid w:val="5A241D34"/>
    <w:multiLevelType w:val="singleLevel"/>
    <w:tmpl w:val="5A241D34"/>
    <w:lvl w:ilvl="0" w:tentative="0">
      <w:start w:val="1"/>
      <w:numFmt w:val="bullet"/>
      <w:lvlText w:val="•"/>
      <w:lvlJc w:val="left"/>
    </w:lvl>
  </w:abstractNum>
  <w:abstractNum w:abstractNumId="25">
    <w:nsid w:val="60382F6E"/>
    <w:multiLevelType w:val="singleLevel"/>
    <w:tmpl w:val="60382F6E"/>
    <w:lvl w:ilvl="0" w:tentative="0">
      <w:start w:val="1"/>
      <w:numFmt w:val="bullet"/>
      <w:lvlText w:val="•"/>
      <w:lvlJc w:val="left"/>
    </w:lvl>
  </w:abstractNum>
  <w:abstractNum w:abstractNumId="26">
    <w:nsid w:val="629F7852"/>
    <w:multiLevelType w:val="singleLevel"/>
    <w:tmpl w:val="629F7852"/>
    <w:lvl w:ilvl="0" w:tentative="0">
      <w:start w:val="1"/>
      <w:numFmt w:val="decimal"/>
      <w:lvlText w:val="%1."/>
      <w:lvlJc w:val="left"/>
    </w:lvl>
  </w:abstractNum>
  <w:abstractNum w:abstractNumId="27">
    <w:nsid w:val="72183CF9"/>
    <w:multiLevelType w:val="singleLevel"/>
    <w:tmpl w:val="72183CF9"/>
    <w:lvl w:ilvl="0" w:tentative="0">
      <w:start w:val="1"/>
      <w:numFmt w:val="bullet"/>
      <w:lvlText w:val="•"/>
      <w:lvlJc w:val="left"/>
    </w:lvl>
  </w:abstractNum>
  <w:abstractNum w:abstractNumId="28">
    <w:nsid w:val="77ECEA79"/>
    <w:multiLevelType w:val="singleLevel"/>
    <w:tmpl w:val="77ECEA79"/>
    <w:lvl w:ilvl="0" w:tentative="0">
      <w:start w:val="1"/>
      <w:numFmt w:val="decimal"/>
      <w:lvlText w:val="%1."/>
      <w:lvlJc w:val="left"/>
    </w:lvl>
  </w:abstractNum>
  <w:num w:numId="1">
    <w:abstractNumId w:val="12"/>
  </w:num>
  <w:num w:numId="2">
    <w:abstractNumId w:val="7"/>
  </w:num>
  <w:num w:numId="3">
    <w:abstractNumId w:val="23"/>
  </w:num>
  <w:num w:numId="4">
    <w:abstractNumId w:val="5"/>
  </w:num>
  <w:num w:numId="5">
    <w:abstractNumId w:val="4"/>
  </w:num>
  <w:num w:numId="6">
    <w:abstractNumId w:val="14"/>
  </w:num>
  <w:num w:numId="7">
    <w:abstractNumId w:val="17"/>
  </w:num>
  <w:num w:numId="8">
    <w:abstractNumId w:val="27"/>
  </w:num>
  <w:num w:numId="9">
    <w:abstractNumId w:val="13"/>
  </w:num>
  <w:num w:numId="10">
    <w:abstractNumId w:val="0"/>
  </w:num>
  <w:num w:numId="11">
    <w:abstractNumId w:val="18"/>
  </w:num>
  <w:num w:numId="12">
    <w:abstractNumId w:val="24"/>
  </w:num>
  <w:num w:numId="13">
    <w:abstractNumId w:val="6"/>
  </w:num>
  <w:num w:numId="14">
    <w:abstractNumId w:val="22"/>
  </w:num>
  <w:num w:numId="15">
    <w:abstractNumId w:val="11"/>
  </w:num>
  <w:num w:numId="16">
    <w:abstractNumId w:val="16"/>
  </w:num>
  <w:num w:numId="17">
    <w:abstractNumId w:val="10"/>
  </w:num>
  <w:num w:numId="18">
    <w:abstractNumId w:val="9"/>
  </w:num>
  <w:num w:numId="19">
    <w:abstractNumId w:val="2"/>
  </w:num>
  <w:num w:numId="20">
    <w:abstractNumId w:val="21"/>
  </w:num>
  <w:num w:numId="21">
    <w:abstractNumId w:val="25"/>
  </w:num>
  <w:num w:numId="22">
    <w:abstractNumId w:val="15"/>
  </w:num>
  <w:num w:numId="23">
    <w:abstractNumId w:val="20"/>
  </w:num>
  <w:num w:numId="24">
    <w:abstractNumId w:val="3"/>
  </w:num>
  <w:num w:numId="25">
    <w:abstractNumId w:val="8"/>
  </w:num>
  <w:num w:numId="26">
    <w:abstractNumId w:val="28"/>
  </w:num>
  <w:num w:numId="27">
    <w:abstractNumId w:val="26"/>
  </w:num>
  <w:num w:numId="28">
    <w:abstractNumId w:val="1"/>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4640B52"/>
    <w:rsid w:val="05A5591B"/>
    <w:rsid w:val="065E086B"/>
    <w:rsid w:val="06E21055"/>
    <w:rsid w:val="09BE5EFB"/>
    <w:rsid w:val="0ABC5BC4"/>
    <w:rsid w:val="0AC769A1"/>
    <w:rsid w:val="0C036D46"/>
    <w:rsid w:val="0C4A0F50"/>
    <w:rsid w:val="0F201163"/>
    <w:rsid w:val="107A42D0"/>
    <w:rsid w:val="1197736A"/>
    <w:rsid w:val="11C35C88"/>
    <w:rsid w:val="12492C39"/>
    <w:rsid w:val="12FD248B"/>
    <w:rsid w:val="1484072D"/>
    <w:rsid w:val="154126EF"/>
    <w:rsid w:val="1592304B"/>
    <w:rsid w:val="1647748F"/>
    <w:rsid w:val="16566DBE"/>
    <w:rsid w:val="17895CE9"/>
    <w:rsid w:val="17C64885"/>
    <w:rsid w:val="17D27B3A"/>
    <w:rsid w:val="17E02409"/>
    <w:rsid w:val="17FF76B7"/>
    <w:rsid w:val="180B7DFE"/>
    <w:rsid w:val="187529D9"/>
    <w:rsid w:val="18C45873"/>
    <w:rsid w:val="190A277E"/>
    <w:rsid w:val="1B94739F"/>
    <w:rsid w:val="1D171C50"/>
    <w:rsid w:val="1F35597B"/>
    <w:rsid w:val="21C81DCC"/>
    <w:rsid w:val="238241FC"/>
    <w:rsid w:val="24C75D95"/>
    <w:rsid w:val="24F73F4C"/>
    <w:rsid w:val="25205A7B"/>
    <w:rsid w:val="270C62B7"/>
    <w:rsid w:val="27262E3C"/>
    <w:rsid w:val="28641476"/>
    <w:rsid w:val="2A8B3997"/>
    <w:rsid w:val="2AE8441B"/>
    <w:rsid w:val="2B3A4CDA"/>
    <w:rsid w:val="2B4A5600"/>
    <w:rsid w:val="2B5B534A"/>
    <w:rsid w:val="2BC5737C"/>
    <w:rsid w:val="2CAF5E9E"/>
    <w:rsid w:val="2CBB5CE4"/>
    <w:rsid w:val="2CF92AD5"/>
    <w:rsid w:val="2F9D4CE3"/>
    <w:rsid w:val="3436271A"/>
    <w:rsid w:val="346B6210"/>
    <w:rsid w:val="34C208FD"/>
    <w:rsid w:val="34EC3BCC"/>
    <w:rsid w:val="35250B19"/>
    <w:rsid w:val="355B7F36"/>
    <w:rsid w:val="3569521C"/>
    <w:rsid w:val="375A02D5"/>
    <w:rsid w:val="38710670"/>
    <w:rsid w:val="39396CB4"/>
    <w:rsid w:val="39754901"/>
    <w:rsid w:val="3990657D"/>
    <w:rsid w:val="3A654B5F"/>
    <w:rsid w:val="3A7761AC"/>
    <w:rsid w:val="3B0A71ED"/>
    <w:rsid w:val="3D0B12AA"/>
    <w:rsid w:val="3D5C2612"/>
    <w:rsid w:val="3EBB2B0F"/>
    <w:rsid w:val="42756FAE"/>
    <w:rsid w:val="42E60429"/>
    <w:rsid w:val="446E2E63"/>
    <w:rsid w:val="44C30432"/>
    <w:rsid w:val="46274A64"/>
    <w:rsid w:val="47EB5F15"/>
    <w:rsid w:val="4803238A"/>
    <w:rsid w:val="486F26F2"/>
    <w:rsid w:val="48B77746"/>
    <w:rsid w:val="4B5A2032"/>
    <w:rsid w:val="4BF40E3E"/>
    <w:rsid w:val="4CA13F8E"/>
    <w:rsid w:val="4D1956A9"/>
    <w:rsid w:val="4E7C136B"/>
    <w:rsid w:val="4F496CB7"/>
    <w:rsid w:val="50A11FE0"/>
    <w:rsid w:val="547C202D"/>
    <w:rsid w:val="5814047B"/>
    <w:rsid w:val="58937D37"/>
    <w:rsid w:val="58B571B7"/>
    <w:rsid w:val="59552A84"/>
    <w:rsid w:val="5ADA7E9F"/>
    <w:rsid w:val="5BC25DD9"/>
    <w:rsid w:val="5BC61375"/>
    <w:rsid w:val="5BD56BA4"/>
    <w:rsid w:val="5C157BF0"/>
    <w:rsid w:val="5D0128BF"/>
    <w:rsid w:val="5D8F5D65"/>
    <w:rsid w:val="5E2F7897"/>
    <w:rsid w:val="5E422F7A"/>
    <w:rsid w:val="5F712F7E"/>
    <w:rsid w:val="60551AD3"/>
    <w:rsid w:val="608D3C69"/>
    <w:rsid w:val="624B5761"/>
    <w:rsid w:val="63161082"/>
    <w:rsid w:val="63AC4D38"/>
    <w:rsid w:val="63D70E99"/>
    <w:rsid w:val="653576A4"/>
    <w:rsid w:val="66414DC0"/>
    <w:rsid w:val="665E1984"/>
    <w:rsid w:val="66F75934"/>
    <w:rsid w:val="68562439"/>
    <w:rsid w:val="6886667F"/>
    <w:rsid w:val="69952A39"/>
    <w:rsid w:val="6A7948FB"/>
    <w:rsid w:val="6B6C0BDE"/>
    <w:rsid w:val="6B8059E2"/>
    <w:rsid w:val="6C3D32B9"/>
    <w:rsid w:val="6CA62B12"/>
    <w:rsid w:val="70A94E62"/>
    <w:rsid w:val="70AC7790"/>
    <w:rsid w:val="726B05BD"/>
    <w:rsid w:val="72A32589"/>
    <w:rsid w:val="73135370"/>
    <w:rsid w:val="747C5A5B"/>
    <w:rsid w:val="74992CD1"/>
    <w:rsid w:val="761B163F"/>
    <w:rsid w:val="7662169B"/>
    <w:rsid w:val="77846D70"/>
    <w:rsid w:val="78551408"/>
    <w:rsid w:val="7AA716F4"/>
    <w:rsid w:val="7AB21E46"/>
    <w:rsid w:val="7B9E56C1"/>
    <w:rsid w:val="7C185920"/>
    <w:rsid w:val="7F427C3D"/>
    <w:rsid w:val="7F455A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7">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3">
    <w:name w:val="Body Text"/>
    <w:basedOn w:val="1"/>
    <w:next w:val="4"/>
    <w:qFormat/>
    <w:uiPriority w:val="0"/>
    <w:rPr>
      <w:rFonts w:ascii="宋体" w:hAnsi="Arial"/>
      <w:sz w:val="28"/>
    </w:rPr>
  </w:style>
  <w:style w:type="paragraph" w:styleId="4">
    <w:name w:val="Body Text 2"/>
    <w:basedOn w:val="1"/>
    <w:next w:val="3"/>
    <w:qFormat/>
    <w:uiPriority w:val="0"/>
    <w:pPr>
      <w:spacing w:after="120" w:line="480" w:lineRule="auto"/>
    </w:pPr>
  </w:style>
  <w:style w:type="paragraph" w:styleId="5">
    <w:name w:val="Body Text First Indent 2"/>
    <w:basedOn w:val="6"/>
    <w:next w:val="1"/>
    <w:qFormat/>
    <w:uiPriority w:val="99"/>
    <w:pPr>
      <w:tabs>
        <w:tab w:val="left" w:pos="0"/>
        <w:tab w:val="left" w:pos="993"/>
        <w:tab w:val="left" w:pos="1134"/>
      </w:tabs>
      <w:ind w:firstLine="420"/>
    </w:pPr>
  </w:style>
  <w:style w:type="paragraph" w:styleId="6">
    <w:name w:val="Body Text Indent"/>
    <w:basedOn w:val="1"/>
    <w:next w:val="1"/>
    <w:qFormat/>
    <w:uiPriority w:val="0"/>
    <w:pPr>
      <w:ind w:firstLine="632" w:firstLineChars="200"/>
    </w:pPr>
    <w:rPr>
      <w:rFonts w:ascii="仿宋_GB2312" w:hAnsi="华文楷体" w:eastAsia="仿宋_GB2312"/>
      <w:sz w:val="32"/>
    </w:rPr>
  </w:style>
  <w:style w:type="paragraph" w:styleId="8">
    <w:name w:val="caption"/>
    <w:basedOn w:val="1"/>
    <w:next w:val="1"/>
    <w:qFormat/>
    <w:uiPriority w:val="0"/>
    <w:rPr>
      <w:rFonts w:ascii="Cambria" w:hAnsi="Cambria" w:eastAsia="黑体"/>
      <w:sz w:val="20"/>
    </w:rPr>
  </w:style>
  <w:style w:type="paragraph" w:styleId="9">
    <w:name w:val="footer"/>
    <w:basedOn w:val="1"/>
    <w:qFormat/>
    <w:uiPriority w:val="0"/>
    <w:pPr>
      <w:tabs>
        <w:tab w:val="center" w:pos="4153"/>
        <w:tab w:val="right" w:pos="8306"/>
      </w:tabs>
      <w:snapToGrid w:val="0"/>
      <w:jc w:val="left"/>
    </w:pPr>
    <w:rPr>
      <w:sz w:val="18"/>
    </w:rPr>
  </w:style>
  <w:style w:type="paragraph" w:styleId="10">
    <w:name w:val="envelope return"/>
    <w:basedOn w:val="1"/>
    <w:qFormat/>
    <w:uiPriority w:val="99"/>
    <w:pPr>
      <w:snapToGrid w:val="0"/>
    </w:pPr>
    <w:rPr>
      <w:rFonts w:ascii="Arial" w:hAnsi="Arial"/>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99"/>
    <w:pPr>
      <w:widowControl/>
      <w:spacing w:before="100" w:beforeAutospacing="1" w:after="100" w:afterAutospacing="1"/>
      <w:jc w:val="left"/>
    </w:pPr>
    <w:rPr>
      <w:rFonts w:ascii="宋体" w:hAnsi="宋体"/>
      <w:kern w:val="0"/>
      <w:sz w:val="24"/>
      <w:szCs w:val="24"/>
    </w:rPr>
  </w:style>
  <w:style w:type="table" w:styleId="14">
    <w:name w:val="Table Grid"/>
    <w:basedOn w:val="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qFormat/>
    <w:uiPriority w:val="22"/>
    <w:rPr>
      <w:b/>
      <w:bCs/>
    </w:rPr>
  </w:style>
  <w:style w:type="paragraph" w:customStyle="1" w:styleId="17">
    <w:name w:val="无间隔1"/>
    <w:next w:val="8"/>
    <w:qFormat/>
    <w:uiPriority w:val="0"/>
    <w:pPr>
      <w:widowControl w:val="0"/>
      <w:jc w:val="both"/>
    </w:pPr>
    <w:rPr>
      <w:rFonts w:ascii="Calibri" w:hAnsi="Calibri" w:eastAsia="宋体" w:cs="Times New Roman"/>
      <w:kern w:val="2"/>
      <w:sz w:val="21"/>
      <w:szCs w:val="22"/>
      <w:lang w:val="en-US" w:eastAsia="zh-CN" w:bidi="ar-SA"/>
    </w:rPr>
  </w:style>
  <w:style w:type="paragraph" w:customStyle="1" w:styleId="18">
    <w:name w:val="BodyText1I"/>
    <w:basedOn w:val="19"/>
    <w:qFormat/>
    <w:uiPriority w:val="99"/>
    <w:pPr>
      <w:ind w:firstLine="420" w:firstLineChars="100"/>
    </w:pPr>
  </w:style>
  <w:style w:type="paragraph" w:customStyle="1" w:styleId="19">
    <w:name w:val="BodyText"/>
    <w:basedOn w:val="1"/>
    <w:qFormat/>
    <w:uiPriority w:val="99"/>
    <w:pPr>
      <w:spacing w:after="120"/>
    </w:pPr>
  </w:style>
  <w:style w:type="paragraph" w:styleId="20">
    <w:name w:val="List Paragraph"/>
    <w:basedOn w:val="1"/>
    <w:qFormat/>
    <w:uiPriority w:val="34"/>
    <w:pPr>
      <w:ind w:firstLine="420" w:firstLineChars="200"/>
    </w:pPr>
  </w:style>
  <w:style w:type="paragraph" w:customStyle="1" w:styleId="21">
    <w:name w:val="Table Text"/>
    <w:basedOn w:val="1"/>
    <w:semiHidden/>
    <w:qFormat/>
    <w:uiPriority w:val="0"/>
    <w:rPr>
      <w:rFonts w:ascii="宋体" w:hAnsi="宋体" w:eastAsia="宋体" w:cs="宋体"/>
      <w:sz w:val="24"/>
      <w:szCs w:val="24"/>
      <w:lang w:val="en-US" w:eastAsia="en-US" w:bidi="ar-SA"/>
    </w:rPr>
  </w:style>
  <w:style w:type="table" w:customStyle="1" w:styleId="22">
    <w:name w:val="Table Normal"/>
    <w:semiHidden/>
    <w:unhideWhenUsed/>
    <w:qFormat/>
    <w:uiPriority w:val="0"/>
    <w:tblPr>
      <w:tblCellMar>
        <w:top w:w="0" w:type="dxa"/>
        <w:left w:w="0" w:type="dxa"/>
        <w:bottom w:w="0" w:type="dxa"/>
        <w:right w:w="0" w:type="dxa"/>
      </w:tblCellMar>
    </w:tblPr>
  </w:style>
  <w:style w:type="character" w:customStyle="1" w:styleId="23">
    <w:name w:val="font21"/>
    <w:basedOn w:val="15"/>
    <w:qFormat/>
    <w:uiPriority w:val="0"/>
    <w:rPr>
      <w:rFonts w:hint="eastAsia" w:ascii="宋体" w:hAnsi="宋体" w:eastAsia="宋体" w:cs="宋体"/>
      <w:color w:val="000000"/>
      <w:sz w:val="20"/>
      <w:szCs w:val="20"/>
      <w:u w:val="none"/>
    </w:rPr>
  </w:style>
  <w:style w:type="character" w:customStyle="1" w:styleId="24">
    <w:name w:val="font151"/>
    <w:basedOn w:val="15"/>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94</Pages>
  <Words>7588</Words>
  <Characters>8437</Characters>
  <TotalTime>1</TotalTime>
  <ScaleCrop>false</ScaleCrop>
  <LinksUpToDate>false</LinksUpToDate>
  <CharactersWithSpaces>8636</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2026-05-26T06:44:19Z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71570CDDD6644D72BC4B7C0DC9C9FEFA_13</vt:lpwstr>
  </property>
  <property fmtid="{D5CDD505-2E9C-101B-9397-08002B2CF9AE}" pid="4" name="KSOTemplateDocerSaveRecord">
    <vt:lpwstr>eyJoZGlkIjoiNTQ3MGY4OWEwYWQ5MGRhOTEyZDdjODBiNTM4ZTJjNzciLCJ1c2VySWQiOiIxMDg5MjYwMDExIn0=</vt:lpwstr>
  </property>
</Properties>
</file>