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3C91A">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2739F007">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256CD89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21B10AD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7628E435">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4214CC4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4B17C9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29DEBA95">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shd w:val="clear" w:fill="auto"/>
        </w:rPr>
      </w:pPr>
    </w:p>
    <w:p w14:paraId="09EA5C37">
      <w:pPr>
        <w:tabs>
          <w:tab w:val="left" w:pos="315"/>
          <w:tab w:val="left" w:pos="8820"/>
        </w:tabs>
        <w:spacing w:before="0" w:after="0" w:line="600" w:lineRule="auto"/>
        <w:ind w:left="2209" w:right="267" w:hanging="2209" w:hangingChars="500"/>
        <w:jc w:val="left"/>
        <w:rPr>
          <w:rFonts w:hint="eastAsia" w:ascii="Times New Roman" w:hAnsi="Times New Roman" w:eastAsia="Times New Roman" w:cs="Times New Roman"/>
          <w:color w:val="auto"/>
          <w:spacing w:val="0"/>
          <w:position w:val="0"/>
          <w:sz w:val="36"/>
          <w:szCs w:val="36"/>
          <w:u w:val="none"/>
          <w:shd w:val="clear" w:fill="auto"/>
          <w:lang w:val="en-US" w:eastAsia="zh-CN"/>
        </w:rPr>
      </w:pPr>
      <w:r>
        <w:rPr>
          <w:rFonts w:ascii="宋体" w:hAnsi="宋体" w:eastAsia="宋体" w:cs="宋体"/>
          <w:b/>
          <w:color w:val="auto"/>
          <w:spacing w:val="0"/>
          <w:position w:val="0"/>
          <w:sz w:val="44"/>
          <w:shd w:val="clear" w:fill="auto"/>
        </w:rPr>
        <w:t>项目名称:</w:t>
      </w:r>
      <w:r>
        <w:rPr>
          <w:rFonts w:ascii="宋体" w:hAnsi="宋体" w:eastAsia="宋体" w:cs="宋体"/>
          <w:color w:val="auto"/>
          <w:spacing w:val="0"/>
          <w:position w:val="0"/>
          <w:sz w:val="20"/>
          <w:shd w:val="clear" w:fill="auto"/>
        </w:rPr>
        <w:t xml:space="preserve"> </w:t>
      </w:r>
      <w:r>
        <w:rPr>
          <w:rFonts w:hint="eastAsia" w:ascii="Times New Roman" w:hAnsi="Times New Roman" w:eastAsia="Times New Roman" w:cs="Times New Roman"/>
          <w:color w:val="auto"/>
          <w:spacing w:val="0"/>
          <w:position w:val="0"/>
          <w:sz w:val="36"/>
          <w:szCs w:val="36"/>
          <w:u w:val="none"/>
          <w:shd w:val="clear" w:fill="auto"/>
        </w:rPr>
        <w:t>周口市第一高级中学周口一高改善办学条件项目</w:t>
      </w:r>
      <w:r>
        <w:rPr>
          <w:rFonts w:hint="eastAsia" w:ascii="Times New Roman" w:hAnsi="Times New Roman" w:eastAsia="Times New Roman" w:cs="Times New Roman"/>
          <w:color w:val="auto"/>
          <w:spacing w:val="0"/>
          <w:position w:val="0"/>
          <w:sz w:val="36"/>
          <w:szCs w:val="36"/>
          <w:u w:val="none"/>
          <w:shd w:val="clear" w:fill="auto"/>
          <w:lang w:val="en-US" w:eastAsia="zh-CN"/>
        </w:rPr>
        <w:t>(2025年普通高中发展引导省级补助资金)</w:t>
      </w:r>
    </w:p>
    <w:p w14:paraId="2CFB8748">
      <w:pPr>
        <w:tabs>
          <w:tab w:val="left" w:pos="315"/>
          <w:tab w:val="left" w:pos="8820"/>
        </w:tabs>
        <w:spacing w:before="0" w:after="0" w:line="600" w:lineRule="auto"/>
        <w:ind w:left="2209" w:right="267" w:hanging="2209" w:hangingChars="500"/>
        <w:jc w:val="left"/>
        <w:rPr>
          <w:rFonts w:ascii="宋体" w:hAnsi="宋体" w:eastAsia="宋体" w:cs="宋体"/>
          <w:b/>
          <w:color w:val="FF0000"/>
          <w:spacing w:val="0"/>
          <w:position w:val="0"/>
          <w:sz w:val="44"/>
          <w:shd w:val="clear" w:fill="auto"/>
        </w:rPr>
      </w:pPr>
      <w:r>
        <w:rPr>
          <w:rFonts w:ascii="宋体" w:hAnsi="宋体" w:eastAsia="宋体" w:cs="宋体"/>
          <w:b/>
          <w:color w:val="FF0000"/>
          <w:spacing w:val="0"/>
          <w:position w:val="0"/>
          <w:sz w:val="44"/>
          <w:shd w:val="clear" w:fill="auto"/>
        </w:rPr>
        <w:t>项目编号:</w:t>
      </w:r>
      <w:r>
        <w:rPr>
          <w:rFonts w:ascii="宋体" w:hAnsi="宋体" w:eastAsia="宋体" w:cs="宋体"/>
          <w:color w:val="FF0000"/>
          <w:spacing w:val="0"/>
          <w:position w:val="0"/>
          <w:sz w:val="20"/>
          <w:shd w:val="clear" w:fill="auto"/>
        </w:rPr>
        <w:t>******************************</w:t>
      </w:r>
    </w:p>
    <w:p w14:paraId="610DE3F5">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4FA01D2">
      <w:pPr>
        <w:spacing w:before="0" w:after="120" w:line="240" w:lineRule="auto"/>
        <w:ind w:left="0" w:right="0" w:firstLine="0"/>
        <w:jc w:val="both"/>
        <w:rPr>
          <w:rFonts w:ascii="宋体" w:hAnsi="宋体" w:eastAsia="宋体" w:cs="宋体"/>
          <w:b/>
          <w:color w:val="auto"/>
          <w:spacing w:val="0"/>
          <w:position w:val="0"/>
          <w:sz w:val="32"/>
          <w:shd w:val="clear" w:fill="auto"/>
        </w:rPr>
      </w:pPr>
    </w:p>
    <w:p w14:paraId="3DBE8836">
      <w:pPr>
        <w:spacing w:before="0" w:after="120" w:line="240" w:lineRule="auto"/>
        <w:ind w:left="0" w:right="0" w:firstLine="0"/>
        <w:jc w:val="both"/>
        <w:rPr>
          <w:rFonts w:ascii="宋体" w:hAnsi="宋体" w:eastAsia="宋体" w:cs="宋体"/>
          <w:b/>
          <w:color w:val="auto"/>
          <w:spacing w:val="0"/>
          <w:position w:val="0"/>
          <w:sz w:val="32"/>
          <w:shd w:val="clear" w:fill="auto"/>
        </w:rPr>
      </w:pPr>
    </w:p>
    <w:p w14:paraId="3FBADEC3">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2026年5月8日</w:t>
      </w:r>
    </w:p>
    <w:p w14:paraId="3AEDEDA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2186119">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的潜在供应商应在周口市公共资源交易中心网获取采购文件，并于</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5F5C6FCA">
      <w:pPr>
        <w:spacing w:before="0" w:after="0" w:line="360" w:lineRule="auto"/>
        <w:ind w:left="0" w:right="0" w:firstLine="480"/>
        <w:jc w:val="both"/>
        <w:rPr>
          <w:rFonts w:ascii="Times New Roman" w:hAnsi="Times New Roman" w:eastAsia="Times New Roman" w:cs="Times New Roman"/>
          <w:color w:val="FF0000"/>
          <w:spacing w:val="0"/>
          <w:position w:val="0"/>
          <w:sz w:val="24"/>
          <w:shd w:val="clear" w:fill="auto"/>
        </w:rPr>
      </w:pPr>
      <w:r>
        <w:rPr>
          <w:rFonts w:ascii="宋体" w:hAnsi="宋体" w:eastAsia="宋体" w:cs="宋体"/>
          <w:color w:val="FF0000"/>
          <w:spacing w:val="0"/>
          <w:position w:val="0"/>
          <w:sz w:val="24"/>
          <w:shd w:val="clear" w:fill="auto"/>
        </w:rPr>
        <w:t>项目编号：</w:t>
      </w:r>
    </w:p>
    <w:p w14:paraId="3E5E18F4">
      <w:pPr>
        <w:tabs>
          <w:tab w:val="left" w:pos="315"/>
          <w:tab w:val="left" w:pos="8820"/>
        </w:tabs>
        <w:spacing w:before="0" w:after="0" w:line="600" w:lineRule="auto"/>
        <w:ind w:left="2209" w:right="267" w:hanging="1200" w:hangingChars="500"/>
        <w:jc w:val="left"/>
        <w:rPr>
          <w:rFonts w:ascii="Times New Roman" w:hAnsi="Times New Roman" w:eastAsia="Times New Roman" w:cs="Times New Roman"/>
          <w:color w:val="auto"/>
          <w:spacing w:val="0"/>
          <w:position w:val="0"/>
          <w:sz w:val="24"/>
          <w:highlight w:val="red"/>
          <w:u w:val="single"/>
          <w:shd w:val="clear" w:fill="auto"/>
        </w:rPr>
      </w:pPr>
      <w:r>
        <w:rPr>
          <w:rFonts w:ascii="宋体" w:hAnsi="宋体" w:eastAsia="宋体" w:cs="宋体"/>
          <w:color w:val="auto"/>
          <w:spacing w:val="0"/>
          <w:position w:val="0"/>
          <w:sz w:val="24"/>
          <w:shd w:val="clear" w:fill="auto"/>
        </w:rPr>
        <w:t>项目名称：</w:t>
      </w: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p>
    <w:p w14:paraId="24A210D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highlight w:val="red"/>
          <w:shd w:val="clear" w:fill="auto"/>
          <w:lang w:val="en-US" w:eastAsia="zh-CN"/>
        </w:rPr>
        <w:t>2663000</w:t>
      </w:r>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red"/>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highlight w:val="red"/>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highlight w:val="red"/>
          <w:shd w:val="clear" w:fill="auto"/>
          <w:lang w:val="en-US" w:eastAsia="zh-CN"/>
        </w:rPr>
        <w:t>5</w:t>
      </w:r>
      <w:r>
        <w:rPr>
          <w:rFonts w:ascii="宋体" w:hAnsi="宋体" w:eastAsia="宋体" w:cs="宋体"/>
          <w:color w:val="000000"/>
          <w:spacing w:val="0"/>
          <w:position w:val="0"/>
          <w:sz w:val="24"/>
          <w:highlight w:val="red"/>
          <w:shd w:val="clear" w:fill="auto"/>
        </w:rPr>
        <w:t>个包</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备注</w:t>
            </w:r>
          </w:p>
        </w:tc>
      </w:tr>
      <w:tr w14:paraId="60FC8A6D">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6AC02">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17AB">
            <w:pPr>
              <w:spacing w:before="0" w:after="0" w:line="360" w:lineRule="auto"/>
              <w:ind w:left="0" w:right="0" w:firstLine="0"/>
              <w:jc w:val="center"/>
              <w:rPr>
                <w:rFonts w:hint="default" w:eastAsia="宋体"/>
                <w:color w:val="EEECE1" w:themeColor="background2"/>
                <w:spacing w:val="0"/>
                <w:position w:val="0"/>
                <w:shd w:val="clear" w:fill="auto"/>
                <w:lang w:val="en-US" w:eastAsia="zh-CN"/>
                <w14:textFill>
                  <w14:solidFill>
                    <w14:schemeClr w14:val="bg2"/>
                  </w14:solidFill>
                </w14:textFill>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3CE20">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44.010152</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61A98">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red"/>
                <w:shd w:val="clear" w:fill="auto"/>
                <w:lang w:val="en-US" w:eastAsia="zh-CN"/>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高一、高二教学楼及高三男女寝室</w:t>
            </w:r>
          </w:p>
        </w:tc>
      </w:tr>
      <w:tr w14:paraId="3CF8537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2F1EE">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B4CC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red"/>
                <w:shd w:val="clear" w:fill="auto"/>
                <w:lang w:val="en-US" w:eastAsia="zh-CN"/>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C859">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40.6</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385C7">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高一高二教学楼</w:t>
            </w:r>
          </w:p>
        </w:tc>
      </w:tr>
    </w:tbl>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采购需求：（包括但不限于标的的名称、数量、简要技术需求或服务要求等）</w:t>
      </w:r>
    </w:p>
    <w:p w14:paraId="33FAD115">
      <w:pPr>
        <w:spacing w:before="0" w:after="0" w:line="360" w:lineRule="auto"/>
        <w:ind w:left="0" w:right="0" w:firstLine="480"/>
        <w:jc w:val="both"/>
        <w:rPr>
          <w:rFonts w:hint="eastAsia"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合同履行期限：</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FF0000"/>
                <w:spacing w:val="0"/>
                <w:position w:val="0"/>
                <w:sz w:val="24"/>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备注</w:t>
            </w:r>
          </w:p>
        </w:tc>
      </w:tr>
      <w:tr w14:paraId="4A579B4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777D">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43AE2">
            <w:pPr>
              <w:spacing w:before="0" w:after="0" w:line="360" w:lineRule="auto"/>
              <w:ind w:left="0" w:right="0" w:firstLine="0"/>
              <w:jc w:val="center"/>
              <w:rPr>
                <w:color w:val="auto"/>
                <w:spacing w:val="0"/>
                <w:position w:val="0"/>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75E0">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color w:val="auto"/>
                <w:spacing w:val="0"/>
                <w:position w:val="0"/>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9C61B">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r>
              <w:rPr>
                <w:rFonts w:hint="eastAsia"/>
                <w:color w:val="auto"/>
                <w:spacing w:val="0"/>
                <w:position w:val="0"/>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r w14:paraId="62F851A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C8E4F">
            <w:pPr>
              <w:widowControl w:val="0"/>
              <w:spacing w:before="0" w:after="0" w:line="360" w:lineRule="auto"/>
              <w:ind w:left="0" w:right="0" w:firstLine="0"/>
              <w:jc w:val="center"/>
              <w:rPr>
                <w:rFonts w:hint="eastAsia" w:ascii="宋体" w:hAnsi="宋体" w:eastAsia="宋体" w:cs="宋体"/>
                <w:color w:val="auto"/>
                <w:spacing w:val="0"/>
                <w:position w:val="0"/>
                <w:sz w:val="24"/>
                <w:shd w:val="clear" w:fill="FFFFFF"/>
                <w:lang w:val="en-US" w:eastAsia="zh-CN"/>
              </w:rPr>
            </w:pPr>
            <w:r>
              <w:rPr>
                <w:rFonts w:hint="eastAsia" w:ascii="宋体" w:hAnsi="宋体" w:eastAsia="宋体" w:cs="宋体"/>
                <w:color w:val="auto"/>
                <w:spacing w:val="0"/>
                <w:position w:val="0"/>
                <w:sz w:val="24"/>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6260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red"/>
                <w:shd w:val="clear" w:fill="auto"/>
              </w:rPr>
            </w:pPr>
            <w:r>
              <w:rPr>
                <w:rFonts w:hint="eastAsia" w:ascii="Times New Roman" w:hAnsi="Times New Roman" w:eastAsia="Times New Roman" w:cs="Times New Roman"/>
                <w:color w:val="auto"/>
                <w:spacing w:val="0"/>
                <w:position w:val="0"/>
                <w:sz w:val="24"/>
                <w:u w:val="single"/>
                <w:shd w:val="clear" w:fill="auto"/>
              </w:rPr>
              <w:t>周口一高改善办学条件</w:t>
            </w:r>
            <w:r>
              <w:rPr>
                <w:rFonts w:hint="eastAsia" w:ascii="Times New Roman" w:hAnsi="Times New Roman" w:eastAsia="宋体" w:cs="Times New Roman"/>
                <w:color w:val="auto"/>
                <w:spacing w:val="0"/>
                <w:position w:val="0"/>
                <w:sz w:val="24"/>
                <w:u w:val="single"/>
                <w:shd w:val="clear" w:fill="auto"/>
                <w:lang w:eastAsia="zh-CN"/>
              </w:rPr>
              <w:t>项目</w:t>
            </w:r>
            <w:r>
              <w:rPr>
                <w:rFonts w:hint="eastAsia" w:ascii="Times New Roman" w:hAnsi="Times New Roman" w:eastAsia="宋体" w:cs="Times New Roman"/>
                <w:color w:val="auto"/>
                <w:spacing w:val="0"/>
                <w:position w:val="0"/>
                <w:sz w:val="24"/>
                <w:highlight w:val="lightGray"/>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CAD3C">
            <w:pPr>
              <w:spacing w:before="0" w:after="0" w:line="360" w:lineRule="auto"/>
              <w:ind w:left="0" w:right="0" w:firstLine="0"/>
              <w:jc w:val="center"/>
              <w:rPr>
                <w:rFonts w:hint="default" w:ascii="Times New Roman" w:hAnsi="Times New Roman" w:eastAsia="宋体" w:cs="Times New Roman"/>
                <w:color w:val="auto"/>
                <w:spacing w:val="0"/>
                <w:position w:val="0"/>
                <w:sz w:val="24"/>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1871">
            <w:pPr>
              <w:spacing w:before="0" w:after="0" w:line="360" w:lineRule="auto"/>
              <w:ind w:left="0" w:right="0" w:firstLine="0"/>
              <w:jc w:val="center"/>
              <w:rPr>
                <w:rFonts w:hint="eastAsia" w:ascii="Times New Roman" w:hAnsi="Times New Roman" w:eastAsia="宋体" w:cs="Times New Roman"/>
                <w:color w:val="auto"/>
                <w:spacing w:val="0"/>
                <w:position w:val="0"/>
                <w:sz w:val="24"/>
                <w:shd w:val="clear" w:fill="auto"/>
                <w:lang w:val="en-US" w:eastAsia="zh-CN"/>
              </w:rPr>
            </w:pPr>
          </w:p>
        </w:tc>
      </w:tr>
    </w:tbl>
    <w:p w14:paraId="5D1F73F9">
      <w:pPr>
        <w:pStyle w:val="17"/>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FF0000"/>
          <w:spacing w:val="0"/>
          <w:position w:val="0"/>
          <w:sz w:val="24"/>
          <w:shd w:val="clear" w:fill="auto"/>
        </w:rPr>
      </w:pPr>
      <w:r>
        <w:rPr>
          <w:rFonts w:ascii="宋体" w:hAnsi="宋体" w:eastAsia="宋体" w:cs="宋体"/>
          <w:color w:val="FF0000"/>
          <w:spacing w:val="0"/>
          <w:position w:val="0"/>
          <w:sz w:val="24"/>
          <w:shd w:val="clear" w:fill="auto"/>
        </w:rPr>
        <w:t>时间：</w:t>
      </w:r>
      <w:r>
        <w:rPr>
          <w:rFonts w:ascii="宋体" w:hAnsi="宋体" w:eastAsia="宋体" w:cs="宋体"/>
          <w:color w:val="FF0000"/>
          <w:spacing w:val="0"/>
          <w:position w:val="0"/>
          <w:sz w:val="24"/>
          <w:u w:val="single"/>
          <w:shd w:val="clear" w:fill="auto"/>
        </w:rPr>
        <w:t>　</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至</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宋体" w:hAnsi="宋体" w:eastAsia="宋体" w:cs="宋体"/>
          <w:color w:val="FF0000"/>
          <w:spacing w:val="0"/>
          <w:position w:val="0"/>
          <w:sz w:val="24"/>
          <w:shd w:val="clear" w:fill="auto"/>
        </w:rPr>
        <w:t>（北京时间，法定节假日除外</w:t>
      </w:r>
      <w:r>
        <w:rPr>
          <w:rFonts w:ascii="Times New Roman" w:hAnsi="Times New Roman" w:eastAsia="Times New Roman" w:cs="Times New Roman"/>
          <w:color w:val="FF0000"/>
          <w:spacing w:val="0"/>
          <w:position w:val="0"/>
          <w:sz w:val="24"/>
          <w:shd w:val="clear" w:fill="auto"/>
        </w:rPr>
        <w:t xml:space="preserve"> </w:t>
      </w:r>
      <w:r>
        <w:rPr>
          <w:rFonts w:ascii="宋体" w:hAnsi="宋体" w:eastAsia="宋体" w:cs="宋体"/>
          <w:color w:val="FF0000"/>
          <w:spacing w:val="0"/>
          <w:position w:val="0"/>
          <w:sz w:val="24"/>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截止时间：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FF0000"/>
          <w:spacing w:val="0"/>
          <w:position w:val="0"/>
          <w:sz w:val="24"/>
          <w:u w:val="single"/>
          <w:shd w:val="clear" w:fill="auto"/>
        </w:rPr>
      </w:pPr>
      <w:r>
        <w:rPr>
          <w:rFonts w:ascii="宋体" w:hAnsi="宋体" w:eastAsia="宋体" w:cs="宋体"/>
          <w:color w:val="FF0000"/>
          <w:spacing w:val="0"/>
          <w:position w:val="0"/>
          <w:sz w:val="24"/>
          <w:shd w:val="clear" w:fill="auto"/>
        </w:rPr>
        <w:t>时间：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年</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月</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日</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点</w:t>
      </w:r>
      <w:r>
        <w:rPr>
          <w:rFonts w:ascii="Times New Roman" w:hAnsi="Times New Roman" w:eastAsia="Times New Roman" w:cs="Times New Roman"/>
          <w:color w:val="FF0000"/>
          <w:spacing w:val="0"/>
          <w:position w:val="0"/>
          <w:sz w:val="24"/>
          <w:u w:val="single"/>
          <w:shd w:val="clear" w:fill="auto"/>
        </w:rPr>
        <w:t xml:space="preserve">    </w:t>
      </w:r>
      <w:r>
        <w:rPr>
          <w:rFonts w:ascii="宋体" w:hAnsi="宋体" w:eastAsia="宋体" w:cs="宋体"/>
          <w:color w:val="FF0000"/>
          <w:spacing w:val="0"/>
          <w:position w:val="0"/>
          <w:sz w:val="24"/>
          <w:u w:val="single"/>
          <w:shd w:val="clear" w:fill="auto"/>
        </w:rPr>
        <w:t>分</w:t>
      </w:r>
      <w:r>
        <w:rPr>
          <w:rFonts w:ascii="宋体" w:hAnsi="宋体" w:eastAsia="宋体" w:cs="宋体"/>
          <w:color w:val="FF0000"/>
          <w:spacing w:val="0"/>
          <w:position w:val="0"/>
          <w:sz w:val="24"/>
          <w:shd w:val="clear" w:fill="auto"/>
        </w:rPr>
        <w:t>（北京时间）</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周口市第一高级中学</w:t>
      </w:r>
      <w:r>
        <w:rPr>
          <w:rFonts w:ascii="宋体" w:hAnsi="宋体" w:eastAsia="宋体" w:cs="宋体"/>
          <w:color w:val="auto"/>
          <w:spacing w:val="0"/>
          <w:position w:val="0"/>
          <w:sz w:val="24"/>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rPr>
        <w:t>周口市银珠路 1 号</w:t>
      </w:r>
      <w:r>
        <w:rPr>
          <w:rFonts w:ascii="宋体" w:hAnsi="宋体" w:eastAsia="宋体" w:cs="宋体"/>
          <w:color w:val="auto"/>
          <w:spacing w:val="0"/>
          <w:position w:val="0"/>
          <w:sz w:val="24"/>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eastAsia="zh-CN"/>
        </w:rPr>
        <w:t>王庆刚</w:t>
      </w:r>
      <w:r>
        <w:rPr>
          <w:rFonts w:hint="eastAsia" w:ascii="宋体" w:hAnsi="宋体" w:eastAsia="宋体" w:cs="宋体"/>
          <w:color w:val="auto"/>
          <w:spacing w:val="0"/>
          <w:position w:val="0"/>
          <w:sz w:val="24"/>
          <w:shd w:val="clear" w:fill="auto"/>
          <w:lang w:val="en-US" w:eastAsia="zh-CN"/>
        </w:rPr>
        <w:t xml:space="preserve"> （总联系人）</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4"/>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5FE4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373C54D">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06D4880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7D680FEF">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0D78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967FF00">
            <w:pPr>
              <w:spacing w:before="0" w:after="0" w:line="360" w:lineRule="auto"/>
              <w:ind w:right="0"/>
              <w:jc w:val="left"/>
              <w:rPr>
                <w:rFonts w:hint="default"/>
                <w:sz w:val="24"/>
                <w:szCs w:val="24"/>
                <w:highlight w:val="no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w:t>
            </w:r>
          </w:p>
        </w:tc>
        <w:tc>
          <w:tcPr>
            <w:tcW w:w="2652" w:type="dxa"/>
            <w:vAlign w:val="top"/>
          </w:tcPr>
          <w:p w14:paraId="3C431597">
            <w:pPr>
              <w:spacing w:before="0" w:after="0" w:line="360" w:lineRule="auto"/>
              <w:ind w:right="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vAlign w:val="top"/>
          </w:tcPr>
          <w:p w14:paraId="396C2A2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75A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2468A10">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12BFEA6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26CA569E">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599B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6A9559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6FFAC34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26B4ECB5">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117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F373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0EF7684F">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B11C1B9">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23EC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69544DF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5</w:t>
            </w:r>
          </w:p>
        </w:tc>
        <w:tc>
          <w:tcPr>
            <w:tcW w:w="2652" w:type="dxa"/>
            <w:shd w:val="clear" w:color="auto" w:fill="auto"/>
            <w:vAlign w:val="top"/>
          </w:tcPr>
          <w:p w14:paraId="2A20E9FA">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1F0FC60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3B0A993">
      <w:pPr>
        <w:spacing w:before="0" w:after="0" w:line="360" w:lineRule="auto"/>
        <w:ind w:right="0"/>
        <w:jc w:val="left"/>
        <w:rPr>
          <w:rFonts w:ascii="宋体" w:hAnsi="宋体" w:eastAsia="宋体" w:cs="宋体"/>
          <w:color w:val="auto"/>
          <w:spacing w:val="0"/>
          <w:position w:val="0"/>
          <w:sz w:val="24"/>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项目联系人：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 xml:space="preserve">  </w:t>
      </w:r>
    </w:p>
    <w:p w14:paraId="723188C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rPr>
        <w:t>周口市财政局</w:t>
      </w:r>
    </w:p>
    <w:p w14:paraId="0CC2E3A7">
      <w:pPr>
        <w:spacing w:before="0" w:after="0" w:line="36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0394-8106976</w:t>
      </w:r>
      <w:r>
        <w:rPr>
          <w:rFonts w:ascii="宋体" w:hAnsi="宋体" w:eastAsia="宋体" w:cs="宋体"/>
          <w:color w:val="auto"/>
          <w:spacing w:val="0"/>
          <w:position w:val="0"/>
          <w:sz w:val="24"/>
          <w:shd w:val="clear" w:fill="auto"/>
        </w:rPr>
        <w:t xml:space="preserve">  </w:t>
      </w:r>
    </w:p>
    <w:p w14:paraId="1878F4E3">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459530FC">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2D18DD28">
      <w:pPr>
        <w:tabs>
          <w:tab w:val="left" w:pos="0"/>
          <w:tab w:val="left" w:pos="993"/>
          <w:tab w:val="left" w:pos="1134"/>
        </w:tabs>
        <w:spacing w:before="0" w:after="0" w:line="240" w:lineRule="auto"/>
        <w:ind w:left="0" w:right="0" w:firstLine="360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 xml:space="preserve">年 </w:t>
      </w:r>
      <w:r>
        <w:rPr>
          <w:rFonts w:hint="eastAsia" w:ascii="宋体" w:hAnsi="宋体" w:eastAsia="宋体" w:cs="宋体"/>
          <w:color w:val="FF0000"/>
          <w:spacing w:val="0"/>
          <w:position w:val="0"/>
          <w:sz w:val="24"/>
          <w:shd w:val="clear" w:fill="auto"/>
          <w:lang w:val="en-US" w:eastAsia="zh-CN"/>
        </w:rPr>
        <w:t xml:space="preserve">  </w:t>
      </w:r>
      <w:r>
        <w:rPr>
          <w:rFonts w:ascii="宋体" w:hAnsi="宋体" w:eastAsia="宋体" w:cs="宋体"/>
          <w:color w:val="FF0000"/>
          <w:spacing w:val="0"/>
          <w:position w:val="0"/>
          <w:sz w:val="24"/>
          <w:shd w:val="clear" w:fill="auto"/>
        </w:rPr>
        <w:t>月</w:t>
      </w:r>
      <w:r>
        <w:rPr>
          <w:rFonts w:hint="eastAsia" w:ascii="宋体" w:hAnsi="宋体" w:eastAsia="宋体" w:cs="宋体"/>
          <w:color w:val="FF0000"/>
          <w:spacing w:val="0"/>
          <w:position w:val="0"/>
          <w:sz w:val="24"/>
          <w:shd w:val="clear" w:fill="auto"/>
          <w:lang w:val="en-US" w:eastAsia="zh-CN"/>
        </w:rPr>
        <w:t xml:space="preserve">  </w:t>
      </w:r>
      <w:r>
        <w:rPr>
          <w:rFonts w:ascii="宋体" w:hAnsi="宋体" w:eastAsia="宋体" w:cs="宋体"/>
          <w:color w:val="FF0000"/>
          <w:spacing w:val="0"/>
          <w:position w:val="0"/>
          <w:sz w:val="24"/>
          <w:shd w:val="clear" w:fill="auto"/>
        </w:rPr>
        <w:t xml:space="preserve"> 日</w:t>
      </w:r>
    </w:p>
    <w:p w14:paraId="7B565D0F">
      <w:pPr>
        <w:pStyle w:val="18"/>
        <w:ind w:left="0" w:leftChars="0" w:firstLine="0" w:firstLineChars="0"/>
        <w:rPr>
          <w:rFonts w:ascii="宋体" w:hAnsi="宋体" w:eastAsia="宋体" w:cs="宋体"/>
          <w:color w:val="auto"/>
          <w:spacing w:val="0"/>
          <w:position w:val="0"/>
          <w:sz w:val="24"/>
          <w:shd w:val="clear" w:fill="auto"/>
        </w:rPr>
      </w:pPr>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B9D40E0">
      <w:pP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22158926">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5CC0F00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1FC94B3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4B799">
            <w:pPr>
              <w:spacing w:before="0" w:after="0" w:line="240" w:lineRule="auto"/>
              <w:ind w:left="0" w:right="0" w:firstLine="0"/>
              <w:jc w:val="both"/>
              <w:rPr>
                <w:rFonts w:ascii="宋体" w:hAnsi="宋体" w:eastAsia="宋体" w:cs="宋体"/>
                <w:color w:val="000000"/>
                <w:spacing w:val="0"/>
                <w:position w:val="0"/>
                <w:sz w:val="24"/>
                <w:highlight w:val="red"/>
                <w:shd w:val="clear" w:fill="auto"/>
              </w:rPr>
            </w:pPr>
            <w:r>
              <w:rPr>
                <w:rFonts w:ascii="宋体" w:hAnsi="宋体" w:eastAsia="宋体" w:cs="宋体"/>
                <w:color w:val="000000"/>
                <w:spacing w:val="0"/>
                <w:position w:val="0"/>
                <w:sz w:val="24"/>
                <w:shd w:val="clear" w:fill="auto"/>
              </w:rPr>
              <w:t>1）项目名称：</w:t>
            </w:r>
            <w:r>
              <w:rPr>
                <w:rFonts w:hint="eastAsia" w:ascii="Times New Roman" w:hAnsi="Times New Roman" w:eastAsia="Times New Roman" w:cs="Times New Roman"/>
                <w:color w:val="auto"/>
                <w:spacing w:val="0"/>
                <w:position w:val="0"/>
                <w:sz w:val="24"/>
                <w:u w:val="single"/>
                <w:shd w:val="clear" w:fill="auto"/>
              </w:rPr>
              <w:t>周口市第一高级中学周口一高改善办学条件</w:t>
            </w:r>
            <w:r>
              <w:rPr>
                <w:rFonts w:ascii="宋体" w:hAnsi="宋体" w:eastAsia="宋体" w:cs="宋体"/>
                <w:color w:val="auto"/>
                <w:spacing w:val="0"/>
                <w:position w:val="0"/>
                <w:sz w:val="24"/>
                <w:shd w:val="clear" w:fill="auto"/>
              </w:rPr>
              <w:t>项目</w:t>
            </w:r>
            <w:r>
              <w:rPr>
                <w:rFonts w:hint="eastAsia" w:ascii="Times New Roman" w:hAnsi="Times New Roman" w:eastAsia="宋体" w:cs="Times New Roman"/>
                <w:color w:val="auto"/>
                <w:spacing w:val="0"/>
                <w:position w:val="0"/>
                <w:sz w:val="24"/>
                <w:u w:val="single"/>
                <w:shd w:val="clear" w:fill="auto"/>
                <w:lang w:val="en-US" w:eastAsia="zh-CN"/>
              </w:rPr>
              <w:t>(2</w:t>
            </w:r>
            <w:r>
              <w:rPr>
                <w:rFonts w:hint="eastAsia" w:ascii="宋体" w:hAnsi="宋体" w:eastAsia="宋体" w:cs="宋体"/>
                <w:color w:val="auto"/>
                <w:spacing w:val="0"/>
                <w:position w:val="0"/>
                <w:sz w:val="24"/>
                <w:szCs w:val="24"/>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u w:val="single"/>
                <w:shd w:val="clear" w:fill="auto"/>
                <w:lang w:val="en-US" w:eastAsia="zh-CN"/>
              </w:rPr>
              <w:t>)</w:t>
            </w:r>
            <w:r>
              <w:rPr>
                <w:rFonts w:ascii="Times New Roman" w:hAnsi="Times New Roman" w:eastAsia="Times New Roman" w:cs="Times New Roman"/>
                <w:color w:val="auto"/>
                <w:spacing w:val="0"/>
                <w:position w:val="0"/>
                <w:sz w:val="24"/>
                <w:shd w:val="clear" w:fill="auto"/>
              </w:rPr>
              <w:t xml:space="preserve"> </w:t>
            </w:r>
          </w:p>
          <w:p w14:paraId="30F2944E">
            <w:pPr>
              <w:numPr>
                <w:ilvl w:val="0"/>
                <w:numId w:val="0"/>
              </w:numPr>
              <w:spacing w:before="0" w:after="0" w:line="240" w:lineRule="auto"/>
              <w:ind w:leftChars="0" w:right="0" w:rightChars="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2）采购内容：</w:t>
            </w:r>
            <w:r>
              <w:rPr>
                <w:rFonts w:hint="eastAsia" w:ascii="宋体" w:hAnsi="宋体" w:eastAsia="宋体" w:cs="宋体"/>
                <w:color w:val="000000"/>
                <w:spacing w:val="0"/>
                <w:position w:val="0"/>
                <w:sz w:val="24"/>
                <w:shd w:val="clear" w:fill="auto"/>
              </w:rPr>
              <w:t>主要采购</w:t>
            </w:r>
            <w:r>
              <w:rPr>
                <w:rFonts w:hint="eastAsia" w:ascii="宋体" w:hAnsi="宋体" w:eastAsia="宋体" w:cs="宋体"/>
                <w:color w:val="000000"/>
                <w:spacing w:val="0"/>
                <w:position w:val="0"/>
                <w:sz w:val="24"/>
                <w:shd w:val="clear" w:fill="auto"/>
                <w:lang w:val="en-US" w:eastAsia="zh-CN"/>
              </w:rPr>
              <w:t>课桌凳2800套</w:t>
            </w:r>
          </w:p>
          <w:p w14:paraId="3C36C828">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pacing w:val="0"/>
                <w:position w:val="0"/>
                <w:sz w:val="24"/>
                <w:shd w:val="clear" w:fill="auto"/>
              </w:rPr>
              <w:t>周口市第一高级中学</w:t>
            </w:r>
          </w:p>
          <w:p w14:paraId="60504C4E">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02A9C0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16BD5F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6BAEA2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w:t>
            </w:r>
            <w:r>
              <w:rPr>
                <w:rFonts w:ascii="宋体" w:hAnsi="宋体" w:eastAsia="宋体" w:cs="宋体"/>
                <w:color w:val="auto"/>
                <w:spacing w:val="0"/>
                <w:position w:val="0"/>
                <w:sz w:val="24"/>
                <w:highlight w:val="red"/>
                <w:shd w:val="clear" w:fill="auto"/>
              </w:rPr>
              <w:t>60</w:t>
            </w:r>
            <w:r>
              <w:rPr>
                <w:rFonts w:hint="eastAsia" w:ascii="宋体" w:hAnsi="宋体" w:eastAsia="宋体" w:cs="宋体"/>
                <w:color w:val="auto"/>
                <w:spacing w:val="0"/>
                <w:position w:val="0"/>
                <w:sz w:val="24"/>
                <w:highlight w:val="red"/>
                <w:shd w:val="clear" w:fill="auto"/>
                <w:lang w:val="en-US" w:eastAsia="zh-CN"/>
              </w:rPr>
              <w:t>日历</w:t>
            </w:r>
            <w:r>
              <w:rPr>
                <w:rFonts w:ascii="宋体" w:hAnsi="宋体" w:eastAsia="宋体" w:cs="宋体"/>
                <w:color w:val="auto"/>
                <w:spacing w:val="0"/>
                <w:position w:val="0"/>
                <w:sz w:val="24"/>
                <w:highlight w:val="red"/>
                <w:shd w:val="clear" w:fill="auto"/>
              </w:rPr>
              <w:t>日</w:t>
            </w:r>
            <w:r>
              <w:rPr>
                <w:rFonts w:ascii="宋体" w:hAnsi="宋体" w:eastAsia="宋体" w:cs="宋体"/>
                <w:color w:val="auto"/>
                <w:spacing w:val="0"/>
                <w:position w:val="0"/>
                <w:sz w:val="24"/>
                <w:shd w:val="clear" w:fill="auto"/>
              </w:rPr>
              <w:t>内有效</w:t>
            </w:r>
          </w:p>
        </w:tc>
      </w:tr>
      <w:tr w14:paraId="5D99A63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28783CE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B01F9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shd w:val="clear" w:fill="auto"/>
              </w:rPr>
            </w:pPr>
          </w:p>
        </w:tc>
      </w:tr>
      <w:tr w14:paraId="7D5E72C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888476D">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78A8D8AD">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4E8EF4D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合同签订后</w:t>
            </w:r>
            <w:r>
              <w:rPr>
                <w:rFonts w:hint="eastAsia" w:ascii="宋体" w:hAnsi="宋体" w:eastAsia="宋体" w:cs="宋体"/>
                <w:color w:val="FF0000"/>
                <w:spacing w:val="0"/>
                <w:position w:val="0"/>
                <w:sz w:val="24"/>
                <w:shd w:val="clear" w:fill="auto"/>
                <w:lang w:val="en-US" w:eastAsia="zh-CN"/>
              </w:rPr>
              <w:t>15</w:t>
            </w:r>
            <w:r>
              <w:rPr>
                <w:rFonts w:ascii="宋体" w:hAnsi="宋体" w:eastAsia="宋体" w:cs="宋体"/>
                <w:color w:val="FF0000"/>
                <w:spacing w:val="0"/>
                <w:position w:val="0"/>
                <w:sz w:val="24"/>
                <w:shd w:val="clear" w:fill="auto"/>
              </w:rPr>
              <w:t>日历天</w:t>
            </w:r>
          </w:p>
        </w:tc>
      </w:tr>
      <w:tr w14:paraId="4F9FFCF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FF0000"/>
                <w:spacing w:val="0"/>
                <w:position w:val="0"/>
                <w:shd w:val="clear" w:fill="auto"/>
              </w:rPr>
            </w:pPr>
            <w:r>
              <w:rPr>
                <w:rFonts w:ascii="宋体" w:hAnsi="宋体" w:eastAsia="宋体" w:cs="宋体"/>
                <w:color w:val="FF0000"/>
                <w:spacing w:val="0"/>
                <w:position w:val="0"/>
                <w:sz w:val="24"/>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FF0000"/>
                <w:spacing w:val="0"/>
                <w:position w:val="0"/>
                <w:shd w:val="clear" w:fill="auto"/>
              </w:rPr>
            </w:pPr>
            <w:r>
              <w:rPr>
                <w:rFonts w:hint="eastAsia" w:ascii="宋体" w:hAnsi="宋体" w:cs="宋体"/>
                <w:color w:val="FF0000"/>
                <w:sz w:val="24"/>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ascii="宋体" w:hAnsi="宋体" w:eastAsia="宋体" w:cs="宋体"/>
                <w:color w:val="auto"/>
                <w:spacing w:val="0"/>
                <w:position w:val="0"/>
                <w:highlight w:val="red"/>
                <w:shd w:val="clear" w:fill="auto"/>
              </w:rPr>
            </w:pPr>
            <w:r>
              <w:rPr>
                <w:rFonts w:hint="eastAsia" w:ascii="宋体" w:hAnsi="宋体" w:eastAsia="宋体" w:cs="宋体"/>
                <w:color w:val="000000"/>
                <w:kern w:val="0"/>
                <w:sz w:val="24"/>
                <w:szCs w:val="24"/>
                <w:highlight w:val="red"/>
                <w:lang w:val="en-US" w:eastAsia="zh-CN" w:bidi="ar"/>
              </w:rPr>
              <w:t>无需勘查</w:t>
            </w:r>
          </w:p>
        </w:tc>
      </w:tr>
      <w:tr w14:paraId="7FA71F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14" w:firstLineChars="6"/>
              <w:jc w:val="center"/>
              <w:rPr>
                <w:rFonts w:ascii="宋体" w:hAnsi="宋体" w:eastAsia="宋体" w:cs="宋体"/>
                <w:color w:val="FF0000"/>
                <w:spacing w:val="0"/>
                <w:position w:val="0"/>
                <w:shd w:val="clear" w:fill="auto"/>
              </w:rPr>
            </w:pPr>
            <w:r>
              <w:rPr>
                <w:rFonts w:hint="eastAsia" w:ascii="宋体" w:hAnsi="宋体" w:cs="宋体"/>
                <w:b/>
                <w:bCs/>
                <w:color w:val="auto"/>
                <w:sz w:val="24"/>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color w:val="FF0000"/>
                <w:spacing w:val="0"/>
                <w:position w:val="0"/>
                <w:highlight w:val="red"/>
                <w:shd w:val="clear" w:fill="auto"/>
              </w:rPr>
            </w:pPr>
            <w:r>
              <w:rPr>
                <w:rFonts w:hint="eastAsia" w:ascii="宋体" w:hAnsi="宋体" w:cs="宋体"/>
                <w:b/>
                <w:bCs/>
                <w:color w:val="auto"/>
                <w:sz w:val="24"/>
                <w:highlight w:val="red"/>
                <w:lang w:val="en-US" w:eastAsia="zh-CN"/>
              </w:rPr>
              <w:t xml:space="preserve">二次报价 </w:t>
            </w:r>
          </w:p>
        </w:tc>
      </w:tr>
      <w:tr w14:paraId="08A8741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74E9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9D2DE">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18D8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t>工业</w:t>
            </w:r>
          </w:p>
        </w:tc>
      </w:tr>
      <w:tr w14:paraId="57C3A14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2C65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1DC3B">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F9D0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bidi="ar-SA"/>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2CE01247">
      <w:pPr>
        <w:pStyle w:val="17"/>
        <w:rPr>
          <w:rFonts w:hint="eastAsia" w:ascii="Times New Roman" w:hAnsi="Times New Roman" w:eastAsia="宋体" w:cs="Times New Roman"/>
          <w:color w:val="auto"/>
          <w:spacing w:val="0"/>
          <w:position w:val="0"/>
          <w:sz w:val="24"/>
          <w:highlight w:val="lightGray"/>
          <w:shd w:val="clear" w:color="FFFFFF" w:fill="D9D9D9"/>
          <w:lang w:val="en-US" w:eastAsia="zh-CN"/>
        </w:rPr>
      </w:pPr>
    </w:p>
    <w:p w14:paraId="0FE985E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49CC982A">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8900268">
      <w:pPr>
        <w:spacing w:before="0" w:after="0" w:line="720" w:lineRule="auto"/>
        <w:ind w:left="0" w:right="0" w:firstLine="0"/>
        <w:jc w:val="center"/>
        <w:rPr>
          <w:rFonts w:ascii="宋体" w:hAnsi="宋体" w:eastAsia="宋体" w:cs="宋体"/>
          <w:b/>
          <w:color w:val="auto"/>
          <w:spacing w:val="0"/>
          <w:position w:val="0"/>
          <w:sz w:val="24"/>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CAFBE8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w:t>
      </w:r>
      <w:r>
        <w:rPr>
          <w:rFonts w:hint="eastAsia" w:ascii="宋体" w:hAnsi="宋体" w:eastAsia="宋体" w:cs="宋体"/>
          <w:color w:val="auto"/>
          <w:spacing w:val="0"/>
          <w:position w:val="0"/>
          <w:sz w:val="24"/>
          <w:shd w:val="clear" w:fill="auto"/>
          <w:lang w:val="en-US" w:eastAsia="zh-CN"/>
        </w:rPr>
        <w:t>日历日</w:t>
      </w:r>
      <w:r>
        <w:rPr>
          <w:rFonts w:ascii="宋体" w:hAnsi="宋体" w:eastAsia="宋体" w:cs="宋体"/>
          <w:color w:val="auto"/>
          <w:spacing w:val="0"/>
          <w:position w:val="0"/>
          <w:sz w:val="24"/>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6D5CA41C">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37C2586F">
      <w:pPr>
        <w:pStyle w:val="18"/>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0D7505EB">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26E8B551">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1131EDC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41C710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shd w:val="clear" w:fill="auto"/>
        </w:rPr>
      </w:pPr>
    </w:p>
    <w:p w14:paraId="307DDC25">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37C3F5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CA2B">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0B4E34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0506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A8DF3">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53FD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D1DFE">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6D4F209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92309">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1832237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0A6CA6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0BCE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A9CC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94BF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33E5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5828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055F01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C9B9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139A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0B87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A740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9773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1E839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8EDF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0717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59F9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4AC7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FCB3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512D9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4AF9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1FB8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73E3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D986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123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95CEE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DBF9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3FC8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E61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342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3E82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506293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5A61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D11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971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F9B5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DA69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35679C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084C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5B32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0394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536A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6ED5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649147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9638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B7E6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C97F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557F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5B98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922931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C2AB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A779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26B7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AE0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1332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ACD14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AA68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30F2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75A2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FA46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92EF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B0A574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3100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F7DE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BE0D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E3A0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DA4A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7683FC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76F3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003FF">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E3C1">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1B5E8">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59FA8">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7E79B6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7442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F1D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6C37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9B02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9617B">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062EFD8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3F5E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E02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6CBB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4496B7CF">
      <w:pPr>
        <w:spacing w:before="0" w:after="0" w:line="240" w:lineRule="auto"/>
        <w:ind w:left="0" w:right="0" w:firstLine="0"/>
        <w:jc w:val="both"/>
        <w:rPr>
          <w:rFonts w:ascii="宋体" w:hAnsi="宋体" w:eastAsia="宋体" w:cs="宋体"/>
          <w:color w:val="auto"/>
          <w:spacing w:val="0"/>
          <w:position w:val="0"/>
          <w:sz w:val="24"/>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F5A4C7D">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264F07D2">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760810E8">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68BCBB80">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4D64B3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7683D72A">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0A4E6DBA">
      <w:pPr>
        <w:pStyle w:val="2"/>
        <w:rPr>
          <w:rFonts w:hint="eastAsia" w:eastAsia="仿宋_GB2312"/>
          <w:lang w:val="en-US" w:eastAsia="zh-CN"/>
        </w:rPr>
      </w:pPr>
      <w:r>
        <w:rPr>
          <w:rFonts w:hint="eastAsia"/>
          <w:lang w:val="en-US" w:eastAsia="zh-CN"/>
        </w:rPr>
        <w:t>评分办法</w:t>
      </w:r>
    </w:p>
    <w:tbl>
      <w:tblPr>
        <w:tblStyle w:val="13"/>
        <w:tblW w:w="0" w:type="auto"/>
        <w:jc w:val="center"/>
        <w:tblLayout w:type="fixed"/>
        <w:tblCellMar>
          <w:top w:w="0" w:type="dxa"/>
          <w:left w:w="10" w:type="dxa"/>
          <w:bottom w:w="0" w:type="dxa"/>
          <w:right w:w="10" w:type="dxa"/>
        </w:tblCellMar>
      </w:tblPr>
      <w:tblGrid>
        <w:gridCol w:w="1000"/>
        <w:gridCol w:w="767"/>
        <w:gridCol w:w="4534"/>
        <w:gridCol w:w="2406"/>
      </w:tblGrid>
      <w:tr w14:paraId="44018C46">
        <w:tblPrEx>
          <w:tblCellMar>
            <w:top w:w="0" w:type="dxa"/>
            <w:left w:w="10" w:type="dxa"/>
            <w:bottom w:w="0" w:type="dxa"/>
            <w:right w:w="10" w:type="dxa"/>
          </w:tblCellMar>
        </w:tblPrEx>
        <w:trPr>
          <w:trHeight w:val="0" w:hRule="atLeast"/>
          <w:jc w:val="center"/>
        </w:trPr>
        <w:tc>
          <w:tcPr>
            <w:tcW w:w="10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A9B3D">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center"/>
              <w:textAlignment w:val="auto"/>
              <w:rPr>
                <w:rFonts w:ascii="宋体" w:hAnsi="宋体" w:eastAsia="宋体" w:cs="宋体"/>
                <w:spacing w:val="0"/>
                <w:position w:val="0"/>
                <w:sz w:val="24"/>
                <w:szCs w:val="24"/>
                <w:shd w:val="clear" w:fill="auto"/>
              </w:rPr>
            </w:pPr>
            <w:r>
              <w:rPr>
                <w:rFonts w:ascii="宋体" w:hAnsi="宋体" w:eastAsia="宋体" w:cs="宋体"/>
                <w:b/>
                <w:color w:val="000000"/>
                <w:spacing w:val="0"/>
                <w:position w:val="0"/>
                <w:sz w:val="24"/>
                <w:szCs w:val="24"/>
                <w:shd w:val="clear" w:fill="auto"/>
              </w:rPr>
              <w:t>评分指标</w:t>
            </w:r>
          </w:p>
        </w:tc>
        <w:tc>
          <w:tcPr>
            <w:tcW w:w="7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F1DCA">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center"/>
              <w:textAlignment w:val="auto"/>
              <w:rPr>
                <w:rFonts w:ascii="宋体" w:hAnsi="宋体" w:eastAsia="宋体" w:cs="宋体"/>
                <w:spacing w:val="0"/>
                <w:position w:val="0"/>
                <w:sz w:val="24"/>
                <w:szCs w:val="24"/>
                <w:shd w:val="clear" w:fill="auto"/>
              </w:rPr>
            </w:pPr>
            <w:r>
              <w:rPr>
                <w:rFonts w:ascii="宋体" w:hAnsi="宋体" w:eastAsia="宋体" w:cs="宋体"/>
                <w:b/>
                <w:color w:val="000000"/>
                <w:spacing w:val="0"/>
                <w:position w:val="0"/>
                <w:sz w:val="24"/>
                <w:szCs w:val="24"/>
                <w:shd w:val="clear" w:fill="auto"/>
              </w:rPr>
              <w:t>分值</w:t>
            </w:r>
          </w:p>
        </w:tc>
        <w:tc>
          <w:tcPr>
            <w:tcW w:w="45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6A83D">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center"/>
              <w:textAlignment w:val="auto"/>
              <w:rPr>
                <w:rFonts w:ascii="宋体" w:hAnsi="宋体" w:eastAsia="宋体" w:cs="宋体"/>
                <w:spacing w:val="0"/>
                <w:position w:val="0"/>
                <w:sz w:val="24"/>
                <w:szCs w:val="24"/>
                <w:shd w:val="clear" w:fill="auto"/>
              </w:rPr>
            </w:pPr>
            <w:r>
              <w:rPr>
                <w:rFonts w:ascii="宋体" w:hAnsi="宋体" w:eastAsia="宋体" w:cs="宋体"/>
                <w:b/>
                <w:color w:val="000000"/>
                <w:spacing w:val="0"/>
                <w:position w:val="0"/>
                <w:sz w:val="24"/>
                <w:szCs w:val="24"/>
                <w:shd w:val="clear" w:fill="auto"/>
              </w:rPr>
              <w:t>指标说明及评分标准</w:t>
            </w:r>
          </w:p>
        </w:tc>
        <w:tc>
          <w:tcPr>
            <w:tcW w:w="24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2CDE0">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center"/>
              <w:textAlignment w:val="auto"/>
              <w:rPr>
                <w:rFonts w:ascii="宋体" w:hAnsi="宋体" w:eastAsia="宋体" w:cs="宋体"/>
                <w:spacing w:val="0"/>
                <w:position w:val="0"/>
                <w:sz w:val="24"/>
                <w:szCs w:val="24"/>
                <w:shd w:val="clear" w:fill="auto"/>
              </w:rPr>
            </w:pPr>
            <w:r>
              <w:rPr>
                <w:rFonts w:ascii="宋体" w:hAnsi="宋体" w:eastAsia="宋体" w:cs="宋体"/>
                <w:b/>
                <w:color w:val="000000"/>
                <w:spacing w:val="0"/>
                <w:position w:val="0"/>
                <w:sz w:val="24"/>
                <w:szCs w:val="24"/>
                <w:shd w:val="clear" w:fill="auto"/>
              </w:rPr>
              <w:t>评分依据</w:t>
            </w:r>
          </w:p>
        </w:tc>
      </w:tr>
      <w:tr w14:paraId="3C856F55">
        <w:tblPrEx>
          <w:tblCellMar>
            <w:top w:w="0" w:type="dxa"/>
            <w:left w:w="10" w:type="dxa"/>
            <w:bottom w:w="0" w:type="dxa"/>
            <w:right w:w="10" w:type="dxa"/>
          </w:tblCellMar>
        </w:tblPrEx>
        <w:trPr>
          <w:trHeight w:val="10501" w:hRule="atLeast"/>
          <w:jc w:val="center"/>
        </w:trPr>
        <w:tc>
          <w:tcPr>
            <w:tcW w:w="10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37CC7">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left"/>
              <w:textAlignment w:val="auto"/>
              <w:rPr>
                <w:rFonts w:ascii="宋体" w:hAnsi="宋体" w:eastAsia="宋体" w:cs="宋体"/>
                <w:b/>
                <w:bCs w:val="0"/>
                <w:color w:val="auto"/>
                <w:spacing w:val="0"/>
                <w:position w:val="0"/>
                <w:sz w:val="24"/>
                <w:szCs w:val="24"/>
                <w:shd w:val="clear" w:fill="auto"/>
              </w:rPr>
            </w:pPr>
            <w:r>
              <w:rPr>
                <w:rFonts w:ascii="宋体" w:hAnsi="宋体" w:eastAsia="宋体" w:cs="宋体"/>
                <w:b/>
                <w:bCs w:val="0"/>
                <w:color w:val="auto"/>
                <w:spacing w:val="0"/>
                <w:position w:val="0"/>
                <w:sz w:val="24"/>
                <w:szCs w:val="24"/>
                <w:shd w:val="clear" w:fill="auto"/>
              </w:rPr>
              <w:t>报价得分（30分）</w:t>
            </w:r>
          </w:p>
        </w:tc>
        <w:tc>
          <w:tcPr>
            <w:tcW w:w="7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4CD81">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center"/>
              <w:textAlignment w:val="auto"/>
              <w:rPr>
                <w:rFonts w:ascii="宋体" w:hAnsi="宋体" w:eastAsia="宋体" w:cs="宋体"/>
                <w:b/>
                <w:bCs w:val="0"/>
                <w:color w:val="auto"/>
                <w:spacing w:val="0"/>
                <w:position w:val="0"/>
                <w:sz w:val="24"/>
                <w:szCs w:val="24"/>
                <w:shd w:val="clear" w:fill="auto"/>
              </w:rPr>
            </w:pPr>
            <w:r>
              <w:rPr>
                <w:rFonts w:ascii="宋体" w:hAnsi="宋体" w:eastAsia="宋体" w:cs="宋体"/>
                <w:b/>
                <w:bCs w:val="0"/>
                <w:color w:val="auto"/>
                <w:spacing w:val="0"/>
                <w:position w:val="0"/>
                <w:sz w:val="24"/>
                <w:szCs w:val="24"/>
                <w:shd w:val="clear" w:fill="auto"/>
              </w:rPr>
              <w:t>30分</w:t>
            </w:r>
          </w:p>
        </w:tc>
        <w:tc>
          <w:tcPr>
            <w:tcW w:w="6940"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0DD347">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spacing w:val="0"/>
                <w:position w:val="0"/>
                <w:sz w:val="24"/>
                <w:szCs w:val="24"/>
                <w:shd w:val="clear" w:fill="auto"/>
                <w:lang w:val="en-US" w:eastAsia="zh-CN"/>
              </w:rPr>
            </w:pPr>
            <w:r>
              <w:rPr>
                <w:rFonts w:hint="eastAsia" w:ascii="宋体" w:hAnsi="宋体" w:eastAsia="宋体" w:cs="宋体"/>
                <w:spacing w:val="0"/>
                <w:position w:val="0"/>
                <w:sz w:val="24"/>
                <w:szCs w:val="24"/>
                <w:shd w:val="clear" w:fill="auto"/>
                <w:lang w:val="en-US" w:eastAsia="zh-CN"/>
              </w:rPr>
              <w:t>满足磋商文件要求且最后报价最低的供应商的价格为磋商基准价，其价格分为满分。其他供应商的价格分统一按照下列公式计算：</w:t>
            </w:r>
          </w:p>
          <w:p w14:paraId="5EE58ED8">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spacing w:val="0"/>
                <w:position w:val="0"/>
                <w:sz w:val="24"/>
                <w:szCs w:val="24"/>
                <w:shd w:val="clear" w:fill="auto"/>
                <w:lang w:val="en-US" w:eastAsia="zh-CN"/>
              </w:rPr>
            </w:pPr>
            <w:r>
              <w:rPr>
                <w:rFonts w:hint="eastAsia" w:ascii="宋体" w:hAnsi="宋体" w:eastAsia="宋体" w:cs="宋体"/>
                <w:spacing w:val="0"/>
                <w:position w:val="0"/>
                <w:sz w:val="24"/>
                <w:szCs w:val="24"/>
                <w:shd w:val="clear" w:fill="auto"/>
                <w:lang w:val="en-US" w:eastAsia="zh-CN"/>
              </w:rPr>
              <w:t>磋商报价得分=（磋商基准价/最后磋商报价）×价格权值×100</w:t>
            </w:r>
          </w:p>
          <w:p w14:paraId="3F1CBD7F">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spacing w:val="0"/>
                <w:position w:val="0"/>
                <w:sz w:val="24"/>
                <w:szCs w:val="24"/>
                <w:shd w:val="clear" w:fill="auto"/>
                <w:lang w:val="en-US" w:eastAsia="zh-CN"/>
              </w:rPr>
            </w:pPr>
            <w:r>
              <w:rPr>
                <w:rFonts w:hint="eastAsia" w:ascii="宋体" w:hAnsi="宋体" w:eastAsia="宋体" w:cs="宋体"/>
                <w:spacing w:val="0"/>
                <w:position w:val="0"/>
                <w:sz w:val="24"/>
                <w:szCs w:val="24"/>
                <w:shd w:val="clear" w:fill="auto"/>
                <w:lang w:val="en-US" w:eastAsia="zh-CN"/>
              </w:rPr>
              <w:t>备注：价格分计算保留小数点后二位。</w:t>
            </w:r>
          </w:p>
          <w:p w14:paraId="122B02EA">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spacing w:val="0"/>
                <w:position w:val="0"/>
                <w:sz w:val="24"/>
                <w:szCs w:val="24"/>
                <w:shd w:val="clear" w:fill="auto"/>
              </w:rPr>
            </w:pPr>
            <w:r>
              <w:rPr>
                <w:rFonts w:hint="eastAsia" w:ascii="宋体" w:hAnsi="宋体" w:eastAsia="宋体" w:cs="宋体"/>
                <w:spacing w:val="0"/>
                <w:position w:val="0"/>
                <w:sz w:val="24"/>
                <w:szCs w:val="24"/>
                <w:shd w:val="clear" w:fill="auto"/>
              </w:rPr>
              <w:t>注：</w:t>
            </w:r>
          </w:p>
          <w:p w14:paraId="6B6C0FD0">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spacing w:val="0"/>
                <w:position w:val="0"/>
                <w:sz w:val="24"/>
                <w:szCs w:val="24"/>
                <w:shd w:val="clear" w:fill="auto"/>
              </w:rPr>
            </w:pPr>
            <w:r>
              <w:rPr>
                <w:rFonts w:hint="eastAsia" w:ascii="宋体" w:hAnsi="宋体" w:eastAsia="宋体" w:cs="宋体"/>
                <w:spacing w:val="0"/>
                <w:position w:val="0"/>
                <w:sz w:val="24"/>
                <w:szCs w:val="24"/>
                <w:shd w:val="clear" w:fill="auto"/>
              </w:rPr>
              <w:t>1.若投标人投标价格均超过控制价，做废标处理。</w:t>
            </w:r>
          </w:p>
          <w:p w14:paraId="7A56D2BA">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hint="eastAsia" w:ascii="宋体" w:hAnsi="宋体" w:eastAsia="宋体" w:cs="宋体"/>
                <w:spacing w:val="0"/>
                <w:position w:val="0"/>
                <w:sz w:val="24"/>
                <w:szCs w:val="24"/>
                <w:shd w:val="clear" w:fill="auto"/>
              </w:rPr>
            </w:pPr>
            <w:r>
              <w:rPr>
                <w:rFonts w:hint="eastAsia" w:ascii="宋体" w:hAnsi="宋体" w:eastAsia="宋体" w:cs="宋体"/>
                <w:spacing w:val="0"/>
                <w:position w:val="0"/>
                <w:sz w:val="24"/>
                <w:szCs w:val="24"/>
                <w:shd w:val="clear" w:fill="auto"/>
              </w:rPr>
              <w:t>2.对小型、微型、监狱企业、残疾人福利性单位投标报价给予</w:t>
            </w:r>
            <w:r>
              <w:rPr>
                <w:rFonts w:hint="eastAsia" w:ascii="宋体" w:hAnsi="宋体" w:eastAsia="宋体" w:cs="宋体"/>
                <w:spacing w:val="0"/>
                <w:position w:val="0"/>
                <w:sz w:val="24"/>
                <w:szCs w:val="24"/>
                <w:shd w:val="clear" w:fill="auto"/>
                <w:lang w:val="en-US" w:eastAsia="zh-CN"/>
              </w:rPr>
              <w:t>20</w:t>
            </w:r>
            <w:bookmarkStart w:id="0" w:name="_GoBack"/>
            <w:bookmarkEnd w:id="0"/>
            <w:r>
              <w:rPr>
                <w:rFonts w:hint="eastAsia" w:ascii="宋体" w:hAnsi="宋体" w:eastAsia="宋体" w:cs="宋体"/>
                <w:spacing w:val="0"/>
                <w:position w:val="0"/>
                <w:sz w:val="24"/>
                <w:szCs w:val="24"/>
                <w:shd w:val="clear" w:fill="auto"/>
              </w:rPr>
              <w:t>%的扣除，用扣除后的价格参与评审。参加本项目的中小企业应当提供《中小企业声明函》（格式详见《政府采购促进中小企业发展</w:t>
            </w:r>
            <w:r>
              <w:rPr>
                <w:rFonts w:hint="eastAsia" w:ascii="宋体" w:hAnsi="宋体" w:eastAsia="宋体" w:cs="宋体"/>
                <w:spacing w:val="0"/>
                <w:position w:val="0"/>
                <w:sz w:val="24"/>
                <w:szCs w:val="24"/>
                <w:shd w:val="clear" w:fill="auto"/>
                <w:lang w:val="en-US" w:eastAsia="zh-CN"/>
              </w:rPr>
              <w:t>管理</w:t>
            </w:r>
            <w:r>
              <w:rPr>
                <w:rFonts w:hint="eastAsia" w:ascii="宋体" w:hAnsi="宋体" w:eastAsia="宋体" w:cs="宋体"/>
                <w:spacing w:val="0"/>
                <w:position w:val="0"/>
                <w:sz w:val="24"/>
                <w:szCs w:val="24"/>
                <w:shd w:val="clear" w:fill="auto"/>
              </w:rPr>
              <w:t>办法》）。</w:t>
            </w:r>
          </w:p>
          <w:p w14:paraId="5D348797">
            <w:pPr>
              <w:keepNext w:val="0"/>
              <w:keepLines w:val="0"/>
              <w:pageBreakBefore w:val="0"/>
              <w:widowControl w:val="0"/>
              <w:kinsoku/>
              <w:wordWrap/>
              <w:overflowPunct/>
              <w:topLinePunct w:val="0"/>
              <w:autoSpaceDE/>
              <w:autoSpaceDN/>
              <w:bidi w:val="0"/>
              <w:adjustRightInd/>
              <w:snapToGrid w:val="0"/>
              <w:spacing w:before="0" w:line="360" w:lineRule="auto"/>
              <w:ind w:left="0" w:right="0" w:firstLine="0"/>
              <w:jc w:val="both"/>
              <w:textAlignment w:val="auto"/>
              <w:rPr>
                <w:rFonts w:ascii="宋体" w:hAnsi="宋体" w:eastAsia="宋体" w:cs="宋体"/>
                <w:spacing w:val="0"/>
                <w:position w:val="0"/>
                <w:sz w:val="24"/>
                <w:szCs w:val="24"/>
                <w:shd w:val="clear" w:fill="auto"/>
              </w:rPr>
            </w:pPr>
            <w:r>
              <w:rPr>
                <w:rFonts w:hint="eastAsia" w:ascii="宋体" w:hAnsi="宋体" w:eastAsia="宋体" w:cs="宋体"/>
                <w:spacing w:val="0"/>
                <w:position w:val="0"/>
                <w:sz w:val="24"/>
                <w:szCs w:val="24"/>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A42E80F">
        <w:tblPrEx>
          <w:tblCellMar>
            <w:top w:w="0" w:type="dxa"/>
            <w:left w:w="10" w:type="dxa"/>
            <w:bottom w:w="0" w:type="dxa"/>
            <w:right w:w="10" w:type="dxa"/>
          </w:tblCellMar>
        </w:tblPrEx>
        <w:trPr>
          <w:trHeight w:val="0" w:hRule="atLeast"/>
          <w:jc w:val="center"/>
        </w:trPr>
        <w:tc>
          <w:tcPr>
            <w:tcW w:w="100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C90278D">
            <w:pPr>
              <w:keepNext w:val="0"/>
              <w:keepLines w:val="0"/>
              <w:pageBreakBefore w:val="0"/>
              <w:widowControl w:val="0"/>
              <w:tabs>
                <w:tab w:val="left" w:pos="5130"/>
              </w:tabs>
              <w:kinsoku/>
              <w:wordWrap/>
              <w:overflowPunct/>
              <w:topLinePunct w:val="0"/>
              <w:autoSpaceDE/>
              <w:autoSpaceDN/>
              <w:bidi w:val="0"/>
              <w:adjustRightInd/>
              <w:snapToGrid w:val="0"/>
              <w:spacing w:before="0" w:line="360" w:lineRule="auto"/>
              <w:ind w:left="0" w:right="0" w:firstLine="0"/>
              <w:jc w:val="both"/>
              <w:textAlignment w:val="auto"/>
              <w:rPr>
                <w:rFonts w:ascii="宋体" w:hAnsi="宋体" w:eastAsia="宋体" w:cs="宋体"/>
                <w:b/>
                <w:bCs w:val="0"/>
                <w:color w:val="auto"/>
                <w:spacing w:val="0"/>
                <w:position w:val="0"/>
                <w:sz w:val="24"/>
                <w:szCs w:val="24"/>
                <w:shd w:val="clear" w:fill="auto"/>
              </w:rPr>
            </w:pPr>
            <w:r>
              <w:rPr>
                <w:rFonts w:ascii="宋体" w:hAnsi="宋体" w:eastAsia="宋体" w:cs="宋体"/>
                <w:b/>
                <w:bCs w:val="0"/>
                <w:color w:val="auto"/>
                <w:spacing w:val="0"/>
                <w:position w:val="0"/>
                <w:sz w:val="24"/>
                <w:szCs w:val="24"/>
                <w:shd w:val="clear" w:fill="auto"/>
              </w:rPr>
              <w:t>技术部分(</w:t>
            </w:r>
            <w:r>
              <w:rPr>
                <w:rFonts w:hint="eastAsia" w:ascii="宋体" w:hAnsi="宋体" w:eastAsia="宋体" w:cs="宋体"/>
                <w:b/>
                <w:bCs w:val="0"/>
                <w:color w:val="auto"/>
                <w:spacing w:val="0"/>
                <w:position w:val="0"/>
                <w:sz w:val="24"/>
                <w:szCs w:val="24"/>
                <w:shd w:val="clear" w:fill="auto"/>
                <w:lang w:val="en-US" w:eastAsia="zh-CN"/>
              </w:rPr>
              <w:t>50</w:t>
            </w:r>
            <w:r>
              <w:rPr>
                <w:rFonts w:ascii="宋体" w:hAnsi="宋体" w:eastAsia="宋体" w:cs="宋体"/>
                <w:b/>
                <w:bCs w:val="0"/>
                <w:color w:val="auto"/>
                <w:spacing w:val="0"/>
                <w:position w:val="0"/>
                <w:sz w:val="24"/>
                <w:szCs w:val="24"/>
                <w:shd w:val="clear" w:fill="auto"/>
              </w:rPr>
              <w:t>分）</w:t>
            </w:r>
          </w:p>
        </w:tc>
        <w:tc>
          <w:tcPr>
            <w:tcW w:w="767"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11EB00A">
            <w:pPr>
              <w:keepNext w:val="0"/>
              <w:keepLines w:val="0"/>
              <w:pageBreakBefore w:val="0"/>
              <w:widowControl w:val="0"/>
              <w:kinsoku/>
              <w:wordWrap/>
              <w:overflowPunct/>
              <w:topLinePunct w:val="0"/>
              <w:autoSpaceDE/>
              <w:autoSpaceDN/>
              <w:bidi w:val="0"/>
              <w:adjustRightInd w:val="0"/>
              <w:snapToGrid w:val="0"/>
              <w:spacing w:before="0" w:line="360" w:lineRule="auto"/>
              <w:ind w:left="0" w:right="-21" w:firstLine="0"/>
              <w:jc w:val="center"/>
              <w:textAlignment w:val="auto"/>
              <w:rPr>
                <w:rFonts w:ascii="宋体" w:hAnsi="宋体" w:eastAsia="宋体" w:cs="宋体"/>
                <w:b/>
                <w:bCs w:val="0"/>
                <w:color w:val="auto"/>
                <w:spacing w:val="0"/>
                <w:position w:val="0"/>
                <w:sz w:val="24"/>
                <w:szCs w:val="24"/>
                <w:shd w:val="clear" w:fill="auto"/>
              </w:rPr>
            </w:pPr>
            <w:r>
              <w:rPr>
                <w:rFonts w:hint="eastAsia" w:ascii="宋体" w:hAnsi="宋体" w:eastAsia="宋体" w:cs="宋体"/>
                <w:b/>
                <w:bCs w:val="0"/>
                <w:color w:val="auto"/>
                <w:spacing w:val="0"/>
                <w:position w:val="0"/>
                <w:sz w:val="24"/>
                <w:szCs w:val="24"/>
                <w:shd w:val="clear" w:fill="auto"/>
                <w:lang w:val="en-US" w:eastAsia="zh-CN"/>
              </w:rPr>
              <w:t>5</w:t>
            </w:r>
            <w:r>
              <w:rPr>
                <w:rFonts w:hint="eastAsia" w:ascii="宋体" w:hAnsi="宋体" w:eastAsia="宋体" w:cs="宋体"/>
                <w:b/>
                <w:bCs w:val="0"/>
                <w:color w:val="auto"/>
                <w:spacing w:val="0"/>
                <w:position w:val="0"/>
                <w:sz w:val="24"/>
                <w:szCs w:val="24"/>
                <w:shd w:val="clear" w:fill="auto"/>
              </w:rPr>
              <w:t>0</w:t>
            </w:r>
          </w:p>
        </w:tc>
        <w:tc>
          <w:tcPr>
            <w:tcW w:w="6940"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121E5D8">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b/>
                <w:bCs/>
                <w:color w:val="auto"/>
                <w:spacing w:val="0"/>
                <w:position w:val="0"/>
                <w:sz w:val="24"/>
                <w:szCs w:val="24"/>
                <w:shd w:val="clear" w:fill="auto"/>
                <w:lang w:val="en-US" w:eastAsia="zh-CN"/>
              </w:rPr>
            </w:pPr>
            <w:r>
              <w:rPr>
                <w:rFonts w:hint="eastAsia" w:ascii="宋体" w:hAnsi="宋体" w:eastAsia="宋体" w:cs="宋体"/>
                <w:b/>
                <w:bCs/>
                <w:color w:val="auto"/>
                <w:spacing w:val="0"/>
                <w:position w:val="0"/>
                <w:sz w:val="24"/>
                <w:szCs w:val="24"/>
                <w:shd w:val="clear" w:fill="auto"/>
                <w:lang w:val="en-US" w:eastAsia="zh-CN"/>
              </w:rPr>
              <w:t>1.货物技术指标15分</w:t>
            </w:r>
          </w:p>
          <w:p w14:paraId="02D3714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b w:val="0"/>
                <w:bCs w:val="0"/>
                <w:color w:val="auto"/>
                <w:spacing w:val="0"/>
                <w:position w:val="0"/>
                <w:sz w:val="24"/>
                <w:szCs w:val="24"/>
                <w:shd w:val="clear" w:fill="auto"/>
                <w:lang w:val="en-US" w:eastAsia="zh-CN"/>
              </w:rPr>
            </w:pPr>
            <w:r>
              <w:rPr>
                <w:rFonts w:hint="eastAsia" w:ascii="宋体" w:hAnsi="宋体" w:eastAsia="宋体" w:cs="宋体"/>
                <w:b w:val="0"/>
                <w:bCs w:val="0"/>
                <w:color w:val="auto"/>
                <w:spacing w:val="0"/>
                <w:position w:val="0"/>
                <w:sz w:val="24"/>
                <w:szCs w:val="24"/>
                <w:shd w:val="clear" w:fill="auto"/>
                <w:lang w:val="en-US" w:eastAsia="zh-CN"/>
              </w:rPr>
              <w:t>满足采购文件要求的全部技术指标得15分。评委要充分考虑投标人提供</w:t>
            </w:r>
            <w:r>
              <w:rPr>
                <w:rFonts w:hint="eastAsia" w:ascii="宋体" w:hAnsi="宋体" w:eastAsia="宋体" w:cs="宋体"/>
                <w:b w:val="0"/>
                <w:bCs w:val="0"/>
                <w:color w:val="auto"/>
                <w:spacing w:val="0"/>
                <w:position w:val="0"/>
                <w:sz w:val="24"/>
                <w:szCs w:val="24"/>
                <w:highlight w:val="none"/>
                <w:shd w:val="clear" w:fill="auto"/>
                <w:lang w:val="en-US" w:eastAsia="zh-CN"/>
              </w:rPr>
              <w:t>投标产品的详细技术指标，参考其相关证明材料（证明材料可以是生产厂家官方网站截图或产品白皮书或第三方机构检验报告或其他相关证明材料）</w:t>
            </w:r>
            <w:r>
              <w:rPr>
                <w:rFonts w:hint="eastAsia" w:ascii="宋体" w:hAnsi="宋体" w:eastAsia="宋体" w:cs="宋体"/>
                <w:b w:val="0"/>
                <w:bCs w:val="0"/>
                <w:color w:val="auto"/>
                <w:spacing w:val="0"/>
                <w:position w:val="0"/>
                <w:sz w:val="24"/>
                <w:szCs w:val="24"/>
                <w:shd w:val="clear" w:fill="auto"/>
                <w:lang w:val="en-US" w:eastAsia="zh-CN"/>
              </w:rPr>
              <w:t>进行认定；</w:t>
            </w:r>
          </w:p>
          <w:p w14:paraId="1C647048">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b w:val="0"/>
                <w:bCs w:val="0"/>
                <w:color w:val="auto"/>
                <w:spacing w:val="0"/>
                <w:position w:val="0"/>
                <w:sz w:val="24"/>
                <w:szCs w:val="24"/>
                <w:shd w:val="clear" w:fill="auto"/>
                <w:lang w:val="en-US" w:eastAsia="zh-CN"/>
              </w:rPr>
            </w:pPr>
            <w:r>
              <w:rPr>
                <w:rFonts w:hint="eastAsia" w:ascii="宋体" w:hAnsi="宋体" w:eastAsia="宋体" w:cs="宋体"/>
                <w:b w:val="0"/>
                <w:bCs w:val="0"/>
                <w:color w:val="auto"/>
                <w:spacing w:val="0"/>
                <w:position w:val="0"/>
                <w:sz w:val="24"/>
                <w:szCs w:val="24"/>
                <w:shd w:val="clear" w:fill="auto"/>
                <w:lang w:val="en-US" w:eastAsia="zh-CN"/>
              </w:rPr>
              <w:t>每有一项非实质性负偏差扣1分，扣完为止（如技术参数偏离表的响应情况与技术证明文件资料或其它合法证明文件描述不符，专家有权认定为负偏离）。</w:t>
            </w:r>
          </w:p>
          <w:p w14:paraId="2B36FA96">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b/>
                <w:bCs/>
                <w:color w:val="auto"/>
                <w:spacing w:val="0"/>
                <w:position w:val="0"/>
                <w:sz w:val="24"/>
                <w:szCs w:val="24"/>
                <w:shd w:val="clear" w:fill="auto"/>
                <w:lang w:val="en-US" w:eastAsia="zh-CN"/>
              </w:rPr>
            </w:pPr>
            <w:r>
              <w:rPr>
                <w:rFonts w:hint="eastAsia" w:ascii="宋体" w:hAnsi="宋体" w:eastAsia="宋体" w:cs="宋体"/>
                <w:b/>
                <w:bCs/>
                <w:color w:val="auto"/>
                <w:spacing w:val="0"/>
                <w:position w:val="0"/>
                <w:sz w:val="24"/>
                <w:szCs w:val="24"/>
                <w:shd w:val="clear" w:fill="auto"/>
                <w:lang w:val="en-US" w:eastAsia="zh-CN"/>
              </w:rPr>
              <w:t>2.组织实施保障12分</w:t>
            </w:r>
          </w:p>
          <w:p w14:paraId="48688E03">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①投标人提供本项目团队配备方案，至少配备项目负责人、技术负责人、售后服务人员等（可以兼任）。包括但不限于：人员的姓名、身份证、职务、职责、详细的地址、联系方式；</w:t>
            </w:r>
          </w:p>
          <w:p w14:paraId="3BA7EB2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项目团队资料信息详细（包含上述要求所有信息），得6分；</w:t>
            </w:r>
          </w:p>
          <w:p w14:paraId="1D4FA404">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项目团队资料信息不详细（上述要求所有信息有缺项），得1分；</w:t>
            </w:r>
          </w:p>
          <w:p w14:paraId="6ED6E5A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未响应或未提供的不得分。</w:t>
            </w:r>
          </w:p>
          <w:p w14:paraId="2EB892D0">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②提供项目保障计划、质量保证、正品保障措施等。</w:t>
            </w:r>
          </w:p>
          <w:p w14:paraId="722FEDB4">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评标委员会根据投标人提供的方案进行评定，实施方案内容高于采购文件要求，并提供相关证明材料或实施能力分析，能够高于采购文件要求实施本项目的，得6分；</w:t>
            </w:r>
          </w:p>
          <w:p w14:paraId="5CC00C94">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实施方案内容基本满足采购文件要求，提供相关证明材料或实施能力分析，不足以证明所述内容，不能判定其高于采购文件要求实施本项目的，得1分；</w:t>
            </w:r>
          </w:p>
          <w:p w14:paraId="594D71FA">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方案内容未响应或未提供的不得分。</w:t>
            </w:r>
          </w:p>
          <w:p w14:paraId="538FCC90">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b/>
                <w:bCs/>
                <w:color w:val="auto"/>
                <w:spacing w:val="0"/>
                <w:position w:val="0"/>
                <w:sz w:val="24"/>
                <w:szCs w:val="24"/>
                <w:highlight w:val="none"/>
                <w:shd w:val="clear" w:fill="auto"/>
                <w:lang w:val="en-US" w:eastAsia="zh-CN"/>
              </w:rPr>
            </w:pPr>
            <w:r>
              <w:rPr>
                <w:rFonts w:hint="eastAsia" w:ascii="宋体" w:hAnsi="宋体" w:eastAsia="宋体" w:cs="宋体"/>
                <w:b/>
                <w:bCs/>
                <w:color w:val="auto"/>
                <w:spacing w:val="0"/>
                <w:position w:val="0"/>
                <w:sz w:val="24"/>
                <w:szCs w:val="24"/>
                <w:highlight w:val="none"/>
                <w:shd w:val="clear" w:fill="auto"/>
                <w:lang w:val="en-US" w:eastAsia="zh-CN"/>
              </w:rPr>
              <w:t>3.售后服务方案12分</w:t>
            </w:r>
          </w:p>
          <w:p w14:paraId="252C531A">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投标人提供完善的售后服务体系、售后服务响应机制；</w:t>
            </w:r>
          </w:p>
          <w:p w14:paraId="633C14E6">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评标委员会根据各项服务方案进行评定，各项服务方案内容不低于采购文件要求，并提供相关证明材料或服务能力分析，能够不低于采购文件要求提供服务的，得12分；</w:t>
            </w:r>
          </w:p>
          <w:p w14:paraId="2130E95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各项服务方案内容基本满足采购文件要求，提供相关证明材料或服务能力分析，不足以证明所述内容，不能满足采购文件要求提供服务的，得6分；</w:t>
            </w:r>
          </w:p>
          <w:p w14:paraId="2A57C1E3">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方案内容未响应或未提供的不得分。</w:t>
            </w:r>
          </w:p>
          <w:p w14:paraId="1AEF7D5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b/>
                <w:bCs/>
                <w:color w:val="auto"/>
                <w:spacing w:val="0"/>
                <w:position w:val="0"/>
                <w:sz w:val="24"/>
                <w:szCs w:val="24"/>
                <w:highlight w:val="none"/>
                <w:shd w:val="clear" w:fill="auto"/>
                <w:lang w:val="en-US" w:eastAsia="zh-CN"/>
              </w:rPr>
            </w:pPr>
            <w:r>
              <w:rPr>
                <w:rFonts w:hint="eastAsia" w:ascii="宋体" w:hAnsi="宋体" w:eastAsia="宋体" w:cs="宋体"/>
                <w:b/>
                <w:bCs/>
                <w:color w:val="auto"/>
                <w:spacing w:val="0"/>
                <w:position w:val="0"/>
                <w:sz w:val="24"/>
                <w:szCs w:val="24"/>
                <w:highlight w:val="none"/>
                <w:shd w:val="clear" w:fill="auto"/>
                <w:lang w:val="en-US" w:eastAsia="zh-CN"/>
              </w:rPr>
              <w:t>4</w:t>
            </w:r>
            <w:r>
              <w:rPr>
                <w:rFonts w:hint="default" w:ascii="宋体" w:hAnsi="宋体" w:eastAsia="宋体" w:cs="宋体"/>
                <w:b/>
                <w:bCs/>
                <w:color w:val="auto"/>
                <w:spacing w:val="0"/>
                <w:position w:val="0"/>
                <w:sz w:val="24"/>
                <w:szCs w:val="24"/>
                <w:highlight w:val="none"/>
                <w:shd w:val="clear" w:fill="auto"/>
                <w:lang w:val="en-US" w:eastAsia="zh-CN"/>
              </w:rPr>
              <w:t>.实施进度计划</w:t>
            </w:r>
            <w:r>
              <w:rPr>
                <w:rFonts w:hint="eastAsia" w:ascii="宋体" w:hAnsi="宋体" w:eastAsia="宋体" w:cs="宋体"/>
                <w:b/>
                <w:bCs/>
                <w:color w:val="auto"/>
                <w:spacing w:val="0"/>
                <w:position w:val="0"/>
                <w:sz w:val="24"/>
                <w:szCs w:val="24"/>
                <w:highlight w:val="none"/>
                <w:shd w:val="clear" w:fill="auto"/>
                <w:lang w:val="en-US" w:eastAsia="zh-CN"/>
              </w:rPr>
              <w:t>6</w:t>
            </w:r>
            <w:r>
              <w:rPr>
                <w:rFonts w:hint="default" w:ascii="宋体" w:hAnsi="宋体" w:eastAsia="宋体" w:cs="宋体"/>
                <w:b/>
                <w:bCs/>
                <w:color w:val="auto"/>
                <w:spacing w:val="0"/>
                <w:position w:val="0"/>
                <w:sz w:val="24"/>
                <w:szCs w:val="24"/>
                <w:highlight w:val="none"/>
                <w:shd w:val="clear" w:fill="auto"/>
                <w:lang w:val="en-US" w:eastAsia="zh-CN"/>
              </w:rPr>
              <w:t>分</w:t>
            </w:r>
          </w:p>
          <w:p w14:paraId="31CAD1C1">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color w:val="auto"/>
                <w:spacing w:val="0"/>
                <w:position w:val="0"/>
                <w:sz w:val="24"/>
                <w:szCs w:val="24"/>
                <w:highlight w:val="none"/>
                <w:shd w:val="clear" w:fill="auto"/>
                <w:lang w:val="en-US" w:eastAsia="zh-CN"/>
              </w:rPr>
            </w:pPr>
            <w:r>
              <w:rPr>
                <w:rFonts w:hint="default" w:ascii="宋体" w:hAnsi="宋体" w:eastAsia="宋体" w:cs="宋体"/>
                <w:color w:val="auto"/>
                <w:spacing w:val="0"/>
                <w:position w:val="0"/>
                <w:sz w:val="24"/>
                <w:szCs w:val="24"/>
                <w:highlight w:val="none"/>
                <w:shd w:val="clear" w:fill="auto"/>
                <w:lang w:val="en-US" w:eastAsia="zh-CN"/>
              </w:rPr>
              <w:t>投标人提供完善的实施进度计划。</w:t>
            </w:r>
          </w:p>
          <w:p w14:paraId="12D7AEE5">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color w:val="auto"/>
                <w:spacing w:val="0"/>
                <w:position w:val="0"/>
                <w:sz w:val="24"/>
                <w:szCs w:val="24"/>
                <w:highlight w:val="none"/>
                <w:shd w:val="clear" w:fill="auto"/>
                <w:lang w:val="en-US" w:eastAsia="zh-CN"/>
              </w:rPr>
            </w:pPr>
            <w:r>
              <w:rPr>
                <w:rFonts w:hint="default" w:ascii="宋体" w:hAnsi="宋体" w:eastAsia="宋体" w:cs="宋体"/>
                <w:color w:val="auto"/>
                <w:spacing w:val="0"/>
                <w:position w:val="0"/>
                <w:sz w:val="24"/>
                <w:szCs w:val="24"/>
                <w:highlight w:val="none"/>
                <w:shd w:val="clear" w:fill="auto"/>
                <w:lang w:val="en-US" w:eastAsia="zh-CN"/>
              </w:rPr>
              <w:t>评标委员会根据服务方案进行评定，服务方案内容高于采购文件要求，并提供相关证明材料或服务能力分析，能够高于采购文件要求提供服务的，得</w:t>
            </w:r>
            <w:r>
              <w:rPr>
                <w:rFonts w:hint="eastAsia" w:ascii="宋体" w:hAnsi="宋体" w:eastAsia="宋体" w:cs="宋体"/>
                <w:color w:val="auto"/>
                <w:spacing w:val="0"/>
                <w:position w:val="0"/>
                <w:sz w:val="24"/>
                <w:szCs w:val="24"/>
                <w:highlight w:val="none"/>
                <w:shd w:val="clear" w:fill="auto"/>
                <w:lang w:val="en-US" w:eastAsia="zh-CN"/>
              </w:rPr>
              <w:t>6</w:t>
            </w:r>
            <w:r>
              <w:rPr>
                <w:rFonts w:hint="default" w:ascii="宋体" w:hAnsi="宋体" w:eastAsia="宋体" w:cs="宋体"/>
                <w:color w:val="auto"/>
                <w:spacing w:val="0"/>
                <w:position w:val="0"/>
                <w:sz w:val="24"/>
                <w:szCs w:val="24"/>
                <w:highlight w:val="none"/>
                <w:shd w:val="clear" w:fill="auto"/>
                <w:lang w:val="en-US" w:eastAsia="zh-CN"/>
              </w:rPr>
              <w:t>分；</w:t>
            </w:r>
          </w:p>
          <w:p w14:paraId="1325CE0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color w:val="auto"/>
                <w:spacing w:val="0"/>
                <w:position w:val="0"/>
                <w:sz w:val="24"/>
                <w:szCs w:val="24"/>
                <w:highlight w:val="none"/>
                <w:shd w:val="clear" w:fill="auto"/>
                <w:lang w:val="en-US" w:eastAsia="zh-CN"/>
              </w:rPr>
            </w:pPr>
            <w:r>
              <w:rPr>
                <w:rFonts w:hint="default" w:ascii="宋体" w:hAnsi="宋体" w:eastAsia="宋体" w:cs="宋体"/>
                <w:color w:val="auto"/>
                <w:spacing w:val="0"/>
                <w:position w:val="0"/>
                <w:sz w:val="24"/>
                <w:szCs w:val="24"/>
                <w:highlight w:val="none"/>
                <w:shd w:val="clear" w:fill="auto"/>
                <w:lang w:val="en-US" w:eastAsia="zh-CN"/>
              </w:rPr>
              <w:t>服务方案内容基本满足采购文件要求，提供相关证明材料或服务能力分析，不足以证明所述内容，不能判定其高于采购文件要求提供服务的，得</w:t>
            </w:r>
            <w:r>
              <w:rPr>
                <w:rFonts w:hint="eastAsia" w:ascii="宋体" w:hAnsi="宋体" w:eastAsia="宋体" w:cs="宋体"/>
                <w:color w:val="auto"/>
                <w:spacing w:val="0"/>
                <w:position w:val="0"/>
                <w:sz w:val="24"/>
                <w:szCs w:val="24"/>
                <w:highlight w:val="none"/>
                <w:shd w:val="clear" w:fill="auto"/>
                <w:lang w:val="en-US" w:eastAsia="zh-CN"/>
              </w:rPr>
              <w:t>3</w:t>
            </w:r>
            <w:r>
              <w:rPr>
                <w:rFonts w:hint="default" w:ascii="宋体" w:hAnsi="宋体" w:eastAsia="宋体" w:cs="宋体"/>
                <w:color w:val="auto"/>
                <w:spacing w:val="0"/>
                <w:position w:val="0"/>
                <w:sz w:val="24"/>
                <w:szCs w:val="24"/>
                <w:highlight w:val="none"/>
                <w:shd w:val="clear" w:fill="auto"/>
                <w:lang w:val="en-US" w:eastAsia="zh-CN"/>
              </w:rPr>
              <w:t>分；</w:t>
            </w:r>
          </w:p>
          <w:p w14:paraId="66731665">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color w:val="auto"/>
                <w:spacing w:val="0"/>
                <w:position w:val="0"/>
                <w:sz w:val="24"/>
                <w:szCs w:val="24"/>
                <w:highlight w:val="none"/>
                <w:shd w:val="clear" w:fill="auto"/>
                <w:lang w:val="en-US" w:eastAsia="zh-CN"/>
              </w:rPr>
            </w:pPr>
            <w:r>
              <w:rPr>
                <w:rFonts w:hint="default" w:ascii="宋体" w:hAnsi="宋体" w:eastAsia="宋体" w:cs="宋体"/>
                <w:color w:val="auto"/>
                <w:spacing w:val="0"/>
                <w:position w:val="0"/>
                <w:sz w:val="24"/>
                <w:szCs w:val="24"/>
                <w:highlight w:val="none"/>
                <w:shd w:val="clear" w:fill="auto"/>
                <w:lang w:val="en-US" w:eastAsia="zh-CN"/>
              </w:rPr>
              <w:t>方案内容未响应或未提供的不得分。</w:t>
            </w:r>
          </w:p>
          <w:p w14:paraId="2A8F65E2">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b/>
                <w:bCs/>
                <w:color w:val="auto"/>
                <w:spacing w:val="0"/>
                <w:position w:val="0"/>
                <w:sz w:val="24"/>
                <w:szCs w:val="24"/>
                <w:highlight w:val="none"/>
                <w:shd w:val="clear" w:fill="auto"/>
                <w:lang w:val="en-US" w:eastAsia="zh-CN"/>
              </w:rPr>
            </w:pPr>
            <w:r>
              <w:rPr>
                <w:rFonts w:hint="eastAsia" w:ascii="宋体" w:hAnsi="宋体" w:eastAsia="宋体" w:cs="宋体"/>
                <w:b/>
                <w:bCs/>
                <w:color w:val="auto"/>
                <w:spacing w:val="0"/>
                <w:position w:val="0"/>
                <w:sz w:val="24"/>
                <w:szCs w:val="24"/>
                <w:highlight w:val="none"/>
                <w:shd w:val="clear" w:fill="auto"/>
                <w:lang w:val="en-US" w:eastAsia="zh-CN"/>
              </w:rPr>
              <w:t>5.整体实施方案、技术解决方案、安装调试方案5分</w:t>
            </w:r>
          </w:p>
          <w:p w14:paraId="271ED0EE">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评标委员会根据各项方案进行评定，各项方案内容高于采购文件要求，并提供相关证明材料或能力分析，能够高于采购文件要求提供方案的，得5分；</w:t>
            </w:r>
          </w:p>
          <w:p w14:paraId="57472D19">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各项方案内容基本满足采购文件要求，提供相关证明材料或能力分析，不足以证明所述内容，不能判定其高于采购文件要求提供方案的，得1分；</w:t>
            </w:r>
          </w:p>
          <w:p w14:paraId="115207A8">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0" w:firstLineChars="0"/>
              <w:textAlignment w:val="auto"/>
              <w:rPr>
                <w:rFonts w:hint="default" w:ascii="宋体" w:hAnsi="宋体" w:eastAsia="宋体" w:cs="宋体"/>
                <w:color w:val="auto"/>
                <w:spacing w:val="0"/>
                <w:position w:val="0"/>
                <w:sz w:val="24"/>
                <w:szCs w:val="24"/>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方案内容未响应或未提供的不得分。</w:t>
            </w:r>
          </w:p>
        </w:tc>
      </w:tr>
      <w:tr w14:paraId="302D609E">
        <w:tblPrEx>
          <w:tblCellMar>
            <w:top w:w="0" w:type="dxa"/>
            <w:left w:w="10" w:type="dxa"/>
            <w:bottom w:w="0" w:type="dxa"/>
            <w:right w:w="10" w:type="dxa"/>
          </w:tblCellMar>
        </w:tblPrEx>
        <w:trPr>
          <w:trHeight w:val="0" w:hRule="atLeast"/>
          <w:jc w:val="center"/>
        </w:trPr>
        <w:tc>
          <w:tcPr>
            <w:tcW w:w="100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3C778DB">
            <w:pPr>
              <w:keepNext w:val="0"/>
              <w:keepLines w:val="0"/>
              <w:pageBreakBefore w:val="0"/>
              <w:widowControl w:val="0"/>
              <w:tabs>
                <w:tab w:val="left" w:pos="5130"/>
              </w:tabs>
              <w:kinsoku/>
              <w:wordWrap/>
              <w:overflowPunct/>
              <w:topLinePunct w:val="0"/>
              <w:autoSpaceDE/>
              <w:autoSpaceDN/>
              <w:bidi w:val="0"/>
              <w:adjustRightInd/>
              <w:snapToGrid w:val="0"/>
              <w:spacing w:before="0" w:line="360" w:lineRule="auto"/>
              <w:ind w:left="0" w:right="0" w:firstLine="0"/>
              <w:jc w:val="both"/>
              <w:textAlignment w:val="auto"/>
              <w:rPr>
                <w:rFonts w:ascii="宋体" w:hAnsi="宋体" w:eastAsia="宋体" w:cs="宋体"/>
                <w:b/>
                <w:bCs w:val="0"/>
                <w:color w:val="auto"/>
                <w:spacing w:val="0"/>
                <w:position w:val="0"/>
                <w:sz w:val="24"/>
                <w:szCs w:val="24"/>
                <w:shd w:val="clear" w:fill="auto"/>
              </w:rPr>
            </w:pPr>
            <w:r>
              <w:rPr>
                <w:rFonts w:ascii="宋体" w:hAnsi="宋体" w:eastAsia="宋体" w:cs="宋体"/>
                <w:b/>
                <w:bCs w:val="0"/>
                <w:color w:val="auto"/>
                <w:spacing w:val="0"/>
                <w:position w:val="0"/>
                <w:sz w:val="24"/>
                <w:szCs w:val="24"/>
                <w:shd w:val="clear" w:fill="auto"/>
              </w:rPr>
              <w:t>商务部分（</w:t>
            </w:r>
            <w:r>
              <w:rPr>
                <w:rFonts w:hint="eastAsia" w:ascii="宋体" w:hAnsi="宋体" w:eastAsia="宋体" w:cs="宋体"/>
                <w:b/>
                <w:bCs w:val="0"/>
                <w:color w:val="auto"/>
                <w:spacing w:val="0"/>
                <w:position w:val="0"/>
                <w:sz w:val="24"/>
                <w:szCs w:val="24"/>
                <w:shd w:val="clear" w:fill="auto"/>
                <w:lang w:val="en-US" w:eastAsia="zh-CN"/>
              </w:rPr>
              <w:t>20</w:t>
            </w:r>
            <w:r>
              <w:rPr>
                <w:rFonts w:ascii="宋体" w:hAnsi="宋体" w:eastAsia="宋体" w:cs="宋体"/>
                <w:b/>
                <w:bCs w:val="0"/>
                <w:color w:val="auto"/>
                <w:spacing w:val="0"/>
                <w:position w:val="0"/>
                <w:sz w:val="24"/>
                <w:szCs w:val="24"/>
                <w:shd w:val="clear" w:fill="auto"/>
              </w:rPr>
              <w:t>分）</w:t>
            </w:r>
          </w:p>
        </w:tc>
        <w:tc>
          <w:tcPr>
            <w:tcW w:w="767"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8E19BBA">
            <w:pPr>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0"/>
              <w:jc w:val="center"/>
              <w:textAlignment w:val="auto"/>
              <w:rPr>
                <w:rFonts w:hint="default" w:ascii="宋体" w:hAnsi="宋体" w:eastAsia="宋体" w:cs="宋体"/>
                <w:b/>
                <w:bCs w:val="0"/>
                <w:color w:val="auto"/>
                <w:spacing w:val="0"/>
                <w:position w:val="0"/>
                <w:sz w:val="24"/>
                <w:szCs w:val="24"/>
                <w:shd w:val="clear" w:fill="auto"/>
                <w:lang w:val="en-US" w:eastAsia="zh-CN"/>
              </w:rPr>
            </w:pPr>
            <w:r>
              <w:rPr>
                <w:rFonts w:hint="eastAsia" w:ascii="宋体" w:hAnsi="宋体" w:eastAsia="宋体" w:cs="宋体"/>
                <w:b/>
                <w:bCs w:val="0"/>
                <w:color w:val="auto"/>
                <w:spacing w:val="0"/>
                <w:position w:val="0"/>
                <w:sz w:val="24"/>
                <w:szCs w:val="24"/>
                <w:shd w:val="clear" w:fill="auto"/>
                <w:lang w:val="en-US" w:eastAsia="zh-CN"/>
              </w:rPr>
              <w:t>20</w:t>
            </w:r>
          </w:p>
        </w:tc>
        <w:tc>
          <w:tcPr>
            <w:tcW w:w="6940"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6CCEA09">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eastAsia" w:ascii="宋体" w:hAnsi="宋体" w:eastAsia="宋体" w:cs="宋体"/>
                <w:b/>
                <w:bCs/>
                <w:color w:val="auto"/>
                <w:spacing w:val="0"/>
                <w:position w:val="0"/>
                <w:sz w:val="24"/>
                <w:szCs w:val="24"/>
                <w:shd w:val="clear" w:fill="auto"/>
              </w:rPr>
            </w:pPr>
            <w:r>
              <w:rPr>
                <w:rFonts w:hint="eastAsia" w:ascii="宋体" w:hAnsi="宋体" w:eastAsia="宋体" w:cs="宋体"/>
                <w:b/>
                <w:bCs/>
                <w:color w:val="auto"/>
                <w:spacing w:val="0"/>
                <w:position w:val="0"/>
                <w:sz w:val="24"/>
                <w:szCs w:val="24"/>
                <w:shd w:val="clear" w:fill="auto"/>
              </w:rPr>
              <w:t>1.企业业绩</w:t>
            </w:r>
            <w:r>
              <w:rPr>
                <w:rFonts w:hint="eastAsia" w:ascii="宋体" w:hAnsi="宋体" w:eastAsia="宋体" w:cs="宋体"/>
                <w:b/>
                <w:bCs/>
                <w:color w:val="auto"/>
                <w:spacing w:val="0"/>
                <w:position w:val="0"/>
                <w:sz w:val="24"/>
                <w:szCs w:val="24"/>
                <w:shd w:val="clear" w:fill="auto"/>
                <w:lang w:val="en-US" w:eastAsia="zh-CN"/>
              </w:rPr>
              <w:t>6</w:t>
            </w:r>
            <w:r>
              <w:rPr>
                <w:rFonts w:hint="eastAsia" w:ascii="宋体" w:hAnsi="宋体" w:eastAsia="宋体" w:cs="宋体"/>
                <w:b/>
                <w:bCs/>
                <w:color w:val="auto"/>
                <w:spacing w:val="0"/>
                <w:position w:val="0"/>
                <w:sz w:val="24"/>
                <w:szCs w:val="24"/>
                <w:shd w:val="clear" w:fill="auto"/>
              </w:rPr>
              <w:t>分</w:t>
            </w:r>
          </w:p>
          <w:p w14:paraId="0A532413">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lang w:val="en-US" w:eastAsia="zh-CN"/>
              </w:rPr>
              <w:t>提供</w:t>
            </w:r>
            <w:r>
              <w:rPr>
                <w:rFonts w:hint="eastAsia" w:ascii="宋体" w:hAnsi="宋体" w:eastAsia="宋体" w:cs="宋体"/>
                <w:color w:val="auto"/>
                <w:spacing w:val="0"/>
                <w:position w:val="0"/>
                <w:sz w:val="24"/>
                <w:szCs w:val="24"/>
                <w:shd w:val="clear" w:fill="auto"/>
              </w:rPr>
              <w:t>投标人近三年（投标截止日前）完成的同类项目案例，要求必须提供投标人自身与最终用户签订的合同（包括合同首页、合同金额所在页、签字盖章页、供货明细单）作为证明，每提供一份得</w:t>
            </w:r>
            <w:r>
              <w:rPr>
                <w:rFonts w:hint="eastAsia" w:ascii="宋体" w:hAnsi="宋体" w:eastAsia="宋体" w:cs="宋体"/>
                <w:color w:val="auto"/>
                <w:spacing w:val="0"/>
                <w:position w:val="0"/>
                <w:sz w:val="24"/>
                <w:szCs w:val="24"/>
                <w:shd w:val="clear" w:fill="auto"/>
                <w:lang w:val="en-US" w:eastAsia="zh-CN"/>
              </w:rPr>
              <w:t>2</w:t>
            </w:r>
            <w:r>
              <w:rPr>
                <w:rFonts w:hint="eastAsia" w:ascii="宋体" w:hAnsi="宋体" w:eastAsia="宋体" w:cs="宋体"/>
                <w:color w:val="auto"/>
                <w:spacing w:val="0"/>
                <w:position w:val="0"/>
                <w:sz w:val="24"/>
                <w:szCs w:val="24"/>
                <w:shd w:val="clear" w:fill="auto"/>
              </w:rPr>
              <w:t>分，最高得</w:t>
            </w:r>
            <w:r>
              <w:rPr>
                <w:rFonts w:hint="eastAsia" w:ascii="宋体" w:hAnsi="宋体" w:eastAsia="宋体" w:cs="宋体"/>
                <w:color w:val="auto"/>
                <w:spacing w:val="0"/>
                <w:position w:val="0"/>
                <w:sz w:val="24"/>
                <w:szCs w:val="24"/>
                <w:shd w:val="clear" w:fill="auto"/>
                <w:lang w:val="en-US" w:eastAsia="zh-CN"/>
              </w:rPr>
              <w:t>6</w:t>
            </w:r>
            <w:r>
              <w:rPr>
                <w:rFonts w:hint="eastAsia" w:ascii="宋体" w:hAnsi="宋体" w:eastAsia="宋体" w:cs="宋体"/>
                <w:color w:val="auto"/>
                <w:spacing w:val="0"/>
                <w:position w:val="0"/>
                <w:sz w:val="24"/>
                <w:szCs w:val="24"/>
                <w:shd w:val="clear" w:fill="auto"/>
              </w:rPr>
              <w:t>分</w:t>
            </w:r>
            <w:r>
              <w:rPr>
                <w:rFonts w:hint="eastAsia" w:ascii="宋体" w:hAnsi="宋体" w:eastAsia="宋体" w:cs="宋体"/>
                <w:color w:val="auto"/>
                <w:spacing w:val="0"/>
                <w:position w:val="0"/>
                <w:sz w:val="24"/>
                <w:szCs w:val="24"/>
                <w:shd w:val="clear" w:fill="auto"/>
                <w:lang w:eastAsia="zh-CN"/>
              </w:rPr>
              <w:t>，未提供的不得分</w:t>
            </w:r>
            <w:r>
              <w:rPr>
                <w:rFonts w:hint="eastAsia" w:ascii="宋体" w:hAnsi="宋体" w:eastAsia="宋体" w:cs="宋体"/>
                <w:color w:val="auto"/>
                <w:spacing w:val="0"/>
                <w:position w:val="0"/>
                <w:sz w:val="24"/>
                <w:szCs w:val="24"/>
                <w:shd w:val="clear" w:fill="auto"/>
              </w:rPr>
              <w:t>。</w:t>
            </w:r>
          </w:p>
          <w:p w14:paraId="5301024B">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eastAsia" w:ascii="宋体" w:hAnsi="宋体" w:eastAsia="宋体" w:cs="宋体"/>
                <w:b/>
                <w:bCs/>
                <w:color w:val="auto"/>
                <w:spacing w:val="0"/>
                <w:position w:val="0"/>
                <w:sz w:val="24"/>
                <w:szCs w:val="24"/>
                <w:highlight w:val="none"/>
                <w:shd w:val="clear" w:color="auto" w:fill="auto"/>
                <w:lang w:val="en-US" w:eastAsia="zh-CN"/>
              </w:rPr>
            </w:pPr>
            <w:r>
              <w:rPr>
                <w:rFonts w:hint="eastAsia" w:ascii="宋体" w:hAnsi="宋体" w:eastAsia="宋体" w:cs="宋体"/>
                <w:b/>
                <w:bCs/>
                <w:color w:val="auto"/>
                <w:spacing w:val="0"/>
                <w:position w:val="0"/>
                <w:sz w:val="24"/>
                <w:szCs w:val="24"/>
                <w:highlight w:val="none"/>
                <w:shd w:val="clear" w:color="auto" w:fill="auto"/>
              </w:rPr>
              <w:t>2.检测</w:t>
            </w:r>
            <w:r>
              <w:rPr>
                <w:rFonts w:hint="eastAsia" w:ascii="宋体" w:hAnsi="宋体" w:eastAsia="宋体" w:cs="宋体"/>
                <w:b/>
                <w:bCs/>
                <w:color w:val="auto"/>
                <w:spacing w:val="0"/>
                <w:position w:val="0"/>
                <w:sz w:val="24"/>
                <w:szCs w:val="24"/>
                <w:highlight w:val="none"/>
                <w:shd w:val="clear" w:color="auto" w:fill="auto"/>
                <w:lang w:val="en-US" w:eastAsia="zh-CN"/>
              </w:rPr>
              <w:t>报告6分</w:t>
            </w:r>
          </w:p>
          <w:p w14:paraId="1079C197">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default" w:ascii="宋体" w:hAnsi="宋体" w:eastAsia="宋体" w:cs="宋体"/>
                <w:color w:val="auto"/>
                <w:spacing w:val="0"/>
                <w:position w:val="0"/>
                <w:sz w:val="24"/>
                <w:szCs w:val="24"/>
                <w:highlight w:val="none"/>
                <w:shd w:val="clear" w:color="auto" w:fill="auto"/>
                <w:lang w:val="en-US" w:eastAsia="zh-CN"/>
              </w:rPr>
            </w:pPr>
            <w:r>
              <w:rPr>
                <w:rFonts w:hint="eastAsia" w:ascii="宋体" w:hAnsi="宋体" w:eastAsia="宋体" w:cs="宋体"/>
                <w:color w:val="auto"/>
                <w:spacing w:val="0"/>
                <w:position w:val="0"/>
                <w:sz w:val="24"/>
                <w:szCs w:val="24"/>
                <w:highlight w:val="none"/>
                <w:shd w:val="clear" w:color="auto" w:fill="auto"/>
                <w:lang w:val="en-US" w:eastAsia="zh-CN"/>
              </w:rPr>
              <w:t>提供家具相关检测报告（粉末、钢材、木材质等），每提供一份得2分，最高得6分，未提供的不得分。</w:t>
            </w:r>
          </w:p>
          <w:p w14:paraId="5F249595">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default" w:ascii="宋体" w:hAnsi="宋体" w:eastAsia="宋体" w:cs="宋体"/>
                <w:b/>
                <w:bCs/>
                <w:color w:val="auto"/>
                <w:spacing w:val="0"/>
                <w:position w:val="0"/>
                <w:sz w:val="24"/>
                <w:szCs w:val="24"/>
                <w:highlight w:val="none"/>
                <w:shd w:val="clear" w:color="auto" w:fill="auto"/>
                <w:lang w:val="en-US" w:eastAsia="zh-CN"/>
              </w:rPr>
            </w:pPr>
            <w:r>
              <w:rPr>
                <w:rFonts w:hint="eastAsia" w:ascii="宋体" w:hAnsi="宋体" w:eastAsia="宋体" w:cs="宋体"/>
                <w:b/>
                <w:bCs/>
                <w:color w:val="auto"/>
                <w:spacing w:val="0"/>
                <w:position w:val="0"/>
                <w:sz w:val="24"/>
                <w:szCs w:val="24"/>
                <w:highlight w:val="none"/>
                <w:shd w:val="clear" w:color="auto" w:fill="auto"/>
                <w:lang w:val="en-US" w:eastAsia="zh-CN"/>
              </w:rPr>
              <w:t>4.生产设备3分</w:t>
            </w:r>
          </w:p>
          <w:p w14:paraId="1C3B0324">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default" w:ascii="宋体" w:hAnsi="宋体" w:eastAsia="宋体" w:cs="宋体"/>
                <w:color w:val="auto"/>
                <w:spacing w:val="0"/>
                <w:position w:val="0"/>
                <w:sz w:val="24"/>
                <w:szCs w:val="24"/>
                <w:highlight w:val="none"/>
                <w:shd w:val="clear" w:color="auto" w:fill="auto"/>
                <w:lang w:val="en-US" w:eastAsia="zh-CN"/>
              </w:rPr>
            </w:pPr>
            <w:r>
              <w:rPr>
                <w:rFonts w:hint="eastAsia" w:ascii="宋体" w:hAnsi="宋体" w:eastAsia="宋体" w:cs="宋体"/>
                <w:color w:val="auto"/>
                <w:spacing w:val="0"/>
                <w:position w:val="0"/>
                <w:sz w:val="24"/>
                <w:szCs w:val="24"/>
                <w:highlight w:val="none"/>
                <w:shd w:val="clear" w:color="auto" w:fill="auto"/>
                <w:lang w:val="en-US" w:eastAsia="zh-CN"/>
              </w:rPr>
              <w:t>投标人或生产厂家提供相关生产设备，提供折弯机、剪板机、打磨机、螺杆机、攻丝机、电焊机、抛丸机、铣边机、空压机、切管机、冲床等设备实拍图，每提供一份得0.5分，最高得3分，未提供的不得分。</w:t>
            </w:r>
          </w:p>
          <w:p w14:paraId="457EB4B5">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default" w:ascii="宋体" w:hAnsi="宋体" w:eastAsia="宋体" w:cs="宋体"/>
                <w:b/>
                <w:bCs/>
                <w:color w:val="auto"/>
                <w:spacing w:val="0"/>
                <w:position w:val="0"/>
                <w:sz w:val="24"/>
                <w:szCs w:val="24"/>
                <w:highlight w:val="none"/>
                <w:shd w:val="clear" w:color="auto" w:fill="auto"/>
                <w:lang w:val="en-US" w:eastAsia="zh-CN"/>
              </w:rPr>
            </w:pPr>
            <w:r>
              <w:rPr>
                <w:rFonts w:hint="eastAsia" w:ascii="宋体" w:hAnsi="宋体" w:eastAsia="宋体" w:cs="宋体"/>
                <w:b/>
                <w:bCs/>
                <w:color w:val="auto"/>
                <w:spacing w:val="0"/>
                <w:position w:val="0"/>
                <w:sz w:val="24"/>
                <w:szCs w:val="24"/>
                <w:highlight w:val="none"/>
                <w:shd w:val="clear" w:color="auto" w:fill="auto"/>
                <w:lang w:val="en-US" w:eastAsia="zh-CN"/>
              </w:rPr>
              <w:t>5.售后服务管理成熟度5分</w:t>
            </w:r>
          </w:p>
          <w:p w14:paraId="11AC1E78">
            <w:pPr>
              <w:keepNext w:val="0"/>
              <w:keepLines w:val="0"/>
              <w:pageBreakBefore w:val="0"/>
              <w:widowControl w:val="0"/>
              <w:tabs>
                <w:tab w:val="left" w:pos="5130"/>
              </w:tabs>
              <w:kinsoku/>
              <w:wordWrap/>
              <w:overflowPunct/>
              <w:topLinePunct w:val="0"/>
              <w:autoSpaceDE/>
              <w:autoSpaceDN/>
              <w:bidi w:val="0"/>
              <w:adjustRightInd w:val="0"/>
              <w:snapToGrid w:val="0"/>
              <w:spacing w:before="0" w:line="360" w:lineRule="auto"/>
              <w:ind w:left="0" w:right="0" w:firstLine="0"/>
              <w:jc w:val="both"/>
              <w:textAlignment w:val="auto"/>
              <w:rPr>
                <w:rFonts w:hint="default" w:eastAsia="宋体"/>
                <w:lang w:val="en-US" w:eastAsia="zh-CN"/>
              </w:rPr>
            </w:pPr>
            <w:r>
              <w:rPr>
                <w:rFonts w:hint="eastAsia" w:ascii="宋体" w:hAnsi="宋体" w:eastAsia="宋体" w:cs="宋体"/>
                <w:color w:val="auto"/>
                <w:spacing w:val="0"/>
                <w:position w:val="0"/>
                <w:sz w:val="24"/>
                <w:szCs w:val="24"/>
                <w:highlight w:val="none"/>
                <w:shd w:val="clear" w:color="auto" w:fill="auto"/>
                <w:lang w:val="en-US" w:eastAsia="zh-CN"/>
              </w:rPr>
              <w:t>根据投标人售后能力打分，提供五至八星级以上售后服务管理成熟度认证证书得3分，提供九至十星级售后服务管理成熟度认证证书得4分，提供十星级以上售后服务管理成熟度认证证书得5分，未提供的不得分。</w:t>
            </w:r>
          </w:p>
        </w:tc>
      </w:tr>
    </w:tbl>
    <w:p w14:paraId="0062A3D2">
      <w:pPr>
        <w:pStyle w:val="17"/>
        <w:numPr>
          <w:ilvl w:val="0"/>
          <w:numId w:val="0"/>
        </w:numPr>
      </w:pPr>
    </w:p>
    <w:p w14:paraId="259B0D74">
      <w:pPr>
        <w:pStyle w:val="17"/>
      </w:pPr>
    </w:p>
    <w:p w14:paraId="1DBE22C8">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shd w:val="clear" w:fill="auto"/>
        </w:rPr>
      </w:pPr>
    </w:p>
    <w:p w14:paraId="41A368BA">
      <w:pP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p>
    <w:p w14:paraId="0E21FF7F">
      <w:pPr>
        <w:numPr>
          <w:ilvl w:val="0"/>
          <w:numId w:val="25"/>
        </w:num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采购项目内容及要求</w:t>
      </w:r>
    </w:p>
    <w:p w14:paraId="4683DA48">
      <w:pPr>
        <w:pStyle w:val="8"/>
        <w:numPr>
          <w:ilvl w:val="0"/>
          <w:numId w:val="0"/>
        </w:numPr>
        <w:rPr>
          <w:rFonts w:hint="default"/>
          <w:lang w:val="en-US" w:eastAsia="zh-CN"/>
        </w:rPr>
      </w:pPr>
    </w:p>
    <w:p w14:paraId="2D7B4827">
      <w:pPr>
        <w:numPr>
          <w:ilvl w:val="0"/>
          <w:numId w:val="0"/>
        </w:numPr>
        <w:spacing w:before="0" w:after="0" w:line="480" w:lineRule="auto"/>
        <w:ind w:right="0" w:rightChars="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zCs w:val="22"/>
          <w:shd w:val="clear" w:fill="auto"/>
          <w:lang w:val="en-US" w:eastAsia="zh-CN"/>
        </w:rPr>
        <w:t>生物教室工程技术参数及数量</w:t>
      </w:r>
    </w:p>
    <w:tbl>
      <w:tblPr>
        <w:tblStyle w:val="13"/>
        <w:tblW w:w="89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7"/>
        <w:gridCol w:w="740"/>
        <w:gridCol w:w="6035"/>
        <w:gridCol w:w="780"/>
        <w:gridCol w:w="841"/>
      </w:tblGrid>
      <w:tr w14:paraId="5EB6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blHeader/>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26E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C3B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产品名称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89D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基础参数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6184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4054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14:paraId="29F07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C9E1">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09B2A2">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吊装实验室</w:t>
            </w:r>
          </w:p>
        </w:tc>
      </w:tr>
      <w:tr w14:paraId="02364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CB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397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教师演示台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35B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3"/>
                <w:lang w:val="en-US" w:eastAsia="zh-CN" w:bidi="ar"/>
              </w:rPr>
              <w:t>规格：长2800mm×宽700mm×高850mm</w:t>
            </w:r>
            <w:r>
              <w:rPr>
                <w:rStyle w:val="23"/>
                <w:lang w:val="en-US" w:eastAsia="zh-CN" w:bidi="ar"/>
              </w:rPr>
              <w:br w:type="textWrapping"/>
            </w:r>
            <w:r>
              <w:rPr>
                <w:rStyle w:val="23"/>
                <w:lang w:val="en-US" w:eastAsia="zh-CN" w:bidi="ar"/>
              </w:rPr>
              <w:t>1.台面采用12.7mm厚实芯理化板，外露边沿修圆弧，整体美观大方，耐高温、耐酸碱、耐腐蚀、不吸水、防火、阻燃、防静电、抗老化、无毒、无褪色、材质坚硬，牢固可靠。</w:t>
            </w:r>
            <w:r>
              <w:rPr>
                <w:rStyle w:val="23"/>
                <w:lang w:val="en-US" w:eastAsia="zh-CN" w:bidi="ar"/>
              </w:rPr>
              <w:br w:type="textWrapping"/>
            </w:r>
            <w:r>
              <w:rPr>
                <w:rStyle w:val="23"/>
                <w:lang w:val="en-US" w:eastAsia="zh-CN" w:bidi="ar"/>
              </w:rPr>
              <w:t>2.桌柜采用16mm厚聚木屑三聚氰胺双面板。</w:t>
            </w:r>
            <w:r>
              <w:rPr>
                <w:rStyle w:val="23"/>
                <w:lang w:val="en-US" w:eastAsia="zh-CN" w:bidi="ar"/>
              </w:rPr>
              <w:br w:type="textWrapping"/>
            </w:r>
            <w:r>
              <w:rPr>
                <w:rStyle w:val="23"/>
                <w:lang w:val="en-US" w:eastAsia="zh-CN" w:bidi="ar"/>
              </w:rPr>
              <w:t>3.桌架采用40mm×60mm×1.2mm方钢管。</w:t>
            </w:r>
            <w:r>
              <w:rPr>
                <w:rStyle w:val="23"/>
                <w:lang w:val="en-US" w:eastAsia="zh-CN" w:bidi="ar"/>
              </w:rPr>
              <w:br w:type="textWrapping"/>
            </w:r>
            <w:r>
              <w:rPr>
                <w:rStyle w:val="23"/>
                <w:lang w:val="en-US" w:eastAsia="zh-CN" w:bidi="ar"/>
              </w:rPr>
              <w:t>4.五金配件</w:t>
            </w:r>
            <w:r>
              <w:rPr>
                <w:rStyle w:val="23"/>
                <w:lang w:val="en-US" w:eastAsia="zh-CN" w:bidi="ar"/>
              </w:rPr>
              <w:br w:type="textWrapping"/>
            </w:r>
            <w:r>
              <w:rPr>
                <w:rStyle w:val="23"/>
                <w:lang w:val="en-US" w:eastAsia="zh-CN" w:bidi="ar"/>
              </w:rPr>
              <w:t>1）拉手：采用一字型铝合金拉手。</w:t>
            </w:r>
            <w:r>
              <w:rPr>
                <w:rStyle w:val="23"/>
                <w:lang w:val="en-US" w:eastAsia="zh-CN" w:bidi="ar"/>
              </w:rPr>
              <w:br w:type="textWrapping"/>
            </w:r>
            <w:r>
              <w:rPr>
                <w:rStyle w:val="23"/>
                <w:lang w:val="en-US" w:eastAsia="zh-CN" w:bidi="ar"/>
              </w:rPr>
              <w:t>2）铰链：采用铰链，最大开启角度110°，开启15º以内具有自闭功能。耐腐蚀、承重、经久耐用。</w:t>
            </w:r>
            <w:r>
              <w:rPr>
                <w:rStyle w:val="23"/>
                <w:lang w:val="en-US" w:eastAsia="zh-CN" w:bidi="ar"/>
              </w:rPr>
              <w:br w:type="textWrapping"/>
            </w:r>
            <w:r>
              <w:rPr>
                <w:rStyle w:val="23"/>
                <w:lang w:val="en-US" w:eastAsia="zh-CN" w:bidi="ar"/>
              </w:rPr>
              <w:t>3）导轨：采用超静音三节滚珠滑轨。</w:t>
            </w:r>
            <w:r>
              <w:rPr>
                <w:rStyle w:val="23"/>
                <w:lang w:val="en-US" w:eastAsia="zh-CN" w:bidi="ar"/>
              </w:rPr>
              <w:br w:type="textWrapping"/>
            </w:r>
            <w:r>
              <w:rPr>
                <w:rStyle w:val="23"/>
                <w:lang w:val="en-US" w:eastAsia="zh-CN" w:bidi="ar"/>
              </w:rPr>
              <w:t>4）地脚：ABS工程塑料可调脚，螺杆≥Φ10mm，具有减缓冲击力功能。</w:t>
            </w:r>
            <w:r>
              <w:rPr>
                <w:rStyle w:val="23"/>
                <w:lang w:val="en-US" w:eastAsia="zh-CN" w:bidi="ar"/>
              </w:rPr>
              <w:br w:type="textWrapping"/>
            </w:r>
            <w:r>
              <w:rPr>
                <w:rStyle w:val="23"/>
                <w:lang w:val="en-US" w:eastAsia="zh-CN" w:bidi="ar"/>
              </w:rPr>
              <w:t>结构：</w:t>
            </w:r>
            <w:r>
              <w:rPr>
                <w:rStyle w:val="23"/>
                <w:lang w:val="en-US" w:eastAsia="zh-CN" w:bidi="ar"/>
              </w:rPr>
              <w:br w:type="textWrapping"/>
            </w:r>
            <w:r>
              <w:rPr>
                <w:rStyle w:val="23"/>
                <w:lang w:val="en-US" w:eastAsia="zh-CN" w:bidi="ar"/>
              </w:rPr>
              <w:t>1.钢木左右结构；</w:t>
            </w:r>
            <w:r>
              <w:rPr>
                <w:rStyle w:val="23"/>
                <w:lang w:val="en-US" w:eastAsia="zh-CN" w:bidi="ar"/>
              </w:rPr>
              <w:br w:type="textWrapping"/>
            </w:r>
            <w:r>
              <w:rPr>
                <w:rStyle w:val="23"/>
                <w:lang w:val="en-US" w:eastAsia="zh-CN" w:bidi="ar"/>
              </w:rPr>
              <w:t>2.钢架采用“工”字形结构，前面放置木柜，木柜下设钢管托撑，并有M8mm螺丝顶固，带可调地脚；</w:t>
            </w:r>
            <w:r>
              <w:rPr>
                <w:rStyle w:val="23"/>
                <w:lang w:val="en-US" w:eastAsia="zh-CN" w:bidi="ar"/>
              </w:rPr>
              <w:br w:type="textWrapping"/>
            </w:r>
            <w:r>
              <w:rPr>
                <w:rStyle w:val="23"/>
                <w:lang w:val="en-US" w:eastAsia="zh-CN" w:bidi="ar"/>
              </w:rPr>
              <w:t>3.桌柜上设抽屉，下设储物柜；水槽柜设检修门；</w:t>
            </w:r>
            <w:r>
              <w:rPr>
                <w:rStyle w:val="23"/>
                <w:lang w:val="en-US" w:eastAsia="zh-CN" w:bidi="ar"/>
              </w:rPr>
              <w:br w:type="textWrapping"/>
            </w:r>
            <w:r>
              <w:rPr>
                <w:rStyle w:val="23"/>
                <w:lang w:val="en-US" w:eastAsia="zh-CN" w:bidi="ar"/>
              </w:rPr>
              <w:t>工艺：</w:t>
            </w:r>
            <w:r>
              <w:rPr>
                <w:rStyle w:val="23"/>
                <w:lang w:val="en-US" w:eastAsia="zh-CN" w:bidi="ar"/>
              </w:rPr>
              <w:br w:type="textWrapping"/>
            </w:r>
            <w:r>
              <w:rPr>
                <w:rStyle w:val="23"/>
                <w:lang w:val="en-US" w:eastAsia="zh-CN" w:bidi="ar"/>
              </w:rPr>
              <w:t>1.板材截面采用pvc封边条机械高温封边；</w:t>
            </w:r>
            <w:r>
              <w:rPr>
                <w:rStyle w:val="23"/>
                <w:lang w:val="en-US" w:eastAsia="zh-CN" w:bidi="ar"/>
              </w:rPr>
              <w:br w:type="textWrapping"/>
            </w:r>
            <w:r>
              <w:rPr>
                <w:rStyle w:val="23"/>
                <w:lang w:val="en-US" w:eastAsia="zh-CN" w:bidi="ar"/>
              </w:rPr>
              <w:t>2.钢材采用CO</w:t>
            </w:r>
            <w:r>
              <w:rPr>
                <w:rStyle w:val="24"/>
                <w:rFonts w:eastAsia="宋体"/>
                <w:lang w:val="en-US" w:eastAsia="zh-CN" w:bidi="ar"/>
              </w:rPr>
              <w:t>₂</w:t>
            </w:r>
            <w:r>
              <w:rPr>
                <w:rStyle w:val="23"/>
                <w:lang w:val="en-US" w:eastAsia="zh-CN" w:bidi="ar"/>
              </w:rPr>
              <w:t>保护焊焊接，钢材表面经喷砂抛丸去油除锈，静电喷涂；</w:t>
            </w:r>
            <w:r>
              <w:rPr>
                <w:rStyle w:val="23"/>
                <w:lang w:val="en-US" w:eastAsia="zh-CN" w:bidi="ar"/>
              </w:rPr>
              <w:br w:type="textWrapping"/>
            </w:r>
            <w:r>
              <w:rPr>
                <w:rStyle w:val="23"/>
                <w:lang w:val="en-US" w:eastAsia="zh-CN" w:bidi="ar"/>
              </w:rPr>
              <w:t>性能：1.台面双面膜耐腐蚀实芯理化板，耐酸、耐碱、耐高温，坚固耐用，防潮、无细孔、不膨胀、不龟裂、不变形、不导电、便于维护及具有良好的承重性；</w:t>
            </w:r>
            <w:r>
              <w:rPr>
                <w:rStyle w:val="23"/>
                <w:lang w:val="en-US" w:eastAsia="zh-CN" w:bidi="ar"/>
              </w:rPr>
              <w:br w:type="textWrapping"/>
            </w:r>
            <w:r>
              <w:rPr>
                <w:rStyle w:val="23"/>
                <w:lang w:val="en-US" w:eastAsia="zh-CN" w:bidi="ar"/>
              </w:rPr>
              <w:t>3.桌柜离地150mm左右，方便打扫卫生；</w:t>
            </w:r>
            <w:r>
              <w:rPr>
                <w:rStyle w:val="23"/>
                <w:lang w:val="en-US" w:eastAsia="zh-CN" w:bidi="ar"/>
              </w:rPr>
              <w:br w:type="textWrapping"/>
            </w:r>
            <w:r>
              <w:rPr>
                <w:rStyle w:val="23"/>
                <w:lang w:val="en-US" w:eastAsia="zh-CN" w:bidi="ar"/>
              </w:rPr>
              <w:t>4.水池柜：演示台一侧应设置水池柜，安放高密度黑色PPR一体化水槽，其内腔尺寸（长宽高）480mm×380mm×280mm。并设置活动检修门，便于进行维护。</w:t>
            </w:r>
            <w:r>
              <w:rPr>
                <w:rStyle w:val="23"/>
                <w:lang w:val="en-US" w:eastAsia="zh-CN" w:bidi="ar"/>
              </w:rPr>
              <w:br w:type="textWrapping"/>
            </w:r>
            <w:r>
              <w:rPr>
                <w:rStyle w:val="23"/>
                <w:lang w:val="en-US" w:eastAsia="zh-CN" w:bidi="ar"/>
              </w:rPr>
              <w:t>5.水嘴：喷塑三联式高位水嘴、陶瓷芯片水阀水槽。</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EB4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43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14:paraId="04F7A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CBA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65D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生物实验室总控电源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2FE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产品外壳采用镀锌板折弯焊接成型，表面喷塑。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1.电源面板表面贴面膜，设有漏电总开关、交流220V五孔带防护插座。</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D17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F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9BAB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A41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22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学生实验台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EE3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规格：长1200mm×宽600mm×高780mm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1.台面：台面采用≥12mm 双面膜理化板台面，学生位置设圆弧造型 两侧设阻水边。台面后方卡入学生桌铝型槽内。耐酸、耐碱、耐高温，坚固耐用，防潮、无细孔、不膨胀、不龟裂、不变形、不导电、便于维护及具有良好的承重性能。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2.结构：新型钢塑结构，符合人体工程学设计，美观大方。专用书包斗采用 ABS 工程塑料一次性注塑成型结合，内净尺寸≥365mm×280mm×120mm。镂空设计，底部设有排水孔，便于清理，不屯垃圾，中间设挂凳卡。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3.桌架：桌腿采用≥90mm×60mm×2mm 椭圆管模具一体成型为”Y”字型（不得二次焊接），下开口采用磨具成型改性工程塑料材料装饰，上端连接件采用铸铝一体成型，上框采用 20mm×30mm矩形管焊接成型，并用高强度内六角螺丝连接，便于组装及拆卸，外观流线形设计，简洁美观，易碰撞处全部采用倒圆角，产品款式要求整体设计美观、合理、安全、牢固、耐用。金属表面经静电粉沫喷涂处理。要做到承重性能强和耐酸碱、耐腐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4.挡水板：后挡水板采用≥1150mm×140mm×20mm 厚一体成型铝合金，左右堵头连接件采用ABS模具一体成型，固定于台架不易脱落，便于组装及拆卸，外观流线形设计，简洁美观,易碰撞处全部采用倒圆角，产品款式要求整体设计美观、合理、安全牢固、耐用。金属表面经静电粉沫喷涂处理。要做到承重性能强和耐酸碱、耐腐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5.桌脚：采用一体注塑模具成型，结构美观牢固，并设有防滑调整脚，同时可以与地面固定，防止桌体移动。采用专用注塑模具件装饰。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为保证产品质量以及从环保角度保障实验室人员健康，产品必须通过GB24820-2009《实验室家具通用技术条件》检测，符合以下技术参数及要求：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▲（1）、台面宽度，净操作面深度，台面高度，操作台高度，操作台下净空高，操作台下净空宽；满足第三方检测机构主要尺寸检测，检测结果均为符合。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▲（2）、外形尺寸偏差，台面翘曲度，台面平整度，底脚平稳性；满足第三方检测机构外形尺寸偏差及形状位置公差测检测，检测结果均为符合。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操作台面的裂缝和渗透，板件或部件的毛刺和光滑，封边或包边不应出现脱胶，贴面应严密和平整，零部件结合的严密和牢固，配件安装的无松动，金属件应闭口和焊接无虚焊，焊疤表面波纹应均匀、高低之差应不大于1mm，金属件涂层应无漏喷、锈蚀和脱色、掉色现象，涂层应光滑均匀、色泽一致、应无流挂、疙瘩、皱皮、飞漆等缺陷；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▲（4）、台面磨耗值28mg/100r，表面情况应无露底现象，无整圈连续划痕、无开裂，耐龟裂性0级，无裂纹、鼓泡、起皱和无明显变色，无凸起、龟裂和 明显变色，耐干热1级，冲击凹坑直径7.5mm，化学实验台面抗化学试剂符合要求，耐高温，耐污染1级；满足第三方检测机构检测，检测结果均为符合。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▲（5）、金属喷(漆)塑涂层硬度3H，冲击强度符合要求，耐腐蚀10级；满足第三方检测机构检测，检测结果均为符合。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产品整体的力学性能经过水平静载荷试验，垂直静载荷试验，持续垂直静载荷，独立操作台水平冲击稳定性试验，独立操作台垂直加载稳定性试验，水平耐久性试验，垂直冲击试验；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▲（7）、甲醛释放量：0.2mg/L；满足第三方检测机构检测，检测结果均为符合。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▲（8）、重金属含量中的可溶性铅、可溶性镉、可溶性铬、可溶性汞；满足第三方检测机构检测，检测结果均为符合。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响应文件中需提供国家认可的检测机构出具的检测报告（复印件盖供应商公章），原件现场核查。且报告中须反应以上（1）～（8）项技术指标。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B9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5E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14:paraId="2B628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9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2DC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439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规格：Φ315mm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1.螺旋式升降。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2.凳脚材质：4个凳脚采用17mm×34mm×1.2mm无缝钢管模具一次弯管成型。二氧化碳保护焊焊接，结构牢固，金属表面经静电粉沫喷涂处理。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3.凳面材质：采用聚丙烯共聚级注塑,厚5mm。表面细纹咬花，防滑不发光。凳面底部镶嵌4枚铜质螺纹，采用螺丝与圆型托盘固定。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4.脚垫材质：采用PP加耐磨纤维质塑料，实心倒勾式一体射出成型凳面与凳脚留有一定的空间便于凳子挂在挂凳扣上。方便教室的打扫。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▲（1）、实验凳座高430mm，满足第三方检测机构主要尺寸及偏差检测，检测结果均为符合。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▲（2）、实验凳着地平稳性；满足第三方检测机构形状和位置公差检测，检测结果均为符合。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▲（3）、实验凳外观性能-金属件的喷涂层应涂层应无漏喷、锈蚀和脱色、掉色现象，涂层应光滑均匀、色泽一致，应无流挂、疙瘩、皱皮、飞漆；满足第三方检测机构检测，检测结果均为符合。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▲（4）、实验凳外观性能-塑料件应无裂纹，无明 显变形，应无明显缩孔、气泡、杂质、伤痕，外表用塑料件表面应光洁、无划痕，无污渍，无明显色差；满足第三方检测机构检测，检测结果均为符合。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▲（5）、实验凳应满足安全性能-结构安全的要求；满足第三方检测机构检测，检测结果均为符合。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▲（6）、实验凳金属喷漆 ( 塑 )涂层的硬度4H，冲击高度400mm,应无剥落、裂纹、皱纹，附着力1级，耐腐蚀应无鼓泡产生、无锈迹、剥落、起皱、变色 和失光等现象；满足第三方检测机构检测，检测结果均为符合。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▲（7）、实验凳的塑料件冲击强度29J/m²；满足第三方检测机构检测，检测结果均为符合。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实验凳整体的力学性能通过座面和椅背静载荷试验-座面静载荷试验，座面和椅背静载荷试验-椅背静载荷试验，座面耐久性试验，椅背耐久性试验，椅腿前向静载荷试验，椅腿侧向静载荷试验，座面冲击试验，椅背冲击试验，跌落试验，凳子任意方向的倾翻试验；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▲（9）、实验凳重金属含量中的可溶性铅、可溶性镉、可溶性铬、可溶性汞；满足第三方检测机构检测，检测结果均为符合。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响应文件中需提供国家认可的检测机构出具的检测报告（复印件盖供应商公章），原件现场核查。且报告中须反应以上（1）～（9）项技术指标。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B7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971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61A01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52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B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移动水槽台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298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规格：长600mm×宽460mm×高820mm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1.由柜体和水槽底座部分组成。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水槽内规格≥400mm×300mm×240mm,柜体底座采用ABS注塑成型，水槽采用PP塑料一次模具成型，确保柜体结构稳固；柜体前后带有磁吸检修门，方便日后维修，前沿带有围边挡水，带有防溢水孔，水槽预留安装水嘴孔，洗眼器孔，按压洗手液孔，柜体内设有隐藏式抽屉方便放置洗涤用品，水封式水塞可防止废水回流和堵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3.水嘴：喷塑三联式高位水嘴。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4.水槽专配型排水管，不锈钢卡扣连接，安装方便不渗漏，储水罐PP材质。</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AF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BE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06B7F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13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7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25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1、外观设计整洁美观，采用1.0mm厚钢板经数控折弯加工，表面硅烷处理、喷塑。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2、箱门上安裝控制屏、启动开关，急停开关。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控制箱内置3P总电源开关，智能控制总开关，漏电、过载、短路保护开关，485通讯输出，微电脑控制器及功能扩展模块，微电脑保护模块，急停控制系统，电源分组控制系统，照明分组控制系统，给排水控制系统，吊臂控制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FF1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B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3356E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0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8EE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总控软件系统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763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1、开机即用，无系统启动时间。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2、经密码验证之后，方可进入控制系统界面，以增加控制安全性。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3、接通总开关和支路开关，可集中或分组控制吊臂的升降、照明灯亮与灭、交流220V插座、给排水控制（排水自动检测并及时排水）、低压交直流电压输出并可控。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4、系统时间可设置、可延时关机、可定时关机。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5、可支持拓展远程控制系统使用。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6、控制柜与各个吊臂之间采用高可靠性的Modbus-RTU通讯协议下进行控制：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a、吊臂控制系统：教师通过智能控制屏对实验室进行单独、分组、全部控制，升、降、暂停，升、降到位后会自动停止。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b、电源控制系统：教师通过智能控制屏对实验室进行单独、分组、全部控制交流220V输出和学生用低压输出。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c、照明控制系统：教师通过智能控制屏对实验室吊仓上的照明进行单独、分组、全部控制。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给排水控制系统：每个学生终端配置一组水流自动检测传感器，当给水时自动进行排水控制；吊臂下方配有插拔式自动锁紧排水接口，接口与学生水槽柜下方水箱连接通过具有耐酸碱、耐腐蚀功能的改性PVC橡胶塑料软管连接，即插即用，用完拔下收起，给排水管具有到位检测功能，在没有拔下水管，吊臂不能收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7、总电源控制：可以通过选择触摸控制屏的电源界面，按下屏幕中间的“总电源”按键开机，再按关机。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8、吊臂升降控制：可以通过单选按键或屏下方的“全选”“反选”按键，选中位置号，按下吊臂升、吊臂暂停、吊臂降按键，吊臂执行相应操作，并在升降过程中，到达顶部和底部停止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照明灯控制：可以通过单选按键或屏下方的“全选”、“反选”按键，选中位置号，按下照明键，打开照明灯电源，再按下关闭照明灯电源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9、220V插座控制：可以通过单选按键或屏下方的“全选反选”按键，选中位置号，按 220V 电按键，打开220V插电源，再按下关闭220V插座电源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低压电源控制：可以通过单选按键或屏下方“全选”、“反选”按键，选中位置号，按下直流区域/交流区域，按下“锁电压”或“锁上限”弹出对话框，拖动电压条到设定位置，按确定输出直流/交流;可以在上限锁定后，学生在锁定范围内调整电压:可以在过载后进入恒流状态并关闭输出;可以在排除故障后，按学生端任意键复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11、给排水控制：可以通过单选按键或屏下方的“全选”、“反选”按键，选中位置号，按下给水开按键，打开给水，并进行排水;可以按下给水关按键，关闭给水，排水在废水排完后停止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12、通风控制：可以通过选择触摸屏的排风界面，按下“排风”按键，启动通风风机;可以滑动风速变化条改变风量大小;可以显示风量百分比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▲产品应符合GB/T 25000.51-2016《系统与软件工程系统与软件质量要求和评价(SQuaRE)第51部分:就绪可用软件产品(RUSP)的质量要求和测试细则》的检测要求，需提供国家认可的检测机构出具的检测报告（复印件盖供应商公章），原件现场核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87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F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21C4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6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0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控制屏</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D0E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1、控制屏幕采用12.1寸，外部用铝合金包边，分辨率为1024*768。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2、屏幕为电容触摸，支持单点、滑动触摸。</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C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321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300A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98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01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远程控制系统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2FF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1、远程控制系统自适应PC、平板、手机端，兼顾不同系统不同终端的使用需求。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2、远程控制系统采用终端账号统一管理，实现账号与实验室一一对应，避免误操作和账号管理分散，登录验证唯一性，保证安全。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3、远程控制系统与总控软件系统实时通信，保证状态实时同步，实现远程实时对总控软件系统的远程操作。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4、具有良好的拓展性，可以接入其他标准系统接口，实现对实验室产品控制功能的拓展。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总电源控制：可以通过选择触摸控制屏的电源界面，按下屏幕中间的“总电源”按键开机，再按关机。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5、吊臂升降控制：可以通过单选按键或屏下方的“全选”“反选”按键，选中位置号，按下吊臂升、吊臂暂停、吊臂降按键，吊臂执行相应操作，并在升降过程中，到达顶部和底部停止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照明灯控制：可以通过单选按键或屏下方的“全选”、“反选”按键，选中位置号，按下照明键，打开照明灯电源，再按下关闭照明灯电源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6、220V插座控制：可以通过单选按键或屏下方的“全选反选”按键，选中位置号，按 220V 电按键，打开220V插电源，再按下关闭220V插座电源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低压电源控制：可以通过单选按键或屏下方“全选”、“反选”按键，选中位置号，按下直流区域/交流区域，按下“锁电压”或“锁上限”弹出对话框，拖动电压条到设定位置，按确定输出直流/交流;可以在上限锁定后，学生在锁定范围内调整电压:可以在过载后进入恒流状态并关闭输出;可以在排除故障后，按学生端任意键复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8、给排水控制：可以通过单选按键或屏下方的“全选”、“反选”按键，选中位置号，按下给水开按键，打开给水，并进行排水;可以按下给水关按键，关闭给水，排水在废水排完后停止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9、通风控制：可以通过选择触摸屏的排风界面，按下“排风”按键，启动通风风机;可以滑动风速变化条改变风量大小;可以显示风量百分比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10、系统设置：可以修改密码数据;可以设置开关机时间;可以查看报警日志、运行日志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▲产品应符合GB/T 25000.51-2016《系统与软件工程系统与软件质量要求和评价(SOuaRE)第51部分:就绪可用软件产品(RUSP的质量要求和测试细则》，需提供国家认可的检测机构出具的检测报告（复印件盖供应商公章），原件现场核查。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8CB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D2B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CAB2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94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56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环境检测套件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301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可在实验室加装温度、湿度等传感装置，实时监控房间内的温度和湿度，保障室内舒适的环境舒适性，在控制系统中进行显示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6F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4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2B14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B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0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吊舱模组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F9D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3"/>
                <w:lang w:val="en-US" w:eastAsia="zh-CN" w:bidi="ar"/>
              </w:rPr>
              <w:t>规格：1200mm×550mm×240mm</w:t>
            </w:r>
            <w:r>
              <w:rPr>
                <w:rStyle w:val="23"/>
                <w:lang w:val="en-US" w:eastAsia="zh-CN" w:bidi="ar"/>
              </w:rPr>
              <w:br w:type="textWrapping"/>
            </w:r>
            <w:r>
              <w:rPr>
                <w:rStyle w:val="23"/>
                <w:lang w:val="en-US" w:eastAsia="zh-CN" w:bidi="ar"/>
              </w:rPr>
              <w:t>1、材质：吊舱整体采用1mm冷轧钢板经数控折弯成型，连接处采用3mm冷轧钢板加固，金属框架部分为一体式结构，比分体式或拼插式结构具有更高的结构强度，内部设有20*40*1.2mm矩管做为加强龙骨，两侧设有LED灯，照度不小于150lx，下方设有可拆卸挡板，方便检修；工艺：钢材采用焊接机器人CO</w:t>
            </w:r>
            <w:r>
              <w:rPr>
                <w:rStyle w:val="24"/>
                <w:rFonts w:eastAsia="宋体"/>
                <w:lang w:val="en-US" w:eastAsia="zh-CN" w:bidi="ar"/>
              </w:rPr>
              <w:t>₂</w:t>
            </w:r>
            <w:r>
              <w:rPr>
                <w:rStyle w:val="23"/>
                <w:lang w:val="en-US" w:eastAsia="zh-CN" w:bidi="ar"/>
              </w:rPr>
              <w:t>保护焊焊接，表层采用去油、除锈、打磨、喷塑工艺处理。</w:t>
            </w:r>
            <w:r>
              <w:rPr>
                <w:rStyle w:val="23"/>
                <w:lang w:val="en-US" w:eastAsia="zh-CN" w:bidi="ar"/>
              </w:rPr>
              <w:br w:type="textWrapping"/>
            </w:r>
            <w:r>
              <w:rPr>
                <w:rStyle w:val="23"/>
                <w:lang w:val="en-US" w:eastAsia="zh-CN" w:bidi="ar"/>
              </w:rPr>
              <w:t>为保证产品质量以及从环保角度保障实验室人员健康，产品必须符合以下技术参数及要求：</w:t>
            </w:r>
            <w:r>
              <w:rPr>
                <w:rStyle w:val="23"/>
                <w:lang w:val="en-US" w:eastAsia="zh-CN" w:bidi="ar"/>
              </w:rPr>
              <w:br w:type="textWrapping"/>
            </w:r>
            <w:r>
              <w:rPr>
                <w:rStyle w:val="23"/>
                <w:lang w:val="en-US" w:eastAsia="zh-CN" w:bidi="ar"/>
              </w:rPr>
              <w:t>▲（1）、吊装舱依据GB24820-2009《实验室家具通用技术条件》测试，喷涂层涂层应无漏喷、锈蚀和脱色、掉色现象，涂层应光滑均匀、色泽一致，无流挂、疙瘩、皱皮、飞漆等缺陷，电镀层表面应无剥落、返锈、毛刺，表面应无烧焦、起泡、针孔、裂纹、花斑(不包括镀彩锌)和划痕；检测结果均为符合。</w:t>
            </w:r>
            <w:r>
              <w:rPr>
                <w:rStyle w:val="23"/>
                <w:lang w:val="en-US" w:eastAsia="zh-CN" w:bidi="ar"/>
              </w:rPr>
              <w:br w:type="textWrapping"/>
            </w:r>
            <w:r>
              <w:rPr>
                <w:rStyle w:val="23"/>
                <w:lang w:val="en-US" w:eastAsia="zh-CN" w:bidi="ar"/>
              </w:rPr>
              <w:t>▲（2）、吊装舱涂层-硬度为4H，耐腐蚀，抗盐雾；满足第三方检测机构检测，检测结果均为符合。</w:t>
            </w:r>
            <w:r>
              <w:rPr>
                <w:rStyle w:val="23"/>
                <w:lang w:val="en-US" w:eastAsia="zh-CN" w:bidi="ar"/>
              </w:rPr>
              <w:br w:type="textWrapping"/>
            </w:r>
            <w:r>
              <w:rPr>
                <w:rStyle w:val="23"/>
                <w:lang w:val="en-US" w:eastAsia="zh-CN" w:bidi="ar"/>
              </w:rPr>
              <w:t>▲（3）、吊装舱重金属含量中的可溶性铅、可溶性镉、可溶性铬、可溶性汞；满足第三方检测机构检测，检测结果均为符合。</w:t>
            </w:r>
            <w:r>
              <w:rPr>
                <w:rStyle w:val="23"/>
                <w:lang w:val="en-US" w:eastAsia="zh-CN" w:bidi="ar"/>
              </w:rPr>
              <w:br w:type="textWrapping"/>
            </w:r>
            <w:r>
              <w:rPr>
                <w:rStyle w:val="23"/>
                <w:lang w:val="en-US" w:eastAsia="zh-CN" w:bidi="ar"/>
              </w:rPr>
              <w:t>▲（4）、吊装舱依据GB/T9286-2021标准《色漆和清漆划格试验》测试，附着力为0级；</w:t>
            </w:r>
            <w:r>
              <w:rPr>
                <w:rStyle w:val="23"/>
                <w:lang w:val="en-US" w:eastAsia="zh-CN" w:bidi="ar"/>
              </w:rPr>
              <w:br w:type="textWrapping"/>
            </w:r>
            <w:r>
              <w:rPr>
                <w:rStyle w:val="23"/>
                <w:lang w:val="en-US" w:eastAsia="zh-CN" w:bidi="ar"/>
              </w:rPr>
              <w:t>响应文件中需提供国家认可的检测机构出具的检测报告（复印件盖供应商公章），原件现场核查。且报告中须反应以上（1）～（4）项技术指标。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A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E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AE91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9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3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吊臂模组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4B9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1、吊臂由铝合金加工成型，表面和经环氧树脂粉末静电喷涂、高温固化处理，耐腐蚀，吊臂截面尺寸为80*40的D型管材，壁厚2mm；长度645mm。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2、吊臂模组可由总控系统控制升降，不使用时可收于吊舱之内，起到防止阻挡视线的功能。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3、吊臂模组可以实现单独控制、分组控制和整体控制。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4、在吊臂升降中，如遇障碍物可以实现回弹、或停止，避免出现机械故障或人员夹伤。</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874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A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E68F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C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64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吊臂控制系统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27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摇臂接收智能控制系统信号实现远程遥控，动力采用直流24V减速低压电机。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1、可通过总控系统对实验室的吊臂进行控制，可以实现单独控制、分组控制。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2、系统自带障碍物保护功能，具有防夹，防卡功能，当摇臂在运动的过程中遇到障碍物时会自动停止，具有过流保护功能。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9E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8F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16A0D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94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D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吊舱端头模组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F2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规格：300mm×550mm×240mm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整体采用1mm冷轧钢板经数控折弯成型。连接处采用3mm冷轧钢板加固，整体框架为一体式结构.</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E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576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2602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1D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749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电源分组控制系统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E91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1、可通过电源控制系统控制学生电源的220V供电的开启和关闭，可以实现单独控制、分组控制。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2、可通过电源控制系统控制选择学生电源的电源交、直流输出的开关。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3、可通过电源控制系统锁定学生电源的低压交直流输出，锁定后受控学生电源不能修改。可锁定学生低压交直流输出上限，锁定后只可向下调整电压，解锁后学生方可自由调节。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866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6F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A67D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28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2B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学生电源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CA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1、学生电源安装于吊臂模组末端ABS塑料壳体之上。美观大方，壳体正面由钢板加工成型并贴面板膜，文字符号清晰，按键分布合理。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每个吊臂上安装两组学生电源，分别有低压交、直流输出香焦插座，五孔插座4个、过载短路复位开关1个，网线插孔2个，急停按钮1个。学生用电源设（∧、V、AC/DC按键、过载按任意键复位），2组1.3寸OLED显示屏，显示电压和电流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学生用电源参数符合JY/T0374一2004标准中低压输出标准要求。符合以下性能要求：a.交流输出：电压0∨-30Ⅴ、显示±0.5V，每0.5V一档，可随负载变化自动稳压，0V-18V额定电流3A，18V-30V额定电流2A。b.直流稳压输出：电压0V-36Ⅴ、显示±0.2V，连续无极可调，每0.1V递增，0V-16V额定电流2A，16.1V-36V额定电流1A。电压稳定性：≤2%U标+0.1Ⅴ，负载稳定性：≤2%U标+0.1Ⅴ，波纹电压：电源电压保持220V，达到额定电流时&lt;3mV。c.电压电流：可实时输出电压和电流，电压分辩率0.1V，电流分辩率0.01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过载保护功能：交流输出0V-18V输出3.2A、16.1V-30∨输出2.2A，直流稳压输出0∨-16V输出2.1A、16.1V-36V输出1.1A，当输出过载或短路时电源进入恒流状态延时1分钟后自动关闭输出，并能启动不大于额定电流的白炽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5、电源输入：AC220Ⅴ±22V，50H±0.5Hz。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6、工作环境条件，温度0~40℃；湿度≤90%（40℃），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7、连续工作时间：输出电流在额定电流范围内，允许8小时连续使用。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8、急停按钮：单个吊臂使用端用电异常时，可快速切断此吊臂高低压电源。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9、国标五孔插座：带安全防护门，额定电流5A。交流220V输出有过载短路复位开关，避免因保险丝熔断更换造成的麻烦。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6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F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14:paraId="5C9D6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8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7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给排水控制系统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5D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自动排水模块1组、水模拟量控制器1组、电源控制器1套、自动保护系统1组。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所有排水由智能化控制系统集中控制，接口均采用自动锁紧插拔式连接方式（拔掉时没有污水流出），用时接上，不用时可收起。连接软管采用防爆PVC橡胶塑料，具有防酸、防碱、耐腐蚀功能，当学生水槽柜下方水箱水量达到一定值时系统自动排水、污水经过连接管排至顶部排水管总管后流出，当水槽柜下方水箱污水排净后排水系统自动关闭。控制系统设置一键排空功能，可一键将管道内所有的污水排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A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2B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8B4E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1D4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75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给排水模组</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CA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1、给排水接口采用PVC材质，具有耐酸碱，拔插轻松，不生锈；即插即用，具有高密封性能，即使在供水排水工作时，随时拔掉接口不会有任何滴漏现象。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2、给水主管选用φ20-32mmPP-R给水管，模块化设计，每组模块间采用活接式连接，方便安装、检修。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3、排水管选用加厚φ50-75mmPVC-U国标管（具有防酸、防碱、耐腐蚀功能），模块化设计，每组模块间采用活接式连接，方便安装、检修。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4、给水主管前端为减少水中颗粒物设置前置过滤器。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5、单个模组设置4分电磁阀。</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4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1A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BE69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2E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C6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实验室灯</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26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规格：长1200mm×宽300mm×高15mm/长600mm×宽600mm×高15mm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1、功率：36W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2、色温：5000K±200K</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3、显指：Ra≥95,R9≥80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4、整灯光通量：≥3200LM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5、蓝光：RG0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6、频闪：无显著影响水平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7、防护等级：IP40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8、寿命：50000h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9、质保：5年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10、结构：金属底壳+微晶出光板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11、安装方式：吊装/嵌装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331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F7D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盏</w:t>
            </w:r>
          </w:p>
        </w:tc>
      </w:tr>
      <w:tr w14:paraId="726D3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27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38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75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采用专业连接件、吊装专用支架、三角连接件、吊装实验室专用安装支架和墙顶连接件、吊装挂件等。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4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37B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室</w:t>
            </w:r>
          </w:p>
        </w:tc>
      </w:tr>
      <w:tr w14:paraId="0421C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C13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572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系统调试</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9AA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1.吊顶式安装系统采用模块化结构设计，采用吊装安装方式。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2.系统结构调试。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3.系统控制调试。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4.供电系统调试。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5.照明系统调试。</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8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3C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55C7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CC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C0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系统安装辅件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983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采用门型框架安装方式，减少楼板承重，防止左右晃动。主要辅件有：吊装专用支架、三角连接件、吊装实验室专用安装支架和墙顶连接件、吊装挂件等。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8C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D6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r>
      <w:tr w14:paraId="2E282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A23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774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安装与实施</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0CA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需要提供根据项目地的设计布局图、水电风路图等施工图纸。实验室水路布线系统铺设、电源布线系统铺设、台案安装，不包含土建。</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65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64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FE03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FA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59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仪器柜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23B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规格：长1000mm×宽500mm×高2000mm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1.柜体：侧板、顶底板采用改性PP材料模具一次成型，表面沙面和光面相结合处理，保证柜体之坚固及密封性，耐腐蚀性强，顶板、底板预留模具成型排风孔。底部镶嵌15mm*30*1.2mm钢制横梁，承重力强。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2.下柜柜门：内框采用改性PP材质模具一次成型，外嵌5mm厚钢化烤漆玻璃。上下拉手及三角对称五点固定，防止玻璃的松动或开合。伸缩式PP旋转门轴，四角圆弧倒角，内侧弧形圆边，配锁。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3.上柜柜门：内框采用改性PP材质模具一次成型，外嵌5mm厚钢化烤漆玻璃，中间烤漆镂空制作。上下拉手及三角对称五点固定，防止玻璃的松动或开合。伸缩式PP旋转门轴，四角圆弧倒角，内侧弧形圆边。配锁。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层板：上柜配置两块活动层板，下柜配置一块活动层板，层板全部采用改性PP材料模具一次成型，表面沙面和光面相结合处理，四周有阻水边，底部镶嵌两根15mm*30*1.2mm钢制横梁，承重力强。整体设计为活动式，可随意抽取放在合适的隔层，自由组合各层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5.拉手：采用改性PP材料模具一次成型，直角梯形四周倒圆与柜门平行，开启方便。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6.门铰链：采用改性PP材料模具一次成型，伸缩式PP旋转门轴，永不生锈，耐腐蚀性好。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4AD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4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14:paraId="1A908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9C56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C2A756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生物学创新实验仪器</w:t>
            </w:r>
          </w:p>
        </w:tc>
      </w:tr>
      <w:tr w14:paraId="4C703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0C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7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电子显微镜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5E6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一、显微镜参数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1.目镜：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①宽视野WF10X目镜；视野直径18mm,工作距离24.95mm。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目镜放大率准确度不超过±4.67%。</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2.物镜：DIN消色差物镜系统。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 成像清晰圆直径：4X:≥13.7；  10X:≥14；40X:≥13.6；100X:≥11.0。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齐焦允差：10X→4X: ≤±0.028；10X→40X: ≤±0.018；40X→100X: ≤±0.015。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 10X物镜景深内偏摆：≤0.05mm。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 显微镜物镜放大准确度：≤±2.8%。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3.物镜共轭距离：195mm。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4.观察头：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铰链式三目头，30°倾斜，可以360°自由转动。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双筒的调节范围为55mm-75mm。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  倾斜式目镜筒作360°旋转时目镜焦平面上像中心的位移≤0.45mm。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5.转换器：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滚动轴承结构，定位准确保证显微镜齐焦和中心统一。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转换器稳定性：≤0.020mm。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6.载物台：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双层机械式载物台，面积125*125mm。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X,Y方向移动范围40*60mm;移动精度0.1mm。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 用机械使标本在5mm*5mm范围内移动时的离焦量≤0.010mm。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 载物台侧向受5N水平方向作用力最大位移≤0.005mm；不重复性≤0.005mm。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7.聚光镜：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阿贝聚光镜(N.A:1.25)。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聚光镜上升到最高位置，顶端低于载物台表面的距离≤0.26mm。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8.调焦系统：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采用粗、微同轴的齿轮齿条调焦机构。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微调机构空回≤0.008mm。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9.光源系统：3.5V/1W LED光源，可通过调光拨盘调节照明亮度， LED灯光柔和寿命长（约100000小时）安全性好，发热少。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10.双目系统：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 左右两系统放大率差≤1.35%。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双目系统左右两像面光谱色一致，明暗差≤12.8%。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 双目系统左右视场中心偏差：上下≤0.14mm;左右外侧≤0.20mm；左右内侧≤0.20mm。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 双目系统左右光轴平行度：水平发散≤36′；水平汇聚≤16′；垂直交叉≤22′。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⑤ ▲ 零视度时，左右系统的目镜端面位置差≤0.20mm。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二、一体式数码液晶屏摄像系统: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▲11、机身一体化设计,仪器打开包装箱通上电源即可呈现镜下图像，无需再进行目镜、物镜及其他部件的组装；液晶屏与机身一体式设计，拆开包装，液晶屏与机身已完好连接非分体式设计。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12、一体化数码摄像系统，1/2.8 英寸逐行扫描传感器，高清晰彩色芯片， 2592*1944 像素 CMOS 感光芯片。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▲13、10.1 寸液晶显示屏，分辨率≥1920*1200；支持UVC、 USB 、HDMI接口输出。USB座可以正常连接电脑，实现电脑与显微镜之间的数据传输；支持 UVC 和显示屏同时输出；HDMI导出全高清数字信号。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▲14、嵌入式LINUX系统；运行更简单，操作更便捷。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▲15、具备WIFI6功能，支持AP模式和STA模式；AP模式可以无线连接手机、平板等智能终端设备，STA模式下可以组成无线互动系统。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学生端直接通过图像传感器经CPU处理后直接驱动LCD屏幕显示；有效防止因学生误操作断开网络等原因中断信号，确保图像品质以及稳定性。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内置式显微镜数码头具备网络数据连接功能，可将将64台数码显微镜图像，经过高速传输处理器汇聚处理后，教师可通过图像互动系统，实现多视频实时传输、实时显示，保证速度流畅、画质清晰。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参数带“▲”项需提供第三方检测机构出具的具有CMA或CNAS标识的检测报告内容佐证。</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C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1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9B11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9B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F8A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光学显微镜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1D9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1.目镜：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①宽视野WF10X目镜；视野直径18mm,工作距离24.95mm。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 目镜放大率准确度不超过±4.67%。</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2.物镜：DIN消色差物镜系统；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▲成像清晰圆直径：4X:≥7.2；  10X:≥7.4；40X:≥6.8；100X:≥4.8；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▲齐焦允差：10X➝ 4X: ≤±0.035；10X➝ 40X: ≤±0.028；40X➝100X: ≤ ±0.028；</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▲0X物镜景深内偏摆：≤0.05mm；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▲显微镜物镜放大准确度：≤±1.2%。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3.物镜共轭距离：195mm。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4.观察头：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铰链式双目头，30°倾斜，可以360°自由转动；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双筒的调节范围为55mm-75mm；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▲倾斜式目镜筒作360°旋转时目镜焦平面上像中心的位移≤0.48mm。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5.转换器：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滚动轴承结构，定位准确保证显微镜齐焦和中心统一；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▲转换器稳定性：≤0.025mm。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6.载物台：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双层机械式载物台，面积125*125mm;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X,Y方向移动范围40*60mm;移动精度0.1mm；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▲用机械使标本在5mm*5mm范围内移动时的离焦量≤0.012mm；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▲载物台侧向受5N水平方向作用力最大位移≤0.005mm；不重复性≤0.005mm。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7.聚光镜：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阿贝聚光镜(N.A:1.25)；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▲聚光镜上升到最高位置，顶端低于载物台表面的距离≤0.4mm。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8.调焦系统：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采用粗、微同轴的齿轮齿条调焦机构；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▲微调机构空回≤0.006mm；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9.光源系统：3.5V/1W LED光源，可通过调光拨盘调节照明亮度， LED灯光柔和寿命长（约100000小时）安全性好，发热少。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10.双目系统：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① ▲左右两系统放大率差≤0.40%；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② ▲双目系统左右两像面光谱色一致，明暗差≤16.5%；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③ ▲双目系统左右视场中心偏差：上下≤0.12mm;左右外侧≤0.12mm；左右内侧≤0.10mm；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④ ▲双目系统左右光轴平行度：水平发散≤26′；水平汇聚≤18′；垂直交叉≤15′；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⑤ ▲ 零视度时，左右系统的目镜端面位置差≤0.18mm。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16.两镜臂中间设置有DC5.5*—2.5mm母头，可插入外置LED上光源做体视显微镜使用。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参数“▲”项提供第三方检测机构出具的具有CMA或CNAS标识的检测报告。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A20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27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639F5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DF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B62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数据采集器</w:t>
            </w:r>
          </w:p>
        </w:tc>
        <w:tc>
          <w:tcPr>
            <w:tcW w:w="6035" w:type="dxa"/>
            <w:tcBorders>
              <w:top w:val="single" w:color="000000" w:sz="4" w:space="0"/>
              <w:left w:val="single" w:color="000000" w:sz="4" w:space="0"/>
              <w:bottom w:val="single" w:color="000000" w:sz="4" w:space="0"/>
              <w:right w:val="nil"/>
            </w:tcBorders>
            <w:shd w:val="clear" w:color="auto" w:fill="auto"/>
            <w:vAlign w:val="center"/>
          </w:tcPr>
          <w:p w14:paraId="67A257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1、模块化结构，透明外壳设计，内含状态、电源指示灯；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2、与计算机采用USB2.0通讯协议，四路全数字通道，单通道最大采样率20KByte，采集器最大采样率80KByte，数字通道采样精度达5微妙；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3、通过USB接口供电，无需外接电源，所有端口具备防静电保护功能；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4、与传感器采用BT自锁接口，支持热插拔，即插即用，传感器可以任意组合，采集分辨率12bits；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5、内置双处理器主板，CPU主频48Mhz；支持有线/无线状态下的四通道并行采集；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6、采用插接式结构，可根据实验教学需要，方便有线、无线工作模式切换。</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AC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6F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B9CC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F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1C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无线接口</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F8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1、模块化结构；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2、采用无线方式接入四种相同或不同的传感器并支持四通道并行采集，全数字通道；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3、与数据采集采用SATA接口连接；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4、无线接口自带指示灯，可指示传感器连接通道。</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552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F2C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14660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D9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0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传感器无线发射模块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3B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1、模块化结构，独立无线传输模块，协议传输，20m内互不干扰。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2、自动识别，通过与各种传感器组合使之具备与采集器的无线通讯功能，可实现多通道长距离无线传输，满足实验教学需求。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3、连接插口采用通用BT接口，具有方向性和自锁功能，可以防止传感器脱落保证数据传输稳定，支持热插拔，可连接专用充电线进行充电。</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3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68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0A2D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1A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32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传感器数据显示模块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C1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1、模块化设计既可以与传感器通过BT接口连接，也可以与计算机通过USB直接连接。数据的获取和上传无需通过数据采集器即可实现；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2、自带≥1.8寸彩色LED屏，可实时显示传感器数据；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3、自动识别传感器及测量范围和分度。无需按键调控，简洁、美观、实用，减少因按键失灵造成的实验功能缺失；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4、接口采用BT接口连接，自带锁扣，有效防止脱落。同时具有单向连接属性，避免因连接失误导致的数据传输失败。支持热插拔，使用寿命：≥10000次插拔；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5、自带≥8M内存；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数据上传有线模式：数据显示模块自带miniUSB接口，可与计算机连接。通过软件将数据上传并自动绘制变化图像。导出数据以Excel形式保存，图像可以图片的形式保存。可用于编制实验报告上传至实验评测系统进行数据统计及分析（也可结合学校实际情况上传至云端服务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7、数据上传无线模式：设备自带X二维码，可用移动手持终端（手机、平板等）通过移动端实验软件扫描，导出实验数据，并绘制变化图线；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8、自带可充电锂电池，最大电池容量不低于1100MAh。全铜触点，双保电芯，自动锁电。3.7V。满电最大待机续航时间≥240h。可通过专用充电器完成充电，也可通过数据上传有线模式完成充电。</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7C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C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8BA7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3A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11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传感器转接模块</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3F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两端分别是BT接头与BT接口转换器，用于特种传感器与无线发射模块或数据显示模块的转接</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E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1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7A403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A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D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97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1、测量范围：-50℃～200℃；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3、不锈钢探针，可测各种物体或溶液的温度；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15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18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423DE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17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35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相对压强传感器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FC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1、测量范围：-20kPa~+20kPa；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 kPa；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3、可用于测量气体的相对压强；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130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EB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7E3DA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26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EB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相对湿度传感器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3D7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3、测量灵感件置于探管中，便于测量罐体的湿度值；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7A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4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C0EA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B1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A1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pH传感器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02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3、具有快速响应的特点，测量数据能在5秒内达到真实值的90%， 10秒内稳定；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59D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70B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0F2AC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D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849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多量程电导率传感器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BE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1、测量范围：0~20000μS/cm；分度：10μS/cm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测量范围：0~2000μS/cm；分度：1μS/cm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测量范围：0~200μS/cm；分度：0.1μS/cm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E36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62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98F5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5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51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氧气传感器B</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5EC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1、测量范围：0～30%；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3、自带硬件校准按钮；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8E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18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4D20B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5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8C4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溶解氧传感器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41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 mg/L～20mg/L；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 mg/L；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3、带有温补功能；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3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94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B26C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D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56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126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 ppm～50000ppm；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2、分度1ppm；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3、红外原理，为保证测量数据准确性和时效性，要求该传感器采用泵动循环，方便气体循环；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97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6E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2AD3D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A6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F0F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色度传感器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8FB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1、测量范围：透光率0～100％；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2、分度：0.1％，三波长光源（R、G、B）测量；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0E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D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35DB1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15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6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二氧化硫传感器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1D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 ppm～20ppm，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 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AE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2AC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2E73B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3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6C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气态酒精传感器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DEC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1、测量范围：0mg/L～2mg/L；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6EE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A2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415B4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59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96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心电图传感器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06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1、测量范围：-5mV ～5mV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2、用于生成EKG曲线，能清晰的显示出人体P波、QRS波、T波与U波，可通过RR间期计算出心率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3、尺寸：不大于80mm*41mm*25（±5mm,不含电极夹具）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3C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89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BC4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808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01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081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1、测量范围：0次～200次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2、可通过专用软件实时显示心率大小以及心电心率波形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3、尺寸：不大于80mm*41mm*25（±5mm,不含电极夹具）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7、支持系统：windows、Android、iOS系统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▲提供省级或以上教育相关部门出具的检测报告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CFD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009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A337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C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EAA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呼吸率传感器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41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1、满足人体生理特征；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5、支持系统：windows、Android、iOS系统。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▲提供省级或以上教育相关部门出具的检测报告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97F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4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DDEA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F7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AF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红外温度传感器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5A2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1、测量范围：-70℃~+380℃；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3、不锈钢探针，可测各种物体或溶液的温度；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06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941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5BD94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72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66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压强传感器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99D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 kPa～700 kPa；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 kPa；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3、自带传感器固定卡槽和螺口，便于和配套实验器材固定；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6、支持系统：windows、Android、iOS系统。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配件：20ml注射器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F2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19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281BF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0C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3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微电流传感器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B0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1、测量范围：-5μA～5μA；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2、分度：0.01μA；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3、鳄鱼夹导线，便于与多种电学仪器连接；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t>
            </w:r>
            <w:r>
              <w:rPr>
                <w:rFonts w:hint="eastAsia" w:ascii="宋体" w:hAnsi="宋体" w:eastAsia="宋体" w:cs="宋体"/>
                <w:i w:val="0"/>
                <w:iCs w:val="0"/>
                <w:color w:val="000000"/>
                <w:kern w:val="0"/>
                <w:sz w:val="20"/>
                <w:szCs w:val="20"/>
                <w:highlight w:val="none"/>
                <w:u w:val="none"/>
                <w:lang w:val="en-US" w:eastAsia="zh-CN" w:bidi="ar"/>
              </w:rPr>
              <w:t>windows、Android、iOS系统</w:t>
            </w: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80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C80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7A498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EE4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2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氧气传感器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F81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1、测量范围：1～100%；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3、自带硬件校准按钮；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6、支持系统：</w:t>
            </w:r>
            <w:r>
              <w:rPr>
                <w:rFonts w:hint="eastAsia" w:ascii="宋体" w:hAnsi="宋体" w:eastAsia="宋体" w:cs="宋体"/>
                <w:i w:val="0"/>
                <w:iCs w:val="0"/>
                <w:color w:val="000000"/>
                <w:kern w:val="0"/>
                <w:sz w:val="20"/>
                <w:szCs w:val="20"/>
                <w:highlight w:val="none"/>
                <w:u w:val="none"/>
                <w:lang w:val="en-US" w:eastAsia="zh-CN" w:bidi="ar"/>
              </w:rPr>
              <w:t>windows、Android、iOS系统</w:t>
            </w: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8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E9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8042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8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738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二氧化碳传感器B</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872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1、测量范围：0~100000mL/m3；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2、分度：1mL/m3用于检测气体中二氧化碳含量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3、自带硬件校准按钮；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highlight w:val="none"/>
                <w:u w:val="none"/>
                <w:lang w:val="en-US" w:eastAsia="zh-CN" w:bidi="ar"/>
              </w:rPr>
              <w:t>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DE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5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027BD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E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8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溶解二氧化碳传感器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1D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1、测量范围：4.4 ppm ~1800ppm；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2、分度：0.1 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3、可检测水中二氧化碳含量；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D9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57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31F1A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29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7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双量程光照度传感器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A6F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 lx～5000lx～50000lx，分度：1 lx、10 lx；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2、连接插口采用BT接口，具有方向性和自锁功能，可以防止传感器脱落保证数据传输稳定；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3、支持与采集器的有线通讯、无线通讯和彩屏独立数据显示三种工作方式，支持热插拔；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4、可在windows、iOS、鸿蒙和安卓系统（手机或平板）下分别进行实验。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2D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1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0978F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5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D7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甲烷传感器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0FC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2、分度：0.01%；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3、可检测气体中甲烷含量；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E0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8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8065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7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90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一氧化碳传感器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C2C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1、测量范围：0～1000ppm；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2、分度：1ppm；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3、自带传感器固定口，便于传感器固定；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4、自带硬件调零按钮；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5、模块化设计，可与有线接口、无线发射模块、数据显示模块连接，实现有线通讯、无线通讯、独立彩屏数据显示三种工作模式；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6、采用BT接口，自带锁扣，有效防止脱落。同时具有单向连接属性，避免因连接失误导致的数据传输失败。支持热插拔，使用寿命：≥10000次插拔；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7、支持系统：windows、Android、iOS系统。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43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A31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32D5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644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F1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学生健康指标测量系统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4A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采集器、呼吸率传感器、皮肤电阻传感器、心电图传感器、血压/心率传感器、耳蜗式无线体温传感器、充电器、数据线、收纳袋及APP组成。可同时测量体温、血压、心率、呼吸率、皮肤电阻、心电图共6项人体生理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89C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D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64B50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C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9B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磁力固定座</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D9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三角型底座配三个强力磁铁，铝合金支柱，适用于固定较大型实验器材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D97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3B1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5E05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8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F3C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多用途生化传感器支架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33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27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3F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6228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2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6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多向转接头</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C36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配合各类传感器和辅材可进行多向固定</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866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096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9B84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7F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3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磁力搅拌器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2C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电源：AC220V±10%；搅拌转速：0～1500r/min；最大搅拌容量：1000ml；加热功率：200W；适合中和滴定、溶液多种参数测量实验。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2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46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CAB6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DC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04D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溶液稀释池</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A14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倒置三角烧杯结构，上端开口，底端封闭，配合实验室匀速滴管使用。用于稀释倍数较大，且对初始溶解有一定量要求的化学实验;提供自主知识产权证明文件、产品图片复印件。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5EA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F8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0BDC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F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40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气液相密封实验器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7B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与生物化学传感器密闭连接，可完成陆水生植物光合作用、种子萌发、呼吸作用、酶的特性等实验；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AF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45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17C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69D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2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袖珍生化密封实验器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342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与生物化学传感器密闭连接，可完成陆水生植物光合作用、种子萌发、呼吸作用、酶的特性等实验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FA8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1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26AA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0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7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酶的高效性实验器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A70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由Y型管和胶塞总成构成，配合相对压强传感器使用进行生物酶的特性等实验。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42C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5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4739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7A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5EB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多用途密封塞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79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配合压强传感器、温度传感器、二氧化碳传感器、氧气传感器使用，可以与实验室常用玻璃容器结合。</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B0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75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2178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AB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8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数字化实验软件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D7F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1、为数字化实验分析软件软件。用于数据收集和结果分析。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2、包含教材通用软件、物理教材专用软件、化学专用软件、生物专用软件、传感器校准软件与数据导入软件六个部分。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2.1、通用软件：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还支持打印机直接引用（无需退出实验软件），进行结果打印。实验结果可通过Excel形式进行保存。也可将保存的数据多次调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（4）实验录制：可同时将实验操作过程和软件的实验界面进行同屏录制，实现了实验现象和数据的对应。解决了数字实验无现象的难题（为减少软件操作复杂性，用其他软件录屏视为功能性缺失。）</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物理专用软件：界面简洁、风格独特、一键OK的特点。思涵盖了人教、粤教、鲁科等教材的重点实验。明确了实验题目，使用时直接接入传感器即可。大大的方便了课堂教学。实验完全符合现行教材，用户可直接根据教材进行实验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2.3、化学专用软件：涵盖了初高中重点实验，起到温故知新的作用。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2.4、生物专用软件：涵盖了初高中重点实验，起到温故知新的作用。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2.5、传感器校准软件：根据国际计量公用应用规范，针对生物、化学传感器进行校准，以减少误差，提高精度。应用于PH、溶解氧、色度、浊度、氧化还原等传感器。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2.6、数据导入软件：和数据显示模块配合使用，将数据显示模块的数据导入电脑进行长期保存和数据处理。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3、应用平台：支持windows、Android、iOS系统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2B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32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7240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55F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6D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41F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1、含USB通讯线1条、转接器4只、传感器线4条；两端为BT插头，插口具有方向性和自锁功能插接方便、配合严密、方便教学；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2、彩色印刷版高中实验指南书，有详细实验案例介绍（实验器材、实验装置图、实验操作步骤等）。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C4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7B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54C2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98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A1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铝合金箱</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5EF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尺寸≥510*340*175（mm），由铝合金主架、铝塑板面构成，内设隔断海棉内衬传感器铝合金实验箱</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87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A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C33C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6A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E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计算机数据采集处理系统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542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CPU：不低于Intel酷睿13代I7处理器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液晶屏：≥15.6” FHD LED防眩光液晶显示屏（1920x1080），配置合金转轴，屏幕180度开合，更加牢固、美观、耐用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卡：支持高保真, 内置麦克风，双扬声器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内存：≥16G DDR5 5200MHz内存，双内存插槽设计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硬盘：≥512G SSD PCIe-NVME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无线网卡：RJ45千兆有线网卡，802.11 AX 2x2无线网卡（支持WIFI6协议）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标准接口：不少于3个USB接口（含1个全功能type-c接口）HDMI接口、耳麦二合一接口、HDMI2.0接口、耳麦二合一接口、RJ45接口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摄像头：720P高清摄像头，支持物理防窥功能，保护个人隐私安全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标配电池: 内置≥47WHr锂电池电池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highlight w:val="yellow"/>
                <w:u w:val="none"/>
                <w:lang w:val="en-US" w:eastAsia="zh-CN" w:bidi="ar"/>
              </w:rPr>
              <w:t>操作系统：原厂正版Windows 11 或以上操作系统</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82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4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1620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4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D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超净工作台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F2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1、主体采用冷轧钢板静电喷涂工艺，耐酸碱，美观大方，垂直层流送风，防止操作室内部样品相互交叉污染，45度下倾式操作面板，便于实验操作时进行调节；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2、工作台面选用优质304不锈钢材质，美观、易清理、耐腐蚀；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▲3、4.3寸嵌入式液晶彩色触摸屏控制,可显示温度、湿度、光照度，具有温度补偿功能，开启温度补偿键，进行温度补偿，便于湿冷环境的操作；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▲4、显示开机时间和持续运行时间；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▲5、可以预约杀菌时间，节约实验准备时间，具有杀菌定时功能；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6、洁净等级：100级，0.5μm；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7、菌落数：0.5个/皿·时(Φ90mm 培养平皿)；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8、光照度：300LX；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9、单向交流：220V/50Hz；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10、最大功耗：0.3kW，内有紫外杀菌接种器接入电源，振动半峰值 ≤0.5μm(X.Y.Z方向)；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11、高效过滤器规格及数量：715mm×460mm×46mm（±20mm），一个；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12、荧光灯15W一个，紫外灯15W一个；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▲13、风速：0.25-0.45m/s(标配高、中、低档三速)；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▲14、噪声：62dB；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15、外型尺寸（长*宽*高）：850mm×600mm×1600mm（±20mm）；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16、工作区尺寸（长*宽*高）：700mm×550mm×520mm（±20mm）；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▲17、电源：AC220V/50Hz；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▲18、功率：不大于200W。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提供省级以上（含省级）质量检测机构检测报告复印件加盖厂家公章，带▲参数第3、4、5、13、14、17、18项必须在出具的检测报告中体现。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55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E0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194B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04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52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磁力搅拌恒温水浴锅</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60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1、孔数：四孔；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2、功率：800W；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3、控温范围：室温+5℃～99.9℃，温度均匀性：±0.5℃，水温波动±0.5℃；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4、数显；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5、外壳：不锈钢。不锈钢内胆拉伸成型，外壳静电绝缘喷塑；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6、控温系统：微机PID智能控制。延时控温装置。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733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8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8E93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B61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89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紫外线消毒灯</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A7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无菌室闪烁警示灯提醒装置，单独控制，独立线路，含安装。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AC7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3C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4055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E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EA0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榨汁机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DB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≥18000r/min，≥1.0L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57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ECC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6BBA3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6E8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EB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梯度基因扩增仪（科研型）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F94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1、6个温度循环器专用长寿命Peltier模块，组成3组回路可独立控制3个温区；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2、模块类型：0.2ml×96孔；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3、适用管型：0.2ml，8联排管，12联排管，96孔微孔板，兼容无裙边、半裙边96孔PCR反应板；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▲4、温度范围：在0-105℃范围可调；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▲5、变温速率：：在0-5℃/秒可调；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6、温度均匀性：≤±0.2℃；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7、温度准确度：≤±0.1℃；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▲8、梯度宽度： 1-42℃；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9、控温方式：模拟管+模块；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▲10、电源适应性：仪器在220V±10%，AC50/60Hz供电条件下正常工作；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11、变温速度可调：是；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12、液晶显示：10.1英寸液晶屏+电容式触摸屏；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13、可存储程序数：机内20000+U盘储存无限制；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14、最大循环数：200；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15、断电保护：有；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16、宽电压范围：100-240VAC, 50/60Hz；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17、热盖温度：30℃-115℃可调；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▲18、热盖结构：自适应压杆式热盖，能完成合盖紧盖功能；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▲19、风道结构：前进后出式风道；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▲20、运行指示灯带：有循环亮和常亮模式可选；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▲21、操作方式：采用安卓操作系统，可使用触摸屏和鼠标操作使用；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22、实时显示程序进展及剩余时间，支持PCR仪运行中间编程；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23、一键快速孵育功能，满足变性、酶切/酶连、ELISA等实验需要；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24、内置多个标准程序文件模板，能快速编辑所需文件；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25、支持实验程序结束发送邮件提醒功能；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26、内置WIFI模块，用电脑或手机通过网络连接可实现一机同时控制多台PCR仪；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27、支持U盘升级软件；终生维护。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提供质量检测机构检测报告扫描件，参数第4、5、8、10、18、19、20、21项必须在出具的检测报告中体现。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▲提供厂家质保书复印件及加盖公章彩页样本</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A9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0B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E8E4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03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EDB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电泳仪</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F3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四组输出，输出电压：2V～200V、输出电流：2mA～200mA，具有36V电压限制、稳压和稳流功能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67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76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764AE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6D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2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DNA电泳图谱观察仪</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978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非紫外光源，观察凝胶面积＞100mm×100mm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564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52F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C18D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6F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D2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水平电泳槽</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AF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1、适用鉴定、分离、制备DNA及测定其分子量；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2、专用制胶器模具成型，制胶方便；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3、透明上盖开孔式设计，便于散热，方便观察；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4、凝胶托盘带有荧光标尺，便于观察；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5、高柔韧性双色导线，开盖断电，确保安全；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6、聚碳酸酯注塑成型，无渗漏桥式设计，节省缓冲液；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7、耐高温，不变形限位功能，操作准确；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8、可拆卸电极架及电极头，方便彻底清洗和维修；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9、凝胶面积（W×L）：60×60（mm）；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10、样品通量：（1.0mm厚）8、14；（1.5mm厚）8、14齿；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11、缓冲液容积：～260（ml）；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12、外形尺寸（长*宽*高）： 270mm×115mm×110mm（±20mm）。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4E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0B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2783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C26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F2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微量移液器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3FF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1、人体学的手柄挂钩设计,；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2、管嘴弹出按钮设计轻巧，PP退管装置；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3、清晰的显示读数窗口，量程连续可调；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4、管嘴化学材料具有极好的耐化学腐蚀性，整支灭菌；</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5、五种规格为一套，量程分别为：0.5-10μL、10-100μL、20-200μL、100-1000μL、1000-5000μL。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▲产品需具有国家二级计量站出具的校检报告复印件加盖厂家公章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5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3F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4DB3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3EC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0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微量离心管（0.2ml和0.5ml）</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99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0.2ml和0.5ml各1000个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91F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831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r>
      <w:tr w14:paraId="0784E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E3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79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台式高速离心机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84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1、整机设计符合人机工程学，流线型设计，全钢结构，不锈钢离心腔，安全美观实用；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2、TFT真彩大屏幕触控液晶显示，智能化控制、简单方便地操作、触摸面板，同时显示设定参数和运行参数；                                                                                                                 3、无刷直流变频电机驱动，运行宁静；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▲4、设有离心力切换专用键；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▲5、采用静音机电，一体化电机门锁；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6、设有减震装置，减少振动，运行平稳，噪音≤54 dBA；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7、10种升、降速率选择，最快升速30秒，最快降速30秒；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8、技术参数：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▲标配角转子：12×1.5ml；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▲最高转速:16500r/min；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▲最大离心力:18780xg；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▲电机：无刷直流变频电机；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▲定时范围:0-99h59min。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提供省级以上（含省级）质量检测机构检测报告复印件加盖厂家公章，带▲参数第4、5、8项参数必须在出具的检测报告中体现。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750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B8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4256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0A5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7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台式低速离心机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35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1、采用直流无刷电机，单片机控制,转速,时间全数显,全触摸,可预选，自动平衡,电动门锁,操作简便；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2、最高转速：4000r/min；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3、最大相对离心力：2100xg；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4、定时范围：0-99min；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5、离心最大容量：12*5ml；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6、电源：AC220V 50Hz 10A 450w。</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7AE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4D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F268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AF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67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微波炉</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60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E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70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14C41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F35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A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分析天平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9F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1、大屏幕：大屏幕TFT液晶显示器，提供丰富的称量显示信息，方便读取；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2、完全拆卸式结构设计，方便运输，用户使用时清洁方便；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3、显示模块、CPU数字处理模块、电磁机械传感器部分分离式结构设计，可避免相互干扰影响，提高仪器抗干扰精度；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4、用户操作：丰富的操作信息提示，帮助用户更高效的完成工作流程；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5、内置程序：标配的便于使用的内置应用程序，以用于各种称量任务具有零点跟踪和自动去皮功能；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6、卓越的红外感应操作系统，能让您“左右”互搏之间，可设置操作自动校正和去皮功能；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7、电磁平衡式传感器，仪器稳定性和运算速度都得到了提升；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8、全铝制底座设计，防止低频震动，增强称量稳定性；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9、实际分度值：0.1mg；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10、最大称量范围：200g；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11、可重复性标准偏差：0.0001g；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12、校准砝码值：200g；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13、类型：外部自动校准；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14、天平的外形尺寸：365mm×223mm×338mm（±20mm）；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15、天平的包装尺寸：500mm×310mm×450mm（±20mm）；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16、秤盘尺寸：Ф80mm；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17、风罩有效容积：160mm×165mm×200mm。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7B6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175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5DDF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C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C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研磨过滤器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9C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容量20mL</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CB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50F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5C83A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8E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BC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生物玻片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339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蚕豆叶下表皮装片、胞间连丝切片、迎春叶横切、黑藻叶装片、线粒体切片、酵母菌装片、水绵装片、大肠杆菌涂片、细菌三型涂片、草履虫分裂生殖装片、人血涂片、蛙血涂片、动物上皮细胞装片、骨骼肌纵横切、平滑肌分离装片、心肌切片、运动神经元装片、蝗虫精巢减数分裂切片、植物花粉减数分裂装片、正常人染色体装片各60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BC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743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r>
      <w:tr w14:paraId="170C5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D6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19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39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以洋葱表皮细胞为参考材料，长260mm，宽120mm，高65mm，材料釆用PvC环保树脂制作，置于白塑料色底板上。产品示细胞辟，细胞膜，细胞核，核仁和液泡等结构。</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08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831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9030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8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2C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植物细胞模型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（真核细胞）</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C94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材料釆用PvC环保树脂制作，置于白塑料色底板上。产品示细胞辟，细胞膜，细胞核，核仁、粗面内质网、光滑面内质网、叶绿体、线立体、和中央液泡等结构。长115mm，宽40mm，高16mm，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DD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1F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3072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9F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F7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C1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PvC吸塑制造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E95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5A4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934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3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02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细胞器结构模型6件组成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6FE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pvC环保硬树脂制造，叶绿体长240mm高150mm，高尔基体长250mm高100mm，线立体长160mm高80mm，内质网长90mm，宽90mm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B13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B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59CC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71D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C30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动植物细胞有丝分裂及减数分裂模型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C6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动物细胞﹕1间期、2前期早期、3前期、4中期、5后期、6未期、各个别阶段组成。植物细胞﹕1间期、2前期联会阶段、3四分体阶段、4中期、5后期、6未期各个阶段组成。</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AF8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20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FB9A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B1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12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细胞亚显微结构模型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6B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PVC材质。显示细胞核、细胞质等，产品尺寸﹕175mm*210mm*230mm产品釆用环保PvC硬树脂制造。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538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E1F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9064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6C2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30E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动植物细胞对比模型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89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动植物细胞对比模型 PVC制。植物模型长15cm，宽9cm；动物模型长14cm，宽11cm。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F4A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A4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D8E5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FA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78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细胞膜结构模型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6E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生物模型，放大1千倍用于讲解细胞膜结构结构。材质为PVC，无毒且环保耐用。产品尺寸；220mm*180mm*110mm。产品纹路清晰。</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6C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2B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763C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48A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E3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细胞膜结构模型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C8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生物模型，用于讲解细胞膜结构结构。材质为PVC，无毒且环保耐用。产品尺寸；220mm*180mm*110mm。产品纹路清晰。</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2A8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6FA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FEB7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1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2D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细胞膜流动镶嵌模型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42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适用于高中生物课堂演示实验用；产品釆用环保PvC硬树脂制造。产品尺寸﹕340mm*150mm*150mm</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3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EE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8CF0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445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F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9AF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大2000倍，1；原生质膜。2；细胞质。3；核。4；核膜，5；核仁，6；染色质，7；中心体，8；高尔基体，9；内质网，10；光滑的内质网，11；线立体，12；溶酶体，13；脂滴，14核糖体。产品尺寸﹕290mm*200mm*100mm,pvC环保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0A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87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r>
      <w:tr w14:paraId="311CD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FC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A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动物细胞模型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BD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放大数百倍，1；原生质膜。2；细胞质。3；核。4；核膜，5；核仁，6；染色质，7；中心体，8；高尔基体，9；内质网，10；光滑的内质网，11；线立体，12；溶酶体，13；脂滴，14﹕核糖体。产品尺寸﹕120mm*60mm*140mm,pvC环保硬树脂制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7B9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32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r>
      <w:tr w14:paraId="5783F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4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EF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浸制标本</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E3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脊椎动物五纲脑比较标本、脊椎动物五纲心比较标本、蛙的消化泄殖系统标本、鸽的消化泄殖系统标本、兔生殖系统标本、兔消化系统标本、兔神经系统标本、河蚌解剖标本、蚯蚓解剖标本、水蛭标本、沙蚕标本、海盘车标本、马面鲀标本、鲨鱼标本、比目鱼标本、沼虾标本、真鲷鱼标本、缁鱼标本、圆蛛浸制标本、蜈蚣标本、尺蠖拟态标本、珍贵植物标本各一件，菌类植物保色浸制10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F6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0F5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批</w:t>
            </w:r>
          </w:p>
        </w:tc>
      </w:tr>
      <w:tr w14:paraId="17BFA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A3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80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温室改造</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52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1、拆除人行道：6cm透水砖140m2；新建厚10cm 宽度 0.8-1.2m 透水砖140m2；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2、金属（塑钢、断桥）窗更换2樘；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3、栽植高杆月季110株；塑料种植皿11组；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4、拆除及安装梯形塑料种植皿80m；塔形种植皿安装6组；螺旋形种植皿安装2组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5、安装50供水管30m；安装室内32供水管6m；过滤器1组；水喷淋(雾）DN25喷头21个；鱼水共生系统清理安装1组；防爆日光灯安装3套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6、程控柜调整调试1台；温室配套1组；其它费用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C4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C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r>
      <w:tr w14:paraId="67295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9CA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3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D864B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远程教学中心</w:t>
            </w:r>
          </w:p>
        </w:tc>
      </w:tr>
      <w:tr w14:paraId="5BA8B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1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ED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高清AI录播主机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F9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1.主机需具备录制、导播、自动跟踪、音频编码、视频编码、音频处理、视频处理、存储、点播、互动等功能；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▲2.视频接口：数字视频接口D-Video（RJ45）≥6，HDMI输入≥2，HDMI输出≥2路，分辨率均支持1080P@30fps(提供具有国家权威检测机构出具的检测报告复印件并加盖厂家公章);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▲3.音频接口：Linein接口≥2，Lineout≥2，数字音频接口D-Mic（RJ45）≥6(提供具有国家权威检测机构出具的检测报告复印件并加盖厂家公章)；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4.主机架构：整体采用嵌入式、标准1U机架式设计；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5.网络接口：RJ45≥1，支持100/1000M网络自适应及IPv4、IPv6双协议栈；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6.控制接口：RJ45≥2，支持RS232串行通信协议进行外接控制；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7.外设接口：USB2.0≥2；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8.系统存储≥2T；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▲9.支持视频一线通，支持</w:t>
            </w:r>
            <w:r>
              <w:rPr>
                <w:rFonts w:hint="eastAsia" w:ascii="宋体" w:hAnsi="宋体" w:eastAsia="宋体" w:cs="宋体"/>
                <w:i w:val="0"/>
                <w:iCs w:val="0"/>
                <w:color w:val="000000"/>
                <w:kern w:val="0"/>
                <w:sz w:val="20"/>
                <w:szCs w:val="20"/>
                <w:highlight w:val="none"/>
                <w:u w:val="none"/>
                <w:lang w:val="en-US" w:eastAsia="zh-CN" w:bidi="ar"/>
              </w:rPr>
              <w:t>同品牌</w:t>
            </w:r>
            <w:r>
              <w:rPr>
                <w:rFonts w:hint="eastAsia" w:ascii="宋体" w:hAnsi="宋体" w:eastAsia="宋体" w:cs="宋体"/>
                <w:i w:val="0"/>
                <w:iCs w:val="0"/>
                <w:color w:val="000000"/>
                <w:kern w:val="0"/>
                <w:sz w:val="20"/>
                <w:szCs w:val="20"/>
                <w:u w:val="none"/>
                <w:lang w:val="en-US" w:eastAsia="zh-CN" w:bidi="ar"/>
              </w:rPr>
              <w:t>摄像机到录播主机端的视频采集和传输过程无需编解码、无画质损耗并实现≤100ms的声画同步(提供具有国家权威检测机构出具的检测报告复印件并加盖厂家公章)；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10.支持音频一线通；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11.视频录制兼容标准H.264，支持4K@30fps、1080P@30fps、720P@30fps，以及AAC音频编解码协议标准；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12.支持AI全场景跟踪；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13.支持录播主机配套同品牌摄像机支持在多机位接入的情况下所有画面高度同步；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14.支持标签设置；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15.支持录制模式和互动模式等独立音频场景设置；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16.支持内置互动模块，实现互动课堂教学应用，支持会议互动模式，可创建或加入大规模视音频实时互动；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17.支持FTP文件传输协议，主机录制生成的视频文件与应用平台实现自动归档上传；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▲18.为方便教师设计与制作精品课，所投录播主机生产厂家具有与国家级精品课程团队联合编写过针对“精品课”活动的立体化教材。(投标文件中提供图书在版编目（CIP）数据截图并加盖生产厂家公章)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▲19.高清录播主机提供厂家对此项目的参数证明函和售后服务承诺函。（投标文件中提供证明函并加盖生产厂家公章，格式自拟）</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D6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2B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F36E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04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69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AI录播导播软件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18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1.便捷导播：软件需采用B/S架构设计，支持通过浏览器即可进行管理配置与操作，而无需额外安装客户端或APP；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2.分段录制：支持30分钟分段、60分钟分段两种分段录制方式，系统可在不结束录制的条件下根据分段时长自动将视频录制为多个分段文件；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3.录制存储：采用H.264/H.265的视频编码格式和MP4的视频封装格式，支持在断网情况下也可以进行视频录制并存储于录播主机中，也支持在联网情况下通过FTP自动上传视频文件；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4.导播模式：支持全自动、半自动、手动三种导播模式，且支持在录制、直播和互动过程中任意切换导播模式；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5.导播预览：支持对接入的所有画面进行导播预览，包括教师特写、教师全景、学生全景、学生特写、电脑画面等，电脑画面包括两路HDMI画面可切换，并支持点击预览画面即可切换为导播输出画面；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6.视频布局：支持二分屏、三分屏、画中画等布局，也支持自定义布局方式，且支持对布局内的每个画面窗口进行拖动、叠加、缩放和指定视频源的操作，实现灵活调整；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7.台标字幕：需支持在导播预览界面添加Logo台标与字幕，可自主上传Logo图标、设置logo位置、编辑字幕内容、选择字幕字体颜色与是否滚动显示，且后台管理设置可预设字幕作为备选，方便灵活调整与切换；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8.片头片尾：需支持片头片尾设置，可上传JPG格式图片作为录制默认的片头片尾画面，并可自定义片头片尾显示时长，支持片头片尾显示视频信息；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摄像机控制：支持对接入摄像机特写画面进行电子云台控制，包括画面上下左右移动、放大缩小变焦等操作。云台控制功能应具有鼠标快速定位功能，通过鼠标点击快速居中画面区域。也支持设置和调用摄像机预置位，支持不少于8个预置位；</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EE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C26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206C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40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BE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AI录播流媒体处理软件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5E2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1.要求软件在出厂时内嵌于录播主机中，且应具备自主知识产权，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2.录制模式：支持电影模式和资源模式两种录制模式。电影模式下支持将多路视频信号的复合成一路画面进行录制；资源模式下支持将接入的摄像机画面和电脑画面进行独立录制；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2.同步录制：支持外接存储设备（如U盘），实现在视频录制的过程中，自动同步录制多一份并存储至U盘中；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3.录制关联：支持在录制启动时自动关联开启直播和全自动跟踪模式；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4.视频管理：支持查看已录制的视频文件，并可按录制时间进行排序和按关键字检索查看，也支持对视频文件进行在线播放、下载、删除和FTP上传；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5.网络导播：支持通过浏览器即可访问并使用导播功能，而无需额外安装客户端或APP；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6.音量控制：支持在导播过程中进行音量控制，可调整相关输入输出的音量大小，且支持一键静音功能；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7.直播码流：需支持主码流和子码流高低双码流，且支持自定义清晰度、帧率和码流，主码流清晰度不小于1080P；</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8.直播推流：支持不少于4路RTMP同步推流直播，并可自定义选择主码流或子码流进行推流直播；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9.直播模式：需支持RTMP直播、TS直播、集控推流直播等不少于3种不同直播模式，以适应不同场景直播需求；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10.权限管理：需支持对主机后台设置管理员用户与普通用户两种使用权限，普通用户无法进行相关参数与配置修改；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11.系统状态：支持在导播界面实时查看主机当前CPU温度、磁盘空间占用情况、视频录制的参数配置和正在录制的视频时长与大小等信息；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12.UVC/UAC功能：要求主机具备通过USB口直接输出音视频信号的能力，实现便捷的视频会议软件接入；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13.智能音频处理：支持音频采样率的设置，且支持AGC自动增益、ANS噪声抑制、EQ均衡、AEC回声抑制等音频处理功能；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14.录制码流：支持主码流和子码流的高低双码流录制，且支持自定义清晰度、帧率、码率和I帧间隔，支持动态比特率或静态比特率两种模式；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15.存储管理：需支持录像文件循环覆盖功能，开启循环覆盖功能后，录播硬盘在已存储90%的空间时，再次启动录制将删除录播内现存时间最早的录像文件以应对录制频率比较高的情况；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16.中英双语：需支持中英双语版本切换，适合不同用户的应用需求。要求通过网络导播界面即可便捷切换，无需进行更改授权、系统升级等复杂操作；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17.上电模式：需支持通电模式选择，实现主机通电后自动进入相应模式，包含但不限于自动开机、开机且休眠、不开机等模式；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18.版本管理：支持查看系统软件版本， 提供离线文件升级、网络在线升级和定时自动升级三种升级方式，且支持导出和导入系统配置文件；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19.安装信息：支持填写设备的安装信息，包括位置、所在学校、安装地点、联系人等；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20.休眠唤醒：需支持定时休眠唤醒功能， 提供精确到秒的自定义时间设置，可以单独设置是否定时休眠或者定时唤醒；</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05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A3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41EA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E8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FC1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AI录播在线互动软件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B5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1.互动协议：需支持H.323、SIP 、BFCP、WebRTC等视音频互动协议技术，也支持内置互动模块，无需额外MCU类设备即可进行远程互动教学应用；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2.互动画质：支持1080P@30fps的高清互动画质，且支持设置互动码流，并支持基于SVC技术实现在不同网络状况下的画面质量自适应；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3.互动模式：支持互动授课模式和多方视频会议模式，授课模式支持主讲端查看所有听讲端画面并可控制听讲端的互动画面显示，会议模式支持二分屏、三分屏、四分屏等布局，也支持选择参会方进行轮巡显示；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双流互动：支持在实时互动过程中，可将教学场景信号与电脑课件信号以互相独立的信号进行传输，并最终在接收端可通过两路独立HDMI接口将接收到的教学场景画面与电脑课件画面同时分别输出到两个显示设备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5.发言权限控制：支持通过网络导播界面，主讲端在互动过程中对其余互动参与者的发言权限进行控制，支持单人禁言/开启以及全场禁言/开启的控制方式；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6.呼叫应答：需支持呼叫应答设置，满足不同互动场景的需要，包括自动应答与勾选手动应答两种方式；</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E8D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F3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DA46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CB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38A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高清全景AI摄像机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02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1.采用CMOS类型图像传感器，尺寸≥1/2.5英寸；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▲2.有效像素≥800万；视频分辨率：最大可支持3840×2160并向下兼容(提供具有国家权威检测机构出具的检测报告复印件并加盖厂家公章)；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3.支持自动和手动变焦，光学变焦倍数≥22倍；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4.具备机械云台可进行转动跟踪，水平转动速度范围不少于1.0°~94.2°/s，垂直转动速度范围不少于1.0°~74.8°/s；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5.支持H.265/H.264高清视频编码协议；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6.具备数字视频输出口（RJ45）≥1，HDMI视频输出口≥1；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7.具备RS232/RS422≥1、RJ45网络接口≥1，并支持100M/1000M自适应以太网接入与RTSP协议网络视频输出、Linein输入口≥1、具备USBType-A≥1；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8.支持VISCA/ONVIF协议；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9.具备背光补偿；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10.支持2D/3D数字降噪，信噪比≥55dB；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11.支持一线通，同品牌录播主机实现≤100ms的声画同步；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12.支持AI跟踪，根据AI智能算法，实现同一摄像机根据部署使用场景不同自动设置为教师、学生跟踪模式；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13.支持对锁定跟拍对象进行人脸特征与肢体双重认证识别；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14.支持在拍摄画面有显示设备或其他动态视频播放的情况下，自动启用AI抗干扰能力；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15.支持PTZ实时跟焦；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16.支持录播主机供电和DC12V电源适配器等供电方式；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703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BF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2E18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52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F4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高清全景AI摄像机跟踪拍摄软件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D1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1.采用B/S架构，支持通用浏览器直接访问进行管理；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2.支持曝光模式设置功能，包括自动、手动；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3.支持抗闪烁频率、动态范围、光圈、快门参数设置；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4.支持自动白平衡设置功能，红、蓝增益可调；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5.支持噪声抑制设置功能，支持2D、3D降噪；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6.支持摄像机图像质量调节功能，包括亮度、对比度、色调、饱和度；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7.支持图像水平、垂直翻转，适应摄像机不同的安装方式要求；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8.支持摄像机控制功能，包括云台控制、预置位设置与调用、焦距调节等，预置位数≥255；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依据录播主机设置的跟踪目标更新周期时间，被跟拍人员脱离跟踪拍摄区域后开始计时，到达更新周期时间后自动解除目标跟拍锁定，回归默认状态，待下一位人员进入画面中开始重新锁定跟踪(提供具有国家权威检测机构出具的检测报告复印件并加盖厂家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0F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6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2527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8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8FC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高清特写AI摄像机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162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1.采用CMOS类型图像传感器，尺寸≥1/2.5英寸；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2.有效像素≥800万；视频分辨率：最大可支持3840×2160并向下兼容；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3.支持自动和手动变焦，光学变焦倍数≥22倍；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4.具备机械云台可进行转动跟踪。水平转动速度范围不少于1.0°~94.2°/s，垂直转动速度范围不少于1.0°~74.8°/s；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5.支持H.265/H.264高清视频编码协议；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6.具备数字视频输出口（RJ45）≥1，HDMI视频输出口≥1；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7.具备RS232/RS422≥1、.RJ45网络接口≥1，并支持100M/1000M自适应以太网接入与RTSP协议网络视频输出、音频接口：Linein输入口≥1、USB接口：要求具备USBType-A≥1；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8.支持VISCA/ONVIF协议满足多种场景控制要求；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9.具备背光补偿；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10.支持2D/3D数字降噪，信噪比≥55dB；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11.支持一线通连接，摄像机供电、控制以及视频信号传输，同品牌录播主机实现≤100ms的声画同步；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支持AI跟踪，实现水平运动、俯仰运动、变焦、聚焦四维实时跟踪等人像自动跟踪功能；根据AI智能算法，实现同一摄像机根据部署使用场景不同自动设置为教师、学生跟踪模式(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13.支持对锁定跟拍对象进行人脸特征与肢体双重认证的交叉识别，在多人同时进入拍摄画面的情况下，持续锁定跟踪对象，不出现跟丢和误跟的情况；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▲14.支持在拍摄画面有显示设备或其他动态视频播放的情况下，自动启用AI抗干扰能力(提供具有国家权威检测机构出具的检测报告复印件并加盖厂家公章)；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15.支持PTZ实时跟焦；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16.支持录播主机供电和DC12V电源适配器等供电方式；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84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C7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52EBD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6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2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高清特写AI摄像机跟踪拍摄软件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65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1.摄像机传输处理软件需采用B/S架构，支持通用浏览器直接访问进行管理；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2.需支持曝光模式设置功能，包括自动、手动；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3.需支持抗闪烁频率、动态范围、光圈、快门参数设置；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4.需支持自动白平衡设置功能，红、蓝增益可调；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5.需支持噪声抑制设置功能，支持2D、3D降噪；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6.需支持摄像机图像质量调节功能，包括亮度、对比度、色调、饱和度；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7.需支持图像水平、垂直翻转，适应摄像机不同的安装方式要求；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8.需支持摄像机控制功能，包括云台控制、预置位设置与调用、焦距调节等，预置位数≥255；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7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A4D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C723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6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A1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高清板书AI摄像机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4A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1.传感器：要求采用CMOS类型图像传感器，尺寸≥1/2.5英寸；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2.像素：有效像素≥800万；视频分辨率：最大可支持3840×2160并向下兼容；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3.变焦：要求支持自动和手动变焦，光学变焦倍数≥22倍；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4.云台转动：要求具备机械云台可进行转动跟踪。水平转动速度范围不少于1.0°~ 94.2°/s，垂直转动速度范围不少于1.0°~ 74.8°/s；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5.视频编码：要求支持H.265、H.264高清视频编码协议；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6.视频输出：要求具备数字视频输出口（RJ45）≥1，HDMI视频输出口≥1；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7.通讯接口：要求具备RS232/RS422≥1；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8.网络接入：RJ45网络接口≥1，并支持100M/1000M自适应以太网接入与RTSP协议网络视频输出；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9.音频接口：Line in输入口≥1；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10.USB接口：要求具备USB Type-A≥1；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11.协议支持：要求支持VISCA/ONVIF协议满足多种场景控制要求；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12.背光补偿：要求具备背光补偿功能；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13.数字降噪：支持2D/3D数字降噪，信噪比≥55dB；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14.一线通：要求与搭配的录播主机实现基于RJ45双绞线的一线通连接，完成摄像机供电、控制以及视频信号传输；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15.高效数据传输：支持对同品牌录播主机实现基于数据链路层的数字视频数据传输技术，能实现≤100ms的声画同步，在拍摄运动画面和复杂画面时不存在镜头呼吸效应带来的周期性画面焦距抖动；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16.AI跟踪：要求内置跟踪算法，摄像机内无额外辅助摄像头也无需增加任何设备即可实现人像自动跟踪，包括水平运动、俯仰运动、变焦、聚焦四维实时跟踪；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17.跟踪逻辑自选：要求支持根据AI智能算法，同一摄像机可根据部署使用场景智能应用为教师、学生跟踪模式，无需手动设置；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18.交叉识别：需支持对锁定跟拍对象进行人脸特征与肢体双重认证识别，在多人同时进入拍摄画面的情况下，持续锁定跟踪对象，不出现跟丢和误跟的情况；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19.AI抗干扰：支持在拍摄画面有显示设备或其他动态视频播放的情况下，自动启用AI抗干扰能力，保障画面始终锁定被跟踪对象，且跟踪效果不受影响；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20.PTZ自适应：需支持PTZ实时跟焦，AI跟踪的状态下能实现摄像机水平旋转、垂直旋转、变焦的实时同步变化，无需等待拍摄对象稳定后再变焦调整画面，移动过程不虚焦，实现拍摄画面的自适应稳定调整；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21.电源支持：支持录播主机供电和DC12V电源适配器等供电方式；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22.要求摄像机与录播主机为同一品牌。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198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2E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4B86A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03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25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高清板书AI摄像机跟踪拍摄软件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18A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1.摄像机传输处理软件需采用B/S架构，支持通用浏览器直接访问进行管理；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2.需支持曝光模式设置功能，包括自动、手动；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3.需支持抗闪烁频率、动态范围、光圈、快门参数设置；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4.需支持自动白平衡设置功能，红、蓝增益可调；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5.需支持噪声抑制设置功能，支持2D、3D降噪；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6.需支持摄像机图像质量调节功能，包括亮度、对比度、色调、饱和度；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7.需支持图像水平、垂直翻转，适应摄像机不同的安装方式要求；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8.需支持摄像机控制功能，包括云台控制、预置位设置与调用、焦距调节等，预置位数≥255；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9.支持配合录播主机设置五分像、七分像、全身像等多种教师图像跟踪画面模式，根据实际需要设置选用教师跟踪画面的大小；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10.支持配合录播主机划分的自动跟踪区域，当锁定跟踪人物走出自动跟踪区域时即停止跟踪，直到重新回到区域出现在画面中为止；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11.需支持依据录播主机设置的跟踪目标更新周期时间，被跟拍人员脱离跟踪拍摄区域后开始计时，到达更新周期时间后自动解除目标跟拍锁定，回归默认状态，待下一位人员进入画面中开始重新锁定跟踪；</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75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C403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2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25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高清巡视摄像机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0CB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扫描方式：逐行扫描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输出帧率：30fps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 摄像元件：1/3 "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有效像素：1920（H）×1080（V)</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最低照度：0.3Lux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通讯方式：RJ-45，支持POE供电</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0B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86C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6E741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B7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C4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高清巡视摄像机跟踪拍摄软件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714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采用B/S架构设计，支持通用浏览器进行远程访问进行管理；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支持多个区域屏蔽功能，避免屏蔽区域内的干扰，提高系统识别效果；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具有“模糊防抖”功能，避免人员小幅度活动时引起的摄像机画面抖动现象；</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E1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AE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A936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13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B5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AI智能跟踪处理软件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2B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1.跟踪逻辑：支持智能识别接入摄像机的使用定位，并联动摄像机选用对应的跟踪逻辑，如教师跟踪、学生跟踪等；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2.检测区域：支持对接入摄像机的AI跟踪检测区域设置，可基于实景拍摄画面框选跟踪区域，框选后只在区域中方能触发跟踪，所见所得方便操作；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3.跟踪切换：支持根据设定的跟踪策略形成跟踪指令，实现多路接入摄像机的全自动AI跟踪画面切换；且支持自定义跟踪切换逻辑的画面布局，包含但不限于双分屏、画中画与自定义布局等；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4.跟踪策略：支持对接入摄像机自定义设置AI跟踪目标更新周期时间，摄像机依据配置实现相应跟踪策略；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5.智能构图：支持设置摄像机拍摄画面的智能构图模式，包含但不限于五分像、七分像、全身像等；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6.全场景跟拍：要求支持基于计算机视觉CV技术的AI人工智能跟踪算法，实现教师识别、教师移动跟拍、教师轨迹识别以及学生上台识别、板书行为识别、单人与多人起立识别等教学焦点进行自动捕捉与切换；</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1B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65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1FF8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B26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B5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录制面板</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5C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安装方式：采用物理按键，在讲台上镶嵌式安装。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控制接口：要求支持RS232控制接口用以连接录播主机。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信号指示灯：要求具备信号指示灯。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支持一键式系统电源开关控制。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一键式录制、停止、锁定电脑信号。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支持本地录播全自动的开启、关闭控制。该功能同时支持录播模式和互动模式。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支持通过面板一键发起与远端设备互动连接。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支持通过交互控制面板切换互动画面的信号源，并传输到听课室，包括本地老师信号、学生信号、电脑信号、远端课室画面。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支持对各画面的自由布局控制，包括单画面全屏、双分屏、三分屏、四分屏、画中画，并传输到听课室。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10.支持远程“一键静音”功能，主讲端可一键关闭远端互动教室发言，进入主讲授课模式。</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1E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B9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35C73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B4B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4D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音频处理系统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0A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1.支持录播模式和互动模式下的音频多场景调配；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2.支持主音量调配，支持远端音频模式调配；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3.支持自动增益，噪音抑制，EQ均衡；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4.支持直播比特率，录制比特率，采样率调配；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5.支持回声抑制。</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3E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78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2C08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4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D1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指向性话筒</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BAE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1.指向性：超心型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2.频率响应：40Hz—16kHz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3.灵敏度≥-7dB±1dB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4.最大声压级≥110dB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5.信噪比≥62dB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6.动态范围≥78.5dB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7.使用电源：麦克风一线通供电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8.输出接口：RJ45，数字音频接口</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8B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E5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14:paraId="3A5D1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8C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31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电源管理器</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B1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1.向录播视频系统、音频系统、显示系统 提供统一的、至少八路电源管理；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2.支持对录播系统控制功能，实现通过录制面板一键启动录播系统相关设备的电源；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3.支持时序电源控制功能，每路延迟一秒，可编程控制；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4.具备内置光电隔离模块，保障负载运行安全；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 提供1路最大电流不低于10A的电源输出接口；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6.支持RS-485/RS-422/RS-232 等控制协议。</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C1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6D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839D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AD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DB3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智能课堂行为分析软件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F0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一.整体要求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1.兼容对接：配套高清录播主机，实现视频数据分析；同时支持与视频资源管理平台无缝对接，可将数据通过平台进行分析结果数据展示。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2.多维分析：支持对课堂数据进行综合多维度的分析，包括“课堂语言分析”、“教学行为分析”、“教师活动轨迹”、“课堂时间分配”、“学生课堂动作表情分析”等维度数据。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二.课堂教情分析要求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1.教学行为分析：支持“教师讲授”、“学生汇报”、“师生互动”、“生生互动”、“教师巡视”多种维度的教学行为识别。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2.教师轨迹分析：支持统计整个课节时间内授课教师的授课行动轨迹，直观呈现教师授课过程中的授课位置数据。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3.教师巡视分析：要求支持教师巡视情况统计并形成教师巡视数据，分析数据应包括教师课堂巡视次数、时长等数据。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三.课堂学生分析要求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1.班级出勤率统计：以班级维度进行班级出勤人数统计，实际出席人数、出勤率等。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2.支持学生课堂动作分析，包括趴桌子、举手、站立等肢体语言，可对各类动作进行检测。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3.支持对学生动作的统计分析，统计当前每种学生动作的峰值次数和占比。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4.支持学生课堂表情分析，包括积极、平淡、消极等表情。并支持对各类表情进行实时检测，统计课堂中各类表情的学生人数。</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7E6A16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6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DB45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1E7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A8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智能语音分析软件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A7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1.教师提问情况分析：支持基于课堂语音识别能力进行教师课堂提问行为分析，从提问次数与高频时间段两个核心维度进行数据统计，实现课堂提问情况的清晰回顾。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2.教师语速分析：支持通过语音识别能力进行教师课堂授课语速分析，呈现数据需包括教师课堂说话词数以及平均语速。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3.课堂语音转写：要求基于语音语义识别完成课堂音频的文字转换，实现课堂教学过程语音全纪录。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4.课堂关键词分析：支持通过AI语音识别能力，抓取统计提前设置好的课堂知识点关键词，统计各关键词出现的次数频率，并标注出现的时间点和显示所在的语句内容。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5.课堂高频词分析：支持通过AI语音识别能力，抓取授课过程中出现的高频词汇，并统计出现频次，判断课堂教学重点；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6.课堂语气词分析：支持通过进行课堂语音识别，判断老师教学过程中出现的常规语气词出现频次，辅助老师调整教学过程中的不良习惯；</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7FF1C9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0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44D3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A5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0BA9D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录直播服主机</w:t>
            </w:r>
          </w:p>
        </w:tc>
        <w:tc>
          <w:tcPr>
            <w:tcW w:w="6035" w:type="dxa"/>
            <w:tcBorders>
              <w:top w:val="single" w:color="000000" w:sz="4" w:space="0"/>
              <w:left w:val="single" w:color="000000" w:sz="4" w:space="0"/>
              <w:bottom w:val="nil"/>
              <w:right w:val="single" w:color="000000" w:sz="4" w:space="0"/>
            </w:tcBorders>
            <w:shd w:val="clear" w:color="auto" w:fill="auto"/>
            <w:vAlign w:val="center"/>
          </w:tcPr>
          <w:p w14:paraId="6F8DAA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（1）设备高度：≤1U</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（2）硬件架构：嵌入式ARM架构设计，主机出厂内置视频资源管理平台，无需进行复杂的系统环境、软件安装操作。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（3）系统支持：Linux系统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（4）数据库支持：MYSQL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（5）存储容量：4TB SATA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（6）网络连接：RJ45千兆网口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（7）通讯接口：USB2.0≥2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（8）支持Rst设备一键复位功能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（9）采用安全电压不大于DC36V供电，节能环保，采用无风扇设计，低噪音。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（10）支持流媒体转发、直播、点播功能，单台主机支持不少于200点转发直播、支持大规模点播。</w:t>
            </w:r>
          </w:p>
        </w:tc>
        <w:tc>
          <w:tcPr>
            <w:tcW w:w="780" w:type="dxa"/>
            <w:tcBorders>
              <w:top w:val="nil"/>
              <w:left w:val="single" w:color="000000" w:sz="4" w:space="0"/>
              <w:bottom w:val="single" w:color="000000" w:sz="4" w:space="0"/>
              <w:right w:val="single" w:color="000000" w:sz="4" w:space="0"/>
            </w:tcBorders>
            <w:shd w:val="clear" w:color="auto" w:fill="auto"/>
            <w:noWrap/>
            <w:vAlign w:val="center"/>
          </w:tcPr>
          <w:p w14:paraId="1D1D2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1B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4CD7C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A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207FA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录直播教学视频资源管理系统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720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1.信息管理功能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（1）录播管理：支持把录播设备接入平台，实现自动转码、无缝直播点播，并具备直播和点播功能。支持对录播进行远程关机、休眠唤醒、启动录制等操作。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（2）多级平台对接：支持校平台与上级区平台进行对接，校平台资源可像区平台提交数据资源。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录制预约：平台支持用户远程进行在线录课预约，可实现单个或批量预约；支持预约信息的申请。支持用户手机扫码预约录制，扫码后手机端填写录播预约信息即可快速完成预约，录制结束后也可扫码在平台回顾或下载已录制的视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（4）资源颗粒度管理：支持视频资源多维度分类，如按年级、学科等分类管理，支持用户自定义分类类型。并支持根据发布时间、用户推荐度和点击热度的不同维度在平台呈现。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（5）视频专辑：支持用户可灵活创建各种视频专辑，并自定义专辑类型，可将一同类型的视频进行归类，便于视频的归整和便捷查询。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公告发布：平台首页提供公告模块，支持通过平台发布校务公告、活动通知、时势新闻等多种类型公告。公告支持按定义的类型进行归类查询，支持用户自定义公告类型。提供平台首页公告截图并加盖厂家投标专用章或公章及上述类型的公告设置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（7）自动转码功能：支持视频下载、上传、编辑、管理。可实现所有主流视频文件格式自动转码，包括asf、mpg、rmvb、mov、rm、avi、3gp、wmv、flv、mp4等，可设置下载及观看权限，可设置高标清转码清晰度码流。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虚拟切片：支持视频自动划分知识点和教学环节片段，且不破坏视频原来的完整性。支持快速点击知识点、教学环节跳转到相应节点播放。支持对上传的视频添加和修改“知识点”和“教学环节”。提供添加和修改的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教学行为分析：支持弗兰德斯教学行为分析法（S-T），平台根据跟踪数据生成S-T曲线图，帮助用户进行教学技能提升和评估。S-T行为数据支持后期在线编辑修改，便于教师进行错误修正。提供S-T功能界面截图并加盖厂家投标专用章或公章和编辑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（10）文件检索：支持关键字搜索功能，用户可直接在资源管理平台的页面搜索框输入关键字，对某个视频标题、知识点进行搜索。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（11）一键置灰：支持平台肤色一键置灰功能，切合特殊纪念日氛围。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（12）指定播放：支持设置指定播放源，用户点击任意视频均强制播放指定视频源，便于学校进行重要视频的统一播放和管理。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流量统计：支持平台对用户访问数、页面访问量进行数量统计，访问流量数据可按日、周、月、年、总浏览数进行分类统计。支持以曲线图形式展现10天内的访问流量变化趋势。支持对视频直播量、点播量统计。提供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存储管理：平台支持自定义视频的保存期限，支持永久保存，支持自定义视频保存天数期限，到达期限后自动删除；同时支持平台对录播内的视频保存期限进行管理，支持永久保存和自定义期限并在到达期限后录播自动删除视频文件。提供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▲（15）提供基于录播设备的智能教学信息处理系统相关自主知识产权证明文件复印件并加盖厂家投标专用章或公章。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2.直播点播功能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（1）基于FLV、HLS主流协议直播技术，无需安装插件即可进行跨平台（Windows、Linux、IOS等）视频点播观看。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（2）支持流媒体转发服务，平台支持不少于200点以上高清直播功能。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（3）集群技术：支持直播集群技术，以支持系统的横向拓展，随系统应用规模的拓展逐渐增加转发服务器以支持更大规模直播。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（4）多码率支持：点播视频时可根据网络情况在播放器窗口进行高标清切换观看。提供转发高标清设置功能界面截图并加盖厂家投标专用章或公章。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（5）支持直播权限及密码设置，让直播信息更加安全。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（6）支持上传教案、课件等视频附件，附件可与视频进行绑定。支持word、excel、ppt、PDF、jpeg等格式。用户在点播视频时下载附件。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（7）提供视频转发分享功能，支持二维码分享和一键转发分享至新浪微博、QQ、微信等社交平台中。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3.微课管理功能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（1）提供微课管理模块，支持自定义微课时长限制，在规定时长内的视频上传平台后自动归类到微课模块当中，并支持按学段、学科进行自动归类整理。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提供专业微课录制软件，支持直接从平台下载微课录制软件并安装于笔记本电脑中。微课视频录制完毕后支持一键上传到平台，或下载到本地电脑保存。提供微课软件客户端在平台下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（3）微课录制软件需满足包括教师头像、实物展台、课件PPT在内的三路视频源切换及组合布局录制，支持课件与老师画中画模式。提供软件界面截图并加盖厂家投标专用章或公章。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（4）支持PPT课件导入、课件批注，在微课录制的同时支持PPT分页预览，并进行切换录制。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▲（5）提供微课制作软件相关软件著作权证书复印件并加盖厂家投标专用章或公章。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4.移动APP应用服务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（1）提供自主研发的平台移动端APP，支持Android系统，可与视频资源管理平台对接。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（2）移动端APP应提供视频在线直播、视频点播、专辑点播等功能。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（3）移动端同步支持虚拟切片功能，实现知识点的快速跳转观看、学习，提高学生的学习效率。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（4）支持移动端APP点播视频时查看视频信息、视频附件。提供APP功能界面截图并加盖厂家投标专用章或公章。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▲（5）提供移动学习软件相关软件著作权证书复印件并加盖厂家投标专用章或公章。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5.其他要求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▲（1）为了保证系统兼容性，要求平台与录播主机为同一品牌，提供教学视频资源管理系统相关软件著作权证书复印件并加盖厂家投标专用章或公章。</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041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663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E287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CB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740" w:type="dxa"/>
            <w:tcBorders>
              <w:top w:val="nil"/>
              <w:left w:val="single" w:color="000000" w:sz="4" w:space="0"/>
              <w:bottom w:val="single" w:color="000000" w:sz="4" w:space="0"/>
              <w:right w:val="single" w:color="000000" w:sz="4" w:space="0"/>
            </w:tcBorders>
            <w:shd w:val="clear" w:color="auto" w:fill="auto"/>
            <w:vAlign w:val="center"/>
          </w:tcPr>
          <w:p w14:paraId="752F0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无线领夹手持话筒</w:t>
            </w:r>
          </w:p>
        </w:tc>
        <w:tc>
          <w:tcPr>
            <w:tcW w:w="6035" w:type="dxa"/>
            <w:tcBorders>
              <w:top w:val="nil"/>
              <w:left w:val="single" w:color="000000" w:sz="4" w:space="0"/>
              <w:bottom w:val="single" w:color="000000" w:sz="4" w:space="0"/>
              <w:right w:val="single" w:color="000000" w:sz="4" w:space="0"/>
            </w:tcBorders>
            <w:shd w:val="clear" w:color="auto" w:fill="auto"/>
            <w:vAlign w:val="center"/>
          </w:tcPr>
          <w:p w14:paraId="486303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采用UHF超高频段，DPLL数字锁相环多信道频率合成技术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提供至少200个信道选择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红外线对频技术，发射机自动追锁接收机频率， 频率范围：740-790MHz</w:t>
            </w:r>
          </w:p>
        </w:tc>
        <w:tc>
          <w:tcPr>
            <w:tcW w:w="780" w:type="dxa"/>
            <w:tcBorders>
              <w:top w:val="nil"/>
              <w:left w:val="single" w:color="000000" w:sz="4" w:space="0"/>
              <w:bottom w:val="single" w:color="000000" w:sz="4" w:space="0"/>
              <w:right w:val="single" w:color="000000" w:sz="4" w:space="0"/>
            </w:tcBorders>
            <w:shd w:val="clear" w:color="auto" w:fill="auto"/>
            <w:vAlign w:val="center"/>
          </w:tcPr>
          <w:p w14:paraId="18C66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nil"/>
              <w:left w:val="single" w:color="000000" w:sz="4" w:space="0"/>
              <w:bottom w:val="single" w:color="000000" w:sz="4" w:space="0"/>
              <w:right w:val="single" w:color="000000" w:sz="4" w:space="0"/>
            </w:tcBorders>
            <w:shd w:val="clear" w:color="auto" w:fill="auto"/>
            <w:vAlign w:val="center"/>
          </w:tcPr>
          <w:p w14:paraId="083CA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07726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4D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78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交换机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AFC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1.16口千兆网络交换机，全钢壳设计自动散热，无风扇；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2.采用存储转发机制，内部集成高容量缓存；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3.自动进行MDI/MDIX翻转，自动协商端口工作速率；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4.支持“标准交换”、“VLAN隔离”和“网络克隆”等工作模式。</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C1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1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0381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9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91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FAF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规格：600*600*1200㎜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材质：主体≥0.8㎜冷轧钢板，设活动层板；立柱壁厚≥1.2㎜；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结构：前开门，后背板带网格散热孔，底部设出线孔。</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CC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AF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21261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A7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BD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系统集成</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6ED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DMI线15米2条、HDMI线1.5米跳线1条、HDMI分配器一分四1个、话筒吊咪线15米、音箱线无氧铜100支30米、网线超五或六类3条、网线跳线1.5米3条、双3.5mm成品线1.5米2条、3.5转双莲花1.5米6条、水晶头50个、电胶带，扎带等若干、8孔插排2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BA9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B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w:t>
            </w:r>
          </w:p>
        </w:tc>
      </w:tr>
      <w:tr w14:paraId="24BD6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9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58467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生物学学科中心</w:t>
            </w:r>
          </w:p>
        </w:tc>
      </w:tr>
      <w:tr w14:paraId="2280E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4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507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触控一体机</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DD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一、整机要求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▲1.屏体要求：86英寸，液晶LED，A规屏，显示比例(16：9)；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2.亮度：≥300cd/m2、对比度：≥5000:1、屏体物理分辨率≥3840*2160；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3.防眩光功能：采用 4mm 厚 AG 钢化玻璃，防眩光，减少玻璃反射光的影响，反射率小于 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4.触摸技术：红外感应技术，20点触控，</w:t>
            </w:r>
            <w:r>
              <w:rPr>
                <w:rFonts w:hint="eastAsia" w:ascii="宋体" w:hAnsi="宋体" w:eastAsia="宋体" w:cs="宋体"/>
                <w:i w:val="0"/>
                <w:iCs w:val="0"/>
                <w:color w:val="000000"/>
                <w:kern w:val="0"/>
                <w:sz w:val="20"/>
                <w:szCs w:val="20"/>
                <w:highlight w:val="none"/>
                <w:u w:val="none"/>
                <w:lang w:val="en-US" w:eastAsia="zh-CN" w:bidi="ar"/>
              </w:rPr>
              <w:t>支持安卓、windows 系统20笔或以上同时书写。</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▲5.前置接口：≥USB3.0*3；≥Type C*1；≥Touch USB*1；≥HDMI in*1（提供具有CNAS标识的检测报告复印件加盖厂家公章）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6.前置≥3个USB 3.0 接口全部支持 Windows 及 Android 双系统读取，将 U 盘插入任意前置 USB 接口，均能被 Windows 及 Android 系统识别。</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▲7.后置接口：≥MIC In*1、≥YPBPR*1、≥COAXIAL Out*1、≥Earphone Out*1、≥PC Audio In*1、≥VGA*1、≥RS232*1、≥AV In*1、≥AV Out*1、≥LAN In*1、≥HDMI in*1、USB*2、≥Touch USB*1、≥TF Card*1；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▲8.前置按键≥7个包括：录屏、图像比例、音量-、音量+、设置、护眼、电源； （提供具有CNAS标识的检测报告复印件加盖厂家公章）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9.整机开关、电脑开关和节能待机键三合一，操作便捷；设备支持通过前置按键一键启动录屏功能，可将屏幕中显示的课件、音频等内容与老师人声同步录制，方便制作教学视频；支持OPS一键还原。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w:t>
            </w:r>
            <w:r>
              <w:rPr>
                <w:rFonts w:hint="eastAsia" w:ascii="宋体" w:hAnsi="宋体" w:eastAsia="宋体" w:cs="宋体"/>
                <w:i w:val="0"/>
                <w:iCs w:val="0"/>
                <w:color w:val="000000"/>
                <w:kern w:val="0"/>
                <w:sz w:val="20"/>
                <w:szCs w:val="20"/>
                <w:highlight w:val="none"/>
                <w:u w:val="none"/>
                <w:lang w:val="en-US" w:eastAsia="zh-CN" w:bidi="ar"/>
              </w:rPr>
              <w:t>安卓系统版本11.0 或以上，内</w:t>
            </w:r>
            <w:r>
              <w:rPr>
                <w:rFonts w:hint="eastAsia" w:ascii="宋体" w:hAnsi="宋体" w:eastAsia="宋体" w:cs="宋体"/>
                <w:i w:val="0"/>
                <w:iCs w:val="0"/>
                <w:color w:val="000000"/>
                <w:kern w:val="0"/>
                <w:sz w:val="20"/>
                <w:szCs w:val="20"/>
                <w:u w:val="none"/>
                <w:lang w:val="en-US" w:eastAsia="zh-CN" w:bidi="ar"/>
              </w:rPr>
              <w:t xml:space="preserve">部缓存容量（RAM）：≥2GB ；内部存储容量（ROM）：≥16GB。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11.内置双路 WIFI，支持 AP 热点，Wifi : 2.4GHz / AP : 2.4GHz/5GHz。</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12.一键调整分辨率: 可通过及触摸按键对内置电脑画面实现一键切换屏幕分辨率，调整画面显示比例；整机支持一键黑屏节能 70%。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13.信源通道自动识别：设备能自动识别并切换到最新接入的信号源通道，且断开后能回到上一通道。自动跳转前支持选择确认，待确认后再跳转。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14.童锁开关：产品应支持童锁开关功能，当开启童锁功能后，界面将被锁住，避免学生随意操作出现的系统故障问题。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悬浮菜单：在任意信号源通道下均可调用悬浮菜单，悬浮菜单具有一键启用应用软件、随时批注擦除，切换信号源等功能，悬浮菜单中的信号源支持自定义修改且可一键直达常用信号源可通过两指调用到屏幕任意位置。悬浮菜单中的应用可根据使用需求进行应用或功能的替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16.整机具备智能手势识别功能，在任意信号源通道下均可识别五指上、下、左、右方向手势滑动，调取熄屏、批注、桌面、半屏模式功能。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二、质量保证要求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1、所投产品具有CNAS标识的MTBF≥30万小时可靠性实验的检测报告复印件，提供检测报告复印件并加盖制造厂家公章。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2、所投产品具有CNAS标识的防蓝光检测报告且危害等级达到RG0级的检测报复印件，提供检测报告复印件并加盖制造厂家公章。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3、.所投产品具有硬件及教育系统相关软件具有售后服务完善程度评价规范和GB/T27922-2011商品售后服务体系达到十星认证证书，提供证明并加提供证明复印件并加盖制造厂家公章。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4、所投产品制造厂商具有“项目质量管理体系认证证书”，“标准化等级评价体系认证证书AAAA级”、“有害物质过程管理体系认证证书”，提供证明复印件并加盖制造厂家公章。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5.所投产品具有《全国质量信誉保障产品》证书、《全国产品和服务质量诚信品牌》证书、《全国教育装备行业质量领先品牌》证书、《全国质量检验稳定合格产品》证书，提供证书复印件加盖制造商公章</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eastAsia="宋体" w:cs="宋体"/>
                <w:i w:val="0"/>
                <w:iCs w:val="0"/>
                <w:color w:val="000000"/>
                <w:kern w:val="0"/>
                <w:sz w:val="20"/>
                <w:szCs w:val="20"/>
                <w:highlight w:val="red"/>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6.所投产品具有CNAS标识的高低温及恒定湿热可靠性实验的检测报告，提供CNAS认可机构出具的检测报告。</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3E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F52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182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3B2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2C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内置电脑</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D02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1.插拔式OPS微型PC设计，采用Intel十代或以上 I5CPU、8GB内存、256G固态硬盘；开放式可插接INTEL规范接口（OPS接口），双面合计80针。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2.支持WIFI无线网络，带双天线，带RJ45接口100M/1000Mbs。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3.支持电源：AC input:100-240V/50-60HZ ；DC output:19V/5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3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CB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5D819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ED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DE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教学应用软件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92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A、白板软件要求：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1.基于手势操作开发，简单易用，手指单点或使用触控笔就能一键快速调取教学软件及工具；</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▲2.备授课功能，具有备课模式及授课模式，且操作界面根据备课和授课使用场景不同而区别设计，包含数、英语、化学等 14 个不同背景，支持自定义图片生成 PPT 背景;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3.支持一键调取 PPT 文件，可选择本地导入或打开两种不同形式获取课件，并支持对调取课件进行再次编辑，保存生成独立格式保护校本资源；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备课模式下，对课件添加文本编辑、思维导图等功能，并支持对所添加内容编辑进入和退出方式，可选择百叶窗、淡入、缩放、浮现、飞入、旋转、劈裂、弹跳、淡出、浮出、弹跳、擦除等不同的编辑方式，支持对输入的文本添加朗读读音，读音支持导出音频文件并支持一键插入 ppt、word、excel 等文件；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5.支持备课模式下，对课件页面添加动画效果，可选择新闻快报、缩放、揭开、切出、淡出、推进、覆盖等不同的编辑方式；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汉字描红功能，将手写汉字文本快速识别成规则文本，可对汉字进行笔画逐步描红，并可拓展相关汉字读音、偏旁部首、释义等内容，支持拼音读写功能，将手写拼音文本快速识别成规则文本，可对拼音进行示范朗读，支持汉字注音功能，可将输入文本一键注- 入拼音，并点击一键插入白板可自动添加至文本上方；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7.黑板书写支持不少于 10 种风格笔的书写，包含硬笔，智能笔，荧光笔，竹笔，纹理笔，软笔，手势笔，图章笔，激光笔，粉笔类型；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8.支持手势擦除功能，当识别到 5 指手势，画面自动由手写状态变成板擦状态，符合老师随写随擦的教学习惯，板擦大小至少有 3 级选择；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B、移动端设备管理要求：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1.支持移动端远程巡课功能，在小程序端可查看大屏设备 Windows桌面，支持打开大屏端摄像头，麦克风，实时查看教室情况。摄像头，麦克风选项支持打开，关闭，支持静音观看。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▲2.一体机设备软硬件检测功能，支持在手机上查看电脑软硬件信息（包含 CPU，主板，内存，开机市场，硬盘，显卡，声卡，网卡，系统等），且支持电脑关机时查看，设备在线状态可以实时监视电脑CPU、内存使用率与温度等变化；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▲3.移动端控制电脑，支持远程控制一体机电脑关机、重启、锁定、睡眠、倒计时关机、定时任务；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4.定时任务，像设置闹钟一样简单，为电脑设置定时任务，让电脑使用更有规划，助力生产力，节约人力成本与能源；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5.应用管理，不用远程控制桌面，也能掌握电脑中所有应用的开启与关闭，实时监控应用状态；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C、移动授课要求：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1.PPT助手：把手机变成PPT翻页笔，支持PPT的播放、退出、翻页功能，且能锁定操作、屏幕常亮、触感震动反馈等，支持夜间模式；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▲2.个性化：可将手机变为移动展台，将手机中图片、现场拍摄照片一键上传至电脑，变为电脑桌面，通过透明批注工具对桌面进行批注、擦除。支持一键截图设备桌面并保存至手机端本地。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移动端、电脑文件双向互传功能：通过管理小程序能随时随地连接一体机电脑硬盘，找到想要的文件，支持从手机上传照片、视频、微信中收发的文件到电脑；一键上传文件，在电脑上，任意文件右键，即可一键把文件从PC上传发送到手机。支持移动端直接下载PC端文件至本地和链接形式分享给微信客户端好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4.手机可变成智能笔，含PPT助手功能、调节一体机声音大小、上下音频切换、PC与移动端文件互传功能、云书签功能等，便于教师移动授课。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D、售后服务工具要求：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▲1.智慧黑板端带一个使用反馈入口，点击显示反馈二维码，用户使用微信扫描进入小程序反馈平台，提交上传异常问题，异常现象等图片或视频，一键上报售后；</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2.用户通过售后小程序可以快速查询产品使用指南，支持填写申请，预约售后服务人员；</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3.用户通过售后小程序可以进行对产品，售后服务的评价，投诉；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4.售后服务通过小程序，可以查询机器的维修记录，后台可以实时了解异常情况，快速获取反馈人信息及联系方式，指定维修人员及时服务。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E、无线投屏要求: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1.无线投屏支持 windows,mac,ios,android 平台登录使用；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2.PC 端和移动端可以通过设备码互相投屏，支持手机端扫码投屏到PC 端；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3.PC 端投屏，可以设置投屏端声音投放系统声音或者麦克风的外音；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4.移动端向 PC 端投屏时，可在 PC 端进行批注、录制、截屏、画面旋转、画面置顶等功能；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F、教学资源要求：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智慧课堂界面内一键进入免费的在线教学资源，支持一年级到高三的学科类课程，名师讲堂课程讲解，同时支持专题教育类课程，包含（防疫教育，防疫常识，防疫科学，战疫课堂，战疫故事，品德教育，党史教育，国史教育，爱国主义教育，社会主义核心价值观教育，优秀传统文化，生命教育，安全教育，自然灾害防护，意外伤害防护，公共卫生，社会安全，网络安全，心理健康教育，居家建议，情绪适调，人际交往，学会学习，家庭教育，亲子沟通，习惯养成，经典阅读，主题阅读，中华经典，电子书籍，研学教育）。(提供具有CNAS标识的检测报告复印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支持3D太阳系功能，可查看太阳系8大行星的星球参数，星球简介，星球结构，可查看行星运行轨迹。支持查看星球赤道直径，质量，与太阳平均距离，自转周期，日星轨道周期。支持查看表面重力，昼夜温度，别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3.支持电子琴功能，可以模拟钢琴发声，包含自由演奏，乐理学习，。自由演奏可以实现实时录音，曲库中有若干乐曲可播放学习。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支持植物生长功能，支持查看植物的叶，茎，花，树干结构，支持查看光合作用过程，支持查看在不同光照情况下树干的形成情况。植物生长模块中包含护林小帮手互动答题游戏，可实现互动教学。(提供具有CNAS标识的检测报告复印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5．支持书法知识功能，收录古代以及近代多篇知名书法作品，可供学生欣赏，临摹学习。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6．支持体育知识功能，可以查看多种运动项目知识介绍，包括速度力量类，竞争对抗类，耐力竞技类，难美表现类，精准技能类，同时可查看运动精彩集锦。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7．支持英文音标功能，可以查看所有音标的发音教学，包括元音，辅音，半元音等。同时收录英文音标发音教学视频和英文音标发音小技巧视频。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8．支持英文字母功能，内置26个字母教学视频，同时有字母歌视频辅助学习。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▲9.快速录制屏幕，支持同时录制屏幕，麦克风声音以及摄像头人像画面；录制画面可以自定义区域，摄像头画面可设定3种模式大小；(提供具有CNAS标识的检测报告复印件加盖厂家公章)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微课录制完成后视频支持选择存储在本地或者云空间，并修改录制文件的名称，保存在云空间时，自动弹出云空间网站，支持文件公开分享或设为收费视频（设为收费视频为选配），支持将云空间的视频下载至本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11.支持二维码或者复制链接进行视频分享，可设置访问密码，支持使用微信、QQ等工具扫二维码直接观看，观看过程中可在视频时间轴添加表情互动评论，视频进度条中显示表情与评论；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12.每个用户微课云空间支持至少1G存储，并提示存储量；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13.每个微课分享后可以统计观看人数、标记看完人次、互动评价内容等；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14.客户端支持MACOS，windows，android，IOS平台；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15.录制人像时，可讲画面调整为圆形或方形，并对画面进行拖动或者关闭功能，支持选配人像抠图及背景虚拟功能；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G、质量保证要求：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▲1.提供厂家针对本项目的技术参数证明函及白板软件检测报告。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2.为保证兼容性、软件升级及售后便捷与时效，与硬件为同品牌。</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70A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1A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0B2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E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2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视频展台</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E3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1、箱体采用ABS环保材质，轻便耐腐蚀，箱内无可见连接线，整机圆边设计，安全防碰伤。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2、采用三折叠式开合托板，非气压杆联动，平稳无故障。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3、像素：800万像素，A4幅面。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视频展台具有2个USB数据采集接口，支持USB下出线和侧边出线2种方式，满足不同的现场安装需求；箱体外侧内嵌2个USB扩展口，可外接U盘或无线键鼠的接收器。(提供权威第三方检测机构出具的带CNAS标识的功能检测报告复印件并加盖厂家公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5、采用AF自动对焦，课件翻页和光线变化时不能出现频繁对焦的情况，提高教学演示效率。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6、整机自带LED补光灯，可触摸式三级灯光调节。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7、界面与功能图标内嵌中文，清晰易用，老师不用查阅帮助就能使用，减少误操作。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8、软件基础功能：可预设画笔批注的粗细及颜色，支持对展台画面进行移动、缩放。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故障检测：软件支持故障自检功能，帮助用户检测“无画面”的原因，并给出引导性的修复和解决方案，可判断硬件连接、解码器、显卡驱动、摄像头通道占用等问题，同时也有显示微信和技术电话提供协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10、二维码扫码功能：打开扫一扫功能后，将书本上的二维码放入扫描框内即可自动扫描，并进入系统浏览器获取二维码的链接内容，帮助老师快速获取电子教学资源。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11、软件自带虚拟黑板功能，截取实物展示的某一重点内容在虚拟黑板模式下进行单独批注讲解，板书支持保存和二次打开、编辑，使授课变得简单轻松。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12、图像特技：延时拍照、聚光灯、负片、镜像、黑白、自动曝光、视频冻结、同屏对比、旋转、屏幕录制。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475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96A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0EEDC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5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BBA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无尘互联黑板</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F5B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1、产品整体结构上采取左、右柔性液晶光能黑板+中间86寸液晶一体机的组合方式，总尺寸≥4500mm*1158mm。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2、无粉尘、无耗材：光能黑板依靠压力改变液晶分子排布，使用任何硬度适中的物体均可书写，书写压力50-300g，笔迹粗细大于4mm，书写延时≤7ms，无需任何耗材，杜绝粉尘污染，单点书写10万次后无划痕。</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3、▲板面：透光率不低于87%，雾度不高于40%。（提供有CNAS及CMA认证标识的第三方检测报告）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4、板面结构：产品单块尺寸≥1290*1158mm，独立开放式设计，独立拆装，配有可调节高度装置，调节高度范围大于50mm，与一体机尺寸配套。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5、▲可视距离：书写笔迹可视距离≥40米，可视角度≥149°，对比度680:1。（提供国家认可CMA及CNAS资质的第三方检测报告）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6、保护视力：纯自然光反射呈字，无电离辐射，长时间观看不刺激眼睛，保护视力。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7、▲局部擦除：可使用板擦和手势对错误字迹进行局部擦除，擦除精度≤9.7mm*9.7mm，擦除延时＜60ms。（提供有CNAS及CMA认证标识的第三方检测报告）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8、▲供电：内置可充电锂电池，电池容量≥2600mAh。(提供标有CNAS及CMA国家认可的第三方检测报告）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9、▲耐高、低温：光能黑板通过低温-30℃，高温80℃，恒定湿热40℃，95%RH测试，功能正常。（提供有CNAS及CMA认证标识的第三方检测报告）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10、同步传输保存：板书内容可以同步传输到光能板所配套显示设备中进行保存，方便后期的课件使用。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11、电压调节：内部设计电压补偿机制，通过手势按压板面特定位置控制内部电压的高低，实现擦除灵敏度调节。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12、▲光能黑板通过1500V测试，无击穿现象。(提供标有CNAS及CMA国家认可的第三方检测报告）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13、▲光能黑板抗紫外线测试，紫外线阻隔率不低于99.5%。(提供标有CNAS及CMA国家认可的第三方检测报告）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14、▲光能黑板外壳防尘等级不低于IP4X。(提供标有CNAS及CMA国家认可的第三方检测报告）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二、软件要求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1、同步互联：左、右光能黑板可与触控一体机进行互动，将光能黑板的内容与触控一体机无缝连接，教师在光能黑板上的书写内容可同步显示在触控一体机上。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2、颜色切换：可设置不同的软件端笔迹颜色，可实现老师对于教学重点的标识及批注；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3、板书记录：可同步传输老师的板书到软件界面；按下清除键后，板面和软件端的笔迹均可以被清除；点击“前一页”可找回清除掉的板书；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4、单双页切换：两种光能黑板的书写记录模式，支持单板书写记录内容为一个单页面，也可以支持双板同时书写时记录在一个页面上；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5、桌面切换：黑板书写内容和屏体显示内容可一键切换，不影响老师正常授课操作。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6、一键保存：支持将板书内容保存为PDF文档，便于学校对课堂板书的管理和传递。无需花费时间找存储路径，点击“打开”，直接进入存储位置，快速找到存储文件。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D76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2A4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C7A9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78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EFC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红外无线扩声一体机（主箱）</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D5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一体化设计。集成：数字功放，红外无线接收模块，红外线传感器，反馈抑制模块，DSP数字音频处理模块，扬声器于一体。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采用红外光线进行音频传输，可在室外阳光环境下工作，不串频，无干扰。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频道组数≥3通道，支持两支红外无线话筒和一支红外翻页笔同时使用。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内嵌超广角多阵列式红外线接收管≥24颗。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一路红外传输扩展接口：RJ45网口。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线路输入接口1个；USB数字声卡接口1个；混音输出接口1个；幻象供电话筒接口1个；话筒独立输出1个，音箱接线端口1组。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 支持RS232中控，实现每路音量调节，高低音调节，参数储存/恢复，电源开关等中控控制。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控制面板配置中文液晶屏，及时反馈设备状态。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功放频率响应：50Hz~20KHz ±3dB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失真：≤0.05%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信噪比≥78dB(MIC),  ≥80dB(LINE),  ≥98dB(IR MIC)</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12 功放额定输出功率:（4Ω）90W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扬声器：2×4”全频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 铝合金箱体</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44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A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509FC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4A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5E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红外音箱（含支架）</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09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▲1、箱体内嵌超广角多阵列式红外线接收管24颗，与音箱融为一体。须提供具有“CNAS”和“CMA"资质的第三方实验室（检测机构）出具的检测报告。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▲2、采用RJ45网口进行红外信号传输，并具备输入输出接口。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3、单元组成2个4寸高性能铁氧体驱动单元。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4、频率响应：100Hz~18kHz（±3dB）</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5、额定/峰值功率80W/160W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6、灵敏度：90dB（1W/1M）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7、最大声压级110dB（1W/1M）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阻抗：8Ω；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箱体材料： 铝合金一次成型，坚固耐用。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 外观工艺：阳极氧化，IPx4防水级别，室内、外均可安装。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 尺寸（高×宽×深）mm：147.3(L)x149.7(W)x475(H)</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F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7A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r>
      <w:tr w14:paraId="52C9B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5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3C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红外线话筒（翻页、绿色激光、自动休眠、磁吸充电）（颈挂+手持）</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35A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无线传输制式：红外线(波长850nm)，高灵敏度红外线发射管≥6颗，分布在前后左右四面，不易遮挡。须提供具有“CNAS”和“CMA"资质的第三方实验室（检测机构）出具的检测报告。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拾音传感器：电容式驻极体音头ECM。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有效传输距离：与配套主机实现26米（室内直线无遮挡）稳定传输。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通道调节：双通道设计，可自主调节红外通道。</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功率调节：可自主设定高低两档发射功率。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电池：内置1300mAh锂电池，工作时间≥8小时。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▲充电方式：支持磁吸座充(即话筒尾部安装环形充电磁铁，正反方向都能充电)、磁吸线充和Type-C线充。须提供具有“CNAS”和“CMA"资质的第三方实验室（检测机构）出具的检测报告。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 话筒具备PPT翻页功能。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 话筒具备绿色激光教鞭功能。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▲10.智能电源管理：话筒静置2秒后自动休眠，拿取时瞬间自动正常工作。须提供具有“CNAS”和“CMA"资质的第三方实验室（检测机构）出具的检测报告。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11.可手持可颈挂，标配可轻松调节高度的硅胶挂绳。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▲12.通过4颗双色指示灯反馈设备电量、音量及使用状态。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13. 外部音源接入：能支持头戴咪和外部音源输入，可连接手机等移动设备。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14. 兼容性：兼容同品牌红外线全系列接收设备。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8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4E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w:t>
            </w:r>
          </w:p>
        </w:tc>
      </w:tr>
      <w:tr w14:paraId="23123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4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CF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组合式单充电座（桌面+嵌入+壁挂架选配）</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C7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 标配一个充电位，支持不同形状话筒（颈挂式、手持式）和智能翻页笔充电。同时支持桌面放置、嵌入式、壁挂式三种安装方式（壁挂支架选配）。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充电保护：对不关话筒的情况下可以自动断开内部电路并进行充电。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充电指示：可根据充电指示灯判断充电情况。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电池识别保护：能自动识别是否是充电电池，检测到非充电电池会自动断电保护。</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 同时具备Type-C接口和4P凤凰插口，且都支持供电和RS-232控制协议，通过中控接口反馈充电状态，发送控制指令。须提供具有“CNAS”和“CMA"资质的第三方实验室（检测机构）出具的检测报告。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 充电电压电流：DC 5V, 500mA。</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1D7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DF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398BD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82E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A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移动讲桌</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14E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规格：1200mm×600mm×900mm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结构：钢木结构，内配储物柜，设可移动置物板。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1.台面采用 12.7mm 厚双面膜耐腐蚀实芯理化板。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2.主框架采用 30×60×1.2mm 方管、拉撑采用 25×50×1.2mm方管。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3.内配柜体采用16mm 厚 E1 级实验室专用三聚氰胺板。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4.置物板采用0.6mm冷轧钢板。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1.台面采用数控雕刻机制作，四角倒R15 圆角，边沿倒3圆角，流畅圆滑不伤手。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2.钢架采用CO2保护焊焊接，表面经酸洗磷化、纯环氧树脂塑粉高温固化处理，平整光滑，无脱落、鼓泡、凹陷、压痕以及表面划伤、麻点、裂痕、崩角和刃口 等，切割、钻孔和倒角应去毛刺。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3.柜体板材截面采用≥1.0㎜厚PVC 封边机械高温封边。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1.台面耐酸、耐碱、耐高温，坚固耐用，防潮、无细孔、不膨胀、不龟裂、不变形、不导电、便于维护及具有良好的承重性能。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2.内配柜设抽斗和柜门，方便放置不同类型物品。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3.置物板宽度350mm，和桌面成30°夹角，采用吊装滑轨、滑轮，左右移动顺畅；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4.桌脚采用静音万向轮，整桌可任意移动。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6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7B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14:paraId="6F83E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5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B5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可拼接学生桌</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04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规格：1400*700*750mm±10mm；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桌面：材质采用抗倍特一体成型。耐80度以上高温。防水：浸水24小时后的膨胀指数不多于0.1mm，面板四周采CNC修边，四周倒角，圆润光滑无任何毛边。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桌架：框架采用≥φ30*1.2㎜钢架，钢材符合国家相关标准，焊接采用二氧化碳保护焊焊接，表面经去油除锈处理，高温静电喷塑。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脚套：采用全新PE工程塑料一次注塑成型，牢固耐磨；可加活动轮。</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FE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9E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14:paraId="1B9D3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5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79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学生椅</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65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规格：375*390*550-座高440㎜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椅面：依据人体工程学原理，采用全新PP塑料，一体注塑成型，抗压、耐磨、耐冲击。</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椅架：钢管直径22mm，壁厚1.8mm，数控折弯成型，且设计可多把椅子堆叠存放，减少存储空间。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脚垫：材质为PP。</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F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87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r>
      <w:tr w14:paraId="06A96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6E27">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5744">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实验边台1</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B6E8">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规格：2400×600×800mm±10㎜，长度可依空间实际尺寸定制。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台面采用12.7mm厚实芯理化板，外露边沿修圆弧，整体美观大方，耐高温、耐酸碱、耐腐蚀、不吸水、防火、阻燃、防静电、抗老化、无毒、无褪色、材质坚硬，牢固可靠。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2.桌柜采用16mm厚聚木屑三聚氰胺双面板。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3.桌架采用40×60×1.2mm方钢管。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4.水槽采用高密度黑色PPR一体化水槽，其内腔尺寸（长宽高）485mm×385 mm×290mm；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5.水嘴采用铜质喷塑三联式高位水嘴、陶瓷芯片水阀；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4.五金配件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1）拉手：采用一字型铝合金拉手。；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2）铰链：采用优质铰链，开启角度 110°铰链开启 15º以内具有自闭功能，耐腐蚀、承重、经久耐用，开合十万次以上。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3）导轨：采用超静音三节滚珠滑轨，承重≥15公斤，开合十万次以上不变形。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4）地脚：ABS工程塑料可调脚，螺杆直径 12mm，可调整高度 0-30mm，具有减缓冲击力功能。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1.钢木左右结构；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2.钢架采用“工”字形结构，前面放置木柜，木柜下设钢管托撑，并有M8mm螺丝顶固，带可调地脚；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3.桌柜上设抽屉，下设储物柜；水槽柜设检修门；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4.桌柜离地150mm左右，方便打扫卫生；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板材截面采用1.5㎜厚pvc封边条机械高温封边；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2.钢材采用CO2保护焊焊接，钢材表面经喷砂抛丸去油除锈，静电喷涂；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ABA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CF542">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张</w:t>
            </w:r>
          </w:p>
        </w:tc>
      </w:tr>
      <w:tr w14:paraId="56790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CC1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7A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实验边台2</w:t>
            </w:r>
          </w:p>
        </w:tc>
        <w:tc>
          <w:tcPr>
            <w:tcW w:w="6035" w:type="dxa"/>
            <w:tcBorders>
              <w:top w:val="single" w:color="000000" w:sz="4" w:space="0"/>
              <w:left w:val="single" w:color="000000" w:sz="4" w:space="0"/>
              <w:bottom w:val="nil"/>
              <w:right w:val="single" w:color="000000" w:sz="4" w:space="0"/>
            </w:tcBorders>
            <w:shd w:val="clear" w:color="auto" w:fill="auto"/>
            <w:vAlign w:val="center"/>
          </w:tcPr>
          <w:p w14:paraId="2D35A1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规格：1800×600×800mm±10㎜，长度可依空间实际尺寸定制。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台面采用12.7mm厚实芯理化板，外露边沿修圆弧，整体美观大方，耐高温、耐酸碱、耐腐蚀、不吸水、防火、阻燃、防静电、抗老化、无毒、无褪色、材质坚硬，牢固可靠。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2.桌柜采用16mm厚聚木屑三聚氰胺双面板。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3.桌架采用40×60×1.2mm方钢管。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4.五金配件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1）拉手：采用一字型铝合金拉手。；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2）铰链：采用优质铰链，开启角度 110°铰链开启 15º以内具有自闭功能，耐腐蚀、承重、经久耐用，开合十万次以上。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3）导轨：采用超静音三节滚珠滑轨，承重≥15公斤，开合十万次以上不变形。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4）地脚：ABS工程塑料可调脚，螺杆直径 12mm，可调整高度 0-30mm，具有减缓冲击力功能。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1.钢木左右结构；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2.钢架采用“工”字形结构，前面放置木柜，木柜下设钢管托撑，并有M8mm螺丝顶固，带可调地脚；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3.桌柜上设抽屉，下设储物柜；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4.桌柜离地150mm左右，方便打扫卫生。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板材截面采用1.5㎜厚pvc封边条机械高温封边；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2.钢材采用CO2保护焊焊接，钢材表面经喷砂抛丸去油除锈，静电喷涂；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2B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9D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r>
      <w:tr w14:paraId="7FDA8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A3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863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学生实验凳</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CAC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规格：Φ315mm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1.螺旋式升降。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2.凳脚材质：4个凳脚采用17mm×34mm×1.2mm无缝钢管模具一次弯管成型。二氧化碳保护焊焊接，结构牢固，金属表面经静电粉沫喷涂处理。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3.凳面材质：采用聚丙烯共聚级注塑,厚5mm。表面细纹咬花，防滑不发光。凳面底部镶嵌4枚铜质螺纹，采用螺丝与圆型托盘固定。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4.脚垫材质：采用PP加耐磨纤维质塑料，实心倒勾式一体射出成型凳面与凳脚留有一定的空间便于凳子挂在挂凳扣上。方便教室的打扫。</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B3C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3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7C622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0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47C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控制柜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ECB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1.控制柜尺寸：≥400mm（L）×230mm（W）×780mm（H）；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2.工艺与材质：采用≥1.2mm钢板冷轧成型，表面经过防腐氧化处理和纯环氧树脂塑粉高温固化处理，具有较强的耐蚀性。对控制系统硬件安装固定，操作面镶入雅典黑亚克力装饰板。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3.控制柜内置总电源开关，漏电保护器，主控制模块，急停控制模块，开关电源，工作指示灯。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4.集成10.1寸触显操作单元。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D6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E53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7C49F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B0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5A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智能吊装控制系统                   </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017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1.电源操作控制系统：可实现远程分组控制学生高低压电源开启与关闭；可输出交流电范围0-30V，分辨率1V设置及实时显示，可输出直流电范围0-30V，分辨率0.1V设置及实时显示，带学生电压锁定功能。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2.照明系统：可实现远程控制照明系统开启与关闭。可单个或全组进行控制，有全选及反选功能，可实现根据周围环境手动调节亮度，实时显示照明工作状态。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3.升降控制系统：可实现控制电源升起或下降。可单个或全组进行控制，有全选及反选功能。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4.系统设置：（1）开机方式: ①直接开机; ②密码验证； （2）定时关机：0-240分钟时段设置；（3）教室编号设置；（4）自动分组功能；（5）更改密码功能。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46F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74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FFB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1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10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电源转换及升降控制系统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422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1、外壳规格：≥325mm（L）×110mm（W）×275mm（H）；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2、外壳工艺材质：由ABS塑料一体注塑成型，具备抗化学腐蚀、耐热性、电绝缘性和耐候性；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3、内部构成：由开关电源和减速电机构成；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3.1、开关电源：输出电压DC≥24V，功率≥100W，为电机及低压电源供电，具备过载、过压、短路保护功能。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3.2、减速电机：采用额定工作电压为12V-24V直流减速电机，用于驱动升降机构。</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5E4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9B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33F5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F1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071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升降系统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98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1、外壳规格：≥440mm（L）×155mm（W）×390mm（H）；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2、工艺材质：由≥1.5mm厚镀锌板与ABS塑料组成，金属部分表面经环氧树脂粉末喷涂并高温固化处理；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3、升降范围：以桌面为基准，支持垂直升降，行程调节范围为1200mm～1800mm；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4、升降方式：采用自动升降系统，电机电流实时监测，具备堵转保护与运行状态反馈；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5、布线结构：旋转线槽采用轮毂结构设计，在旋转过程中避免跳线并保护电缆完整性；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6、通信电缆：采用9芯低烟无卤阻燃型复合通信电缆，用于连接电源操作及控制模块。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6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F4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136F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7D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2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智能照明收纳系统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BD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1、外壳规格：≥φ385mm×145mm（H）；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2、外壳材质：壳体采用ABS塑料一体注塑成型，具备抗化学腐蚀、耐热性、电绝缘性和耐候性；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3、光源参数：采用铝基板高亮度白光LED灯，功率≥40W，照明方式为360°环形发光结构；灯光扩散片为透明亚克力材质，围绕LED灯设置≥60根防眩光格栅条，用于控制炫光。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2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F3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15827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3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4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学生电源操作控制系统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9AA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1、外壳规格：≥φ225mm×175mm（H）；集成≥2个RJ45网口、≥2个供电USB接口；≥4路220V多功能插座输出；≥1个到位停止触发按键；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2、工艺材质： 壳体采用ABS塑料一体注塑成型，结构为圆弧形设计；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3、控制系统：以32位MCU为核心配合监测控制电路，对整个设备的升降、电源转换进行监测及输出响应控制；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4、显示界面：选用2.4寸（偏差±5%）触控显示屏，能够实现电流、电压的实时显示以及交/直流电压的输出设置；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5、交流输出：支持由学生或教师操作输出0-30V电源，分辨率为0.1V。0V-15.0V，额定电流≥3A；15.1V-30.0V，额定电流≥2A，具备过载报警保护功能；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6、直流输出：支持由学生或教师操作输出0-30V电源，分辨率为0.1V。0V-15.0V，额定电流≥3A；15.1V-30.0V，额定电流≥2A，具备过载报警保护功能；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7、锁定功能：当教师端启用锁定功能时，电源设置权限仅限教师端控制，学生端操作无效</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8、插座输出：额定电流≥5A，带安全门；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9、机械限位：模块底部设置限位式机械到位触发装置，当模块下落至桌面时触发停止信号，控制设备停止下降并启用供电功能。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53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65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6F389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820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9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空调</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F0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立式3匹，一级能效，变频冷暖空调；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制冷量(W)：7000W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制冷功率(W)：2000W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制热量(W)：9000W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制热功率(W)：2900W</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循环风量：1200m³/h</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A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0FD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r>
      <w:tr w14:paraId="2DC84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F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41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窗帘</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756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1.材料由双层布构成，里面是透明纱窗布加遮光布组成；外层布艺面料采用聚酯纤维与棉等混纺，能断裂强力经向/纬向≥100N；水洗尺寸变化率-1.0%~+1.0%；阻燃性符合B1级标准更安全；褶皱比例≥1.5。</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2.轨道或吊杆安装。轨道、吊杆金属材质。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A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6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r>
      <w:tr w14:paraId="09C8A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863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3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清洁用品</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46D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1.外箱由皮革制造，有提手，印有明显标识，外形尺寸：不小于285×165×175（mm）。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2.内装药品及器械应定位放置，取放方便，必备药品有：药用脱脂棉、纱布、胶布、创可贴、碘酒、医用酒精、高锰酸钾等。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3.要求：必备器械有：剪刀、镊子、医用手套、护目镜等。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9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F6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r>
      <w:tr w14:paraId="0DE3F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15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35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灭火设备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062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玻璃纤维材质，1800mm×1800mm。</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075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2DB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件</w:t>
            </w:r>
          </w:p>
        </w:tc>
      </w:tr>
      <w:tr w14:paraId="3204D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8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A2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智能交互人体骨骼系统</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55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AI大模型-人体骨骼系统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人体骨骼系统是人体的坚固支架，成人的骨骼由206块骨头组成，这些骨头通过关节、软骨和韧带相互连接。它像积木一样支撑身体，让我们能站立和奔跑。头部的颅骨保护大脑，胸部的肋骨形成笼子状结构，守护心脏和肺部等重要器官。骨骼与肌肉合作完成动作。骨头内部藏着骨髓，其中红骨髓负责制造血液细胞，黄骨髓则储存能量。骨骼表面覆盖着光滑的软骨，能减少运动时的摩擦，而坚韧的韧带把骨头牢牢固定，防止关节脱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语音唤醒词：您好，骨骼</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语音命令词：额骨；颈椎；眉弓；锁骨；胸骨等，具体参见水晶上名称。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右侧AI大模型互动屏幕，你可以语音交互，问更深入的相关问题，可获得更多详细的科普解答。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1.高级主控板：采用国产的高性能芯片作为主控芯片。其是一款低功耗、高性能处理器，适用于 ARM 架构的 PC 和边缘计算设备、个人移动互联网设备和智能电视盒子等其他数字多媒体应用。该主板可运行Linux系统或安卓系统。可以运行各种大模型app，比如豆包爱学，秘塔AI搜索，通义千问，Deepseek等。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☆2.≥8个触点的炫彩RGB触摸模块，接口为RJ11接口，带芯片，实现单总线协议，无需对色标。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3.黑色阳极氧化铝合金六边形框，带M4螺孔，便于安装固定于墙面，高透明面框，便于学生看到内部实现原理。六边形对边尺寸大于340mm,厚度小于85mm，≥5个过线孔。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4.金属材质黑色六边形底框，6个螺丝安装孔，六边形对边尺寸大于360mm,厚度小于42mm。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5.电源转接板支持6~12V电压，≥3个D2.1-5.5防反接电源接口，≥4个RJ11接口，≥2个按键输入接口，≥2个电机输出接口，≥2个可调电位器。拥有一个电源总控制开关接口。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6.配置12V电源适配器，具有过载保护，外接220V标准电源。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7.高亮度COB01 RGB灯条，环形固定在六边形内框，不外露又能实现炫彩灯光效果，光均称无阴影。可用遥控器或者app控制灯条颜色。</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8.配置国产嵌入式芯片语音AI交互主控板1块，≥2个喇叭，≥2个麦克风，≥5英寸的彩屏，1个离线语音识别模块，≥8个触摸点的炫彩RGB触摸模块1个，人体骨骼模型1个，开关按键≥1个，高亮度炫彩COB01 RGB灯条≥1根，COB01 RGB灯条长度≥1250mm，阳极氧化铝合金六边形框≥1套、透明面框≥1套、底板≥1套、安装底座≥1套、适配器≥1个，电源转接板≥1个。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9.一体式安装，现场无需再DIY组装，插上电源，固定螺钉即可使用。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10.案例框支持任意组合，可以是一朵花的样式，可以是相互拼接，也可以单独安装。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4E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6E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2684C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E2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8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智能交互豆芽发芽过程</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6CB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小麦发芽过程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小麦是最重要的粮食作物之一，跟水稻和玉米三种作物占世界上食物的一半以上。认识小麦的发芽过程可以让我们知道粮食作物小麦生长过程。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语音唤醒词：你好，小麦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语音命令词：吸水膨胀；胚部萌动；种皮破裂；胚根生长；胚芽鞘伸出；第一真叶展开；幼苗形成；麦穗。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右边AI大模型互动屏幕，你可以语音交互，问更深入的相关问题，可获得更多详细的科普解答。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0.总体介绍：xxx</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 吸水膨胀（0-12小时）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干燥麦粒吸水后体积膨胀1.5倍，种皮软化。细胞通过渗透作用吸收水分，激活胚乳中的淀粉酶和蛋白酶，启动胚的活化。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 胚根萌发（24-48小时）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胚根突破种皮形成主根，同时胚乳中的淀粉被分解为葡萄糖，蛋白质转化为氨基酸，为生长提供能量。此阶段种子呼吸作用增强，释放二氧化碳和水。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 胚轴伸长（48-72小时）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胚轴细胞在生长素作用下纵向分裂，日均增长1-2厘米。胚芽鞘向上生长，真叶逐渐展开，叶绿体开始形成，为后续光合作用奠定基础。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 子叶展开（72小时+）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子叶完全展开后，叶绿体通过光合作用合成有机物，此时小麦芽维生素C含量较种子提升5-6倍，纤维素结构增强茎叶支撑力。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1.高级主控板：采用国产的高性能芯片作为主控芯片。其是一款低功耗、高性能处理器，适用于 ARM 架构的 PC 和边缘计算设备、个人移动互联网设备和智能电视盒子等其他数字多媒体应用。该主板可运行Linux系统或安卓系统。可以运行各种大模型app，比如豆包爱学，秘塔AI搜索，通义千问，Deepseek等。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☆2.≥8个触点的炫彩RGB触摸模块，接口为RJ11接口，带芯片，实现单总线协议，无需对色标。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3.黑色阳极氧化铝合金六边形框，带M4螺孔，便于安装固定于墙面，高透明面框，便于学生看到内部实现原理。六边形对边尺寸大于340mm,厚度小于85mm，≥5个过线孔。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4.金属材质黑色六边形底框，6个螺丝安装孔，六边形对边尺寸大于360mm,厚度小于42mm。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5.主板接口及电子模块接口均为RJ11接口，其中电子模块大部分带芯片，方便插接，无需对色标，即插即用，带反接和防松功能，降低学习门槛。</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6.电源转接板支持6~12V电压，≥3个D2.1-5.5防反接电源接口，≥4个RJ11接口，≥2个按键输入接口，≥2个电机输出接口，≥2个可调电位器。拥有一个电源总控制开关接口。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7.配置12V电源适配器，具有过载保护，外接220V标准电源。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8.配置≥1个高性能人工智能主控板，可播放音频的喇叭≥1个，≥2个麦克风，≥5英寸的彩屏≥1个，离线语音语音识别模块≥1个，≥8个触摸点的炫彩RGB触摸模块1个，高亮度炫彩COB01 RGB灯条≥1根，COB01 RGB灯条长≥1250mm，豆芽生长模型≥1个，阳极氧化铝合金六边形框≥1套、透明面框≥1套、底板≥1套、安装底座≥1套、适配器≥1个，电源转接板≥1个。</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9.一体式安装，现场无需再DIY组装，可以实现观察到豆芽生长阶段的各个形态，同时可以进行语音交互的方式进行相关知识的科普。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10.案例框支持任意组合，可以是一朵花的样式，可以是相互拼接，也可以单独安装。</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A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4E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r>
      <w:tr w14:paraId="4D527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252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B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图书展示柜</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B4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根据墙面尺寸定制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规格：≥5000×400×2200mm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材质：主体采用16mm三聚氰胺双面板，层板采用18mm三聚氰胺双面板；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结构：上部搁架；下部板式对开门，设一层隔板；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工艺：截面1.5mm厚塑制优质封边条机械封边。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EF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597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r>
      <w:tr w14:paraId="66210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1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E7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环境提升</w:t>
            </w:r>
          </w:p>
        </w:tc>
        <w:tc>
          <w:tcPr>
            <w:tcW w:w="6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ED0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1、地面改造，原地面打磨、清洁，表层采用3㎜PVC铺装；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2、墙面改造，原墙体铲除及二次粉刷；室外走廊展板设计实施1套，室内文化展板2套，作品展示墙2套；</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3、顶面改造，一间铝方通造型吊顶，一间铝扣板集成吊顶；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4、电路改造，根据设计布局改动强弱电点位，以便于接通专用设备用电需求；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5、水路改造，根据设计布局改动上水管、排水管的位置，对应设备用水需求；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6、垃圾清运。</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B2F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BF9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bl>
    <w:p w14:paraId="087B0950">
      <w:pPr>
        <w:pStyle w:val="17"/>
        <w:rPr>
          <w:rFonts w:hint="eastAsia"/>
          <w:lang w:val="en-US" w:eastAsia="zh-CN"/>
        </w:rPr>
      </w:pPr>
    </w:p>
    <w:p w14:paraId="73FBFD09">
      <w:pPr>
        <w:pStyle w:val="17"/>
        <w:rPr>
          <w:rFonts w:ascii="宋体" w:hAnsi="宋体" w:eastAsia="宋体" w:cs="宋体"/>
          <w:color w:val="auto"/>
          <w:spacing w:val="0"/>
          <w:position w:val="0"/>
          <w:sz w:val="24"/>
          <w:shd w:val="clear" w:fill="auto"/>
        </w:rPr>
      </w:pPr>
    </w:p>
    <w:p w14:paraId="2905E7C2">
      <w:pPr>
        <w:pStyle w:val="8"/>
      </w:pPr>
    </w:p>
    <w:p w14:paraId="1CCBAF6E">
      <w:pPr>
        <w:pStyle w:val="17"/>
      </w:pPr>
    </w:p>
    <w:p w14:paraId="379764A5">
      <w:pPr>
        <w:rPr>
          <w:rFonts w:hint="default"/>
          <w:lang w:val="en-US" w:eastAsia="zh-CN"/>
        </w:rPr>
      </w:pPr>
    </w:p>
    <w:p w14:paraId="68E1B44A">
      <w:pPr>
        <w:spacing w:before="0" w:after="0" w:line="480" w:lineRule="auto"/>
        <w:ind w:right="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2、售后服务内容及要求：</w:t>
      </w:r>
    </w:p>
    <w:p w14:paraId="6300C746">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2.1质量保证：按双方签订合同时的约定执行。</w:t>
      </w:r>
    </w:p>
    <w:p w14:paraId="3A64C92F">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2.2售后服务：免费质保</w:t>
      </w:r>
      <w:r>
        <w:rPr>
          <w:rFonts w:hint="eastAsia" w:ascii="Times New Roman" w:hAnsi="Times New Roman" w:eastAsia="宋体" w:cs="Times New Roman"/>
          <w:color w:val="FF0000"/>
          <w:spacing w:val="0"/>
          <w:position w:val="0"/>
          <w:sz w:val="21"/>
          <w:shd w:val="clear" w:fill="FFFFFF"/>
          <w:lang w:val="en-US" w:eastAsia="zh-CN"/>
        </w:rPr>
        <w:t>3</w:t>
      </w:r>
      <w:r>
        <w:rPr>
          <w:rFonts w:ascii="宋体" w:hAnsi="宋体" w:eastAsia="宋体" w:cs="宋体"/>
          <w:color w:val="FF0000"/>
          <w:spacing w:val="0"/>
          <w:position w:val="0"/>
          <w:sz w:val="24"/>
          <w:shd w:val="clear" w:fill="auto"/>
        </w:rPr>
        <w:t>年,在接到采购方服务请求后，</w:t>
      </w:r>
      <w:r>
        <w:rPr>
          <w:rFonts w:hint="eastAsia" w:ascii="Times New Roman" w:hAnsi="Times New Roman" w:eastAsia="宋体" w:cs="Times New Roman"/>
          <w:color w:val="FF0000"/>
          <w:spacing w:val="0"/>
          <w:position w:val="0"/>
          <w:sz w:val="21"/>
          <w:shd w:val="clear" w:fill="FFFFFF"/>
          <w:lang w:val="en-US" w:eastAsia="zh-CN"/>
        </w:rPr>
        <w:t>4</w:t>
      </w:r>
      <w:r>
        <w:rPr>
          <w:rFonts w:ascii="宋体" w:hAnsi="宋体" w:eastAsia="宋体" w:cs="宋体"/>
          <w:color w:val="FF0000"/>
          <w:spacing w:val="0"/>
          <w:position w:val="0"/>
          <w:sz w:val="24"/>
          <w:shd w:val="clear" w:fill="auto"/>
        </w:rPr>
        <w:t>小时响应，</w:t>
      </w:r>
      <w:r>
        <w:rPr>
          <w:rFonts w:hint="eastAsia" w:ascii="Times New Roman" w:hAnsi="Times New Roman" w:eastAsia="宋体" w:cs="Times New Roman"/>
          <w:color w:val="FF0000"/>
          <w:spacing w:val="0"/>
          <w:position w:val="0"/>
          <w:sz w:val="21"/>
          <w:shd w:val="clear" w:fill="FFFFFF"/>
          <w:lang w:val="en-US" w:eastAsia="zh-CN"/>
        </w:rPr>
        <w:t>24</w:t>
      </w:r>
      <w:r>
        <w:rPr>
          <w:rFonts w:ascii="宋体" w:hAnsi="宋体" w:eastAsia="宋体" w:cs="宋体"/>
          <w:color w:val="FF0000"/>
          <w:spacing w:val="0"/>
          <w:position w:val="0"/>
          <w:sz w:val="24"/>
          <w:shd w:val="clear" w:fill="auto"/>
        </w:rPr>
        <w:t>小时内上门解决问题；质保期内提供免费上门服务，质保期外的收费按相关行业规则或由双方协商收取。</w:t>
      </w:r>
    </w:p>
    <w:p w14:paraId="3CAE4B03">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2.3交货地点：采购人指定地点。</w:t>
      </w:r>
    </w:p>
    <w:p w14:paraId="57F2BB19">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2.4交货日期：</w:t>
      </w:r>
      <w:r>
        <w:rPr>
          <w:rFonts w:hint="eastAsia" w:ascii="宋体" w:hAnsi="宋体" w:eastAsia="宋体" w:cs="宋体"/>
          <w:color w:val="FF0000"/>
          <w:spacing w:val="0"/>
          <w:position w:val="0"/>
          <w:sz w:val="24"/>
          <w:shd w:val="clear" w:fill="auto"/>
          <w:lang w:val="en-US" w:eastAsia="zh-CN"/>
        </w:rPr>
        <w:t>见磋商公告</w:t>
      </w:r>
      <w:r>
        <w:rPr>
          <w:rFonts w:ascii="宋体" w:hAnsi="宋体" w:eastAsia="宋体" w:cs="宋体"/>
          <w:color w:val="FF0000"/>
          <w:spacing w:val="0"/>
          <w:position w:val="0"/>
          <w:sz w:val="24"/>
          <w:shd w:val="clear" w:fill="auto"/>
        </w:rPr>
        <w:t>。</w:t>
      </w:r>
    </w:p>
    <w:p w14:paraId="05B75D46">
      <w:pPr>
        <w:spacing w:before="0" w:after="0" w:line="42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FF0000"/>
          <w:spacing w:val="0"/>
          <w:position w:val="0"/>
          <w:sz w:val="24"/>
          <w:shd w:val="clear" w:fill="auto"/>
        </w:rPr>
        <w:t>2.1验收：由最终用户组织验收。</w:t>
      </w:r>
    </w:p>
    <w:p w14:paraId="4A183691">
      <w:pPr>
        <w:spacing w:before="0" w:after="120" w:line="415" w:lineRule="auto"/>
        <w:ind w:left="0" w:right="0" w:firstLine="480"/>
        <w:jc w:val="center"/>
        <w:rPr>
          <w:rFonts w:ascii="宋体" w:hAnsi="宋体" w:eastAsia="宋体" w:cs="宋体"/>
          <w:color w:val="auto"/>
          <w:spacing w:val="0"/>
          <w:position w:val="0"/>
          <w:sz w:val="24"/>
          <w:shd w:val="clear" w:fill="auto"/>
        </w:rPr>
      </w:pPr>
    </w:p>
    <w:p w14:paraId="772681EB">
      <w:pPr>
        <w:spacing w:before="0" w:after="0" w:line="240" w:lineRule="auto"/>
        <w:ind w:left="0" w:right="0" w:firstLine="240"/>
        <w:jc w:val="left"/>
        <w:rPr>
          <w:rFonts w:ascii="宋体" w:hAnsi="宋体" w:eastAsia="宋体" w:cs="宋体"/>
          <w:color w:val="auto"/>
          <w:spacing w:val="0"/>
          <w:position w:val="0"/>
          <w:sz w:val="24"/>
          <w:shd w:val="clear" w:fill="auto"/>
        </w:rPr>
      </w:pPr>
    </w:p>
    <w:p w14:paraId="71750332">
      <w:pPr>
        <w:spacing w:before="0" w:after="0" w:line="240" w:lineRule="auto"/>
        <w:ind w:left="0" w:right="0" w:firstLine="240"/>
        <w:jc w:val="left"/>
        <w:rPr>
          <w:rFonts w:ascii="宋体" w:hAnsi="宋体" w:eastAsia="宋体" w:cs="宋体"/>
          <w:color w:val="auto"/>
          <w:spacing w:val="0"/>
          <w:position w:val="0"/>
          <w:sz w:val="24"/>
          <w:shd w:val="clear" w:fill="auto"/>
        </w:rPr>
      </w:pPr>
    </w:p>
    <w:p w14:paraId="5F99BA07">
      <w:pPr>
        <w:spacing w:before="0" w:after="0" w:line="240" w:lineRule="auto"/>
        <w:ind w:left="0" w:right="0" w:firstLine="240"/>
        <w:jc w:val="left"/>
        <w:rPr>
          <w:rFonts w:ascii="宋体" w:hAnsi="宋体" w:eastAsia="宋体" w:cs="宋体"/>
          <w:color w:val="auto"/>
          <w:spacing w:val="0"/>
          <w:position w:val="0"/>
          <w:sz w:val="24"/>
          <w:shd w:val="clear" w:fill="auto"/>
        </w:rPr>
      </w:pPr>
    </w:p>
    <w:p w14:paraId="4FC867D6">
      <w:pPr>
        <w:spacing w:before="0" w:after="0" w:line="240" w:lineRule="auto"/>
        <w:ind w:left="0" w:right="0" w:firstLine="240"/>
        <w:jc w:val="left"/>
        <w:rPr>
          <w:rFonts w:ascii="宋体" w:hAnsi="宋体" w:eastAsia="宋体" w:cs="宋体"/>
          <w:color w:val="auto"/>
          <w:spacing w:val="0"/>
          <w:position w:val="0"/>
          <w:sz w:val="24"/>
          <w:shd w:val="clear" w:fill="auto"/>
        </w:rPr>
      </w:pPr>
    </w:p>
    <w:p w14:paraId="52AB4762">
      <w:pPr>
        <w:spacing w:before="0" w:after="0" w:line="240" w:lineRule="auto"/>
        <w:ind w:left="0" w:right="0" w:firstLine="240"/>
        <w:jc w:val="left"/>
        <w:rPr>
          <w:rFonts w:ascii="宋体" w:hAnsi="宋体" w:eastAsia="宋体" w:cs="宋体"/>
          <w:color w:val="auto"/>
          <w:spacing w:val="0"/>
          <w:position w:val="0"/>
          <w:sz w:val="24"/>
          <w:shd w:val="clear" w:fill="auto"/>
        </w:rPr>
      </w:pPr>
    </w:p>
    <w:p w14:paraId="15AC77D2">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7F9D1D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0C328D1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shd w:val="clear" w:fill="auto"/>
              </w:rPr>
            </w:pPr>
          </w:p>
          <w:p w14:paraId="1BB0438A">
            <w:pPr>
              <w:spacing w:before="0" w:after="0" w:line="480" w:lineRule="auto"/>
              <w:ind w:left="0" w:right="0" w:firstLine="0"/>
              <w:jc w:val="both"/>
              <w:rPr>
                <w:rFonts w:ascii="宋体" w:hAnsi="宋体" w:eastAsia="宋体" w:cs="宋体"/>
                <w:color w:val="auto"/>
                <w:spacing w:val="0"/>
                <w:position w:val="0"/>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shd w:val="clear" w:fill="auto"/>
        </w:rPr>
      </w:pPr>
    </w:p>
    <w:p w14:paraId="7F833516">
      <w:pP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shd w:val="clear" w:fill="auto"/>
              </w:rPr>
            </w:pPr>
          </w:p>
          <w:p w14:paraId="63C03F8B">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shd w:val="clear" w:fill="auto"/>
        </w:rPr>
      </w:pPr>
    </w:p>
    <w:p w14:paraId="46FA73A9">
      <w:pPr>
        <w:pStyle w:val="18"/>
      </w:pPr>
    </w:p>
    <w:p w14:paraId="333CD556">
      <w:pPr>
        <w:spacing w:before="0" w:after="0" w:line="240" w:lineRule="auto"/>
        <w:ind w:left="0" w:right="0" w:firstLine="240"/>
        <w:jc w:val="left"/>
        <w:rPr>
          <w:rFonts w:ascii="宋体" w:hAnsi="宋体" w:eastAsia="宋体" w:cs="宋体"/>
          <w:color w:val="auto"/>
          <w:spacing w:val="0"/>
          <w:position w:val="0"/>
          <w:sz w:val="24"/>
          <w:shd w:val="clear" w:fill="auto"/>
        </w:rPr>
      </w:pPr>
    </w:p>
    <w:p w14:paraId="0A7160A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0661C3D5">
      <w:pPr>
        <w:numPr>
          <w:ilvl w:val="0"/>
          <w:numId w:val="26"/>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F8D277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31CD7AC4">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5EE760F6">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63D26CC9">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3B64C95">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452F1A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08E4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76277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66ACF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B1469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1C9F4B90">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84F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B071B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878B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94174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EF4B3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02C4E3A">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828E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4F581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A86B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ACF6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1E6EB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EF9582C">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381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B37181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A2699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3ECA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0DD4A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C6B8F7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5415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A91BCD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09D08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57DB0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876EA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AAA138E">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C667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0C7F7D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80AE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4E04D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6C7CE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2A5014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7CF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B36D7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61CB0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A3BA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42F52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EC9413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66E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59308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814AB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6C7DD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B2064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BCECD4B">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F4CDF">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60300285">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F9032A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7821DEC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56A84720">
      <w:pPr>
        <w:spacing w:before="0" w:after="0" w:line="360" w:lineRule="auto"/>
        <w:ind w:left="0" w:right="0" w:firstLine="0"/>
        <w:jc w:val="center"/>
        <w:rPr>
          <w:rFonts w:ascii="宋体" w:hAnsi="宋体" w:eastAsia="宋体" w:cs="宋体"/>
          <w:b/>
          <w:color w:val="auto"/>
          <w:spacing w:val="0"/>
          <w:position w:val="0"/>
          <w:sz w:val="24"/>
          <w:shd w:val="clear" w:fill="auto"/>
        </w:rPr>
      </w:pP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4C75C7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71B57EBB">
      <w:pPr>
        <w:spacing w:before="0" w:after="0" w:line="240" w:lineRule="auto"/>
        <w:ind w:left="0" w:right="0" w:firstLine="0"/>
        <w:jc w:val="both"/>
        <w:rPr>
          <w:rFonts w:ascii="宋体" w:hAnsi="宋体" w:eastAsia="宋体" w:cs="宋体"/>
          <w:color w:val="auto"/>
          <w:spacing w:val="0"/>
          <w:position w:val="0"/>
          <w:sz w:val="24"/>
          <w:shd w:val="clear" w:fill="auto"/>
        </w:rPr>
      </w:pPr>
    </w:p>
    <w:p w14:paraId="4A49ECB6">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DCF889D">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5B41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7AA7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16E7BC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29A7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9AF3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FA18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D47F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1DA4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3139449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425F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22E3B">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2E55AB">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C18367">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AEED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6C312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073A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BFF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9E38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684D5">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9574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847431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D316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0E4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6D8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6B52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F7D7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AF0AC2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83F1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C417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F007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E7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2720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A711C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DA10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3A4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39E7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ECCC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954E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F16DCE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4E0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16CD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1A9A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9E4A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A909F">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0963FC69">
      <w:pPr>
        <w:spacing w:before="0" w:after="0" w:line="240" w:lineRule="auto"/>
        <w:ind w:left="0" w:right="0" w:firstLine="0"/>
        <w:jc w:val="both"/>
        <w:rPr>
          <w:rFonts w:ascii="宋体" w:hAnsi="宋体" w:eastAsia="宋体" w:cs="宋体"/>
          <w:color w:val="auto"/>
          <w:spacing w:val="0"/>
          <w:position w:val="0"/>
          <w:sz w:val="24"/>
          <w:shd w:val="clear" w:fill="auto"/>
        </w:rPr>
      </w:pPr>
    </w:p>
    <w:p w14:paraId="5E0E928E">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70D6E70C">
      <w:pPr>
        <w:spacing w:before="0" w:after="0" w:line="240" w:lineRule="auto"/>
        <w:ind w:left="0" w:right="0" w:firstLine="0"/>
        <w:jc w:val="both"/>
        <w:rPr>
          <w:rFonts w:ascii="宋体" w:hAnsi="宋体" w:eastAsia="宋体" w:cs="宋体"/>
          <w:color w:val="auto"/>
          <w:spacing w:val="0"/>
          <w:position w:val="0"/>
          <w:sz w:val="24"/>
          <w:shd w:val="clear" w:fill="auto"/>
        </w:rPr>
      </w:pPr>
    </w:p>
    <w:p w14:paraId="5D9BA744">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694298A">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6E9532A">
      <w:pPr>
        <w:spacing w:before="0" w:after="0" w:line="360" w:lineRule="auto"/>
        <w:ind w:left="0" w:right="0" w:firstLine="0"/>
        <w:jc w:val="both"/>
        <w:rPr>
          <w:rFonts w:ascii="宋体" w:hAnsi="宋体" w:eastAsia="宋体" w:cs="宋体"/>
          <w:b/>
          <w:color w:val="auto"/>
          <w:spacing w:val="0"/>
          <w:position w:val="0"/>
          <w:sz w:val="24"/>
          <w:shd w:val="clear" w:fill="auto"/>
        </w:rPr>
      </w:pPr>
    </w:p>
    <w:p w14:paraId="4E97A05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8AADBA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5DFAB3D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AB134E6">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4F1FA29B">
      <w:pPr>
        <w:spacing w:before="0" w:after="0" w:line="380" w:lineRule="auto"/>
        <w:ind w:left="0" w:right="0" w:firstLine="0"/>
        <w:jc w:val="center"/>
        <w:rPr>
          <w:rFonts w:ascii="宋体" w:hAnsi="宋体" w:eastAsia="宋体" w:cs="宋体"/>
          <w:color w:val="auto"/>
          <w:spacing w:val="0"/>
          <w:position w:val="0"/>
          <w:sz w:val="24"/>
          <w:shd w:val="clear" w:fill="auto"/>
        </w:rPr>
      </w:pPr>
    </w:p>
    <w:p w14:paraId="176ED904">
      <w:pPr>
        <w:spacing w:before="0" w:after="0" w:line="380" w:lineRule="auto"/>
        <w:ind w:left="0" w:right="0" w:firstLine="360"/>
        <w:jc w:val="both"/>
        <w:rPr>
          <w:rFonts w:ascii="宋体" w:hAnsi="宋体" w:eastAsia="宋体" w:cs="宋体"/>
          <w:color w:val="auto"/>
          <w:spacing w:val="0"/>
          <w:position w:val="0"/>
          <w:sz w:val="24"/>
          <w:shd w:val="clear" w:fill="auto"/>
        </w:rPr>
      </w:pPr>
    </w:p>
    <w:p w14:paraId="14D8CB31">
      <w:pPr>
        <w:spacing w:before="0" w:after="0" w:line="240" w:lineRule="auto"/>
        <w:ind w:left="0" w:right="0" w:firstLine="0"/>
        <w:jc w:val="both"/>
        <w:rPr>
          <w:rFonts w:ascii="宋体" w:hAnsi="宋体" w:eastAsia="宋体" w:cs="宋体"/>
          <w:color w:val="auto"/>
          <w:spacing w:val="0"/>
          <w:position w:val="0"/>
          <w:sz w:val="24"/>
          <w:shd w:val="clear" w:fill="auto"/>
        </w:rPr>
      </w:pPr>
    </w:p>
    <w:p w14:paraId="0A62B427">
      <w:pPr>
        <w:spacing w:before="0" w:after="0" w:line="240" w:lineRule="auto"/>
        <w:ind w:left="0" w:right="0" w:firstLine="0"/>
        <w:jc w:val="both"/>
        <w:rPr>
          <w:rFonts w:ascii="宋体" w:hAnsi="宋体" w:eastAsia="宋体" w:cs="宋体"/>
          <w:color w:val="auto"/>
          <w:spacing w:val="0"/>
          <w:position w:val="0"/>
          <w:sz w:val="24"/>
          <w:shd w:val="clear" w:fill="auto"/>
        </w:rPr>
      </w:pPr>
    </w:p>
    <w:p w14:paraId="77778F0B">
      <w:pPr>
        <w:spacing w:before="0" w:after="0" w:line="240" w:lineRule="auto"/>
        <w:ind w:left="0" w:right="0" w:firstLine="0"/>
        <w:jc w:val="both"/>
        <w:rPr>
          <w:rFonts w:ascii="宋体" w:hAnsi="宋体" w:eastAsia="宋体" w:cs="宋体"/>
          <w:color w:val="auto"/>
          <w:spacing w:val="0"/>
          <w:position w:val="0"/>
          <w:sz w:val="24"/>
          <w:shd w:val="clear" w:fill="auto"/>
        </w:rPr>
      </w:pPr>
    </w:p>
    <w:p w14:paraId="356B2E90">
      <w:pPr>
        <w:spacing w:before="0" w:after="0" w:line="240" w:lineRule="auto"/>
        <w:ind w:left="0" w:right="0" w:firstLine="0"/>
        <w:jc w:val="both"/>
        <w:rPr>
          <w:rFonts w:ascii="宋体" w:hAnsi="宋体" w:eastAsia="宋体" w:cs="宋体"/>
          <w:color w:val="auto"/>
          <w:spacing w:val="0"/>
          <w:position w:val="0"/>
          <w:sz w:val="24"/>
          <w:shd w:val="clear" w:fill="auto"/>
        </w:rPr>
      </w:pPr>
    </w:p>
    <w:p w14:paraId="7FF60496">
      <w:pPr>
        <w:spacing w:before="0" w:after="0" w:line="240" w:lineRule="auto"/>
        <w:ind w:left="0" w:right="0" w:firstLine="0"/>
        <w:jc w:val="both"/>
        <w:rPr>
          <w:rFonts w:ascii="宋体" w:hAnsi="宋体" w:eastAsia="宋体" w:cs="宋体"/>
          <w:color w:val="auto"/>
          <w:spacing w:val="0"/>
          <w:position w:val="0"/>
          <w:sz w:val="24"/>
          <w:shd w:val="clear" w:fill="auto"/>
        </w:rPr>
      </w:pPr>
    </w:p>
    <w:p w14:paraId="177F3740">
      <w:pPr>
        <w:spacing w:before="0" w:after="0" w:line="240" w:lineRule="auto"/>
        <w:ind w:left="0" w:right="0" w:firstLine="0"/>
        <w:jc w:val="both"/>
        <w:rPr>
          <w:rFonts w:ascii="宋体" w:hAnsi="宋体" w:eastAsia="宋体" w:cs="宋体"/>
          <w:color w:val="auto"/>
          <w:spacing w:val="0"/>
          <w:position w:val="0"/>
          <w:sz w:val="24"/>
          <w:shd w:val="clear" w:fill="auto"/>
        </w:rPr>
      </w:pPr>
    </w:p>
    <w:p w14:paraId="27FF9CF1">
      <w:pPr>
        <w:spacing w:before="0" w:after="0" w:line="380" w:lineRule="auto"/>
        <w:ind w:left="0" w:right="0" w:firstLine="0"/>
        <w:jc w:val="both"/>
        <w:rPr>
          <w:rFonts w:ascii="宋体" w:hAnsi="宋体" w:eastAsia="宋体" w:cs="宋体"/>
          <w:color w:val="auto"/>
          <w:spacing w:val="0"/>
          <w:position w:val="0"/>
          <w:sz w:val="24"/>
          <w:shd w:val="clear" w:fill="auto"/>
        </w:rPr>
      </w:pPr>
    </w:p>
    <w:p w14:paraId="5CF8B4CA">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10044F1E">
      <w:pPr>
        <w:spacing w:before="0" w:after="0" w:line="380" w:lineRule="auto"/>
        <w:ind w:left="0" w:right="640" w:firstLine="1560"/>
        <w:jc w:val="both"/>
        <w:rPr>
          <w:rFonts w:ascii="宋体" w:hAnsi="宋体" w:eastAsia="宋体" w:cs="宋体"/>
          <w:color w:val="auto"/>
          <w:spacing w:val="0"/>
          <w:position w:val="0"/>
          <w:sz w:val="24"/>
          <w:shd w:val="clear" w:fill="auto"/>
        </w:rPr>
      </w:pPr>
    </w:p>
    <w:p w14:paraId="04247D2F">
      <w:pPr>
        <w:spacing w:before="0" w:after="0" w:line="380" w:lineRule="auto"/>
        <w:ind w:left="0" w:right="640" w:firstLine="4680"/>
        <w:jc w:val="both"/>
        <w:rPr>
          <w:rFonts w:ascii="宋体" w:hAnsi="宋体" w:eastAsia="宋体" w:cs="宋体"/>
          <w:color w:val="auto"/>
          <w:spacing w:val="0"/>
          <w:position w:val="0"/>
          <w:sz w:val="24"/>
          <w:shd w:val="clear" w:fill="auto"/>
        </w:rPr>
      </w:pPr>
    </w:p>
    <w:p w14:paraId="3097E22E">
      <w:pPr>
        <w:spacing w:before="0" w:after="0" w:line="380" w:lineRule="auto"/>
        <w:ind w:left="0" w:right="0" w:firstLine="0"/>
        <w:jc w:val="center"/>
        <w:rPr>
          <w:rFonts w:ascii="宋体" w:hAnsi="宋体" w:eastAsia="宋体" w:cs="宋体"/>
          <w:color w:val="auto"/>
          <w:spacing w:val="0"/>
          <w:position w:val="0"/>
          <w:sz w:val="24"/>
          <w:shd w:val="clear" w:fill="auto"/>
        </w:rPr>
      </w:pPr>
    </w:p>
    <w:p w14:paraId="21FA9121">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FFE016B">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FC950A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626CF5B2">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5CBEC2A6">
      <w:pPr>
        <w:spacing w:before="0" w:after="0" w:line="360" w:lineRule="auto"/>
        <w:ind w:left="0" w:right="0" w:firstLine="0"/>
        <w:jc w:val="center"/>
        <w:rPr>
          <w:rFonts w:ascii="宋体" w:hAnsi="宋体" w:eastAsia="宋体" w:cs="宋体"/>
          <w:b/>
          <w:color w:val="auto"/>
          <w:spacing w:val="0"/>
          <w:position w:val="0"/>
          <w:sz w:val="24"/>
          <w:shd w:val="clear" w:fill="auto"/>
        </w:rPr>
      </w:pPr>
    </w:p>
    <w:p w14:paraId="3F1CB868">
      <w:pPr>
        <w:spacing w:before="0" w:after="0" w:line="360" w:lineRule="auto"/>
        <w:ind w:left="0" w:right="0" w:firstLine="0"/>
        <w:jc w:val="center"/>
        <w:rPr>
          <w:rFonts w:ascii="宋体" w:hAnsi="宋体" w:eastAsia="宋体" w:cs="宋体"/>
          <w:b/>
          <w:color w:val="auto"/>
          <w:spacing w:val="0"/>
          <w:position w:val="0"/>
          <w:sz w:val="24"/>
          <w:shd w:val="clear" w:fill="auto"/>
        </w:rPr>
      </w:pPr>
    </w:p>
    <w:p w14:paraId="6DF22E6C">
      <w:pPr>
        <w:spacing w:before="0" w:after="0" w:line="360" w:lineRule="auto"/>
        <w:ind w:left="0" w:right="0" w:firstLine="0"/>
        <w:jc w:val="center"/>
        <w:rPr>
          <w:rFonts w:ascii="宋体" w:hAnsi="宋体" w:eastAsia="宋体" w:cs="宋体"/>
          <w:b/>
          <w:color w:val="auto"/>
          <w:spacing w:val="0"/>
          <w:position w:val="0"/>
          <w:sz w:val="24"/>
          <w:shd w:val="clear" w:fill="auto"/>
        </w:rPr>
      </w:pPr>
    </w:p>
    <w:p w14:paraId="5E6821E1">
      <w:pPr>
        <w:spacing w:before="0" w:after="0" w:line="360" w:lineRule="auto"/>
        <w:ind w:left="0" w:right="0" w:firstLine="0"/>
        <w:jc w:val="center"/>
        <w:rPr>
          <w:rFonts w:ascii="宋体" w:hAnsi="宋体" w:eastAsia="宋体" w:cs="宋体"/>
          <w:b/>
          <w:color w:val="auto"/>
          <w:spacing w:val="0"/>
          <w:position w:val="0"/>
          <w:sz w:val="24"/>
          <w:shd w:val="clear" w:fill="auto"/>
        </w:rPr>
      </w:pPr>
    </w:p>
    <w:p w14:paraId="5AEB278D">
      <w:pPr>
        <w:spacing w:before="0" w:after="0" w:line="360" w:lineRule="auto"/>
        <w:ind w:left="0" w:right="0" w:firstLine="0"/>
        <w:jc w:val="center"/>
        <w:rPr>
          <w:rFonts w:ascii="宋体" w:hAnsi="宋体" w:eastAsia="宋体" w:cs="宋体"/>
          <w:b/>
          <w:color w:val="auto"/>
          <w:spacing w:val="0"/>
          <w:position w:val="0"/>
          <w:sz w:val="24"/>
          <w:shd w:val="clear" w:fill="auto"/>
        </w:rPr>
      </w:pPr>
    </w:p>
    <w:p w14:paraId="5EF80275">
      <w:pPr>
        <w:spacing w:before="0" w:after="0" w:line="360" w:lineRule="auto"/>
        <w:ind w:left="0" w:right="0" w:firstLine="0"/>
        <w:jc w:val="center"/>
        <w:rPr>
          <w:rFonts w:ascii="宋体" w:hAnsi="宋体" w:eastAsia="宋体" w:cs="宋体"/>
          <w:b/>
          <w:color w:val="auto"/>
          <w:spacing w:val="0"/>
          <w:position w:val="0"/>
          <w:sz w:val="24"/>
          <w:shd w:val="clear" w:fill="auto"/>
        </w:rPr>
      </w:pPr>
    </w:p>
    <w:p w14:paraId="13A38FAC">
      <w:pPr>
        <w:spacing w:before="0" w:after="0" w:line="360" w:lineRule="auto"/>
        <w:ind w:left="0" w:right="0" w:firstLine="0"/>
        <w:jc w:val="center"/>
        <w:rPr>
          <w:rFonts w:ascii="宋体" w:hAnsi="宋体" w:eastAsia="宋体" w:cs="宋体"/>
          <w:b/>
          <w:color w:val="auto"/>
          <w:spacing w:val="0"/>
          <w:position w:val="0"/>
          <w:sz w:val="24"/>
          <w:shd w:val="clear" w:fill="auto"/>
        </w:rPr>
      </w:pPr>
    </w:p>
    <w:p w14:paraId="70215CDB">
      <w:pPr>
        <w:pStyle w:val="17"/>
      </w:pPr>
    </w:p>
    <w:p w14:paraId="14B1D6E8">
      <w:pPr>
        <w:spacing w:before="0" w:after="0" w:line="360" w:lineRule="auto"/>
        <w:ind w:left="0" w:right="0" w:firstLine="0"/>
        <w:jc w:val="center"/>
        <w:rPr>
          <w:rFonts w:ascii="宋体" w:hAnsi="宋体" w:eastAsia="宋体" w:cs="宋体"/>
          <w:b/>
          <w:color w:val="auto"/>
          <w:spacing w:val="0"/>
          <w:position w:val="0"/>
          <w:sz w:val="24"/>
          <w:shd w:val="clear" w:fill="auto"/>
        </w:rPr>
      </w:pPr>
    </w:p>
    <w:p w14:paraId="2D527AC0">
      <w:pPr>
        <w:spacing w:before="0" w:after="0" w:line="360" w:lineRule="auto"/>
        <w:ind w:left="0" w:right="0" w:firstLine="0"/>
        <w:jc w:val="center"/>
        <w:rPr>
          <w:rFonts w:ascii="宋体" w:hAnsi="宋体" w:eastAsia="宋体" w:cs="宋体"/>
          <w:b/>
          <w:color w:val="auto"/>
          <w:spacing w:val="0"/>
          <w:position w:val="0"/>
          <w:sz w:val="24"/>
          <w:shd w:val="clear" w:fill="auto"/>
        </w:rPr>
      </w:pPr>
    </w:p>
    <w:p w14:paraId="07D4F485">
      <w:pPr>
        <w:spacing w:before="0" w:after="0" w:line="360" w:lineRule="auto"/>
        <w:ind w:left="0" w:right="0" w:firstLine="0"/>
        <w:jc w:val="center"/>
        <w:rPr>
          <w:rFonts w:ascii="宋体" w:hAnsi="宋体" w:eastAsia="宋体" w:cs="宋体"/>
          <w:b/>
          <w:color w:val="auto"/>
          <w:spacing w:val="0"/>
          <w:position w:val="0"/>
          <w:sz w:val="24"/>
          <w:shd w:val="clear" w:fill="auto"/>
        </w:rPr>
      </w:pPr>
    </w:p>
    <w:p w14:paraId="23E2AB04">
      <w:pPr>
        <w:spacing w:before="0" w:after="0" w:line="360" w:lineRule="auto"/>
        <w:ind w:left="0" w:right="0" w:firstLine="0"/>
        <w:jc w:val="center"/>
        <w:rPr>
          <w:rFonts w:ascii="宋体" w:hAnsi="宋体" w:eastAsia="宋体" w:cs="宋体"/>
          <w:b/>
          <w:color w:val="auto"/>
          <w:spacing w:val="0"/>
          <w:position w:val="0"/>
          <w:sz w:val="24"/>
          <w:shd w:val="clear" w:fill="auto"/>
        </w:rPr>
      </w:pPr>
    </w:p>
    <w:p w14:paraId="32AB1F5A">
      <w:pPr>
        <w:spacing w:before="0" w:after="0" w:line="360" w:lineRule="auto"/>
        <w:ind w:left="0" w:right="0" w:firstLine="0"/>
        <w:jc w:val="center"/>
        <w:rPr>
          <w:rFonts w:ascii="宋体" w:hAnsi="宋体" w:eastAsia="宋体" w:cs="宋体"/>
          <w:b/>
          <w:color w:val="auto"/>
          <w:spacing w:val="0"/>
          <w:position w:val="0"/>
          <w:sz w:val="24"/>
          <w:shd w:val="clear" w:fill="auto"/>
        </w:rPr>
      </w:pPr>
    </w:p>
    <w:p w14:paraId="76C6E3DE">
      <w:pPr>
        <w:spacing w:before="0" w:after="0" w:line="360" w:lineRule="auto"/>
        <w:ind w:left="0" w:right="0" w:firstLine="0"/>
        <w:jc w:val="center"/>
        <w:rPr>
          <w:rFonts w:ascii="宋体" w:hAnsi="宋体" w:eastAsia="宋体" w:cs="宋体"/>
          <w:b/>
          <w:color w:val="auto"/>
          <w:spacing w:val="0"/>
          <w:position w:val="0"/>
          <w:sz w:val="24"/>
          <w:shd w:val="clear" w:fill="auto"/>
        </w:rPr>
      </w:pPr>
    </w:p>
    <w:p w14:paraId="599ED84A">
      <w:pPr>
        <w:spacing w:before="0" w:after="0" w:line="360" w:lineRule="auto"/>
        <w:ind w:left="0" w:right="0" w:firstLine="0"/>
        <w:jc w:val="center"/>
        <w:rPr>
          <w:rFonts w:ascii="宋体" w:hAnsi="宋体" w:eastAsia="宋体" w:cs="宋体"/>
          <w:b/>
          <w:color w:val="auto"/>
          <w:spacing w:val="0"/>
          <w:position w:val="0"/>
          <w:sz w:val="24"/>
          <w:shd w:val="clear" w:fill="auto"/>
        </w:rPr>
      </w:pPr>
    </w:p>
    <w:p w14:paraId="671343F6">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89AB25E">
      <w:pPr>
        <w:spacing w:before="0" w:after="0" w:line="380" w:lineRule="auto"/>
        <w:ind w:left="0" w:right="640" w:firstLine="1560"/>
        <w:jc w:val="both"/>
        <w:rPr>
          <w:rFonts w:ascii="宋体" w:hAnsi="宋体" w:eastAsia="宋体" w:cs="宋体"/>
          <w:color w:val="auto"/>
          <w:spacing w:val="0"/>
          <w:position w:val="0"/>
          <w:sz w:val="24"/>
          <w:shd w:val="clear" w:fill="auto"/>
        </w:rPr>
      </w:pPr>
    </w:p>
    <w:p w14:paraId="4AE511A6">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EA57F1C">
      <w:pPr>
        <w:spacing w:before="0" w:after="0" w:line="360" w:lineRule="auto"/>
        <w:ind w:left="0" w:right="0" w:firstLine="0"/>
        <w:jc w:val="center"/>
        <w:rPr>
          <w:rFonts w:ascii="宋体" w:hAnsi="宋体" w:eastAsia="宋体" w:cs="宋体"/>
          <w:b/>
          <w:color w:val="auto"/>
          <w:spacing w:val="0"/>
          <w:position w:val="0"/>
          <w:sz w:val="24"/>
          <w:shd w:val="clear" w:fill="auto"/>
        </w:rPr>
      </w:pPr>
    </w:p>
    <w:p w14:paraId="1222A050">
      <w:pPr>
        <w:pStyle w:val="17"/>
        <w:rPr>
          <w:rFonts w:ascii="宋体" w:hAnsi="宋体" w:eastAsia="宋体" w:cs="宋体"/>
          <w:b/>
          <w:color w:val="auto"/>
          <w:spacing w:val="0"/>
          <w:position w:val="0"/>
          <w:sz w:val="24"/>
          <w:shd w:val="clear" w:fill="auto"/>
        </w:rPr>
      </w:pPr>
    </w:p>
    <w:p w14:paraId="0B1E4DA3">
      <w:pPr>
        <w:pStyle w:val="8"/>
        <w:rPr>
          <w:rFonts w:ascii="宋体" w:hAnsi="宋体" w:eastAsia="宋体" w:cs="宋体"/>
          <w:b/>
          <w:color w:val="auto"/>
          <w:spacing w:val="0"/>
          <w:position w:val="0"/>
          <w:sz w:val="24"/>
          <w:shd w:val="clear" w:fill="auto"/>
        </w:rPr>
      </w:pPr>
    </w:p>
    <w:p w14:paraId="6FFD6A6E">
      <w:pPr>
        <w:rPr>
          <w:rFonts w:ascii="宋体" w:hAnsi="宋体" w:eastAsia="宋体" w:cs="宋体"/>
          <w:b/>
          <w:color w:val="auto"/>
          <w:spacing w:val="0"/>
          <w:position w:val="0"/>
          <w:sz w:val="24"/>
          <w:shd w:val="clear" w:fill="auto"/>
        </w:rPr>
      </w:pPr>
    </w:p>
    <w:p w14:paraId="0A327797">
      <w:pPr>
        <w:pStyle w:val="17"/>
        <w:rPr>
          <w:rFonts w:ascii="宋体" w:hAnsi="宋体" w:eastAsia="宋体" w:cs="宋体"/>
          <w:b/>
          <w:color w:val="auto"/>
          <w:spacing w:val="0"/>
          <w:position w:val="0"/>
          <w:sz w:val="24"/>
          <w:shd w:val="clear" w:fill="auto"/>
        </w:rPr>
      </w:pPr>
    </w:p>
    <w:p w14:paraId="2D979D50">
      <w:pPr>
        <w:pStyle w:val="8"/>
        <w:rPr>
          <w:rFonts w:ascii="宋体" w:hAnsi="宋体" w:eastAsia="宋体" w:cs="宋体"/>
          <w:b/>
          <w:color w:val="auto"/>
          <w:spacing w:val="0"/>
          <w:position w:val="0"/>
          <w:sz w:val="24"/>
          <w:shd w:val="clear" w:fill="auto"/>
        </w:rPr>
      </w:pPr>
    </w:p>
    <w:p w14:paraId="5AE20D31">
      <w:pPr>
        <w:rPr>
          <w:rFonts w:ascii="宋体" w:hAnsi="宋体" w:eastAsia="宋体" w:cs="宋体"/>
          <w:b/>
          <w:color w:val="auto"/>
          <w:spacing w:val="0"/>
          <w:position w:val="0"/>
          <w:sz w:val="24"/>
          <w:shd w:val="clear" w:fill="auto"/>
        </w:rPr>
      </w:pPr>
    </w:p>
    <w:p w14:paraId="59D6B2EF">
      <w:pPr>
        <w:pStyle w:val="17"/>
        <w:rPr>
          <w:rFonts w:ascii="宋体" w:hAnsi="宋体" w:eastAsia="宋体" w:cs="宋体"/>
          <w:b/>
          <w:color w:val="auto"/>
          <w:spacing w:val="0"/>
          <w:position w:val="0"/>
          <w:sz w:val="24"/>
          <w:shd w:val="clear" w:fill="auto"/>
        </w:rPr>
      </w:pPr>
    </w:p>
    <w:p w14:paraId="7BBA0964">
      <w:pPr>
        <w:pStyle w:val="8"/>
        <w:rPr>
          <w:rFonts w:ascii="宋体" w:hAnsi="宋体" w:eastAsia="宋体" w:cs="宋体"/>
          <w:b/>
          <w:color w:val="auto"/>
          <w:spacing w:val="0"/>
          <w:position w:val="0"/>
          <w:sz w:val="24"/>
          <w:shd w:val="clear" w:fill="auto"/>
        </w:rPr>
      </w:pPr>
    </w:p>
    <w:p w14:paraId="636493DB">
      <w:pPr>
        <w:rPr>
          <w:rFonts w:ascii="宋体" w:hAnsi="宋体" w:eastAsia="宋体" w:cs="宋体"/>
          <w:b/>
          <w:color w:val="auto"/>
          <w:spacing w:val="0"/>
          <w:position w:val="0"/>
          <w:sz w:val="24"/>
          <w:shd w:val="clear" w:fill="auto"/>
        </w:rPr>
      </w:pPr>
    </w:p>
    <w:p w14:paraId="3AAC04DC">
      <w:pPr>
        <w:pStyle w:val="17"/>
        <w:rPr>
          <w:rFonts w:ascii="宋体" w:hAnsi="宋体" w:eastAsia="宋体" w:cs="宋体"/>
          <w:b/>
          <w:color w:val="auto"/>
          <w:spacing w:val="0"/>
          <w:position w:val="0"/>
          <w:sz w:val="24"/>
          <w:shd w:val="clear" w:fill="auto"/>
        </w:rPr>
      </w:pPr>
    </w:p>
    <w:p w14:paraId="2A5670B3">
      <w:pPr>
        <w:pStyle w:val="8"/>
        <w:rPr>
          <w:rFonts w:ascii="宋体" w:hAnsi="宋体" w:eastAsia="宋体" w:cs="宋体"/>
          <w:b/>
          <w:color w:val="auto"/>
          <w:spacing w:val="0"/>
          <w:position w:val="0"/>
          <w:sz w:val="24"/>
          <w:shd w:val="clear" w:fill="auto"/>
        </w:rPr>
      </w:pPr>
    </w:p>
    <w:p w14:paraId="05DD05D9"/>
    <w:p w14:paraId="24F0E3E2">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79A610">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0620CC5A">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5B4817B2">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6096CD4F">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AE0B360">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EB92E07">
      <w:pPr>
        <w:rPr>
          <w:rFonts w:hint="eastAsia" w:ascii="宋体" w:hAnsi="宋体" w:eastAsia="宋体" w:cs="宋体"/>
          <w:sz w:val="24"/>
          <w:szCs w:val="24"/>
        </w:rPr>
      </w:pPr>
      <w:r>
        <w:rPr>
          <w:rFonts w:hint="eastAsia" w:ascii="宋体" w:hAnsi="宋体" w:eastAsia="宋体" w:cs="宋体"/>
          <w:sz w:val="24"/>
          <w:szCs w:val="24"/>
        </w:rPr>
        <w:t>……</w:t>
      </w:r>
    </w:p>
    <w:p w14:paraId="0E93B2CF">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CB1DF9D">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4C38496F">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193FB488">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627F18EA">
      <w:pPr>
        <w:spacing w:before="0" w:after="0" w:line="360" w:lineRule="auto"/>
        <w:ind w:left="0" w:right="0" w:firstLine="0"/>
        <w:jc w:val="both"/>
        <w:rPr>
          <w:rFonts w:ascii="宋体" w:hAnsi="宋体" w:eastAsia="宋体" w:cs="宋体"/>
          <w:color w:val="auto"/>
          <w:spacing w:val="0"/>
          <w:position w:val="0"/>
          <w:sz w:val="24"/>
          <w:shd w:val="clear" w:fill="auto"/>
        </w:rPr>
      </w:pPr>
    </w:p>
    <w:p w14:paraId="0714BE7B">
      <w:pPr>
        <w:rPr>
          <w:rFonts w:hint="eastAsia"/>
        </w:rPr>
      </w:pPr>
    </w:p>
    <w:p w14:paraId="520B24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EF2D1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0B07958E">
      <w:pPr>
        <w:pStyle w:val="8"/>
        <w:rPr>
          <w:rFonts w:ascii="宋体" w:hAnsi="宋体" w:eastAsia="宋体" w:cs="宋体"/>
          <w:color w:val="auto"/>
          <w:spacing w:val="0"/>
          <w:position w:val="0"/>
          <w:sz w:val="24"/>
          <w:shd w:val="clear" w:fill="auto"/>
        </w:rPr>
      </w:pPr>
    </w:p>
    <w:p w14:paraId="0ED9C606"/>
    <w:p w14:paraId="2FDAF9B3">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3DF8AB01">
      <w:pPr>
        <w:spacing w:before="0" w:after="0" w:line="240" w:lineRule="auto"/>
        <w:ind w:left="0" w:right="0" w:firstLine="240"/>
        <w:jc w:val="left"/>
        <w:rPr>
          <w:rFonts w:ascii="宋体" w:hAnsi="宋体" w:eastAsia="宋体" w:cs="宋体"/>
          <w:color w:val="auto"/>
          <w:spacing w:val="0"/>
          <w:position w:val="0"/>
          <w:sz w:val="24"/>
          <w:shd w:val="clear" w:fill="auto"/>
        </w:rPr>
      </w:pPr>
    </w:p>
    <w:p w14:paraId="07C79CE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C3E690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654E47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0651DC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883194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D00396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2C21FAA">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0DD6A706">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29660C2C">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044A8635">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2D704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142365C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FEEEDE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46CA4A5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32D8818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6387580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672F11D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0EB9288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33A9CC4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4253FCB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0713EF6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E51241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173CC6F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6037F61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1BAA186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1FB1D92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026AB6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25E9952">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20DE5618">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4419081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206F133B">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10331E39">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208BFAF6">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6BBD437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CD2827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ABCCDE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5BC45CE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6A8BA8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68DA2C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CC39F31">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4C908CA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54A827FB">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524A3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4418976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2065478">
      <w:pPr>
        <w:pStyle w:val="17"/>
        <w:rPr>
          <w:rFonts w:hint="eastAsia" w:ascii="宋体" w:hAnsi="宋体" w:eastAsia="宋体" w:cs="宋体"/>
          <w:b/>
          <w:color w:val="auto"/>
          <w:spacing w:val="0"/>
          <w:position w:val="0"/>
          <w:sz w:val="21"/>
          <w:szCs w:val="21"/>
          <w:shd w:val="clear" w:fill="auto"/>
        </w:rPr>
      </w:pPr>
    </w:p>
    <w:p w14:paraId="20484719">
      <w:pPr>
        <w:pStyle w:val="8"/>
        <w:rPr>
          <w:rFonts w:ascii="宋体" w:hAnsi="宋体" w:eastAsia="宋体" w:cs="宋体"/>
          <w:b/>
          <w:color w:val="auto"/>
          <w:spacing w:val="0"/>
          <w:position w:val="0"/>
          <w:sz w:val="28"/>
          <w:shd w:val="clear" w:fill="auto"/>
        </w:rPr>
      </w:pPr>
    </w:p>
    <w:p w14:paraId="35AF9336">
      <w:pPr>
        <w:rPr>
          <w:rFonts w:ascii="宋体" w:hAnsi="宋体" w:eastAsia="宋体" w:cs="宋体"/>
          <w:b/>
          <w:color w:val="auto"/>
          <w:spacing w:val="0"/>
          <w:position w:val="0"/>
          <w:sz w:val="28"/>
          <w:shd w:val="clear" w:fill="auto"/>
        </w:rPr>
      </w:pPr>
    </w:p>
    <w:p w14:paraId="38E0D731">
      <w:pPr>
        <w:pStyle w:val="17"/>
        <w:rPr>
          <w:rFonts w:ascii="宋体" w:hAnsi="宋体" w:eastAsia="宋体" w:cs="宋体"/>
          <w:b/>
          <w:color w:val="auto"/>
          <w:spacing w:val="0"/>
          <w:position w:val="0"/>
          <w:sz w:val="28"/>
          <w:shd w:val="clear" w:fill="auto"/>
        </w:rPr>
      </w:pPr>
    </w:p>
    <w:p w14:paraId="5C922B9C">
      <w:pPr>
        <w:pStyle w:val="8"/>
        <w:rPr>
          <w:rFonts w:ascii="宋体" w:hAnsi="宋体" w:eastAsia="宋体" w:cs="宋体"/>
          <w:b/>
          <w:color w:val="auto"/>
          <w:spacing w:val="0"/>
          <w:position w:val="0"/>
          <w:sz w:val="28"/>
          <w:shd w:val="clear" w:fill="auto"/>
        </w:rPr>
      </w:pPr>
    </w:p>
    <w:p w14:paraId="08EE8322">
      <w:pPr>
        <w:rPr>
          <w:rFonts w:ascii="宋体" w:hAnsi="宋体" w:eastAsia="宋体" w:cs="宋体"/>
          <w:b/>
          <w:color w:val="auto"/>
          <w:spacing w:val="0"/>
          <w:position w:val="0"/>
          <w:sz w:val="28"/>
          <w:shd w:val="clear" w:fill="auto"/>
        </w:rPr>
      </w:pPr>
    </w:p>
    <w:p w14:paraId="415088E1">
      <w:pPr>
        <w:pStyle w:val="17"/>
        <w:rPr>
          <w:rFonts w:ascii="宋体" w:hAnsi="宋体" w:eastAsia="宋体" w:cs="宋体"/>
          <w:b/>
          <w:color w:val="auto"/>
          <w:spacing w:val="0"/>
          <w:position w:val="0"/>
          <w:sz w:val="28"/>
          <w:shd w:val="clear" w:fill="auto"/>
        </w:rPr>
      </w:pPr>
    </w:p>
    <w:p w14:paraId="1DFBBCBF">
      <w:pPr>
        <w:pStyle w:val="8"/>
        <w:rPr>
          <w:rFonts w:ascii="宋体" w:hAnsi="宋体" w:eastAsia="宋体" w:cs="宋体"/>
          <w:b/>
          <w:color w:val="auto"/>
          <w:spacing w:val="0"/>
          <w:position w:val="0"/>
          <w:sz w:val="28"/>
          <w:shd w:val="clear" w:fill="auto"/>
        </w:rPr>
      </w:pPr>
    </w:p>
    <w:p w14:paraId="4B3F5E64">
      <w:pPr>
        <w:rPr>
          <w:rFonts w:ascii="宋体" w:hAnsi="宋体" w:eastAsia="宋体" w:cs="宋体"/>
          <w:b/>
          <w:color w:val="auto"/>
          <w:spacing w:val="0"/>
          <w:position w:val="0"/>
          <w:sz w:val="28"/>
          <w:shd w:val="clear" w:fill="auto"/>
        </w:rPr>
      </w:pPr>
    </w:p>
    <w:p w14:paraId="0731A3B8">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798CE393">
      <w:pPr>
        <w:spacing w:before="0" w:after="0" w:line="240" w:lineRule="auto"/>
        <w:ind w:left="0" w:right="0" w:firstLine="0"/>
        <w:jc w:val="both"/>
        <w:rPr>
          <w:rFonts w:ascii="黑体" w:hAnsi="黑体" w:eastAsia="黑体" w:cs="黑体"/>
          <w:color w:val="auto"/>
          <w:spacing w:val="0"/>
          <w:position w:val="0"/>
          <w:sz w:val="32"/>
          <w:shd w:val="clear" w:fill="auto"/>
        </w:rPr>
      </w:pPr>
    </w:p>
    <w:p w14:paraId="07EDE46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159701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8587F58">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52E7DC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72DF4A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C28752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1F5473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06848F7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2DF94CC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E3B793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69D9C5F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57F62BA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068C7A4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FC3BF2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2E6446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7F6442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1E78AA9A">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115130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5240BC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7E0857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75C373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EB757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65E9F57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2BC930F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6B8F36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37CE8BF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08ED922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539480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76EC3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28936C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65725B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7606AA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146D57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5C20BF2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634AAD75">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5428CE12">
      <w:pPr>
        <w:widowControl w:val="0"/>
        <w:numPr>
          <w:ilvl w:val="0"/>
          <w:numId w:val="27"/>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3D8D3DF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30ECEB7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28E8DD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0CBC48DD">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31FF4D1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77EC7EB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1F8C9BC4">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0526EA32">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28BCD80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30D6396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0ACA726D">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0977441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28A6FB7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2EB82CD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7A94216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1F46A88">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B59880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CB39A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A93A4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39B15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6C1DE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B576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AB36E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D5A2A6">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0F21AB3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BC4B5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A9549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3CF19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D6B4B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F9EE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6C47A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DF9AD5">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91DB40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89132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BFE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D9B63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2CDE3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505E3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FA95F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FE8AC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898064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170B1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8806C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AAEC5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AEA20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7FE8B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41511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9442B2">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629DB392">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6BAD3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66A0763C">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4AADE7F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4A964B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28406D7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8565A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2E04AA5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478B846">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5A4792F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341FB3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504BCD7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440CEA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958B6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7B1CEE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5DFAC1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7C0EC7E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05B114E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4C8DE50A">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693A7E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615F4B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627893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7DE61A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31CD65E8">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2DD289A9">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5D56C4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5A73F2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4432D78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CF0D7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3991709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4B90C1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574C66E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17CA5C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1FC77A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4CF6DEE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7BC05C7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82BE10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2A625A0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194CC95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57C1EE9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26E2FA5F">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773B745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622F242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0AE1544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46821CF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930C12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427533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488F485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633311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1E4C095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378D3E2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54210A5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4D39DFF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12C9513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729A30C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80A81D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16EE36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3DEB8C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776F6E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09B5EC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7278AAD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5C908D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1C28EB6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8114F5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49D3186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45811D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106569F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74F1F2A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4FEF8D4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1DC6C4DD">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3D61CB4C">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59F35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04B9E8B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C324E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06A32F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78F6D1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283EAF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7C88963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6F72985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106777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68AD58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5B341500">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50DAE56E">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1625347B">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15AF8A9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0D5712-3494-43DF-A0DF-2EEE127922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embedRegular r:id="rId2" w:fontKey="{00DDCB2E-9B1E-46D0-97A6-82F071E935B1}"/>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Black">
    <w:panose1 w:val="020B0A04020102020204"/>
    <w:charset w:val="00"/>
    <w:family w:val="auto"/>
    <w:pitch w:val="default"/>
    <w:sig w:usb0="A00002AF" w:usb1="400078FB" w:usb2="00000000" w:usb3="00000000" w:csb0="6000009F" w:csb1="DFD70000"/>
    <w:embedRegular r:id="rId3" w:fontKey="{CEF71D67-9388-4307-AB70-956506BE1B6F}"/>
  </w:font>
  <w:font w:name="微软简标宋">
    <w:altName w:val="宋体"/>
    <w:panose1 w:val="00000000000000000000"/>
    <w:charset w:val="00"/>
    <w:family w:val="auto"/>
    <w:pitch w:val="default"/>
    <w:sig w:usb0="00000000" w:usb1="00000000" w:usb2="00000000" w:usb3="00000000" w:csb0="00000000" w:csb1="00000000"/>
    <w:embedRegular r:id="rId4" w:fontKey="{6D87E291-D3DB-406D-BC60-61E3BD2239D2}"/>
  </w:font>
  <w:font w:name="方正小标宋简体">
    <w:panose1 w:val="02000000000000000000"/>
    <w:charset w:val="86"/>
    <w:family w:val="auto"/>
    <w:pitch w:val="default"/>
    <w:sig w:usb0="00000001" w:usb1="08000000" w:usb2="00000000" w:usb3="00000000" w:csb0="00040000" w:csb1="00000000"/>
    <w:embedRegular r:id="rId5" w:fontKey="{E8F6547C-294F-4E1F-A840-278E55195C10}"/>
  </w:font>
  <w:font w:name="KSOFE4500885">
    <w:panose1 w:val="02010609060101010101"/>
    <w:charset w:val="86"/>
    <w:family w:val="auto"/>
    <w:pitch w:val="default"/>
    <w:sig w:usb0="00000001" w:usb1="00000000" w:usb2="00000000" w:usb3="00000000" w:csb0="00040001" w:csb1="00000000"/>
  </w:font>
  <w:font w:name="WPSEMBED6">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CFE99AC6"/>
    <w:multiLevelType w:val="singleLevel"/>
    <w:tmpl w:val="CFE99AC6"/>
    <w:lvl w:ilvl="0" w:tentative="0">
      <w:start w:val="3"/>
      <w:numFmt w:val="chineseCounting"/>
      <w:suff w:val="space"/>
      <w:lvlText w:val="第%1章"/>
      <w:lvlJc w:val="left"/>
      <w:rPr>
        <w:rFonts w:hint="eastAsia"/>
      </w:rPr>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num w:numId="1">
    <w:abstractNumId w:val="12"/>
  </w:num>
  <w:num w:numId="2">
    <w:abstractNumId w:val="7"/>
  </w:num>
  <w:num w:numId="3">
    <w:abstractNumId w:val="23"/>
  </w:num>
  <w:num w:numId="4">
    <w:abstractNumId w:val="5"/>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6"/>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8"/>
  </w:num>
  <w:num w:numId="26">
    <w:abstractNumId w:val="28"/>
  </w:num>
  <w:num w:numId="27">
    <w:abstractNumId w:val="26"/>
  </w:num>
  <w:num w:numId="28">
    <w:abstractNumId w:val="1"/>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65E086B"/>
    <w:rsid w:val="06E21055"/>
    <w:rsid w:val="09BE5EFB"/>
    <w:rsid w:val="0ABC5BC4"/>
    <w:rsid w:val="0AC769A1"/>
    <w:rsid w:val="0C036D46"/>
    <w:rsid w:val="0C4A0F50"/>
    <w:rsid w:val="0F201163"/>
    <w:rsid w:val="107A42D0"/>
    <w:rsid w:val="1197736A"/>
    <w:rsid w:val="11C35C88"/>
    <w:rsid w:val="12492C39"/>
    <w:rsid w:val="12FD248B"/>
    <w:rsid w:val="1484072D"/>
    <w:rsid w:val="154126EF"/>
    <w:rsid w:val="1592304B"/>
    <w:rsid w:val="1647748F"/>
    <w:rsid w:val="16566DBE"/>
    <w:rsid w:val="17895CE9"/>
    <w:rsid w:val="17C64885"/>
    <w:rsid w:val="17D27B3A"/>
    <w:rsid w:val="17E02409"/>
    <w:rsid w:val="17FF76B7"/>
    <w:rsid w:val="180B7DFE"/>
    <w:rsid w:val="187529D9"/>
    <w:rsid w:val="18C45873"/>
    <w:rsid w:val="190A277E"/>
    <w:rsid w:val="1B94739F"/>
    <w:rsid w:val="1D171C50"/>
    <w:rsid w:val="1F35597B"/>
    <w:rsid w:val="21C81DCC"/>
    <w:rsid w:val="238241FC"/>
    <w:rsid w:val="24C75D95"/>
    <w:rsid w:val="24F73F4C"/>
    <w:rsid w:val="25205A7B"/>
    <w:rsid w:val="270C62B7"/>
    <w:rsid w:val="27262E3C"/>
    <w:rsid w:val="28641476"/>
    <w:rsid w:val="2A8B3997"/>
    <w:rsid w:val="2AE8441B"/>
    <w:rsid w:val="2B3A4CDA"/>
    <w:rsid w:val="2B4A5600"/>
    <w:rsid w:val="2B5B534A"/>
    <w:rsid w:val="2BC5737C"/>
    <w:rsid w:val="2CAF5E9E"/>
    <w:rsid w:val="2CBB5CE4"/>
    <w:rsid w:val="2CF92AD5"/>
    <w:rsid w:val="2F9D4CE3"/>
    <w:rsid w:val="3436271A"/>
    <w:rsid w:val="346B6210"/>
    <w:rsid w:val="34C208FD"/>
    <w:rsid w:val="34EC3BCC"/>
    <w:rsid w:val="35250B19"/>
    <w:rsid w:val="355B7F36"/>
    <w:rsid w:val="3569521C"/>
    <w:rsid w:val="375A02D5"/>
    <w:rsid w:val="38710670"/>
    <w:rsid w:val="39396CB4"/>
    <w:rsid w:val="39754901"/>
    <w:rsid w:val="3990657D"/>
    <w:rsid w:val="3A654B5F"/>
    <w:rsid w:val="3A7761AC"/>
    <w:rsid w:val="3B0A71ED"/>
    <w:rsid w:val="3D5C2612"/>
    <w:rsid w:val="3EBB2B0F"/>
    <w:rsid w:val="42756FAE"/>
    <w:rsid w:val="42E60429"/>
    <w:rsid w:val="446E2E63"/>
    <w:rsid w:val="44C30432"/>
    <w:rsid w:val="46274A64"/>
    <w:rsid w:val="47EB5F15"/>
    <w:rsid w:val="4803238A"/>
    <w:rsid w:val="486F26F2"/>
    <w:rsid w:val="48B77746"/>
    <w:rsid w:val="4B5A2032"/>
    <w:rsid w:val="4BF40E3E"/>
    <w:rsid w:val="4CA13F8E"/>
    <w:rsid w:val="4D1956A9"/>
    <w:rsid w:val="4E7C136B"/>
    <w:rsid w:val="4F496CB7"/>
    <w:rsid w:val="50A11FE0"/>
    <w:rsid w:val="547C202D"/>
    <w:rsid w:val="5814047B"/>
    <w:rsid w:val="58937D37"/>
    <w:rsid w:val="58B571B7"/>
    <w:rsid w:val="59552A84"/>
    <w:rsid w:val="5ADA7E9F"/>
    <w:rsid w:val="5BC25DD9"/>
    <w:rsid w:val="5BC61375"/>
    <w:rsid w:val="5BD56BA4"/>
    <w:rsid w:val="5C157BF0"/>
    <w:rsid w:val="5D0128BF"/>
    <w:rsid w:val="5D8F5D65"/>
    <w:rsid w:val="5E2F7897"/>
    <w:rsid w:val="5E422F7A"/>
    <w:rsid w:val="5F712F7E"/>
    <w:rsid w:val="60551AD3"/>
    <w:rsid w:val="608D3C69"/>
    <w:rsid w:val="624B5761"/>
    <w:rsid w:val="63161082"/>
    <w:rsid w:val="63AC4D38"/>
    <w:rsid w:val="63D70E99"/>
    <w:rsid w:val="653576A4"/>
    <w:rsid w:val="66414DC0"/>
    <w:rsid w:val="665E1984"/>
    <w:rsid w:val="66F75934"/>
    <w:rsid w:val="68562439"/>
    <w:rsid w:val="6886667F"/>
    <w:rsid w:val="69952A39"/>
    <w:rsid w:val="6A7948FB"/>
    <w:rsid w:val="6B6C0BDE"/>
    <w:rsid w:val="6B8059E2"/>
    <w:rsid w:val="6C3D32B9"/>
    <w:rsid w:val="6CA62B12"/>
    <w:rsid w:val="70A94E62"/>
    <w:rsid w:val="70AC7790"/>
    <w:rsid w:val="726B05BD"/>
    <w:rsid w:val="72A32589"/>
    <w:rsid w:val="73135370"/>
    <w:rsid w:val="747C5A5B"/>
    <w:rsid w:val="74992CD1"/>
    <w:rsid w:val="761B163F"/>
    <w:rsid w:val="7662169B"/>
    <w:rsid w:val="77846D70"/>
    <w:rsid w:val="78551408"/>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7">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99"/>
    <w:pPr>
      <w:tabs>
        <w:tab w:val="left" w:pos="0"/>
        <w:tab w:val="left" w:pos="993"/>
        <w:tab w:val="left" w:pos="1134"/>
      </w:tabs>
      <w:ind w:firstLine="420"/>
    </w:pPr>
  </w:style>
  <w:style w:type="paragraph" w:styleId="6">
    <w:name w:val="Body Text Indent"/>
    <w:basedOn w:val="1"/>
    <w:next w:val="1"/>
    <w:qFormat/>
    <w:uiPriority w:val="0"/>
    <w:pPr>
      <w:ind w:firstLine="632" w:firstLineChars="200"/>
    </w:pPr>
    <w:rPr>
      <w:rFonts w:ascii="仿宋_GB2312" w:hAnsi="华文楷体" w:eastAsia="仿宋_GB2312"/>
      <w:sz w:val="32"/>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qFormat/>
    <w:uiPriority w:val="99"/>
    <w:pPr>
      <w:snapToGrid w:val="0"/>
    </w:pPr>
    <w:rPr>
      <w:rFonts w:ascii="Arial" w:hAnsi="Arial"/>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22"/>
    <w:rPr>
      <w:b/>
      <w:bCs/>
    </w:rPr>
  </w:style>
  <w:style w:type="paragraph" w:customStyle="1" w:styleId="1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styleId="20">
    <w:name w:val="List Paragraph"/>
    <w:basedOn w:val="1"/>
    <w:qFormat/>
    <w:uiPriority w:val="34"/>
    <w:pPr>
      <w:ind w:firstLine="420" w:firstLineChars="200"/>
    </w:pPr>
  </w:style>
  <w:style w:type="paragraph" w:customStyle="1" w:styleId="21">
    <w:name w:val="Table Text"/>
    <w:basedOn w:val="1"/>
    <w:semiHidden/>
    <w:qFormat/>
    <w:uiPriority w:val="0"/>
    <w:rPr>
      <w:rFonts w:ascii="宋体" w:hAnsi="宋体" w:eastAsia="宋体" w:cs="宋体"/>
      <w:sz w:val="24"/>
      <w:szCs w:val="24"/>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 w:type="character" w:customStyle="1" w:styleId="23">
    <w:name w:val="font21"/>
    <w:basedOn w:val="15"/>
    <w:qFormat/>
    <w:uiPriority w:val="0"/>
    <w:rPr>
      <w:rFonts w:hint="eastAsia" w:ascii="宋体" w:hAnsi="宋体" w:eastAsia="宋体" w:cs="宋体"/>
      <w:color w:val="000000"/>
      <w:sz w:val="20"/>
      <w:szCs w:val="20"/>
      <w:u w:val="none"/>
    </w:rPr>
  </w:style>
  <w:style w:type="character" w:customStyle="1" w:styleId="24">
    <w:name w:val="font151"/>
    <w:basedOn w:val="1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94</Pages>
  <Words>2452</Words>
  <Characters>2971</Characters>
  <TotalTime>0</TotalTime>
  <ScaleCrop>false</ScaleCrop>
  <LinksUpToDate>false</LinksUpToDate>
  <CharactersWithSpaces>3154</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dcterms:modified xsi:type="dcterms:W3CDTF">2026-05-12T02:34:02Z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71570CDDD6644D72BC4B7C0DC9C9FEFA_13</vt:lpwstr>
  </property>
  <property fmtid="{D5CDD505-2E9C-101B-9397-08002B2CF9AE}" pid="4" name="KSOTemplateDocerSaveRecord">
    <vt:lpwstr>eyJoZGlkIjoiNjlhM2MyYjNkYTNlZTg5NmVjOWM2YmMyMjE2NDQ2MzAiLCJ1c2VySWQiOiI2MTM3MDMxOTYifQ==</vt:lpwstr>
  </property>
</Properties>
</file>