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DCA94">
      <w:pPr>
        <w:tabs>
          <w:tab w:val="left" w:pos="420"/>
        </w:tabs>
        <w:spacing w:before="0" w:after="0" w:line="1700" w:lineRule="auto"/>
        <w:ind w:left="0" w:right="0" w:firstLine="0"/>
        <w:jc w:val="center"/>
        <w:rPr>
          <w:rFonts w:ascii="Arial Black" w:hAnsi="Arial Black" w:eastAsia="Arial Black" w:cs="Arial Black"/>
          <w:b/>
          <w:color w:val="auto"/>
          <w:spacing w:val="36"/>
          <w:position w:val="0"/>
          <w:sz w:val="52"/>
          <w:highlight w:val="none"/>
          <w:shd w:val="clear" w:fill="auto"/>
        </w:rPr>
      </w:pPr>
      <w:r>
        <w:rPr>
          <w:rFonts w:ascii="宋体" w:hAnsi="宋体" w:eastAsia="宋体" w:cs="宋体"/>
          <w:b/>
          <w:color w:val="auto"/>
          <w:spacing w:val="36"/>
          <w:position w:val="0"/>
          <w:sz w:val="52"/>
          <w:highlight w:val="none"/>
          <w:shd w:val="clear" w:fill="auto"/>
        </w:rPr>
        <w:t>周口市公共资源交易中心</w:t>
      </w:r>
    </w:p>
    <w:p w14:paraId="6A457925">
      <w:pPr>
        <w:pStyle w:val="83"/>
        <w:rPr>
          <w:color w:val="auto"/>
          <w:highlight w:val="none"/>
        </w:rPr>
      </w:pPr>
    </w:p>
    <w:p w14:paraId="5119E748">
      <w:pPr>
        <w:pStyle w:val="83"/>
        <w:rPr>
          <w:color w:val="auto"/>
          <w:highlight w:val="none"/>
        </w:rPr>
      </w:pPr>
    </w:p>
    <w:p w14:paraId="71F04728">
      <w:pPr>
        <w:pStyle w:val="83"/>
        <w:rPr>
          <w:color w:val="auto"/>
          <w:highlight w:val="none"/>
        </w:rPr>
      </w:pPr>
    </w:p>
    <w:p w14:paraId="748321ED">
      <w:pPr>
        <w:pStyle w:val="83"/>
        <w:rPr>
          <w:color w:val="auto"/>
          <w:highlight w:val="none"/>
        </w:rPr>
      </w:pPr>
    </w:p>
    <w:p w14:paraId="1CEA9599">
      <w:pPr>
        <w:tabs>
          <w:tab w:val="left" w:pos="315"/>
          <w:tab w:val="left" w:pos="8820"/>
        </w:tabs>
        <w:spacing w:before="0" w:after="0" w:line="500" w:lineRule="auto"/>
        <w:ind w:left="0" w:right="267" w:firstLine="0"/>
        <w:jc w:val="center"/>
        <w:rPr>
          <w:rFonts w:ascii="微软简标宋" w:hAnsi="微软简标宋" w:eastAsia="微软简标宋" w:cs="微软简标宋"/>
          <w:b/>
          <w:color w:val="auto"/>
          <w:spacing w:val="0"/>
          <w:position w:val="0"/>
          <w:sz w:val="52"/>
          <w:highlight w:val="none"/>
          <w:shd w:val="clear" w:fill="auto"/>
        </w:rPr>
      </w:pPr>
      <w:r>
        <w:rPr>
          <w:rFonts w:ascii="宋体" w:hAnsi="宋体" w:eastAsia="宋体" w:cs="宋体"/>
          <w:b/>
          <w:color w:val="auto"/>
          <w:spacing w:val="0"/>
          <w:position w:val="0"/>
          <w:sz w:val="52"/>
          <w:highlight w:val="none"/>
          <w:shd w:val="clear" w:fill="auto"/>
        </w:rPr>
        <w:t>竞争性磋商文件</w:t>
      </w:r>
    </w:p>
    <w:p w14:paraId="4D2E5B75">
      <w:pPr>
        <w:tabs>
          <w:tab w:val="left" w:pos="315"/>
          <w:tab w:val="left" w:pos="8820"/>
        </w:tabs>
        <w:spacing w:before="0" w:after="0" w:line="500" w:lineRule="auto"/>
        <w:ind w:left="0" w:right="267" w:firstLine="0"/>
        <w:jc w:val="center"/>
        <w:rPr>
          <w:rFonts w:ascii="仿宋_GB2312" w:hAnsi="仿宋_GB2312" w:eastAsia="仿宋_GB2312" w:cs="仿宋_GB2312"/>
          <w:color w:val="auto"/>
          <w:spacing w:val="0"/>
          <w:position w:val="0"/>
          <w:sz w:val="44"/>
          <w:highlight w:val="none"/>
          <w:shd w:val="clear" w:fill="auto"/>
        </w:rPr>
      </w:pPr>
    </w:p>
    <w:p w14:paraId="2ED9A866">
      <w:pPr>
        <w:tabs>
          <w:tab w:val="left" w:pos="315"/>
          <w:tab w:val="left" w:pos="8820"/>
        </w:tabs>
        <w:spacing w:before="0" w:after="0" w:line="240" w:lineRule="auto"/>
        <w:ind w:left="0" w:right="267" w:firstLine="0"/>
        <w:jc w:val="both"/>
        <w:rPr>
          <w:rFonts w:ascii="仿宋_GB2312" w:hAnsi="仿宋_GB2312" w:eastAsia="仿宋_GB2312" w:cs="仿宋_GB2312"/>
          <w:color w:val="auto"/>
          <w:spacing w:val="0"/>
          <w:position w:val="0"/>
          <w:sz w:val="44"/>
          <w:highlight w:val="none"/>
          <w:shd w:val="clear" w:fill="auto"/>
        </w:rPr>
      </w:pPr>
    </w:p>
    <w:p w14:paraId="60AA1B92">
      <w:pPr>
        <w:tabs>
          <w:tab w:val="left" w:pos="315"/>
          <w:tab w:val="left" w:pos="8820"/>
        </w:tabs>
        <w:spacing w:before="0" w:after="0" w:line="500" w:lineRule="auto"/>
        <w:ind w:left="0" w:right="267" w:firstLine="0"/>
        <w:jc w:val="both"/>
        <w:rPr>
          <w:rFonts w:ascii="仿宋_GB2312" w:hAnsi="仿宋_GB2312" w:eastAsia="仿宋_GB2312" w:cs="仿宋_GB2312"/>
          <w:b/>
          <w:color w:val="auto"/>
          <w:spacing w:val="0"/>
          <w:position w:val="0"/>
          <w:sz w:val="36"/>
          <w:highlight w:val="none"/>
          <w:shd w:val="clear" w:fill="auto"/>
        </w:rPr>
      </w:pPr>
    </w:p>
    <w:p w14:paraId="4B9D7637">
      <w:pPr>
        <w:tabs>
          <w:tab w:val="left" w:pos="315"/>
          <w:tab w:val="left" w:pos="8820"/>
        </w:tabs>
        <w:spacing w:before="0" w:after="0" w:line="500" w:lineRule="auto"/>
        <w:ind w:left="0" w:right="267" w:firstLine="0"/>
        <w:jc w:val="both"/>
        <w:rPr>
          <w:rFonts w:ascii="仿宋_GB2312" w:hAnsi="仿宋_GB2312" w:eastAsia="仿宋_GB2312" w:cs="仿宋_GB2312"/>
          <w:b/>
          <w:color w:val="auto"/>
          <w:spacing w:val="0"/>
          <w:position w:val="0"/>
          <w:sz w:val="36"/>
          <w:highlight w:val="none"/>
          <w:shd w:val="clear" w:fill="auto"/>
        </w:rPr>
      </w:pPr>
    </w:p>
    <w:p w14:paraId="5FF7A034">
      <w:pPr>
        <w:tabs>
          <w:tab w:val="left" w:pos="315"/>
          <w:tab w:val="left" w:pos="8820"/>
        </w:tabs>
        <w:spacing w:before="0" w:after="0" w:line="500" w:lineRule="auto"/>
        <w:ind w:left="0" w:right="267" w:firstLine="0"/>
        <w:jc w:val="center"/>
        <w:rPr>
          <w:rFonts w:ascii="宋体" w:hAnsi="宋体" w:eastAsia="宋体" w:cs="宋体"/>
          <w:color w:val="auto"/>
          <w:spacing w:val="0"/>
          <w:position w:val="0"/>
          <w:sz w:val="32"/>
          <w:highlight w:val="none"/>
          <w:shd w:val="clear" w:fill="auto"/>
        </w:rPr>
      </w:pPr>
    </w:p>
    <w:p w14:paraId="30382E98">
      <w:pPr>
        <w:tabs>
          <w:tab w:val="left" w:pos="315"/>
          <w:tab w:val="left" w:pos="8820"/>
        </w:tabs>
        <w:spacing w:before="0" w:after="0" w:line="500" w:lineRule="auto"/>
        <w:ind w:left="0" w:right="267" w:firstLine="0"/>
        <w:jc w:val="center"/>
        <w:rPr>
          <w:rFonts w:ascii="微软简标宋" w:hAnsi="微软简标宋" w:eastAsia="微软简标宋" w:cs="微软简标宋"/>
          <w:b/>
          <w:color w:val="auto"/>
          <w:spacing w:val="0"/>
          <w:position w:val="0"/>
          <w:sz w:val="52"/>
          <w:highlight w:val="none"/>
          <w:shd w:val="clear" w:fill="auto"/>
        </w:rPr>
      </w:pPr>
    </w:p>
    <w:p w14:paraId="4E0ABCF8">
      <w:pPr>
        <w:pStyle w:val="83"/>
        <w:rPr>
          <w:color w:val="auto"/>
          <w:highlight w:val="none"/>
        </w:rPr>
      </w:pPr>
    </w:p>
    <w:p w14:paraId="2F60B07B">
      <w:pPr>
        <w:pStyle w:val="83"/>
        <w:rPr>
          <w:color w:val="auto"/>
          <w:highlight w:val="none"/>
        </w:rPr>
      </w:pPr>
    </w:p>
    <w:p w14:paraId="32D089F3">
      <w:pPr>
        <w:tabs>
          <w:tab w:val="left" w:pos="315"/>
          <w:tab w:val="left" w:pos="8820"/>
        </w:tabs>
        <w:spacing w:line="600" w:lineRule="exact"/>
        <w:ind w:right="267" w:rightChars="127" w:firstLine="320" w:firstLineChars="100"/>
        <w:jc w:val="left"/>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rPr>
        <w:t xml:space="preserve">项目名称: </w:t>
      </w:r>
      <w:r>
        <w:rPr>
          <w:rFonts w:hint="eastAsia" w:ascii="宋体" w:hAnsi="宋体" w:cs="宋体"/>
          <w:sz w:val="32"/>
          <w:szCs w:val="32"/>
          <w:highlight w:val="none"/>
          <w:u w:val="single"/>
          <w:lang w:eastAsia="zh-CN"/>
        </w:rPr>
        <w:t>西华县中医院委托第三方管理污水处理项目</w:t>
      </w:r>
    </w:p>
    <w:p w14:paraId="7B948ED3">
      <w:pPr>
        <w:tabs>
          <w:tab w:val="left" w:pos="315"/>
          <w:tab w:val="left" w:pos="8820"/>
        </w:tabs>
        <w:spacing w:line="600" w:lineRule="exact"/>
        <w:ind w:right="267" w:rightChars="127" w:firstLine="320" w:firstLineChars="100"/>
        <w:jc w:val="left"/>
        <w:rPr>
          <w:rFonts w:hint="default"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rPr>
        <w:t xml:space="preserve">项目编号: </w:t>
      </w:r>
      <w:r>
        <w:rPr>
          <w:rFonts w:hint="eastAsia" w:ascii="宋体" w:hAnsi="宋体" w:cs="宋体"/>
          <w:b w:val="0"/>
          <w:bCs w:val="0"/>
          <w:color w:val="auto"/>
          <w:sz w:val="32"/>
          <w:szCs w:val="32"/>
          <w:highlight w:val="none"/>
          <w:lang w:val="en-US" w:eastAsia="zh-CN"/>
        </w:rPr>
        <w:t>西华磋商采购-2026-13</w:t>
      </w:r>
    </w:p>
    <w:p w14:paraId="2E00EB2C">
      <w:pPr>
        <w:pStyle w:val="9"/>
        <w:jc w:val="center"/>
        <w:rPr>
          <w:rFonts w:hint="eastAsia" w:ascii="宋体" w:hAnsi="宋体" w:eastAsia="宋体" w:cs="宋体"/>
          <w:b w:val="0"/>
          <w:bCs w:val="0"/>
          <w:color w:val="auto"/>
          <w:sz w:val="32"/>
          <w:highlight w:val="none"/>
        </w:rPr>
      </w:pPr>
      <w:r>
        <w:rPr>
          <w:rFonts w:hint="eastAsia" w:ascii="宋体" w:hAnsi="宋体" w:eastAsia="宋体" w:cs="宋体"/>
          <w:b w:val="0"/>
          <w:bCs w:val="0"/>
          <w:color w:val="auto"/>
          <w:sz w:val="32"/>
          <w:highlight w:val="none"/>
        </w:rPr>
        <w:t>202</w:t>
      </w:r>
      <w:r>
        <w:rPr>
          <w:rFonts w:hint="eastAsia" w:ascii="宋体" w:hAnsi="宋体" w:cs="宋体"/>
          <w:b w:val="0"/>
          <w:bCs w:val="0"/>
          <w:color w:val="auto"/>
          <w:sz w:val="32"/>
          <w:highlight w:val="none"/>
          <w:lang w:val="en-US" w:eastAsia="zh-CN"/>
        </w:rPr>
        <w:t>6</w:t>
      </w:r>
      <w:r>
        <w:rPr>
          <w:rFonts w:hint="eastAsia" w:ascii="宋体" w:hAnsi="宋体" w:eastAsia="宋体" w:cs="宋体"/>
          <w:b w:val="0"/>
          <w:bCs w:val="0"/>
          <w:color w:val="auto"/>
          <w:sz w:val="32"/>
          <w:highlight w:val="none"/>
        </w:rPr>
        <w:t>年</w:t>
      </w:r>
      <w:r>
        <w:rPr>
          <w:rFonts w:hint="eastAsia" w:ascii="宋体" w:hAnsi="宋体" w:cs="宋体"/>
          <w:b w:val="0"/>
          <w:bCs w:val="0"/>
          <w:color w:val="auto"/>
          <w:sz w:val="32"/>
          <w:highlight w:val="none"/>
          <w:lang w:val="en-US" w:eastAsia="zh-CN"/>
        </w:rPr>
        <w:t>5</w:t>
      </w:r>
      <w:r>
        <w:rPr>
          <w:rFonts w:hint="eastAsia" w:ascii="宋体" w:hAnsi="宋体" w:eastAsia="宋体" w:cs="宋体"/>
          <w:b w:val="0"/>
          <w:bCs w:val="0"/>
          <w:color w:val="auto"/>
          <w:sz w:val="32"/>
          <w:highlight w:val="none"/>
        </w:rPr>
        <w:t>月</w:t>
      </w:r>
      <w:r>
        <w:rPr>
          <w:rFonts w:hint="eastAsia" w:ascii="宋体" w:hAnsi="宋体" w:cs="宋体"/>
          <w:b w:val="0"/>
          <w:bCs w:val="0"/>
          <w:color w:val="auto"/>
          <w:sz w:val="32"/>
          <w:highlight w:val="none"/>
          <w:lang w:val="en-US" w:eastAsia="zh-CN"/>
        </w:rPr>
        <w:t>25</w:t>
      </w:r>
      <w:r>
        <w:rPr>
          <w:rFonts w:hint="eastAsia" w:ascii="宋体" w:hAnsi="宋体" w:eastAsia="宋体" w:cs="宋体"/>
          <w:b w:val="0"/>
          <w:bCs w:val="0"/>
          <w:color w:val="auto"/>
          <w:sz w:val="32"/>
          <w:highlight w:val="none"/>
          <w:lang w:val="en-US" w:eastAsia="zh-CN"/>
        </w:rPr>
        <w:t>日</w:t>
      </w:r>
      <w:r>
        <w:rPr>
          <w:rFonts w:hint="eastAsia" w:ascii="宋体" w:hAnsi="宋体" w:cs="宋体"/>
          <w:b w:val="0"/>
          <w:bCs w:val="0"/>
          <w:color w:val="auto"/>
          <w:sz w:val="32"/>
          <w:highlight w:val="none"/>
          <w:lang w:val="en-US" w:eastAsia="zh-CN"/>
        </w:rPr>
        <w:t xml:space="preserve">  </w:t>
      </w:r>
    </w:p>
    <w:p w14:paraId="5C03F58F">
      <w:pPr>
        <w:pStyle w:val="26"/>
        <w:ind w:firstLine="210"/>
        <w:rPr>
          <w:highlight w:val="none"/>
        </w:rPr>
      </w:pPr>
    </w:p>
    <w:p w14:paraId="4F520E55">
      <w:pPr>
        <w:spacing w:line="560" w:lineRule="exact"/>
        <w:jc w:val="center"/>
        <w:rPr>
          <w:rFonts w:ascii="宋体" w:hAnsi="宋体" w:cs="宋体"/>
          <w:b/>
          <w:sz w:val="32"/>
          <w:szCs w:val="32"/>
          <w:highlight w:val="none"/>
        </w:rPr>
      </w:pPr>
      <w:r>
        <w:rPr>
          <w:rFonts w:hint="eastAsia" w:ascii="宋体" w:hAnsi="宋体" w:cs="宋体"/>
          <w:b/>
          <w:sz w:val="32"/>
          <w:szCs w:val="32"/>
          <w:highlight w:val="none"/>
        </w:rPr>
        <w:t>目     录</w:t>
      </w:r>
    </w:p>
    <w:p w14:paraId="124F671F">
      <w:pPr>
        <w:rPr>
          <w:rFonts w:ascii="宋体" w:hAnsi="宋体" w:cs="宋体"/>
          <w:b/>
          <w:sz w:val="32"/>
          <w:szCs w:val="32"/>
          <w:highlight w:val="none"/>
        </w:rPr>
      </w:pPr>
    </w:p>
    <w:p w14:paraId="65B325FA">
      <w:pPr>
        <w:spacing w:line="800" w:lineRule="exact"/>
        <w:rPr>
          <w:rFonts w:hint="default" w:ascii="宋体" w:hAnsi="宋体" w:eastAsia="宋体" w:cs="宋体"/>
          <w:b/>
          <w:sz w:val="32"/>
          <w:szCs w:val="32"/>
          <w:highlight w:val="none"/>
          <w:lang w:val="en-US" w:eastAsia="zh-CN"/>
        </w:rPr>
      </w:pPr>
      <w:r>
        <w:rPr>
          <w:rFonts w:hint="eastAsia" w:ascii="宋体" w:hAnsi="宋体" w:cs="宋体"/>
          <w:b/>
          <w:sz w:val="32"/>
          <w:szCs w:val="32"/>
          <w:highlight w:val="none"/>
        </w:rPr>
        <w:t>第一章  竞争性磋商邀请函</w:t>
      </w:r>
      <w:r>
        <w:rPr>
          <w:rFonts w:hint="eastAsia" w:ascii="宋体" w:hAnsi="宋体" w:cs="宋体"/>
          <w:b/>
          <w:sz w:val="32"/>
          <w:szCs w:val="32"/>
          <w:highlight w:val="none"/>
          <w:lang w:val="en-US" w:eastAsia="zh-CN"/>
        </w:rPr>
        <w:t xml:space="preserve"> .........................3</w:t>
      </w:r>
    </w:p>
    <w:p w14:paraId="723DD0D7">
      <w:pPr>
        <w:spacing w:line="800" w:lineRule="exact"/>
        <w:rPr>
          <w:rFonts w:hint="default" w:ascii="宋体" w:hAnsi="宋体" w:cs="宋体"/>
          <w:b/>
          <w:sz w:val="32"/>
          <w:szCs w:val="32"/>
          <w:highlight w:val="none"/>
          <w:lang w:val="en-US" w:eastAsia="zh-CN"/>
        </w:rPr>
      </w:pPr>
      <w:r>
        <w:rPr>
          <w:rFonts w:hint="eastAsia" w:ascii="宋体" w:hAnsi="宋体" w:cs="宋体"/>
          <w:b/>
          <w:sz w:val="32"/>
          <w:szCs w:val="32"/>
          <w:highlight w:val="none"/>
        </w:rPr>
        <w:t xml:space="preserve">第二章  供应商须知 </w:t>
      </w:r>
      <w:r>
        <w:rPr>
          <w:rFonts w:hint="eastAsia" w:ascii="宋体" w:hAnsi="宋体" w:cs="宋体"/>
          <w:b/>
          <w:sz w:val="32"/>
          <w:szCs w:val="32"/>
          <w:highlight w:val="none"/>
          <w:lang w:val="en-US" w:eastAsia="zh-CN"/>
        </w:rPr>
        <w:t>...............................6</w:t>
      </w:r>
    </w:p>
    <w:p w14:paraId="57AD470D">
      <w:pPr>
        <w:spacing w:line="800" w:lineRule="exact"/>
        <w:rPr>
          <w:rFonts w:hint="default" w:ascii="宋体" w:hAnsi="宋体" w:eastAsia="宋体" w:cs="宋体"/>
          <w:b/>
          <w:sz w:val="32"/>
          <w:szCs w:val="32"/>
          <w:highlight w:val="none"/>
          <w:lang w:val="en-US" w:eastAsia="zh-CN"/>
        </w:rPr>
      </w:pPr>
      <w:r>
        <w:rPr>
          <w:rFonts w:hint="eastAsia" w:ascii="宋体" w:hAnsi="宋体" w:cs="宋体"/>
          <w:b/>
          <w:sz w:val="32"/>
          <w:szCs w:val="32"/>
          <w:highlight w:val="none"/>
        </w:rPr>
        <w:t>第三章</w:t>
      </w:r>
      <w:r>
        <w:rPr>
          <w:rFonts w:hint="eastAsia" w:ascii="宋体" w:hAnsi="宋体" w:cs="宋体"/>
          <w:b/>
          <w:sz w:val="32"/>
          <w:szCs w:val="32"/>
          <w:highlight w:val="none"/>
          <w:lang w:val="en-US" w:eastAsia="zh-CN"/>
        </w:rPr>
        <w:t xml:space="preserve">  </w:t>
      </w:r>
      <w:r>
        <w:rPr>
          <w:rFonts w:hint="eastAsia" w:ascii="宋体" w:hAnsi="宋体" w:cs="宋体"/>
          <w:b/>
          <w:sz w:val="32"/>
          <w:szCs w:val="32"/>
          <w:highlight w:val="none"/>
        </w:rPr>
        <w:t>采购项目内容及要求</w:t>
      </w:r>
      <w:r>
        <w:rPr>
          <w:rFonts w:hint="eastAsia" w:ascii="宋体" w:hAnsi="宋体" w:cs="宋体"/>
          <w:b/>
          <w:sz w:val="32"/>
          <w:szCs w:val="32"/>
          <w:highlight w:val="none"/>
          <w:lang w:val="en-US" w:eastAsia="zh-CN"/>
        </w:rPr>
        <w:t>.......................24</w:t>
      </w:r>
    </w:p>
    <w:p w14:paraId="2E86566E">
      <w:pPr>
        <w:spacing w:line="800" w:lineRule="exact"/>
        <w:rPr>
          <w:rFonts w:ascii="宋体" w:hAnsi="宋体" w:cs="宋体"/>
          <w:b/>
          <w:sz w:val="32"/>
          <w:szCs w:val="32"/>
          <w:highlight w:val="none"/>
        </w:rPr>
      </w:pPr>
      <w:r>
        <w:rPr>
          <w:rFonts w:hint="eastAsia" w:ascii="宋体" w:hAnsi="宋体" w:cs="宋体"/>
          <w:b/>
          <w:sz w:val="32"/>
          <w:szCs w:val="32"/>
          <w:highlight w:val="none"/>
        </w:rPr>
        <w:t>第四章  响应性文件内容及格式</w:t>
      </w:r>
      <w:r>
        <w:rPr>
          <w:rFonts w:hint="eastAsia" w:ascii="宋体" w:hAnsi="宋体" w:cs="宋体"/>
          <w:b/>
          <w:sz w:val="32"/>
          <w:szCs w:val="32"/>
          <w:highlight w:val="none"/>
          <w:lang w:val="en-US" w:eastAsia="zh-CN"/>
        </w:rPr>
        <w:t>.....................26</w:t>
      </w:r>
    </w:p>
    <w:p w14:paraId="6D7FE88F">
      <w:pPr>
        <w:spacing w:line="800" w:lineRule="exact"/>
        <w:rPr>
          <w:rFonts w:hint="default" w:ascii="宋体" w:hAnsi="宋体" w:eastAsia="宋体" w:cs="宋体"/>
          <w:b/>
          <w:sz w:val="32"/>
          <w:szCs w:val="32"/>
          <w:highlight w:val="none"/>
          <w:lang w:val="en-US" w:eastAsia="zh-CN"/>
        </w:rPr>
      </w:pPr>
      <w:r>
        <w:rPr>
          <w:rFonts w:hint="eastAsia" w:ascii="宋体" w:hAnsi="宋体" w:cs="宋体"/>
          <w:b/>
          <w:sz w:val="32"/>
          <w:szCs w:val="32"/>
          <w:highlight w:val="none"/>
        </w:rPr>
        <w:t xml:space="preserve">第五章  </w:t>
      </w:r>
      <w:r>
        <w:rPr>
          <w:rFonts w:hint="eastAsia" w:ascii="宋体" w:hAnsi="宋体" w:cs="宋体"/>
          <w:b/>
          <w:sz w:val="32"/>
          <w:szCs w:val="32"/>
          <w:highlight w:val="none"/>
          <w:lang w:val="en-US" w:eastAsia="zh-CN"/>
        </w:rPr>
        <w:t>周口市政府采购</w:t>
      </w:r>
      <w:r>
        <w:rPr>
          <w:rFonts w:hint="eastAsia" w:ascii="宋体" w:hAnsi="宋体" w:cs="宋体"/>
          <w:b/>
          <w:sz w:val="32"/>
          <w:szCs w:val="32"/>
          <w:highlight w:val="none"/>
        </w:rPr>
        <w:t>合同（服务类）标准文本</w:t>
      </w:r>
      <w:r>
        <w:rPr>
          <w:rFonts w:hint="eastAsia" w:ascii="宋体" w:hAnsi="宋体" w:cs="宋体"/>
          <w:b/>
          <w:sz w:val="32"/>
          <w:szCs w:val="32"/>
          <w:highlight w:val="none"/>
          <w:lang w:val="en-US" w:eastAsia="zh-CN"/>
        </w:rPr>
        <w:t>.....40</w:t>
      </w:r>
    </w:p>
    <w:p w14:paraId="4BAA2516">
      <w:pPr>
        <w:spacing w:line="800" w:lineRule="exact"/>
        <w:ind w:firstLine="2249" w:firstLineChars="700"/>
        <w:rPr>
          <w:rFonts w:hint="eastAsia" w:ascii="宋体" w:hAnsi="宋体" w:cs="宋体"/>
          <w:b/>
          <w:sz w:val="32"/>
          <w:szCs w:val="32"/>
          <w:highlight w:val="none"/>
          <w:lang w:eastAsia="zh-CN"/>
        </w:rPr>
      </w:pPr>
    </w:p>
    <w:p w14:paraId="398918F1">
      <w:pPr>
        <w:spacing w:line="800" w:lineRule="exact"/>
        <w:ind w:firstLine="2249" w:firstLineChars="700"/>
        <w:rPr>
          <w:rFonts w:hint="eastAsia" w:ascii="宋体" w:hAnsi="宋体" w:cs="宋体"/>
          <w:b/>
          <w:sz w:val="32"/>
          <w:szCs w:val="32"/>
          <w:highlight w:val="none"/>
          <w:lang w:val="en-US" w:eastAsia="zh-CN"/>
        </w:rPr>
      </w:pPr>
    </w:p>
    <w:p w14:paraId="3CC7DDAB">
      <w:pPr>
        <w:spacing w:line="800" w:lineRule="exact"/>
        <w:ind w:firstLine="2249" w:firstLineChars="700"/>
        <w:rPr>
          <w:rFonts w:hint="eastAsia" w:ascii="宋体" w:hAnsi="宋体" w:cs="宋体"/>
          <w:b/>
          <w:sz w:val="32"/>
          <w:szCs w:val="32"/>
          <w:highlight w:val="none"/>
        </w:rPr>
      </w:pPr>
    </w:p>
    <w:p w14:paraId="08CB9FD5">
      <w:pPr>
        <w:pStyle w:val="3"/>
        <w:bidi w:val="0"/>
        <w:jc w:val="center"/>
        <w:rPr>
          <w:highlight w:val="none"/>
        </w:rPr>
      </w:pPr>
      <w:r>
        <w:rPr>
          <w:rFonts w:hint="eastAsia" w:ascii="仿宋_GB2312" w:eastAsia="仿宋_GB2312"/>
          <w:b/>
          <w:sz w:val="32"/>
          <w:szCs w:val="32"/>
          <w:highlight w:val="none"/>
        </w:rPr>
        <w:br w:type="page"/>
      </w:r>
      <w:r>
        <w:rPr>
          <w:rFonts w:hint="eastAsia" w:ascii="宋体" w:hAnsi="宋体" w:cs="宋体"/>
          <w:b/>
          <w:sz w:val="32"/>
          <w:szCs w:val="32"/>
          <w:highlight w:val="none"/>
        </w:rPr>
        <w:t>第一章</w:t>
      </w:r>
      <w:r>
        <w:rPr>
          <w:rFonts w:hint="eastAsia" w:ascii="宋体" w:hAnsi="宋体" w:cs="宋体"/>
          <w:b/>
          <w:sz w:val="32"/>
          <w:szCs w:val="32"/>
          <w:highlight w:val="none"/>
          <w:lang w:val="en-US" w:eastAsia="zh-CN"/>
        </w:rPr>
        <w:t xml:space="preserve">  </w:t>
      </w:r>
      <w:r>
        <w:rPr>
          <w:rFonts w:hint="eastAsia" w:ascii="宋体" w:hAnsi="宋体" w:cs="宋体"/>
          <w:b/>
          <w:sz w:val="32"/>
          <w:szCs w:val="32"/>
          <w:highlight w:val="none"/>
        </w:rPr>
        <w:t>竞争性磋商邀请函</w:t>
      </w:r>
    </w:p>
    <w:p w14:paraId="78582E84">
      <w:pPr>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项目概况</w:t>
      </w:r>
    </w:p>
    <w:p w14:paraId="76B1A250">
      <w:pPr>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u w:val="single"/>
          <w:lang w:eastAsia="zh-CN"/>
        </w:rPr>
        <w:t>西华县中医院委托第三方管理污水处理项目</w:t>
      </w:r>
      <w:r>
        <w:rPr>
          <w:rFonts w:hint="eastAsia" w:asciiTheme="minorEastAsia" w:hAnsiTheme="minorEastAsia" w:eastAsiaTheme="minorEastAsia" w:cstheme="minorEastAsia"/>
          <w:sz w:val="24"/>
          <w:highlight w:val="none"/>
          <w:u w:val="none"/>
          <w:lang w:val="en-US" w:eastAsia="zh-CN"/>
        </w:rPr>
        <w:t>招标</w:t>
      </w:r>
      <w:r>
        <w:rPr>
          <w:rFonts w:hint="eastAsia" w:asciiTheme="minorEastAsia" w:hAnsiTheme="minorEastAsia" w:eastAsiaTheme="minorEastAsia" w:cstheme="minorEastAsia"/>
          <w:sz w:val="24"/>
          <w:highlight w:val="none"/>
        </w:rPr>
        <w:t>项目的潜在供应商应在周口市公共资源交易中心网获取</w:t>
      </w:r>
      <w:r>
        <w:rPr>
          <w:rFonts w:hint="eastAsia" w:asciiTheme="minorEastAsia" w:hAnsiTheme="minorEastAsia" w:eastAsiaTheme="minorEastAsia" w:cstheme="minorEastAsia"/>
          <w:sz w:val="24"/>
          <w:highlight w:val="none"/>
          <w:lang w:val="en-US" w:eastAsia="zh-CN"/>
        </w:rPr>
        <w:t>采购</w:t>
      </w:r>
      <w:r>
        <w:rPr>
          <w:rFonts w:hint="eastAsia" w:asciiTheme="minorEastAsia" w:hAnsiTheme="minorEastAsia" w:eastAsiaTheme="minorEastAsia" w:cstheme="minorEastAsia"/>
          <w:sz w:val="24"/>
          <w:highlight w:val="none"/>
        </w:rPr>
        <w:t>文件，并于</w:t>
      </w:r>
      <w:r>
        <w:rPr>
          <w:rFonts w:hint="eastAsia" w:asciiTheme="minorEastAsia" w:hAnsiTheme="minorEastAsia" w:eastAsiaTheme="minorEastAsia" w:cstheme="minorEastAsia"/>
          <w:sz w:val="24"/>
          <w:highlight w:val="none"/>
          <w:u w:val="none"/>
          <w:lang w:val="en-US" w:eastAsia="zh-CN"/>
        </w:rPr>
        <w:t>2026</w:t>
      </w:r>
      <w:r>
        <w:rPr>
          <w:rFonts w:hint="eastAsia" w:asciiTheme="minorEastAsia" w:hAnsiTheme="minorEastAsia" w:eastAsiaTheme="minorEastAsia" w:cstheme="minorEastAsia"/>
          <w:sz w:val="24"/>
          <w:highlight w:val="none"/>
          <w:u w:val="none"/>
        </w:rPr>
        <w:t>年</w:t>
      </w:r>
      <w:r>
        <w:rPr>
          <w:rFonts w:hint="eastAsia" w:asciiTheme="minorEastAsia" w:hAnsiTheme="minorEastAsia" w:eastAsiaTheme="minorEastAsia" w:cstheme="minorEastAsia"/>
          <w:sz w:val="24"/>
          <w:highlight w:val="none"/>
          <w:u w:val="none"/>
          <w:lang w:val="en-US" w:eastAsia="zh-CN"/>
        </w:rPr>
        <w:t xml:space="preserve"> 6 </w:t>
      </w:r>
      <w:r>
        <w:rPr>
          <w:rFonts w:hint="eastAsia" w:asciiTheme="minorEastAsia" w:hAnsiTheme="minorEastAsia" w:eastAsiaTheme="minorEastAsia" w:cstheme="minorEastAsia"/>
          <w:sz w:val="24"/>
          <w:highlight w:val="none"/>
          <w:u w:val="none"/>
        </w:rPr>
        <w:t>月</w:t>
      </w:r>
      <w:r>
        <w:rPr>
          <w:rFonts w:hint="eastAsia" w:asciiTheme="minorEastAsia" w:hAnsiTheme="minorEastAsia" w:eastAsiaTheme="minorEastAsia" w:cstheme="minorEastAsia"/>
          <w:sz w:val="24"/>
          <w:highlight w:val="none"/>
          <w:u w:val="none"/>
          <w:lang w:val="en-US" w:eastAsia="zh-CN"/>
        </w:rPr>
        <w:t>9</w:t>
      </w:r>
      <w:r>
        <w:rPr>
          <w:rFonts w:hint="eastAsia" w:asciiTheme="minorEastAsia" w:hAnsiTheme="minorEastAsia" w:eastAsiaTheme="minorEastAsia" w:cstheme="minorEastAsia"/>
          <w:sz w:val="24"/>
          <w:highlight w:val="none"/>
          <w:u w:val="none"/>
        </w:rPr>
        <w:t>日</w:t>
      </w:r>
      <w:r>
        <w:rPr>
          <w:rFonts w:hint="eastAsia" w:asciiTheme="minorEastAsia" w:hAnsiTheme="minorEastAsia" w:eastAsiaTheme="minorEastAsia" w:cstheme="minorEastAsia"/>
          <w:sz w:val="24"/>
          <w:highlight w:val="none"/>
          <w:u w:val="none"/>
          <w:lang w:val="en-US" w:eastAsia="zh-CN"/>
        </w:rPr>
        <w:t>10</w:t>
      </w:r>
      <w:r>
        <w:rPr>
          <w:rFonts w:hint="eastAsia" w:asciiTheme="minorEastAsia" w:hAnsiTheme="minorEastAsia" w:eastAsiaTheme="minorEastAsia" w:cstheme="minorEastAsia"/>
          <w:sz w:val="24"/>
          <w:highlight w:val="none"/>
          <w:u w:val="none"/>
        </w:rPr>
        <w:t>点</w:t>
      </w:r>
      <w:r>
        <w:rPr>
          <w:rFonts w:hint="eastAsia" w:asciiTheme="minorEastAsia" w:hAnsiTheme="minorEastAsia" w:eastAsiaTheme="minorEastAsia" w:cstheme="minorEastAsia"/>
          <w:sz w:val="24"/>
          <w:highlight w:val="none"/>
          <w:u w:val="none"/>
          <w:lang w:val="en-US" w:eastAsia="zh-CN"/>
        </w:rPr>
        <w:t>00</w:t>
      </w:r>
      <w:r>
        <w:rPr>
          <w:rFonts w:hint="eastAsia" w:asciiTheme="minorEastAsia" w:hAnsiTheme="minorEastAsia" w:eastAsiaTheme="minorEastAsia" w:cstheme="minorEastAsia"/>
          <w:sz w:val="24"/>
          <w:highlight w:val="none"/>
          <w:u w:val="none"/>
        </w:rPr>
        <w:t>分</w:t>
      </w:r>
      <w:r>
        <w:rPr>
          <w:rFonts w:hint="eastAsia" w:asciiTheme="minorEastAsia" w:hAnsiTheme="minorEastAsia" w:eastAsiaTheme="minorEastAsia" w:cstheme="minorEastAsia"/>
          <w:sz w:val="24"/>
          <w:highlight w:val="none"/>
        </w:rPr>
        <w:t>（北京时间）前</w:t>
      </w:r>
      <w:r>
        <w:rPr>
          <w:rFonts w:hint="eastAsia" w:asciiTheme="minorEastAsia" w:hAnsiTheme="minorEastAsia" w:eastAsiaTheme="minorEastAsia" w:cstheme="minorEastAsia"/>
          <w:sz w:val="24"/>
          <w:highlight w:val="none"/>
          <w:lang w:val="en-US" w:eastAsia="zh-CN"/>
        </w:rPr>
        <w:t>递</w:t>
      </w:r>
      <w:r>
        <w:rPr>
          <w:rFonts w:hint="eastAsia" w:asciiTheme="minorEastAsia" w:hAnsiTheme="minorEastAsia" w:eastAsiaTheme="minorEastAsia" w:cstheme="minorEastAsia"/>
          <w:sz w:val="24"/>
          <w:highlight w:val="none"/>
        </w:rPr>
        <w:t>交响应文件。</w:t>
      </w:r>
    </w:p>
    <w:p w14:paraId="610157DA">
      <w:pPr>
        <w:spacing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一、项目基本情况</w:t>
      </w:r>
    </w:p>
    <w:p w14:paraId="4AE4A75B">
      <w:pPr>
        <w:spacing w:line="360" w:lineRule="auto"/>
        <w:ind w:firstLine="240" w:firstLineChars="100"/>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项目编号：</w:t>
      </w:r>
      <w:r>
        <w:rPr>
          <w:rFonts w:hint="eastAsia" w:asciiTheme="minorEastAsia" w:hAnsiTheme="minorEastAsia" w:cstheme="minorEastAsia"/>
          <w:sz w:val="24"/>
          <w:highlight w:val="none"/>
          <w:lang w:val="en-US" w:eastAsia="zh-CN"/>
        </w:rPr>
        <w:t>西华磋商采购-2026-13</w:t>
      </w:r>
    </w:p>
    <w:p w14:paraId="738F9618">
      <w:pPr>
        <w:spacing w:line="360" w:lineRule="auto"/>
        <w:ind w:firstLine="240" w:firstLineChars="100"/>
        <w:rPr>
          <w:rFonts w:hint="eastAsia" w:asciiTheme="minorEastAsia" w:hAnsiTheme="minorEastAsia" w:eastAsiaTheme="minorEastAsia" w:cstheme="minorEastAsia"/>
          <w:sz w:val="24"/>
          <w:highlight w:val="none"/>
          <w:u w:val="single"/>
          <w:lang w:eastAsia="zh-CN"/>
        </w:rPr>
      </w:pP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项目名称：</w:t>
      </w:r>
      <w:r>
        <w:rPr>
          <w:rFonts w:hint="eastAsia" w:asciiTheme="minorEastAsia" w:hAnsiTheme="minorEastAsia" w:eastAsiaTheme="minorEastAsia" w:cstheme="minorEastAsia"/>
          <w:sz w:val="24"/>
          <w:highlight w:val="none"/>
          <w:lang w:eastAsia="zh-CN"/>
        </w:rPr>
        <w:t>西华县中医院委托第三方管理污水处理项目</w:t>
      </w:r>
    </w:p>
    <w:p w14:paraId="1EF1AFBC">
      <w:pPr>
        <w:spacing w:line="360" w:lineRule="auto"/>
        <w:ind w:firstLine="240" w:firstLineChars="1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采购方式：竞争性磋商</w:t>
      </w:r>
    </w:p>
    <w:p w14:paraId="6FBEFC75">
      <w:pPr>
        <w:spacing w:line="360" w:lineRule="auto"/>
        <w:ind w:firstLine="240" w:firstLineChars="1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rPr>
        <w:t>预算金额：</w:t>
      </w:r>
      <w:r>
        <w:rPr>
          <w:rFonts w:hint="eastAsia" w:asciiTheme="minorEastAsia" w:hAnsiTheme="minorEastAsia" w:eastAsiaTheme="minorEastAsia" w:cstheme="minorEastAsia"/>
          <w:sz w:val="24"/>
          <w:highlight w:val="none"/>
          <w:lang w:val="en-US" w:eastAsia="zh-CN"/>
        </w:rPr>
        <w:t>350000.00元</w:t>
      </w:r>
    </w:p>
    <w:p w14:paraId="4A475E31">
      <w:pPr>
        <w:spacing w:line="360" w:lineRule="auto"/>
        <w:ind w:firstLine="240" w:firstLineChars="1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rPr>
        <w:t>最高限价：</w:t>
      </w:r>
      <w:r>
        <w:rPr>
          <w:rFonts w:hint="eastAsia" w:asciiTheme="minorEastAsia" w:hAnsiTheme="minorEastAsia" w:eastAsiaTheme="minorEastAsia" w:cstheme="minorEastAsia"/>
          <w:sz w:val="24"/>
          <w:highlight w:val="none"/>
          <w:lang w:val="en-US" w:eastAsia="zh-CN"/>
        </w:rPr>
        <w:t>350000.00元</w:t>
      </w:r>
    </w:p>
    <w:tbl>
      <w:tblPr>
        <w:tblStyle w:val="28"/>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2987"/>
        <w:gridCol w:w="1875"/>
        <w:gridCol w:w="2313"/>
      </w:tblGrid>
      <w:tr w14:paraId="62D6A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51" w:type="dxa"/>
            <w:tcBorders>
              <w:left w:val="single" w:color="auto" w:sz="4" w:space="0"/>
              <w:bottom w:val="single" w:color="auto" w:sz="4" w:space="0"/>
              <w:right w:val="single" w:color="auto" w:sz="4" w:space="0"/>
            </w:tcBorders>
            <w:noWrap w:val="0"/>
            <w:vAlign w:val="center"/>
          </w:tcPr>
          <w:p w14:paraId="3FDFF990">
            <w:pPr>
              <w:spacing w:line="380" w:lineRule="exact"/>
              <w:jc w:val="center"/>
              <w:rPr>
                <w:rFonts w:ascii="宋体" w:hAnsi="宋体" w:cs="宋体"/>
                <w:color w:val="auto"/>
                <w:sz w:val="24"/>
                <w:szCs w:val="24"/>
                <w:highlight w:val="none"/>
              </w:rPr>
            </w:pPr>
            <w:r>
              <w:rPr>
                <w:rFonts w:hint="eastAsia" w:ascii="宋体" w:hAnsi="宋体"/>
                <w:color w:val="auto"/>
                <w:sz w:val="24"/>
                <w:szCs w:val="24"/>
                <w:highlight w:val="none"/>
              </w:rPr>
              <w:t>包号</w:t>
            </w:r>
          </w:p>
        </w:tc>
        <w:tc>
          <w:tcPr>
            <w:tcW w:w="2987" w:type="dxa"/>
            <w:tcBorders>
              <w:left w:val="single" w:color="auto" w:sz="4" w:space="0"/>
              <w:bottom w:val="single" w:color="auto" w:sz="4" w:space="0"/>
              <w:right w:val="single" w:color="auto" w:sz="4" w:space="0"/>
            </w:tcBorders>
            <w:noWrap w:val="0"/>
            <w:vAlign w:val="center"/>
          </w:tcPr>
          <w:p w14:paraId="18F4E98D">
            <w:pPr>
              <w:spacing w:line="380" w:lineRule="exact"/>
              <w:jc w:val="center"/>
              <w:rPr>
                <w:rFonts w:ascii="宋体" w:hAnsi="宋体" w:cs="宋体"/>
                <w:color w:val="auto"/>
                <w:sz w:val="24"/>
                <w:szCs w:val="24"/>
                <w:highlight w:val="none"/>
              </w:rPr>
            </w:pPr>
            <w:r>
              <w:rPr>
                <w:rFonts w:hint="eastAsia" w:ascii="宋体" w:hAnsi="宋体"/>
                <w:color w:val="auto"/>
                <w:sz w:val="24"/>
                <w:szCs w:val="24"/>
                <w:highlight w:val="none"/>
              </w:rPr>
              <w:t>包名称</w:t>
            </w:r>
          </w:p>
        </w:tc>
        <w:tc>
          <w:tcPr>
            <w:tcW w:w="1875" w:type="dxa"/>
            <w:tcBorders>
              <w:left w:val="single" w:color="auto" w:sz="4" w:space="0"/>
              <w:bottom w:val="single" w:color="auto" w:sz="4" w:space="0"/>
              <w:right w:val="single" w:color="auto" w:sz="4" w:space="0"/>
            </w:tcBorders>
            <w:noWrap w:val="0"/>
            <w:vAlign w:val="center"/>
          </w:tcPr>
          <w:p w14:paraId="79168B33">
            <w:pPr>
              <w:spacing w:line="380" w:lineRule="exact"/>
              <w:jc w:val="center"/>
              <w:rPr>
                <w:rFonts w:ascii="宋体" w:hAnsi="宋体" w:cs="宋体"/>
                <w:color w:val="auto"/>
                <w:sz w:val="24"/>
                <w:szCs w:val="24"/>
                <w:highlight w:val="none"/>
              </w:rPr>
            </w:pPr>
            <w:r>
              <w:rPr>
                <w:rFonts w:hint="eastAsia" w:ascii="宋体" w:hAnsi="宋体"/>
                <w:color w:val="auto"/>
                <w:sz w:val="24"/>
                <w:szCs w:val="24"/>
                <w:highlight w:val="none"/>
              </w:rPr>
              <w:t>包预算（元）</w:t>
            </w:r>
          </w:p>
        </w:tc>
        <w:tc>
          <w:tcPr>
            <w:tcW w:w="2313" w:type="dxa"/>
            <w:tcBorders>
              <w:left w:val="single" w:color="auto" w:sz="4" w:space="0"/>
              <w:bottom w:val="single" w:color="auto" w:sz="4" w:space="0"/>
            </w:tcBorders>
            <w:noWrap w:val="0"/>
            <w:vAlign w:val="center"/>
          </w:tcPr>
          <w:p w14:paraId="2A2BF884">
            <w:pPr>
              <w:spacing w:line="380" w:lineRule="exact"/>
              <w:jc w:val="center"/>
              <w:rPr>
                <w:rFonts w:ascii="宋体" w:hAnsi="宋体" w:cs="宋体"/>
                <w:color w:val="auto"/>
                <w:sz w:val="24"/>
                <w:szCs w:val="24"/>
                <w:highlight w:val="none"/>
              </w:rPr>
            </w:pPr>
            <w:r>
              <w:rPr>
                <w:rFonts w:hint="eastAsia" w:ascii="宋体" w:hAnsi="宋体"/>
                <w:color w:val="auto"/>
                <w:sz w:val="24"/>
                <w:szCs w:val="24"/>
                <w:highlight w:val="none"/>
              </w:rPr>
              <w:t>包最高限价（元）</w:t>
            </w:r>
          </w:p>
        </w:tc>
      </w:tr>
      <w:tr w14:paraId="0BD6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351" w:type="dxa"/>
            <w:tcBorders>
              <w:top w:val="single" w:color="auto" w:sz="4" w:space="0"/>
              <w:left w:val="single" w:color="auto" w:sz="4" w:space="0"/>
              <w:bottom w:val="single" w:color="auto" w:sz="4" w:space="0"/>
              <w:right w:val="single" w:color="auto" w:sz="4" w:space="0"/>
            </w:tcBorders>
            <w:noWrap w:val="0"/>
            <w:vAlign w:val="center"/>
          </w:tcPr>
          <w:p w14:paraId="25DC0E2E">
            <w:pPr>
              <w:spacing w:line="380" w:lineRule="exact"/>
              <w:jc w:val="center"/>
              <w:rPr>
                <w:rFonts w:ascii="宋体" w:hAnsi="宋体" w:cs="宋体"/>
                <w:color w:val="auto"/>
                <w:sz w:val="24"/>
                <w:szCs w:val="24"/>
                <w:highlight w:val="none"/>
              </w:rPr>
            </w:pPr>
            <w:r>
              <w:rPr>
                <w:rFonts w:hint="eastAsia" w:ascii="宋体" w:hAnsi="宋体"/>
                <w:color w:val="auto"/>
                <w:sz w:val="24"/>
                <w:szCs w:val="24"/>
                <w:highlight w:val="none"/>
              </w:rPr>
              <w:t>1</w:t>
            </w:r>
          </w:p>
        </w:tc>
        <w:tc>
          <w:tcPr>
            <w:tcW w:w="2987" w:type="dxa"/>
            <w:tcBorders>
              <w:top w:val="single" w:color="auto" w:sz="4" w:space="0"/>
              <w:left w:val="single" w:color="auto" w:sz="4" w:space="0"/>
              <w:bottom w:val="single" w:color="auto" w:sz="4" w:space="0"/>
              <w:right w:val="single" w:color="auto" w:sz="4" w:space="0"/>
            </w:tcBorders>
            <w:noWrap w:val="0"/>
            <w:vAlign w:val="center"/>
          </w:tcPr>
          <w:p w14:paraId="3FB16441">
            <w:pPr>
              <w:spacing w:line="38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eastAsia="zh-CN"/>
              </w:rPr>
              <w:t>西华县中医</w:t>
            </w:r>
            <w:bookmarkStart w:id="10" w:name="_GoBack"/>
            <w:bookmarkEnd w:id="10"/>
            <w:r>
              <w:rPr>
                <w:rFonts w:hint="eastAsia" w:ascii="宋体" w:hAnsi="宋体" w:cs="Times New Roman"/>
                <w:color w:val="auto"/>
                <w:sz w:val="24"/>
                <w:szCs w:val="24"/>
                <w:highlight w:val="none"/>
                <w:lang w:eastAsia="zh-CN"/>
              </w:rPr>
              <w:t>院委托第三方管理污水处理项目</w:t>
            </w:r>
          </w:p>
        </w:tc>
        <w:tc>
          <w:tcPr>
            <w:tcW w:w="1875" w:type="dxa"/>
            <w:tcBorders>
              <w:top w:val="single" w:color="auto" w:sz="4" w:space="0"/>
              <w:left w:val="single" w:color="auto" w:sz="4" w:space="0"/>
              <w:bottom w:val="single" w:color="auto" w:sz="4" w:space="0"/>
              <w:right w:val="single" w:color="auto" w:sz="4" w:space="0"/>
            </w:tcBorders>
            <w:noWrap w:val="0"/>
            <w:vAlign w:val="center"/>
          </w:tcPr>
          <w:p w14:paraId="71C9E93E">
            <w:pPr>
              <w:spacing w:line="38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350000.00</w:t>
            </w:r>
          </w:p>
        </w:tc>
        <w:tc>
          <w:tcPr>
            <w:tcW w:w="2313" w:type="dxa"/>
            <w:tcBorders>
              <w:top w:val="single" w:color="auto" w:sz="4" w:space="0"/>
              <w:left w:val="single" w:color="auto" w:sz="4" w:space="0"/>
              <w:bottom w:val="single" w:color="auto" w:sz="4" w:space="0"/>
            </w:tcBorders>
            <w:noWrap w:val="0"/>
            <w:vAlign w:val="center"/>
          </w:tcPr>
          <w:p w14:paraId="5BCA249F">
            <w:pPr>
              <w:spacing w:line="38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350000.00</w:t>
            </w:r>
          </w:p>
        </w:tc>
      </w:tr>
    </w:tbl>
    <w:p w14:paraId="2C78CF6C">
      <w:pPr>
        <w:numPr>
          <w:ilvl w:val="0"/>
          <w:numId w:val="0"/>
        </w:numPr>
        <w:spacing w:line="360" w:lineRule="auto"/>
        <w:ind w:right="-313" w:rightChars="-149" w:firstLine="240" w:firstLineChars="1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szCs w:val="22"/>
          <w:highlight w:val="none"/>
          <w:lang w:val="en-US" w:eastAsia="zh-CN" w:bidi="ar-SA"/>
        </w:rPr>
        <w:t>5、</w:t>
      </w:r>
      <w:r>
        <w:rPr>
          <w:rFonts w:hint="eastAsia" w:asciiTheme="minorEastAsia" w:hAnsiTheme="minorEastAsia" w:eastAsiaTheme="minorEastAsia" w:cstheme="minorEastAsia"/>
          <w:sz w:val="24"/>
          <w:highlight w:val="none"/>
        </w:rPr>
        <w:t>采购需求：</w:t>
      </w:r>
      <w:r>
        <w:rPr>
          <w:rFonts w:hint="eastAsia" w:asciiTheme="minorEastAsia" w:hAnsiTheme="minorEastAsia" w:eastAsiaTheme="minorEastAsia" w:cstheme="minorEastAsia"/>
          <w:sz w:val="24"/>
          <w:highlight w:val="none"/>
          <w:lang w:val="en-US" w:eastAsia="zh-CN"/>
        </w:rPr>
        <w:t>委托第三方管理污水处理，</w:t>
      </w:r>
      <w:r>
        <w:rPr>
          <w:rFonts w:hint="eastAsia" w:asciiTheme="minorEastAsia" w:hAnsiTheme="minorEastAsia" w:eastAsiaTheme="minorEastAsia" w:cstheme="minorEastAsia"/>
          <w:sz w:val="24"/>
          <w:highlight w:val="none"/>
        </w:rPr>
        <w:t>详见磋商文件</w:t>
      </w:r>
      <w:r>
        <w:rPr>
          <w:rFonts w:hint="eastAsia" w:asciiTheme="minorEastAsia" w:hAnsiTheme="minorEastAsia" w:eastAsiaTheme="minorEastAsia" w:cstheme="minorEastAsia"/>
          <w:sz w:val="24"/>
          <w:highlight w:val="none"/>
          <w:lang w:val="en-US" w:eastAsia="zh-CN"/>
        </w:rPr>
        <w:t xml:space="preserve">   </w:t>
      </w:r>
    </w:p>
    <w:p w14:paraId="1DC546FC">
      <w:pPr>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合同履行期限：</w:t>
      </w:r>
      <w:r>
        <w:rPr>
          <w:rFonts w:hint="eastAsia" w:asciiTheme="minorEastAsia" w:hAnsiTheme="minorEastAsia" w:eastAsiaTheme="minorEastAsia" w:cstheme="minorEastAsia"/>
          <w:sz w:val="24"/>
          <w:highlight w:val="none"/>
          <w:lang w:val="en-US" w:eastAsia="zh-CN"/>
        </w:rPr>
        <w:t>一年</w:t>
      </w:r>
    </w:p>
    <w:p w14:paraId="6EAB53C4">
      <w:pPr>
        <w:spacing w:line="360" w:lineRule="auto"/>
        <w:ind w:firstLine="240" w:firstLineChars="1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7、本项目</w:t>
      </w:r>
      <w:r>
        <w:rPr>
          <w:rFonts w:hint="eastAsia" w:asciiTheme="minorEastAsia" w:hAnsiTheme="minorEastAsia" w:eastAsiaTheme="minorEastAsia" w:cstheme="minorEastAsia"/>
          <w:color w:val="auto"/>
          <w:sz w:val="24"/>
          <w:szCs w:val="24"/>
          <w:highlight w:val="none"/>
        </w:rPr>
        <w:t>是否接受联合体投标：否</w:t>
      </w:r>
    </w:p>
    <w:p w14:paraId="2921484A">
      <w:pPr>
        <w:spacing w:line="360" w:lineRule="auto"/>
        <w:ind w:firstLine="240" w:firstLineChars="1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是否接受进口产品：否</w:t>
      </w:r>
    </w:p>
    <w:p w14:paraId="24DFF6D6">
      <w:pPr>
        <w:spacing w:line="360" w:lineRule="auto"/>
        <w:ind w:firstLine="240" w:firstLineChars="1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是否</w:t>
      </w:r>
      <w:r>
        <w:rPr>
          <w:rFonts w:hint="eastAsia" w:asciiTheme="minorEastAsia" w:hAnsiTheme="minorEastAsia" w:eastAsiaTheme="minorEastAsia" w:cstheme="minorEastAsia"/>
          <w:color w:val="auto"/>
          <w:sz w:val="24"/>
          <w:szCs w:val="24"/>
          <w:highlight w:val="none"/>
          <w:lang w:val="en-US" w:eastAsia="zh-CN"/>
        </w:rPr>
        <w:t>专门</w:t>
      </w:r>
      <w:r>
        <w:rPr>
          <w:rFonts w:hint="eastAsia" w:asciiTheme="minorEastAsia" w:hAnsiTheme="minorEastAsia" w:eastAsiaTheme="minorEastAsia" w:cstheme="minorEastAsia"/>
          <w:color w:val="auto"/>
          <w:sz w:val="24"/>
          <w:szCs w:val="24"/>
          <w:highlight w:val="none"/>
        </w:rPr>
        <w:t>面向中小企业：</w:t>
      </w:r>
      <w:r>
        <w:rPr>
          <w:rFonts w:hint="eastAsia" w:asciiTheme="minorEastAsia" w:hAnsiTheme="minorEastAsia" w:cstheme="minorEastAsia"/>
          <w:color w:val="auto"/>
          <w:sz w:val="24"/>
          <w:szCs w:val="24"/>
          <w:highlight w:val="none"/>
          <w:lang w:val="en-US" w:eastAsia="zh-CN"/>
        </w:rPr>
        <w:t>是</w:t>
      </w:r>
    </w:p>
    <w:p w14:paraId="7CC0C827">
      <w:pPr>
        <w:spacing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二、申请人的资格要求：</w:t>
      </w:r>
    </w:p>
    <w:p w14:paraId="2231C538">
      <w:pPr>
        <w:spacing w:line="360" w:lineRule="auto"/>
        <w:ind w:firstLine="240" w:firstLineChars="1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满足《中华人民共和国政府采购法》第二十二条规定；</w:t>
      </w:r>
    </w:p>
    <w:p w14:paraId="49D611A1">
      <w:pPr>
        <w:spacing w:line="360" w:lineRule="auto"/>
        <w:ind w:firstLine="240" w:firstLineChars="1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落实政府采购政策需满足的资格要求：</w:t>
      </w:r>
    </w:p>
    <w:p w14:paraId="68C54C8E">
      <w:pPr>
        <w:numPr>
          <w:ilvl w:val="0"/>
          <w:numId w:val="0"/>
        </w:numPr>
        <w:spacing w:line="360" w:lineRule="auto"/>
        <w:ind w:firstLine="240" w:firstLineChars="100"/>
        <w:jc w:val="left"/>
        <w:rPr>
          <w:rStyle w:val="82"/>
          <w:rFonts w:hint="eastAsia" w:ascii="宋体" w:hAnsi="宋体" w:eastAsia="宋体" w:cs="宋体"/>
          <w:b w:val="0"/>
          <w:i w:val="0"/>
          <w:color w:val="000000"/>
          <w:sz w:val="24"/>
          <w:szCs w:val="24"/>
          <w:highlight w:val="none"/>
          <w:lang w:val="en-US" w:eastAsia="zh-CN" w:bidi="ar"/>
        </w:rPr>
      </w:pPr>
      <w:r>
        <w:rPr>
          <w:rStyle w:val="82"/>
          <w:rFonts w:hint="eastAsia" w:ascii="宋体" w:hAnsi="宋体" w:eastAsia="宋体" w:cs="宋体"/>
          <w:b w:val="0"/>
          <w:i w:val="0"/>
          <w:color w:val="000000"/>
          <w:sz w:val="24"/>
          <w:szCs w:val="24"/>
          <w:highlight w:val="none"/>
          <w:lang w:val="en-US" w:eastAsia="zh-CN" w:bidi="ar"/>
        </w:rPr>
        <w:t>促进中小企业和监狱企业发展扶持政策、政府强制采购节能产品强制采购、节能产品及环境标志产品优先采购、促进残疾人就业政府采购政策。</w:t>
      </w:r>
    </w:p>
    <w:p w14:paraId="57BE0977">
      <w:pPr>
        <w:numPr>
          <w:ilvl w:val="0"/>
          <w:numId w:val="0"/>
        </w:numPr>
        <w:spacing w:line="360" w:lineRule="auto"/>
        <w:ind w:firstLine="240" w:firstLineChars="1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2"/>
          <w:highlight w:val="none"/>
          <w:lang w:val="en-US" w:eastAsia="zh-CN" w:bidi="ar-SA"/>
        </w:rPr>
        <w:t>3、</w:t>
      </w:r>
      <w:r>
        <w:rPr>
          <w:rFonts w:hint="eastAsia" w:asciiTheme="minorEastAsia" w:hAnsiTheme="minorEastAsia" w:eastAsiaTheme="minorEastAsia" w:cstheme="minorEastAsia"/>
          <w:sz w:val="24"/>
          <w:highlight w:val="none"/>
        </w:rPr>
        <w:t>本项目的特定资格要求</w:t>
      </w:r>
    </w:p>
    <w:p w14:paraId="41D06DC9">
      <w:pPr>
        <w:spacing w:line="360" w:lineRule="auto"/>
        <w:ind w:firstLine="240" w:firstLineChars="100"/>
        <w:jc w:val="left"/>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1）根据《关于在政府采购活动中查询及使用信用记录有关问题的通知》(财库[2016]125号)和豫财购【2016】15号的规定，对列入“信用中国”网站（www.creditchina.gov.cn）的“失信被执行人”、“重大税收违法失信主体”、“政府采购严重违法失信行为记录名单”和“中国政府采购”网站(www.ccgp.gov.cn)的“政府采购严重违法失信行为记录名单”的供应商，将拒绝其参加政府采购活动；在标书中附加盖公章的供应商及法定代表人网页查询扫描件，查询日期为公告发布之日起至投标截止之日止。</w:t>
      </w:r>
    </w:p>
    <w:p w14:paraId="691E08D2">
      <w:pPr>
        <w:spacing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三、获取采购文件</w:t>
      </w:r>
    </w:p>
    <w:p w14:paraId="3199C047">
      <w:pPr>
        <w:spacing w:line="360" w:lineRule="auto"/>
        <w:ind w:firstLine="240" w:firstLineChars="1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时间：</w:t>
      </w:r>
      <w:r>
        <w:rPr>
          <w:rFonts w:hint="eastAsia" w:asciiTheme="minorEastAsia" w:hAnsiTheme="minorEastAsia" w:eastAsiaTheme="minorEastAsia" w:cstheme="minorEastAsia"/>
          <w:sz w:val="24"/>
          <w:highlight w:val="none"/>
          <w:u w:val="none"/>
          <w:lang w:val="en-US" w:eastAsia="zh-CN"/>
        </w:rPr>
        <w:t xml:space="preserve">2026年 5 </w:t>
      </w:r>
      <w:r>
        <w:rPr>
          <w:rFonts w:hint="eastAsia" w:asciiTheme="minorEastAsia" w:hAnsiTheme="minorEastAsia" w:eastAsiaTheme="minorEastAsia" w:cstheme="minorEastAsia"/>
          <w:sz w:val="24"/>
          <w:highlight w:val="none"/>
          <w:u w:val="none"/>
        </w:rPr>
        <w:t>月</w:t>
      </w:r>
      <w:r>
        <w:rPr>
          <w:rFonts w:hint="eastAsia" w:asciiTheme="minorEastAsia" w:hAnsiTheme="minorEastAsia" w:eastAsiaTheme="minorEastAsia" w:cstheme="minorEastAsia"/>
          <w:sz w:val="24"/>
          <w:highlight w:val="none"/>
          <w:u w:val="none"/>
          <w:lang w:val="en-US" w:eastAsia="zh-CN"/>
        </w:rPr>
        <w:t>25</w:t>
      </w:r>
      <w:r>
        <w:rPr>
          <w:rFonts w:hint="eastAsia" w:asciiTheme="minorEastAsia" w:hAnsiTheme="minorEastAsia" w:eastAsiaTheme="minorEastAsia" w:cstheme="minorEastAsia"/>
          <w:sz w:val="24"/>
          <w:highlight w:val="none"/>
          <w:u w:val="none"/>
        </w:rPr>
        <w:t>日至</w:t>
      </w:r>
      <w:r>
        <w:rPr>
          <w:rFonts w:hint="eastAsia" w:asciiTheme="minorEastAsia" w:hAnsiTheme="minorEastAsia" w:eastAsiaTheme="minorEastAsia" w:cstheme="minorEastAsia"/>
          <w:sz w:val="24"/>
          <w:highlight w:val="none"/>
          <w:u w:val="none"/>
          <w:lang w:val="en-US" w:eastAsia="zh-CN"/>
        </w:rPr>
        <w:t xml:space="preserve">2026年6 </w:t>
      </w:r>
      <w:r>
        <w:rPr>
          <w:rFonts w:hint="eastAsia" w:asciiTheme="minorEastAsia" w:hAnsiTheme="minorEastAsia" w:eastAsiaTheme="minorEastAsia" w:cstheme="minorEastAsia"/>
          <w:sz w:val="24"/>
          <w:highlight w:val="none"/>
          <w:u w:val="none"/>
        </w:rPr>
        <w:t>月</w:t>
      </w:r>
      <w:r>
        <w:rPr>
          <w:rFonts w:hint="eastAsia" w:asciiTheme="minorEastAsia" w:hAnsiTheme="minorEastAsia" w:eastAsiaTheme="minorEastAsia" w:cstheme="minorEastAsia"/>
          <w:sz w:val="24"/>
          <w:highlight w:val="none"/>
          <w:u w:val="none"/>
          <w:lang w:val="en-US" w:eastAsia="zh-CN"/>
        </w:rPr>
        <w:t>1</w:t>
      </w:r>
      <w:r>
        <w:rPr>
          <w:rFonts w:hint="eastAsia" w:asciiTheme="minorEastAsia" w:hAnsiTheme="minorEastAsia" w:eastAsiaTheme="minorEastAsia" w:cstheme="minorEastAsia"/>
          <w:sz w:val="24"/>
          <w:highlight w:val="none"/>
          <w:u w:val="none"/>
        </w:rPr>
        <w:t>日（</w:t>
      </w:r>
      <w:r>
        <w:rPr>
          <w:rFonts w:hint="eastAsia" w:asciiTheme="minorEastAsia" w:hAnsiTheme="minorEastAsia" w:eastAsiaTheme="minorEastAsia" w:cstheme="minorEastAsia"/>
          <w:sz w:val="24"/>
          <w:highlight w:val="none"/>
        </w:rPr>
        <w:t>北京时间，法定节假日除外 ）</w:t>
      </w:r>
    </w:p>
    <w:p w14:paraId="7EE27D71">
      <w:pPr>
        <w:spacing w:line="360" w:lineRule="auto"/>
        <w:ind w:firstLine="240" w:firstLineChars="1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地点：周口市公共资源交易中心网（http://jyzx.zhoukou.gov.cn）</w:t>
      </w:r>
    </w:p>
    <w:p w14:paraId="6F864E5A">
      <w:pPr>
        <w:spacing w:line="360" w:lineRule="auto"/>
        <w:ind w:firstLine="240" w:firstLineChars="1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方式：供应商请在网站自主注册后下载采购文件（zkzf格式）及资料，需办理CA数字证书后方可提交响应文件，具体办理事宜请查阅周口市公共资源交易中心网站。</w:t>
      </w:r>
    </w:p>
    <w:p w14:paraId="035A84F7">
      <w:pPr>
        <w:spacing w:line="360" w:lineRule="auto"/>
        <w:ind w:firstLine="240" w:firstLineChars="1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rPr>
        <w:t>售价：0</w:t>
      </w:r>
    </w:p>
    <w:p w14:paraId="04D7ED27">
      <w:pPr>
        <w:spacing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四、响应文件提交</w:t>
      </w:r>
    </w:p>
    <w:p w14:paraId="62973B54">
      <w:pPr>
        <w:spacing w:line="360" w:lineRule="auto"/>
        <w:ind w:firstLine="240" w:firstLineChars="10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截止时间：</w:t>
      </w:r>
      <w:r>
        <w:rPr>
          <w:rFonts w:hint="eastAsia" w:asciiTheme="minorEastAsia" w:hAnsiTheme="minorEastAsia" w:eastAsiaTheme="minorEastAsia" w:cstheme="minorEastAsia"/>
          <w:sz w:val="24"/>
          <w:highlight w:val="none"/>
          <w:u w:val="none"/>
          <w:lang w:eastAsia="zh-CN"/>
        </w:rPr>
        <w:t>2026年</w:t>
      </w:r>
      <w:r>
        <w:rPr>
          <w:rFonts w:hint="eastAsia" w:asciiTheme="minorEastAsia" w:hAnsiTheme="minorEastAsia" w:eastAsiaTheme="minorEastAsia" w:cstheme="minorEastAsia"/>
          <w:sz w:val="24"/>
          <w:highlight w:val="none"/>
          <w:u w:val="none"/>
          <w:lang w:val="en-US" w:eastAsia="zh-CN"/>
        </w:rPr>
        <w:t xml:space="preserve"> 6 </w:t>
      </w:r>
      <w:r>
        <w:rPr>
          <w:rFonts w:hint="eastAsia" w:asciiTheme="minorEastAsia" w:hAnsiTheme="minorEastAsia" w:eastAsiaTheme="minorEastAsia" w:cstheme="minorEastAsia"/>
          <w:sz w:val="24"/>
          <w:highlight w:val="none"/>
          <w:u w:val="none"/>
        </w:rPr>
        <w:t>月</w:t>
      </w:r>
      <w:r>
        <w:rPr>
          <w:rFonts w:hint="eastAsia" w:asciiTheme="minorEastAsia" w:hAnsiTheme="minorEastAsia" w:eastAsiaTheme="minorEastAsia" w:cstheme="minorEastAsia"/>
          <w:sz w:val="24"/>
          <w:highlight w:val="none"/>
          <w:u w:val="none"/>
          <w:lang w:val="en-US" w:eastAsia="zh-CN"/>
        </w:rPr>
        <w:t>9</w:t>
      </w:r>
      <w:r>
        <w:rPr>
          <w:rFonts w:hint="eastAsia" w:asciiTheme="minorEastAsia" w:hAnsiTheme="minorEastAsia" w:eastAsiaTheme="minorEastAsia" w:cstheme="minorEastAsia"/>
          <w:sz w:val="24"/>
          <w:highlight w:val="none"/>
          <w:u w:val="none"/>
        </w:rPr>
        <w:t>日10点00分</w:t>
      </w:r>
      <w:r>
        <w:rPr>
          <w:rFonts w:hint="eastAsia" w:asciiTheme="minorEastAsia" w:hAnsiTheme="minorEastAsia" w:eastAsiaTheme="minorEastAsia" w:cstheme="minorEastAsia"/>
          <w:sz w:val="24"/>
          <w:highlight w:val="none"/>
        </w:rPr>
        <w:t>（北京时间）</w:t>
      </w:r>
    </w:p>
    <w:p w14:paraId="19432FB0">
      <w:pPr>
        <w:spacing w:line="360" w:lineRule="auto"/>
        <w:ind w:firstLine="240" w:firstLineChars="10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地点：加密电子响应文件须在投标截止时间前通过</w:t>
      </w:r>
      <w:r>
        <w:rPr>
          <w:rFonts w:hint="eastAsia" w:asciiTheme="minorEastAsia" w:hAnsiTheme="minorEastAsia" w:eastAsiaTheme="minorEastAsia" w:cstheme="minorEastAsia"/>
          <w:spacing w:val="-6"/>
          <w:sz w:val="24"/>
          <w:highlight w:val="none"/>
        </w:rPr>
        <w:t>周口市公共资源交易中心网</w:t>
      </w:r>
      <w:r>
        <w:rPr>
          <w:rFonts w:hint="eastAsia" w:asciiTheme="minorEastAsia" w:hAnsiTheme="minorEastAsia" w:eastAsiaTheme="minorEastAsia" w:cstheme="minorEastAsia"/>
          <w:sz w:val="24"/>
          <w:highlight w:val="none"/>
        </w:rPr>
        <w:t>（网址</w:t>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"http://jyzx.zhoukou.gov.cn/"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color w:val="000000"/>
          <w:sz w:val="24"/>
          <w:highlight w:val="none"/>
          <w:u w:val="single"/>
        </w:rPr>
        <w:t>http://jyzx.zhoukou.gov.cn</w:t>
      </w:r>
      <w:r>
        <w:rPr>
          <w:rFonts w:hint="eastAsia" w:asciiTheme="minorEastAsia" w:hAnsiTheme="minorEastAsia" w:eastAsiaTheme="minorEastAsia" w:cstheme="minorEastAsia"/>
          <w:color w:val="000000"/>
          <w:sz w:val="24"/>
          <w:highlight w:val="none"/>
          <w:u w:val="single"/>
        </w:rPr>
        <w:fldChar w:fldCharType="end"/>
      </w:r>
      <w:r>
        <w:rPr>
          <w:rFonts w:hint="eastAsia" w:asciiTheme="minorEastAsia" w:hAnsiTheme="minorEastAsia" w:eastAsiaTheme="minorEastAsia" w:cstheme="minorEastAsia"/>
          <w:sz w:val="24"/>
          <w:highlight w:val="none"/>
        </w:rPr>
        <w:t>）。</w:t>
      </w:r>
    </w:p>
    <w:p w14:paraId="6F5657D8">
      <w:pPr>
        <w:spacing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五、</w:t>
      </w:r>
      <w:r>
        <w:rPr>
          <w:rFonts w:hint="eastAsia" w:asciiTheme="minorEastAsia" w:hAnsiTheme="minorEastAsia" w:eastAsiaTheme="minorEastAsia" w:cstheme="minorEastAsia"/>
          <w:sz w:val="24"/>
          <w:highlight w:val="none"/>
          <w:lang w:val="en-US" w:eastAsia="zh-CN"/>
        </w:rPr>
        <w:t>响应文件</w:t>
      </w:r>
      <w:r>
        <w:rPr>
          <w:rFonts w:hint="eastAsia" w:asciiTheme="minorEastAsia" w:hAnsiTheme="minorEastAsia" w:eastAsiaTheme="minorEastAsia" w:cstheme="minorEastAsia"/>
          <w:sz w:val="24"/>
          <w:highlight w:val="none"/>
        </w:rPr>
        <w:t>开启</w:t>
      </w:r>
    </w:p>
    <w:p w14:paraId="36EA9453">
      <w:pPr>
        <w:spacing w:line="360" w:lineRule="auto"/>
        <w:ind w:firstLine="240" w:firstLineChars="10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时间：</w:t>
      </w:r>
      <w:r>
        <w:rPr>
          <w:rFonts w:hint="eastAsia" w:asciiTheme="minorEastAsia" w:hAnsiTheme="minorEastAsia" w:eastAsiaTheme="minorEastAsia" w:cstheme="minorEastAsia"/>
          <w:sz w:val="24"/>
          <w:highlight w:val="none"/>
          <w:u w:val="none"/>
          <w:lang w:eastAsia="zh-CN"/>
        </w:rPr>
        <w:t>2026年</w:t>
      </w:r>
      <w:r>
        <w:rPr>
          <w:rFonts w:hint="eastAsia" w:asciiTheme="minorEastAsia" w:hAnsiTheme="minorEastAsia" w:eastAsiaTheme="minorEastAsia" w:cstheme="minorEastAsia"/>
          <w:sz w:val="24"/>
          <w:highlight w:val="none"/>
          <w:u w:val="none"/>
          <w:lang w:val="en-US" w:eastAsia="zh-CN"/>
        </w:rPr>
        <w:t xml:space="preserve"> 6 </w:t>
      </w:r>
      <w:r>
        <w:rPr>
          <w:rFonts w:hint="eastAsia" w:asciiTheme="minorEastAsia" w:hAnsiTheme="minorEastAsia" w:eastAsiaTheme="minorEastAsia" w:cstheme="minorEastAsia"/>
          <w:sz w:val="24"/>
          <w:highlight w:val="none"/>
          <w:u w:val="none"/>
        </w:rPr>
        <w:t>月</w:t>
      </w:r>
      <w:r>
        <w:rPr>
          <w:rFonts w:hint="eastAsia" w:asciiTheme="minorEastAsia" w:hAnsiTheme="minorEastAsia" w:eastAsiaTheme="minorEastAsia" w:cstheme="minorEastAsia"/>
          <w:sz w:val="24"/>
          <w:highlight w:val="none"/>
          <w:u w:val="none"/>
          <w:lang w:val="en-US" w:eastAsia="zh-CN"/>
        </w:rPr>
        <w:t>9</w:t>
      </w:r>
      <w:r>
        <w:rPr>
          <w:rFonts w:hint="eastAsia" w:asciiTheme="minorEastAsia" w:hAnsiTheme="minorEastAsia" w:eastAsiaTheme="minorEastAsia" w:cstheme="minorEastAsia"/>
          <w:sz w:val="24"/>
          <w:highlight w:val="none"/>
          <w:u w:val="none"/>
        </w:rPr>
        <w:t>日10点00分</w:t>
      </w:r>
      <w:r>
        <w:rPr>
          <w:rFonts w:hint="eastAsia" w:asciiTheme="minorEastAsia" w:hAnsiTheme="minorEastAsia" w:eastAsiaTheme="minorEastAsia" w:cstheme="minorEastAsia"/>
          <w:sz w:val="24"/>
          <w:highlight w:val="none"/>
        </w:rPr>
        <w:t>（北京时间）</w:t>
      </w:r>
    </w:p>
    <w:p w14:paraId="7DA7DF3C">
      <w:pPr>
        <w:spacing w:line="360" w:lineRule="auto"/>
        <w:ind w:firstLine="240" w:firstLineChars="100"/>
        <w:jc w:val="left"/>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地点：周口市公共资源交易中心开标室</w:t>
      </w:r>
    </w:p>
    <w:p w14:paraId="55B9088E">
      <w:pPr>
        <w:spacing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六、发布公告的媒介及招标公告期限</w:t>
      </w:r>
    </w:p>
    <w:p w14:paraId="29877330">
      <w:pPr>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本次招标公告在《河南省政府采购网》《周口市公共资源交易中心网》上发布， 招标公告期限为</w:t>
      </w:r>
      <w:r>
        <w:rPr>
          <w:rFonts w:hint="eastAsia" w:asciiTheme="minorEastAsia" w:hAnsiTheme="minorEastAsia" w:eastAsiaTheme="minorEastAsia" w:cstheme="minorEastAsia"/>
          <w:sz w:val="24"/>
          <w:highlight w:val="none"/>
          <w:lang w:val="en-US" w:eastAsia="zh-CN"/>
        </w:rPr>
        <w:t>五</w:t>
      </w:r>
      <w:r>
        <w:rPr>
          <w:rFonts w:hint="eastAsia" w:asciiTheme="minorEastAsia" w:hAnsiTheme="minorEastAsia" w:eastAsiaTheme="minorEastAsia" w:cstheme="minorEastAsia"/>
          <w:sz w:val="24"/>
          <w:highlight w:val="none"/>
        </w:rPr>
        <w:t xml:space="preserve">个工作日 。 </w:t>
      </w:r>
    </w:p>
    <w:p w14:paraId="5656BD07">
      <w:pPr>
        <w:numPr>
          <w:ilvl w:val="0"/>
          <w:numId w:val="1"/>
        </w:numPr>
        <w:spacing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其他补充事宜</w:t>
      </w:r>
    </w:p>
    <w:p w14:paraId="18A937DC">
      <w:pPr>
        <w:spacing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八、凡对本次采购提出询问，请按以下方式联系。</w:t>
      </w:r>
    </w:p>
    <w:p w14:paraId="14F10CA0">
      <w:pPr>
        <w:bidi w:val="0"/>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1.采购人信息</w:t>
      </w:r>
    </w:p>
    <w:p w14:paraId="7C4F11D3">
      <w:pPr>
        <w:spacing w:before="0" w:after="0" w:line="360" w:lineRule="auto"/>
        <w:ind w:right="0"/>
        <w:jc w:val="left"/>
        <w:rPr>
          <w:rFonts w:hint="eastAsia" w:ascii="宋体" w:hAnsi="宋体" w:eastAsia="宋体" w:cs="宋体"/>
          <w:color w:val="auto"/>
          <w:spacing w:val="0"/>
          <w:position w:val="0"/>
          <w:sz w:val="24"/>
          <w:highlight w:val="none"/>
          <w:shd w:val="clear" w:fill="auto"/>
          <w:lang w:val="en-US" w:eastAsia="zh-CN"/>
        </w:rPr>
      </w:pPr>
      <w:bookmarkStart w:id="0" w:name="_Toc28359086"/>
      <w:bookmarkStart w:id="1" w:name="_Toc28359009"/>
      <w:r>
        <w:rPr>
          <w:rFonts w:ascii="宋体" w:hAnsi="宋体" w:eastAsia="宋体" w:cs="宋体"/>
          <w:color w:val="auto"/>
          <w:spacing w:val="0"/>
          <w:position w:val="0"/>
          <w:sz w:val="24"/>
          <w:highlight w:val="none"/>
          <w:shd w:val="clear" w:fill="auto"/>
        </w:rPr>
        <w:t>名称：</w:t>
      </w:r>
      <w:r>
        <w:rPr>
          <w:rFonts w:hint="eastAsia" w:ascii="宋体" w:hAnsi="宋体" w:eastAsia="宋体" w:cs="宋体"/>
          <w:color w:val="auto"/>
          <w:spacing w:val="0"/>
          <w:position w:val="0"/>
          <w:sz w:val="24"/>
          <w:highlight w:val="none"/>
          <w:shd w:val="clear" w:fill="auto"/>
        </w:rPr>
        <w:t>西华县中医院</w:t>
      </w:r>
      <w:r>
        <w:rPr>
          <w:rFonts w:ascii="宋体" w:hAnsi="宋体" w:eastAsia="宋体" w:cs="宋体"/>
          <w:color w:val="auto"/>
          <w:spacing w:val="0"/>
          <w:position w:val="0"/>
          <w:sz w:val="24"/>
          <w:highlight w:val="none"/>
          <w:shd w:val="clear" w:fill="auto"/>
        </w:rPr>
        <w:t>　　</w:t>
      </w:r>
      <w:r>
        <w:rPr>
          <w:rFonts w:hint="eastAsia" w:ascii="宋体" w:hAnsi="宋体" w:eastAsia="宋体" w:cs="宋体"/>
          <w:color w:val="auto"/>
          <w:spacing w:val="0"/>
          <w:position w:val="0"/>
          <w:sz w:val="24"/>
          <w:highlight w:val="none"/>
          <w:shd w:val="clear" w:fill="auto"/>
          <w:lang w:val="en-US" w:eastAsia="zh-CN"/>
        </w:rPr>
        <w:t xml:space="preserve"> </w:t>
      </w:r>
    </w:p>
    <w:p w14:paraId="4089CC85">
      <w:pPr>
        <w:spacing w:before="0" w:after="0" w:line="360" w:lineRule="auto"/>
        <w:ind w:right="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地址：</w:t>
      </w:r>
      <w:r>
        <w:rPr>
          <w:rFonts w:hint="eastAsia" w:ascii="宋体" w:hAnsi="宋体" w:eastAsia="宋体" w:cs="宋体"/>
          <w:color w:val="auto"/>
          <w:spacing w:val="0"/>
          <w:position w:val="0"/>
          <w:sz w:val="24"/>
          <w:highlight w:val="none"/>
          <w:shd w:val="clear" w:fill="auto"/>
        </w:rPr>
        <w:t>西华县展辉路</w:t>
      </w:r>
      <w:r>
        <w:rPr>
          <w:rFonts w:ascii="宋体" w:hAnsi="宋体" w:eastAsia="宋体" w:cs="宋体"/>
          <w:color w:val="auto"/>
          <w:spacing w:val="0"/>
          <w:position w:val="0"/>
          <w:sz w:val="24"/>
          <w:highlight w:val="none"/>
          <w:shd w:val="clear" w:fill="auto"/>
        </w:rPr>
        <w:t>　　　　　　　　　　　　</w:t>
      </w:r>
    </w:p>
    <w:p w14:paraId="67045EC7">
      <w:pPr>
        <w:spacing w:before="0" w:after="0" w:line="360" w:lineRule="auto"/>
        <w:ind w:right="0"/>
        <w:jc w:val="left"/>
        <w:rPr>
          <w:rFonts w:hint="eastAsia" w:ascii="宋体" w:hAnsi="宋体" w:eastAsia="宋体" w:cs="宋体"/>
          <w:color w:val="auto"/>
          <w:spacing w:val="0"/>
          <w:position w:val="0"/>
          <w:sz w:val="24"/>
          <w:highlight w:val="none"/>
          <w:shd w:val="clear" w:fill="auto"/>
          <w:lang w:val="en-US" w:eastAsia="zh-CN"/>
        </w:rPr>
      </w:pPr>
      <w:r>
        <w:rPr>
          <w:rFonts w:ascii="宋体" w:hAnsi="宋体" w:eastAsia="宋体" w:cs="宋体"/>
          <w:color w:val="auto"/>
          <w:spacing w:val="0"/>
          <w:position w:val="0"/>
          <w:sz w:val="24"/>
          <w:highlight w:val="none"/>
          <w:shd w:val="clear" w:fill="auto"/>
        </w:rPr>
        <w:t>项目联系人：</w:t>
      </w:r>
      <w:r>
        <w:rPr>
          <w:rFonts w:hint="eastAsia" w:ascii="宋体" w:hAnsi="宋体" w:cs="宋体"/>
          <w:color w:val="auto"/>
          <w:spacing w:val="0"/>
          <w:position w:val="0"/>
          <w:sz w:val="24"/>
          <w:highlight w:val="none"/>
          <w:shd w:val="clear" w:fill="auto"/>
          <w:lang w:val="en-US" w:eastAsia="zh-CN"/>
        </w:rPr>
        <w:t>李兵</w:t>
      </w:r>
      <w:r>
        <w:rPr>
          <w:rFonts w:hint="eastAsia" w:ascii="宋体" w:hAnsi="宋体" w:eastAsia="宋体" w:cs="宋体"/>
          <w:color w:val="auto"/>
          <w:spacing w:val="0"/>
          <w:position w:val="0"/>
          <w:sz w:val="24"/>
          <w:highlight w:val="none"/>
          <w:shd w:val="clear" w:fill="auto"/>
        </w:rPr>
        <w:t xml:space="preserve">   </w:t>
      </w:r>
      <w:r>
        <w:rPr>
          <w:rFonts w:hint="eastAsia" w:ascii="宋体" w:hAnsi="宋体" w:eastAsia="宋体" w:cs="宋体"/>
          <w:color w:val="auto"/>
          <w:spacing w:val="0"/>
          <w:position w:val="0"/>
          <w:sz w:val="24"/>
          <w:highlight w:val="none"/>
          <w:shd w:val="clear" w:fill="auto"/>
          <w:lang w:val="en-US" w:eastAsia="zh-CN"/>
        </w:rPr>
        <w:t xml:space="preserve"> </w:t>
      </w:r>
    </w:p>
    <w:p w14:paraId="01B54E1F">
      <w:pPr>
        <w:spacing w:before="0" w:after="0" w:line="360" w:lineRule="auto"/>
        <w:ind w:right="0"/>
        <w:jc w:val="left"/>
        <w:rPr>
          <w:rFonts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rPr>
        <w:t>联系</w:t>
      </w:r>
      <w:r>
        <w:rPr>
          <w:rFonts w:hint="eastAsia" w:ascii="宋体" w:hAnsi="宋体" w:cs="宋体"/>
          <w:color w:val="auto"/>
          <w:spacing w:val="0"/>
          <w:position w:val="0"/>
          <w:sz w:val="24"/>
          <w:highlight w:val="none"/>
          <w:shd w:val="clear" w:fill="auto"/>
          <w:lang w:val="en-US" w:eastAsia="zh-CN"/>
        </w:rPr>
        <w:t>方式：15518000076　　</w:t>
      </w:r>
      <w:r>
        <w:rPr>
          <w:rFonts w:ascii="宋体" w:hAnsi="宋体" w:eastAsia="宋体" w:cs="宋体"/>
          <w:color w:val="auto"/>
          <w:spacing w:val="0"/>
          <w:position w:val="0"/>
          <w:sz w:val="24"/>
          <w:highlight w:val="none"/>
          <w:shd w:val="clear" w:fill="auto"/>
        </w:rPr>
        <w:t xml:space="preserve">　　　　　　　　 </w:t>
      </w:r>
    </w:p>
    <w:p w14:paraId="6D995130">
      <w:pPr>
        <w:tabs>
          <w:tab w:val="left" w:pos="3322"/>
        </w:tabs>
        <w:bidi w:val="0"/>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2.采购代理机构信息</w:t>
      </w:r>
      <w:bookmarkEnd w:id="0"/>
      <w:bookmarkEnd w:id="1"/>
      <w:r>
        <w:rPr>
          <w:rFonts w:hint="eastAsia" w:asciiTheme="minorEastAsia" w:hAnsiTheme="minorEastAsia" w:eastAsiaTheme="minorEastAsia" w:cstheme="minorEastAsia"/>
          <w:sz w:val="24"/>
          <w:szCs w:val="24"/>
          <w:highlight w:val="none"/>
          <w:lang w:eastAsia="zh-CN"/>
        </w:rPr>
        <w:tab/>
      </w:r>
    </w:p>
    <w:p w14:paraId="17ADC858">
      <w:pPr>
        <w:bidi w:val="0"/>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 称：周口市公共资源交易中心政府采购中心　　　　　　　　　　　　</w:t>
      </w:r>
    </w:p>
    <w:p w14:paraId="2C92205A">
      <w:pPr>
        <w:bidi w:val="0"/>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址：周口市光明路与政通路交叉口</w:t>
      </w:r>
      <w:r>
        <w:rPr>
          <w:rFonts w:hint="eastAsia" w:asciiTheme="minorEastAsia" w:hAnsiTheme="minorEastAsia" w:eastAsiaTheme="minorEastAsia" w:cstheme="minorEastAsia"/>
          <w:sz w:val="24"/>
          <w:szCs w:val="24"/>
          <w:highlight w:val="none"/>
          <w:lang w:val="en-US" w:eastAsia="zh-CN"/>
        </w:rPr>
        <w:t>向北100米路东</w:t>
      </w:r>
    </w:p>
    <w:p w14:paraId="73C8A8AE">
      <w:pPr>
        <w:bidi w:val="0"/>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联系人：王园园                </w:t>
      </w:r>
    </w:p>
    <w:p w14:paraId="058085A9">
      <w:pPr>
        <w:bidi w:val="0"/>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联系方式：</w:t>
      </w:r>
      <w:bookmarkStart w:id="2" w:name="_Toc28359010"/>
      <w:bookmarkStart w:id="3" w:name="_Toc28359087"/>
      <w:r>
        <w:rPr>
          <w:rFonts w:hint="eastAsia" w:asciiTheme="minorEastAsia" w:hAnsiTheme="minorEastAsia" w:eastAsiaTheme="minorEastAsia" w:cstheme="minorEastAsia"/>
          <w:sz w:val="24"/>
          <w:szCs w:val="24"/>
          <w:highlight w:val="none"/>
          <w:lang w:val="en-US" w:eastAsia="zh-CN"/>
        </w:rPr>
        <w:t>0394-8106517、19913281180</w:t>
      </w:r>
      <w:r>
        <w:rPr>
          <w:rFonts w:hint="eastAsia" w:asciiTheme="minorEastAsia" w:hAnsiTheme="minorEastAsia" w:eastAsiaTheme="minorEastAsia" w:cstheme="minorEastAsia"/>
          <w:sz w:val="24"/>
          <w:szCs w:val="24"/>
          <w:highlight w:val="none"/>
        </w:rPr>
        <w:t>　　　　　　　　</w:t>
      </w:r>
    </w:p>
    <w:bookmarkEnd w:id="2"/>
    <w:bookmarkEnd w:id="3"/>
    <w:p w14:paraId="3F468248">
      <w:pPr>
        <w:spacing w:line="360" w:lineRule="auto"/>
        <w:jc w:val="left"/>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cstheme="minorEastAsia"/>
          <w:sz w:val="24"/>
          <w:szCs w:val="24"/>
          <w:highlight w:val="none"/>
          <w:lang w:val="en-US" w:eastAsia="zh-CN"/>
        </w:rPr>
        <w:t>监督部门：</w:t>
      </w:r>
      <w:r>
        <w:rPr>
          <w:rFonts w:hint="eastAsia" w:ascii="宋体" w:hAnsi="宋体" w:eastAsia="宋体" w:cs="宋体"/>
          <w:color w:val="auto"/>
          <w:spacing w:val="0"/>
          <w:position w:val="0"/>
          <w:sz w:val="24"/>
          <w:highlight w:val="none"/>
          <w:shd w:val="clear" w:fill="auto"/>
          <w:lang w:val="en-US" w:eastAsia="zh-CN"/>
        </w:rPr>
        <w:t>西华县采购办</w:t>
      </w:r>
    </w:p>
    <w:p w14:paraId="75ABFF25">
      <w:pPr>
        <w:spacing w:line="360" w:lineRule="auto"/>
        <w:jc w:val="left"/>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联系电话：</w:t>
      </w:r>
      <w:r>
        <w:rPr>
          <w:rFonts w:hint="eastAsia" w:ascii="宋体" w:hAnsi="宋体" w:eastAsia="宋体" w:cs="宋体"/>
          <w:color w:val="auto"/>
          <w:spacing w:val="0"/>
          <w:position w:val="0"/>
          <w:sz w:val="24"/>
          <w:highlight w:val="none"/>
          <w:shd w:val="clear" w:fill="auto"/>
          <w:lang w:val="en-US" w:eastAsia="zh-CN"/>
        </w:rPr>
        <w:t>0394-2551650</w:t>
      </w:r>
    </w:p>
    <w:p w14:paraId="76EC56A9">
      <w:pPr>
        <w:bidi w:val="0"/>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　</w:t>
      </w:r>
    </w:p>
    <w:p w14:paraId="1196372B">
      <w:pPr>
        <w:spacing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w:t>
      </w:r>
    </w:p>
    <w:p w14:paraId="1A7A7901">
      <w:pPr>
        <w:spacing w:line="360" w:lineRule="auto"/>
        <w:ind w:firstLine="420"/>
        <w:jc w:val="left"/>
        <w:rPr>
          <w:rFonts w:hint="eastAsia" w:asciiTheme="minorEastAsia" w:hAnsiTheme="minorEastAsia" w:eastAsiaTheme="minorEastAsia" w:cstheme="minorEastAsia"/>
          <w:sz w:val="22"/>
          <w:highlight w:val="none"/>
        </w:rPr>
      </w:pPr>
    </w:p>
    <w:p w14:paraId="65E8452D">
      <w:pPr>
        <w:spacing w:after="120" w:line="360" w:lineRule="auto"/>
        <w:ind w:firstLine="2040"/>
        <w:jc w:val="righ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周口市公共资源交易中心政府采购中心</w:t>
      </w:r>
    </w:p>
    <w:p w14:paraId="79942F28">
      <w:pPr>
        <w:tabs>
          <w:tab w:val="left" w:pos="0"/>
          <w:tab w:val="left" w:pos="993"/>
          <w:tab w:val="left" w:pos="1134"/>
        </w:tabs>
        <w:spacing w:line="360" w:lineRule="auto"/>
        <w:ind w:firstLine="3600"/>
        <w:jc w:val="righ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2026年</w:t>
      </w:r>
      <w:r>
        <w:rPr>
          <w:rFonts w:hint="eastAsia" w:asciiTheme="minorEastAsia" w:hAnsiTheme="minorEastAsia" w:eastAsiaTheme="minorEastAsia" w:cstheme="minorEastAsia"/>
          <w:color w:val="000000"/>
          <w:sz w:val="24"/>
          <w:highlight w:val="none"/>
          <w:lang w:val="en-US" w:eastAsia="zh-CN"/>
        </w:rPr>
        <w:t xml:space="preserve"> 5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color w:val="000000"/>
          <w:sz w:val="24"/>
          <w:highlight w:val="none"/>
          <w:lang w:val="en-US" w:eastAsia="zh-CN"/>
        </w:rPr>
        <w:t>25</w:t>
      </w:r>
      <w:r>
        <w:rPr>
          <w:rFonts w:hint="eastAsia" w:asciiTheme="minorEastAsia" w:hAnsiTheme="minorEastAsia" w:eastAsiaTheme="minorEastAsia" w:cstheme="minorEastAsia"/>
          <w:sz w:val="24"/>
          <w:highlight w:val="none"/>
        </w:rPr>
        <w:t>日</w:t>
      </w:r>
    </w:p>
    <w:p w14:paraId="5F798066">
      <w:pPr>
        <w:pStyle w:val="21"/>
        <w:adjustRightInd w:val="0"/>
        <w:spacing w:line="360" w:lineRule="auto"/>
        <w:ind w:firstLine="3360" w:firstLineChars="1400"/>
        <w:rPr>
          <w:rFonts w:hint="eastAsia" w:ascii="宋体" w:hAnsi="宋体" w:eastAsia="宋体" w:cs="宋体"/>
          <w:highlight w:val="none"/>
        </w:rPr>
      </w:pPr>
      <w:r>
        <w:rPr>
          <w:rFonts w:hint="eastAsia" w:ascii="宋体" w:hAnsi="宋体" w:eastAsia="宋体" w:cs="宋体"/>
          <w:i w:val="0"/>
          <w:iCs w:val="0"/>
          <w:sz w:val="24"/>
          <w:szCs w:val="24"/>
          <w:highlight w:val="none"/>
        </w:rPr>
        <w:t>　</w:t>
      </w:r>
    </w:p>
    <w:p w14:paraId="322A377B">
      <w:pPr>
        <w:pStyle w:val="27"/>
        <w:adjustRightInd w:val="0"/>
        <w:snapToGrid w:val="0"/>
        <w:spacing w:line="360" w:lineRule="auto"/>
        <w:ind w:firstLine="0" w:firstLineChars="0"/>
        <w:rPr>
          <w:highlight w:val="none"/>
        </w:rPr>
      </w:pPr>
    </w:p>
    <w:p w14:paraId="243A5A55">
      <w:pPr>
        <w:pStyle w:val="27"/>
        <w:ind w:firstLine="0" w:firstLineChars="0"/>
        <w:rPr>
          <w:highlight w:val="none"/>
        </w:rPr>
      </w:pPr>
    </w:p>
    <w:p w14:paraId="053423D6">
      <w:pPr>
        <w:pStyle w:val="3"/>
        <w:bidi w:val="0"/>
        <w:rPr>
          <w:rFonts w:ascii="宋体" w:hAnsi="宋体" w:cs="宋体"/>
          <w:b/>
          <w:sz w:val="32"/>
          <w:szCs w:val="32"/>
          <w:highlight w:val="none"/>
        </w:rPr>
      </w:pPr>
      <w:r>
        <w:rPr>
          <w:rFonts w:ascii="宋体" w:hAnsi="宋体" w:cs="宋体"/>
          <w:b/>
          <w:sz w:val="32"/>
          <w:szCs w:val="32"/>
          <w:highlight w:val="none"/>
        </w:rPr>
        <w:br w:type="page"/>
      </w:r>
      <w:r>
        <w:rPr>
          <w:rFonts w:hint="eastAsia" w:ascii="宋体" w:hAnsi="宋体" w:cs="宋体"/>
          <w:b/>
          <w:sz w:val="32"/>
          <w:szCs w:val="32"/>
          <w:highlight w:val="none"/>
        </w:rPr>
        <w:t>第二章</w:t>
      </w:r>
      <w:r>
        <w:rPr>
          <w:rFonts w:hint="eastAsia" w:ascii="宋体" w:hAnsi="宋体" w:cs="宋体"/>
          <w:b/>
          <w:sz w:val="32"/>
          <w:szCs w:val="32"/>
          <w:highlight w:val="none"/>
          <w:lang w:val="en-US" w:eastAsia="zh-CN"/>
        </w:rPr>
        <w:t xml:space="preserve">  </w:t>
      </w:r>
      <w:r>
        <w:rPr>
          <w:rFonts w:hint="eastAsia" w:ascii="宋体" w:hAnsi="宋体" w:cs="宋体"/>
          <w:b/>
          <w:sz w:val="32"/>
          <w:szCs w:val="32"/>
          <w:highlight w:val="none"/>
        </w:rPr>
        <w:t>供应商须知</w:t>
      </w:r>
    </w:p>
    <w:tbl>
      <w:tblPr>
        <w:tblStyle w:val="28"/>
        <w:tblW w:w="9340"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993"/>
        <w:gridCol w:w="6613"/>
      </w:tblGrid>
      <w:tr w14:paraId="1C038E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340" w:type="dxa"/>
            <w:gridSpan w:val="3"/>
            <w:vAlign w:val="center"/>
          </w:tcPr>
          <w:p w14:paraId="61D2D7CE">
            <w:pPr>
              <w:jc w:val="center"/>
              <w:rPr>
                <w:rFonts w:ascii="宋体" w:hAnsi="宋体"/>
                <w:szCs w:val="21"/>
                <w:highlight w:val="none"/>
              </w:rPr>
            </w:pPr>
            <w:r>
              <w:rPr>
                <w:rFonts w:hint="eastAsia" w:ascii="宋体" w:hAnsi="宋体" w:cs="楷体_GB2312"/>
                <w:sz w:val="32"/>
                <w:szCs w:val="32"/>
                <w:highlight w:val="none"/>
              </w:rPr>
              <w:t>供应商须知前附表</w:t>
            </w:r>
          </w:p>
        </w:tc>
      </w:tr>
      <w:tr w14:paraId="173D73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34" w:type="dxa"/>
            <w:vAlign w:val="center"/>
          </w:tcPr>
          <w:p w14:paraId="0088E5D7">
            <w:pPr>
              <w:spacing w:beforeLines="50"/>
              <w:jc w:val="center"/>
              <w:rPr>
                <w:rFonts w:ascii="宋体" w:hAnsi="宋体" w:cs="宋体"/>
                <w:sz w:val="24"/>
                <w:highlight w:val="none"/>
              </w:rPr>
            </w:pPr>
            <w:r>
              <w:rPr>
                <w:rFonts w:hint="eastAsia" w:ascii="宋体" w:hAnsi="宋体" w:cs="宋体"/>
                <w:sz w:val="24"/>
                <w:highlight w:val="none"/>
              </w:rPr>
              <w:t>序号</w:t>
            </w:r>
          </w:p>
        </w:tc>
        <w:tc>
          <w:tcPr>
            <w:tcW w:w="1993" w:type="dxa"/>
            <w:vAlign w:val="center"/>
          </w:tcPr>
          <w:p w14:paraId="4E30B479">
            <w:pPr>
              <w:spacing w:beforeLines="50"/>
              <w:jc w:val="center"/>
              <w:rPr>
                <w:rFonts w:ascii="宋体" w:hAnsi="宋体" w:cs="宋体"/>
                <w:sz w:val="24"/>
                <w:highlight w:val="none"/>
              </w:rPr>
            </w:pPr>
            <w:r>
              <w:rPr>
                <w:rFonts w:hint="eastAsia" w:ascii="宋体" w:hAnsi="宋体" w:cs="宋体"/>
                <w:sz w:val="24"/>
                <w:highlight w:val="none"/>
              </w:rPr>
              <w:t>条款</w:t>
            </w:r>
          </w:p>
        </w:tc>
        <w:tc>
          <w:tcPr>
            <w:tcW w:w="6613" w:type="dxa"/>
            <w:vAlign w:val="center"/>
          </w:tcPr>
          <w:p w14:paraId="17982DA5">
            <w:pPr>
              <w:rPr>
                <w:rFonts w:ascii="宋体" w:hAnsi="宋体" w:cs="宋体"/>
                <w:sz w:val="24"/>
                <w:highlight w:val="none"/>
              </w:rPr>
            </w:pPr>
            <w:r>
              <w:rPr>
                <w:rFonts w:hint="eastAsia" w:ascii="宋体" w:hAnsi="宋体" w:cs="宋体"/>
                <w:sz w:val="24"/>
                <w:highlight w:val="none"/>
              </w:rPr>
              <w:t>内  容</w:t>
            </w:r>
          </w:p>
        </w:tc>
      </w:tr>
      <w:tr w14:paraId="73776B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734" w:type="dxa"/>
            <w:vAlign w:val="center"/>
          </w:tcPr>
          <w:p w14:paraId="6444F4E1">
            <w:pPr>
              <w:numPr>
                <w:ilvl w:val="0"/>
                <w:numId w:val="0"/>
              </w:numPr>
              <w:spacing w:beforeLines="50"/>
              <w:ind w:left="420" w:leftChars="0" w:hanging="420" w:firstLineChars="0"/>
              <w:jc w:val="center"/>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1.</w:t>
            </w:r>
          </w:p>
        </w:tc>
        <w:tc>
          <w:tcPr>
            <w:tcW w:w="1993" w:type="dxa"/>
            <w:vAlign w:val="center"/>
          </w:tcPr>
          <w:p w14:paraId="01640C83">
            <w:pPr>
              <w:jc w:val="center"/>
              <w:rPr>
                <w:rFonts w:ascii="宋体" w:hAnsi="宋体" w:cs="宋体"/>
                <w:sz w:val="24"/>
                <w:highlight w:val="none"/>
              </w:rPr>
            </w:pPr>
            <w:r>
              <w:rPr>
                <w:rFonts w:hint="eastAsia" w:ascii="宋体" w:hAnsi="宋体" w:cs="宋体"/>
                <w:sz w:val="24"/>
                <w:highlight w:val="none"/>
              </w:rPr>
              <w:t>项目概况</w:t>
            </w:r>
          </w:p>
        </w:tc>
        <w:tc>
          <w:tcPr>
            <w:tcW w:w="6613" w:type="dxa"/>
            <w:vAlign w:val="center"/>
          </w:tcPr>
          <w:p w14:paraId="7ADBDB4A">
            <w:pPr>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项目名称：</w:t>
            </w:r>
            <w:r>
              <w:rPr>
                <w:rFonts w:hint="eastAsia" w:ascii="宋体" w:hAnsi="宋体" w:cs="宋体"/>
                <w:color w:val="000000"/>
                <w:sz w:val="24"/>
                <w:highlight w:val="none"/>
                <w:lang w:eastAsia="zh-CN"/>
              </w:rPr>
              <w:t>西华县中医院委托第三方管理污水处理项目</w:t>
            </w:r>
          </w:p>
          <w:p w14:paraId="36D7BB60">
            <w:pP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rPr>
              <w:t>采购内容：</w:t>
            </w:r>
            <w:r>
              <w:rPr>
                <w:rFonts w:hint="eastAsia" w:ascii="宋体" w:hAnsi="宋体" w:cs="宋体"/>
                <w:color w:val="000000"/>
                <w:sz w:val="24"/>
                <w:highlight w:val="none"/>
                <w:lang w:eastAsia="zh-CN"/>
              </w:rPr>
              <w:t>委托第三方管理污水处理</w:t>
            </w:r>
          </w:p>
          <w:p w14:paraId="0D816E8A">
            <w:pP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rPr>
              <w:t>采购人：</w:t>
            </w:r>
            <w:r>
              <w:rPr>
                <w:rFonts w:hint="eastAsia" w:ascii="宋体" w:hAnsi="宋体" w:cs="宋体"/>
                <w:color w:val="000000"/>
                <w:sz w:val="24"/>
                <w:highlight w:val="none"/>
                <w:lang w:val="en-US" w:eastAsia="zh-CN"/>
              </w:rPr>
              <w:t>西华县中医院</w:t>
            </w:r>
          </w:p>
          <w:p w14:paraId="3D0834B8">
            <w:pPr>
              <w:rPr>
                <w:rFonts w:ascii="宋体" w:hAnsi="宋体" w:cs="宋体"/>
                <w:color w:val="000000"/>
                <w:sz w:val="24"/>
                <w:highlight w:val="none"/>
              </w:rPr>
            </w:pPr>
            <w:r>
              <w:rPr>
                <w:rFonts w:hint="eastAsia" w:ascii="宋体" w:hAnsi="宋体" w:cs="宋体"/>
                <w:color w:val="000000"/>
                <w:sz w:val="24"/>
                <w:highlight w:val="none"/>
              </w:rPr>
              <w:t>采购代理机构：</w:t>
            </w:r>
            <w:r>
              <w:rPr>
                <w:rFonts w:hint="eastAsia" w:ascii="宋体" w:hAnsi="宋体" w:eastAsia="宋体" w:cs="宋体"/>
                <w:i w:val="0"/>
                <w:iCs w:val="0"/>
                <w:sz w:val="24"/>
                <w:szCs w:val="24"/>
                <w:highlight w:val="none"/>
              </w:rPr>
              <w:t>周口市公共资源交易中心政府采购中心</w:t>
            </w:r>
          </w:p>
        </w:tc>
      </w:tr>
      <w:tr w14:paraId="1560FD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34" w:type="dxa"/>
            <w:vAlign w:val="center"/>
          </w:tcPr>
          <w:p w14:paraId="2301A04A">
            <w:pPr>
              <w:numPr>
                <w:ilvl w:val="0"/>
                <w:numId w:val="0"/>
              </w:numPr>
              <w:spacing w:beforeLines="50"/>
              <w:ind w:left="420" w:leftChars="0" w:hanging="420" w:firstLineChars="0"/>
              <w:jc w:val="center"/>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2.</w:t>
            </w:r>
          </w:p>
        </w:tc>
        <w:tc>
          <w:tcPr>
            <w:tcW w:w="1993" w:type="dxa"/>
            <w:vAlign w:val="center"/>
          </w:tcPr>
          <w:p w14:paraId="6776D2D9">
            <w:pPr>
              <w:spacing w:beforeLines="50"/>
              <w:ind w:left="-4" w:leftChars="-4" w:hanging="4" w:hangingChars="2"/>
              <w:jc w:val="center"/>
              <w:rPr>
                <w:rFonts w:ascii="宋体" w:hAnsi="宋体" w:cs="宋体"/>
                <w:sz w:val="24"/>
                <w:highlight w:val="none"/>
              </w:rPr>
            </w:pPr>
            <w:r>
              <w:rPr>
                <w:rFonts w:hint="eastAsia" w:ascii="宋体" w:hAnsi="宋体" w:cs="宋体"/>
                <w:sz w:val="24"/>
                <w:highlight w:val="none"/>
              </w:rPr>
              <w:t>对供应商的资格要求</w:t>
            </w:r>
          </w:p>
        </w:tc>
        <w:tc>
          <w:tcPr>
            <w:tcW w:w="6613" w:type="dxa"/>
            <w:vAlign w:val="center"/>
          </w:tcPr>
          <w:p w14:paraId="79AC945E">
            <w:pPr>
              <w:spacing w:beforeLines="50"/>
              <w:ind w:left="-4" w:leftChars="-4" w:hanging="4" w:hangingChars="2"/>
              <w:rPr>
                <w:rFonts w:ascii="宋体" w:hAnsi="宋体" w:cs="宋体"/>
                <w:sz w:val="24"/>
                <w:highlight w:val="none"/>
              </w:rPr>
            </w:pPr>
            <w:r>
              <w:rPr>
                <w:rFonts w:hint="eastAsia" w:ascii="宋体" w:hAnsi="宋体" w:cs="宋体"/>
                <w:sz w:val="24"/>
                <w:highlight w:val="none"/>
              </w:rPr>
              <w:t>见竞争性磋商邀请函</w:t>
            </w:r>
          </w:p>
        </w:tc>
      </w:tr>
      <w:tr w14:paraId="3958FA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34" w:type="dxa"/>
            <w:vAlign w:val="center"/>
          </w:tcPr>
          <w:p w14:paraId="47E61197">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p>
        </w:tc>
        <w:tc>
          <w:tcPr>
            <w:tcW w:w="1993" w:type="dxa"/>
            <w:vAlign w:val="center"/>
          </w:tcPr>
          <w:p w14:paraId="2573241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报价费用</w:t>
            </w:r>
          </w:p>
        </w:tc>
        <w:tc>
          <w:tcPr>
            <w:tcW w:w="6613" w:type="dxa"/>
            <w:vAlign w:val="center"/>
          </w:tcPr>
          <w:p w14:paraId="7E2F387C">
            <w:pPr>
              <w:rPr>
                <w:rFonts w:ascii="宋体" w:hAnsi="宋体" w:cs="宋体"/>
                <w:sz w:val="24"/>
                <w:highlight w:val="none"/>
              </w:rPr>
            </w:pPr>
            <w:r>
              <w:rPr>
                <w:rFonts w:hint="eastAsia" w:ascii="宋体" w:hAnsi="宋体" w:cs="宋体"/>
                <w:sz w:val="24"/>
                <w:highlight w:val="none"/>
              </w:rPr>
              <w:t>无论报价和磋商的过程和结果如何，供应商</w:t>
            </w:r>
            <w:r>
              <w:rPr>
                <w:rFonts w:hint="eastAsia" w:ascii="宋体" w:hAnsi="宋体" w:cs="宋体"/>
                <w:sz w:val="24"/>
                <w:highlight w:val="none"/>
                <w:lang w:val="en-US" w:eastAsia="zh-CN"/>
              </w:rPr>
              <w:t>保</w:t>
            </w:r>
            <w:r>
              <w:rPr>
                <w:rFonts w:hint="eastAsia" w:ascii="宋体" w:hAnsi="宋体" w:cs="宋体"/>
                <w:sz w:val="2"/>
                <w:szCs w:val="2"/>
                <w:highlight w:val="none"/>
                <w:vertAlign w:val="superscript"/>
                <w:lang w:val="en-US" w:eastAsia="zh-CN"/>
              </w:rPr>
              <w:t xml:space="preserve">  </w:t>
            </w:r>
            <w:r>
              <w:rPr>
                <w:rFonts w:hint="eastAsia" w:ascii="宋体" w:hAnsi="宋体" w:cs="宋体"/>
                <w:sz w:val="24"/>
                <w:highlight w:val="none"/>
                <w:lang w:val="en-US" w:eastAsia="zh-CN"/>
              </w:rPr>
              <w:t>证</w:t>
            </w:r>
            <w:r>
              <w:rPr>
                <w:rFonts w:hint="eastAsia" w:ascii="宋体" w:hAnsi="宋体" w:cs="宋体"/>
                <w:sz w:val="24"/>
                <w:highlight w:val="none"/>
              </w:rPr>
              <w:t>自行承担所有与参加报价及磋商有关活动的全部费用。</w:t>
            </w:r>
          </w:p>
        </w:tc>
      </w:tr>
      <w:tr w14:paraId="01DA3F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34" w:type="dxa"/>
            <w:vAlign w:val="center"/>
          </w:tcPr>
          <w:p w14:paraId="123237F5">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p>
        </w:tc>
        <w:tc>
          <w:tcPr>
            <w:tcW w:w="1993" w:type="dxa"/>
            <w:vAlign w:val="center"/>
          </w:tcPr>
          <w:p w14:paraId="62DC953A">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响应文件语言</w:t>
            </w:r>
          </w:p>
        </w:tc>
        <w:tc>
          <w:tcPr>
            <w:tcW w:w="6613" w:type="dxa"/>
            <w:vAlign w:val="center"/>
          </w:tcPr>
          <w:p w14:paraId="1D7EB022">
            <w:pPr>
              <w:bidi w:val="0"/>
              <w:jc w:val="both"/>
              <w:rPr>
                <w:sz w:val="24"/>
                <w:szCs w:val="24"/>
                <w:highlight w:val="none"/>
              </w:rPr>
            </w:pPr>
            <w:r>
              <w:rPr>
                <w:rFonts w:hint="eastAsia"/>
                <w:sz w:val="24"/>
                <w:szCs w:val="24"/>
                <w:highlight w:val="none"/>
              </w:rPr>
              <w:t>中文</w:t>
            </w:r>
          </w:p>
        </w:tc>
      </w:tr>
      <w:tr w14:paraId="497E39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4" w:type="dxa"/>
            <w:vAlign w:val="center"/>
          </w:tcPr>
          <w:p w14:paraId="04EC2FB1">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1993" w:type="dxa"/>
            <w:vAlign w:val="center"/>
          </w:tcPr>
          <w:p w14:paraId="0F450194">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报价货币</w:t>
            </w:r>
          </w:p>
        </w:tc>
        <w:tc>
          <w:tcPr>
            <w:tcW w:w="6613" w:type="dxa"/>
            <w:vAlign w:val="center"/>
          </w:tcPr>
          <w:p w14:paraId="45201303">
            <w:pPr>
              <w:bidi w:val="0"/>
              <w:jc w:val="both"/>
              <w:rPr>
                <w:sz w:val="24"/>
                <w:szCs w:val="24"/>
                <w:highlight w:val="none"/>
              </w:rPr>
            </w:pPr>
            <w:r>
              <w:rPr>
                <w:rFonts w:hint="eastAsia"/>
                <w:sz w:val="24"/>
                <w:szCs w:val="24"/>
                <w:highlight w:val="none"/>
              </w:rPr>
              <w:t>人民币</w:t>
            </w:r>
          </w:p>
        </w:tc>
      </w:tr>
      <w:tr w14:paraId="7DB5D1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34" w:type="dxa"/>
            <w:vAlign w:val="center"/>
          </w:tcPr>
          <w:p w14:paraId="5C66DEFB">
            <w:pPr>
              <w:numPr>
                <w:ilvl w:val="0"/>
                <w:numId w:val="0"/>
              </w:numPr>
              <w:spacing w:beforeLines="50"/>
              <w:ind w:left="420" w:leftChars="0" w:hanging="420" w:firstLineChars="0"/>
              <w:jc w:val="center"/>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6.</w:t>
            </w:r>
          </w:p>
        </w:tc>
        <w:tc>
          <w:tcPr>
            <w:tcW w:w="1993" w:type="dxa"/>
            <w:vAlign w:val="center"/>
          </w:tcPr>
          <w:p w14:paraId="0FDFF3D9">
            <w:pPr>
              <w:spacing w:beforeLines="50"/>
              <w:jc w:val="center"/>
              <w:rPr>
                <w:rFonts w:ascii="宋体" w:hAnsi="宋体" w:cs="宋体"/>
                <w:sz w:val="24"/>
                <w:highlight w:val="none"/>
              </w:rPr>
            </w:pPr>
            <w:r>
              <w:rPr>
                <w:rFonts w:hint="eastAsia" w:ascii="宋体" w:hAnsi="宋体" w:cs="宋体"/>
                <w:sz w:val="24"/>
                <w:highlight w:val="none"/>
              </w:rPr>
              <w:t>报价范围及说明</w:t>
            </w:r>
          </w:p>
        </w:tc>
        <w:tc>
          <w:tcPr>
            <w:tcW w:w="6613" w:type="dxa"/>
            <w:vAlign w:val="center"/>
          </w:tcPr>
          <w:p w14:paraId="76F23983">
            <w:pPr>
              <w:rPr>
                <w:rFonts w:ascii="宋体" w:hAnsi="宋体" w:cs="宋体"/>
                <w:sz w:val="24"/>
                <w:highlight w:val="none"/>
              </w:rPr>
            </w:pPr>
            <w:r>
              <w:rPr>
                <w:rFonts w:hint="eastAsia" w:ascii="宋体" w:hAnsi="宋体" w:cs="宋体"/>
                <w:color w:val="000000"/>
                <w:sz w:val="24"/>
                <w:highlight w:val="none"/>
              </w:rPr>
              <w:t>报价包括本项目所招标的服务、保险、税费、验收</w:t>
            </w:r>
            <w:r>
              <w:rPr>
                <w:rFonts w:hint="eastAsia" w:ascii="宋体" w:hAnsi="宋体" w:cs="宋体"/>
                <w:sz w:val="24"/>
                <w:highlight w:val="none"/>
              </w:rPr>
              <w:t>等（采购项目技术规格、参数及要求）</w:t>
            </w:r>
          </w:p>
        </w:tc>
      </w:tr>
      <w:tr w14:paraId="73E91E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34" w:type="dxa"/>
            <w:vAlign w:val="center"/>
          </w:tcPr>
          <w:p w14:paraId="1DA019FB">
            <w:pPr>
              <w:numPr>
                <w:ilvl w:val="0"/>
                <w:numId w:val="0"/>
              </w:numPr>
              <w:spacing w:beforeLines="50"/>
              <w:ind w:left="420" w:leftChars="0" w:hanging="420" w:firstLineChars="0"/>
              <w:jc w:val="center"/>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7.</w:t>
            </w:r>
          </w:p>
        </w:tc>
        <w:tc>
          <w:tcPr>
            <w:tcW w:w="1993" w:type="dxa"/>
            <w:vAlign w:val="center"/>
          </w:tcPr>
          <w:p w14:paraId="7C38376B">
            <w:pPr>
              <w:spacing w:beforeLines="50"/>
              <w:jc w:val="center"/>
              <w:rPr>
                <w:rFonts w:ascii="宋体" w:hAnsi="宋体" w:cs="宋体"/>
                <w:sz w:val="24"/>
                <w:highlight w:val="none"/>
              </w:rPr>
            </w:pPr>
            <w:r>
              <w:rPr>
                <w:rFonts w:hint="eastAsia" w:ascii="宋体" w:hAnsi="宋体" w:cs="宋体"/>
                <w:sz w:val="24"/>
                <w:highlight w:val="none"/>
              </w:rPr>
              <w:t>响应文件有效期</w:t>
            </w:r>
          </w:p>
        </w:tc>
        <w:tc>
          <w:tcPr>
            <w:tcW w:w="6613" w:type="dxa"/>
            <w:vAlign w:val="center"/>
          </w:tcPr>
          <w:p w14:paraId="6ED32A9C">
            <w:pPr>
              <w:rPr>
                <w:rFonts w:ascii="宋体" w:hAnsi="宋体" w:cs="宋体"/>
                <w:sz w:val="24"/>
                <w:highlight w:val="none"/>
              </w:rPr>
            </w:pPr>
            <w:r>
              <w:rPr>
                <w:rFonts w:hint="eastAsia" w:ascii="宋体" w:hAnsi="宋体" w:cs="宋体"/>
                <w:sz w:val="24"/>
                <w:highlight w:val="none"/>
              </w:rPr>
              <w:t>响应文件递交截止期后60日内有效</w:t>
            </w:r>
          </w:p>
        </w:tc>
      </w:tr>
      <w:tr w14:paraId="75E9E5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734" w:type="dxa"/>
            <w:vAlign w:val="center"/>
          </w:tcPr>
          <w:p w14:paraId="272374A2">
            <w:pPr>
              <w:numPr>
                <w:ilvl w:val="0"/>
                <w:numId w:val="0"/>
              </w:numPr>
              <w:spacing w:beforeLines="50"/>
              <w:ind w:left="420" w:leftChars="0" w:hanging="420" w:firstLineChars="0"/>
              <w:jc w:val="center"/>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8.</w:t>
            </w:r>
          </w:p>
        </w:tc>
        <w:tc>
          <w:tcPr>
            <w:tcW w:w="1993" w:type="dxa"/>
            <w:vAlign w:val="center"/>
          </w:tcPr>
          <w:p w14:paraId="2521AABE">
            <w:pPr>
              <w:tabs>
                <w:tab w:val="left" w:pos="8640"/>
              </w:tabs>
              <w:spacing w:beforeLines="50"/>
              <w:ind w:left="-2" w:leftChars="-1"/>
              <w:jc w:val="center"/>
              <w:rPr>
                <w:rFonts w:ascii="宋体" w:hAnsi="宋体" w:cs="宋体"/>
                <w:sz w:val="24"/>
                <w:highlight w:val="none"/>
              </w:rPr>
            </w:pPr>
            <w:r>
              <w:rPr>
                <w:rFonts w:hint="eastAsia" w:ascii="宋体" w:hAnsi="宋体" w:cs="宋体"/>
                <w:sz w:val="24"/>
                <w:highlight w:val="none"/>
              </w:rPr>
              <w:t>响应文件的组成</w:t>
            </w:r>
          </w:p>
        </w:tc>
        <w:tc>
          <w:tcPr>
            <w:tcW w:w="6613" w:type="dxa"/>
            <w:vAlign w:val="center"/>
          </w:tcPr>
          <w:p w14:paraId="39680786">
            <w:pPr>
              <w:rPr>
                <w:rFonts w:ascii="宋体" w:hAnsi="宋体" w:cs="宋体"/>
                <w:sz w:val="24"/>
                <w:highlight w:val="none"/>
              </w:rPr>
            </w:pPr>
            <w:r>
              <w:rPr>
                <w:rFonts w:hint="eastAsia" w:ascii="宋体" w:hAnsi="宋体" w:cs="宋体"/>
                <w:sz w:val="24"/>
                <w:highlight w:val="none"/>
              </w:rPr>
              <w:t>供应商应按本磋商文件规定的格式，填写并提供相关文件或资料，本磋商文件第三部分要求的文件和资料也须一并提供。供应商还可根据自己的理解，提供其他必要的技术响应、样本资料及附件；</w:t>
            </w:r>
          </w:p>
        </w:tc>
      </w:tr>
      <w:tr w14:paraId="72AE91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34" w:type="dxa"/>
            <w:vAlign w:val="center"/>
          </w:tcPr>
          <w:p w14:paraId="66C87A16">
            <w:pPr>
              <w:numPr>
                <w:ilvl w:val="0"/>
                <w:numId w:val="0"/>
              </w:numPr>
              <w:spacing w:beforeLines="50"/>
              <w:ind w:left="420" w:leftChars="0" w:hanging="420" w:firstLineChars="0"/>
              <w:jc w:val="center"/>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9.</w:t>
            </w:r>
          </w:p>
        </w:tc>
        <w:tc>
          <w:tcPr>
            <w:tcW w:w="1993" w:type="dxa"/>
            <w:vAlign w:val="center"/>
          </w:tcPr>
          <w:p w14:paraId="622847FD">
            <w:pPr>
              <w:tabs>
                <w:tab w:val="left" w:pos="8640"/>
              </w:tabs>
              <w:spacing w:beforeLines="50"/>
              <w:ind w:left="-2" w:leftChars="-1"/>
              <w:jc w:val="center"/>
              <w:rPr>
                <w:rFonts w:ascii="宋体" w:hAnsi="宋体" w:cs="宋体"/>
                <w:sz w:val="24"/>
                <w:highlight w:val="none"/>
              </w:rPr>
            </w:pPr>
            <w:r>
              <w:rPr>
                <w:rFonts w:hint="eastAsia" w:ascii="宋体" w:hAnsi="宋体" w:cs="宋体"/>
                <w:sz w:val="24"/>
                <w:highlight w:val="none"/>
              </w:rPr>
              <w:t>响应文件封面要求</w:t>
            </w:r>
          </w:p>
        </w:tc>
        <w:tc>
          <w:tcPr>
            <w:tcW w:w="6613" w:type="dxa"/>
            <w:vAlign w:val="center"/>
          </w:tcPr>
          <w:p w14:paraId="6EE5B0F8">
            <w:pPr>
              <w:tabs>
                <w:tab w:val="left" w:pos="8640"/>
              </w:tabs>
              <w:rPr>
                <w:rFonts w:hint="eastAsia" w:ascii="宋体" w:hAnsi="宋体" w:eastAsia="宋体" w:cs="宋体"/>
                <w:sz w:val="24"/>
                <w:highlight w:val="none"/>
                <w:lang w:eastAsia="zh-CN"/>
              </w:rPr>
            </w:pPr>
            <w:r>
              <w:rPr>
                <w:rFonts w:hint="eastAsia" w:ascii="宋体" w:hAnsi="宋体" w:cs="宋体"/>
                <w:color w:val="auto"/>
                <w:sz w:val="24"/>
                <w:highlight w:val="none"/>
                <w:lang w:val="en-US" w:eastAsia="zh-CN"/>
              </w:rPr>
              <w:t>列明项目名称、采购编号、供应商名称、地址、联系人及联系方式等信息</w:t>
            </w:r>
          </w:p>
        </w:tc>
      </w:tr>
      <w:tr w14:paraId="3730E7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34" w:type="dxa"/>
            <w:vAlign w:val="center"/>
          </w:tcPr>
          <w:p w14:paraId="306E1622">
            <w:pPr>
              <w:numPr>
                <w:ilvl w:val="0"/>
                <w:numId w:val="0"/>
              </w:numPr>
              <w:spacing w:beforeLines="50"/>
              <w:ind w:left="420" w:leftChars="0" w:hanging="420" w:firstLineChars="0"/>
              <w:jc w:val="center"/>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10.</w:t>
            </w:r>
          </w:p>
        </w:tc>
        <w:tc>
          <w:tcPr>
            <w:tcW w:w="1993" w:type="dxa"/>
            <w:vAlign w:val="center"/>
          </w:tcPr>
          <w:p w14:paraId="12789979">
            <w:pPr>
              <w:spacing w:beforeLines="50"/>
              <w:jc w:val="center"/>
              <w:rPr>
                <w:rFonts w:ascii="宋体" w:hAnsi="宋体" w:cs="宋体"/>
                <w:sz w:val="24"/>
                <w:highlight w:val="none"/>
              </w:rPr>
            </w:pPr>
            <w:r>
              <w:rPr>
                <w:rFonts w:hint="eastAsia" w:ascii="宋体" w:hAnsi="宋体" w:cs="宋体"/>
                <w:sz w:val="24"/>
                <w:highlight w:val="none"/>
              </w:rPr>
              <w:t>响应文件份数要求</w:t>
            </w:r>
          </w:p>
        </w:tc>
        <w:tc>
          <w:tcPr>
            <w:tcW w:w="6613" w:type="dxa"/>
            <w:vAlign w:val="center"/>
          </w:tcPr>
          <w:p w14:paraId="6011D0C5">
            <w:pPr>
              <w:tabs>
                <w:tab w:val="left" w:pos="8640"/>
              </w:tabs>
              <w:ind w:left="-2" w:leftChars="-1"/>
              <w:rPr>
                <w:rFonts w:ascii="宋体" w:hAnsi="宋体" w:cs="宋体"/>
                <w:sz w:val="24"/>
                <w:highlight w:val="none"/>
              </w:rPr>
            </w:pPr>
            <w:r>
              <w:rPr>
                <w:rFonts w:hint="eastAsia" w:ascii="宋体" w:hAnsi="宋体" w:cs="宋体"/>
                <w:sz w:val="24"/>
                <w:highlight w:val="none"/>
              </w:rPr>
              <w:t>加密的电子投标文件须在投标截止时间前成功上传</w:t>
            </w:r>
          </w:p>
        </w:tc>
      </w:tr>
      <w:tr w14:paraId="7C11AA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34" w:type="dxa"/>
            <w:vAlign w:val="center"/>
          </w:tcPr>
          <w:p w14:paraId="3F4D4A5F">
            <w:pPr>
              <w:numPr>
                <w:ilvl w:val="0"/>
                <w:numId w:val="0"/>
              </w:numPr>
              <w:spacing w:beforeLines="50"/>
              <w:ind w:left="420" w:leftChars="0" w:hanging="420" w:firstLineChars="0"/>
              <w:jc w:val="center"/>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11.</w:t>
            </w:r>
          </w:p>
        </w:tc>
        <w:tc>
          <w:tcPr>
            <w:tcW w:w="1993" w:type="dxa"/>
            <w:vAlign w:val="center"/>
          </w:tcPr>
          <w:p w14:paraId="280228F2">
            <w:pPr>
              <w:spacing w:beforeLines="50"/>
              <w:jc w:val="center"/>
              <w:rPr>
                <w:rFonts w:ascii="宋体" w:hAnsi="宋体" w:cs="宋体"/>
                <w:sz w:val="24"/>
                <w:highlight w:val="none"/>
              </w:rPr>
            </w:pPr>
            <w:r>
              <w:rPr>
                <w:rFonts w:hint="eastAsia" w:ascii="宋体" w:hAnsi="宋体" w:cs="宋体"/>
                <w:sz w:val="24"/>
                <w:highlight w:val="none"/>
              </w:rPr>
              <w:t>响应文件装订和密封要求</w:t>
            </w:r>
          </w:p>
        </w:tc>
        <w:tc>
          <w:tcPr>
            <w:tcW w:w="6613" w:type="dxa"/>
            <w:vAlign w:val="center"/>
          </w:tcPr>
          <w:p w14:paraId="6E3D3F8D">
            <w:pPr>
              <w:rPr>
                <w:rFonts w:ascii="宋体" w:hAnsi="宋体" w:cs="宋体"/>
                <w:sz w:val="24"/>
                <w:highlight w:val="none"/>
              </w:rPr>
            </w:pPr>
            <w:r>
              <w:rPr>
                <w:rFonts w:hint="eastAsia" w:ascii="宋体" w:hAnsi="宋体" w:cs="宋体"/>
                <w:sz w:val="24"/>
                <w:highlight w:val="none"/>
              </w:rPr>
              <w:t>无</w:t>
            </w:r>
          </w:p>
        </w:tc>
      </w:tr>
      <w:tr w14:paraId="1D3D1E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34" w:type="dxa"/>
            <w:vAlign w:val="center"/>
          </w:tcPr>
          <w:p w14:paraId="4B8CCB39">
            <w:pPr>
              <w:numPr>
                <w:ilvl w:val="0"/>
                <w:numId w:val="0"/>
              </w:numPr>
              <w:spacing w:beforeLines="50"/>
              <w:ind w:left="420" w:leftChars="0" w:hanging="420" w:firstLineChars="0"/>
              <w:jc w:val="center"/>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12.</w:t>
            </w:r>
          </w:p>
        </w:tc>
        <w:tc>
          <w:tcPr>
            <w:tcW w:w="1993" w:type="dxa"/>
            <w:vAlign w:val="center"/>
          </w:tcPr>
          <w:p w14:paraId="0769D069">
            <w:pPr>
              <w:spacing w:beforeLines="50"/>
              <w:jc w:val="center"/>
              <w:rPr>
                <w:rFonts w:ascii="宋体" w:hAnsi="宋体" w:cs="宋体"/>
                <w:sz w:val="24"/>
                <w:highlight w:val="none"/>
              </w:rPr>
            </w:pPr>
            <w:r>
              <w:rPr>
                <w:rFonts w:hint="eastAsia" w:ascii="宋体" w:hAnsi="宋体" w:cs="宋体"/>
                <w:sz w:val="24"/>
                <w:highlight w:val="none"/>
              </w:rPr>
              <w:t>竞争性磋商文件的澄清</w:t>
            </w:r>
          </w:p>
        </w:tc>
        <w:tc>
          <w:tcPr>
            <w:tcW w:w="6613" w:type="dxa"/>
            <w:vAlign w:val="center"/>
          </w:tcPr>
          <w:p w14:paraId="5CC47FFD">
            <w:pPr>
              <w:rPr>
                <w:rFonts w:ascii="宋体" w:hAnsi="宋体" w:cs="宋体"/>
                <w:sz w:val="24"/>
                <w:highlight w:val="none"/>
              </w:rPr>
            </w:pPr>
            <w:r>
              <w:rPr>
                <w:rFonts w:hint="eastAsia" w:ascii="宋体" w:hAnsi="宋体" w:cs="宋体"/>
                <w:sz w:val="24"/>
                <w:highlight w:val="none"/>
              </w:rPr>
              <w:t>对竞争性磋商文件进行</w:t>
            </w:r>
            <w:r>
              <w:rPr>
                <w:rFonts w:hint="eastAsia" w:ascii="宋体" w:hAnsi="宋体" w:cs="宋体"/>
                <w:sz w:val="24"/>
                <w:highlight w:val="none"/>
                <w:lang w:val="en-US" w:eastAsia="zh-CN"/>
              </w:rPr>
              <w:t>的</w:t>
            </w:r>
            <w:r>
              <w:rPr>
                <w:rFonts w:hint="eastAsia" w:ascii="宋体" w:hAnsi="宋体" w:cs="宋体"/>
                <w:sz w:val="24"/>
                <w:highlight w:val="none"/>
              </w:rPr>
              <w:t>澄清，以</w:t>
            </w:r>
            <w:r>
              <w:rPr>
                <w:rFonts w:hint="eastAsia" w:ascii="宋体" w:hAnsi="宋体" w:cs="宋体"/>
                <w:sz w:val="24"/>
                <w:highlight w:val="none"/>
                <w:lang w:val="en-US" w:eastAsia="zh-CN"/>
              </w:rPr>
              <w:t>网上公告的方式</w:t>
            </w:r>
            <w:r>
              <w:rPr>
                <w:rFonts w:hint="eastAsia" w:ascii="宋体" w:hAnsi="宋体" w:cs="宋体"/>
                <w:sz w:val="24"/>
                <w:highlight w:val="none"/>
              </w:rPr>
              <w:t>通知</w:t>
            </w:r>
            <w:r>
              <w:rPr>
                <w:rFonts w:hint="eastAsia" w:ascii="宋体" w:hAnsi="宋体" w:cs="宋体"/>
                <w:sz w:val="24"/>
                <w:highlight w:val="none"/>
                <w:lang w:val="en-US" w:eastAsia="zh-CN"/>
              </w:rPr>
              <w:t>供应商</w:t>
            </w:r>
            <w:r>
              <w:rPr>
                <w:rFonts w:hint="eastAsia" w:ascii="宋体" w:hAnsi="宋体" w:cs="宋体"/>
                <w:sz w:val="24"/>
                <w:highlight w:val="none"/>
              </w:rPr>
              <w:t>。澄清或修改的内容可能影响响应文件编制的，采购人、采购代理机构应当在提交响应文件截止时间至少5日前。</w:t>
            </w:r>
          </w:p>
        </w:tc>
      </w:tr>
      <w:tr w14:paraId="5C1D2E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34" w:type="dxa"/>
            <w:vAlign w:val="center"/>
          </w:tcPr>
          <w:p w14:paraId="3755A973">
            <w:pPr>
              <w:numPr>
                <w:ilvl w:val="0"/>
                <w:numId w:val="0"/>
              </w:numPr>
              <w:spacing w:beforeLines="50"/>
              <w:ind w:left="420" w:leftChars="0" w:hanging="420" w:firstLineChars="0"/>
              <w:jc w:val="center"/>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13.</w:t>
            </w:r>
          </w:p>
        </w:tc>
        <w:tc>
          <w:tcPr>
            <w:tcW w:w="1993" w:type="dxa"/>
            <w:vAlign w:val="center"/>
          </w:tcPr>
          <w:p w14:paraId="5E3AA8F7">
            <w:pPr>
              <w:spacing w:beforeLines="50"/>
              <w:jc w:val="center"/>
              <w:rPr>
                <w:rFonts w:ascii="宋体" w:hAnsi="宋体" w:cs="宋体"/>
                <w:sz w:val="24"/>
                <w:highlight w:val="none"/>
              </w:rPr>
            </w:pPr>
            <w:r>
              <w:rPr>
                <w:rFonts w:hint="eastAsia" w:ascii="宋体" w:hAnsi="宋体" w:cs="宋体"/>
                <w:sz w:val="24"/>
                <w:highlight w:val="none"/>
              </w:rPr>
              <w:t>响应文件递交截止时间</w:t>
            </w:r>
          </w:p>
        </w:tc>
        <w:tc>
          <w:tcPr>
            <w:tcW w:w="6613" w:type="dxa"/>
            <w:vAlign w:val="center"/>
          </w:tcPr>
          <w:p w14:paraId="1EEB16C0">
            <w:pPr>
              <w:ind w:firstLine="240" w:firstLineChars="100"/>
              <w:rPr>
                <w:rFonts w:ascii="宋体" w:hAnsi="宋体" w:cs="宋体"/>
                <w:sz w:val="24"/>
                <w:highlight w:val="none"/>
              </w:rPr>
            </w:pPr>
            <w:r>
              <w:rPr>
                <w:rFonts w:hint="eastAsia" w:ascii="宋体" w:hAnsi="宋体" w:cs="宋体"/>
                <w:sz w:val="24"/>
                <w:highlight w:val="none"/>
                <w:lang w:val="en-US" w:eastAsia="zh-CN"/>
              </w:rPr>
              <w:t xml:space="preserve">2026年  </w:t>
            </w:r>
            <w:r>
              <w:rPr>
                <w:rFonts w:hint="eastAsia" w:ascii="宋体" w:hAnsi="宋体" w:cs="宋体"/>
                <w:sz w:val="24"/>
                <w:highlight w:val="none"/>
              </w:rPr>
              <w:t xml:space="preserve"> 月</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日上午 </w:t>
            </w:r>
            <w:r>
              <w:rPr>
                <w:rFonts w:hint="eastAsia" w:ascii="宋体" w:hAnsi="宋体" w:cs="宋体"/>
                <w:sz w:val="24"/>
                <w:highlight w:val="none"/>
                <w:lang w:val="en-US" w:eastAsia="zh-CN"/>
              </w:rPr>
              <w:t>10:00</w:t>
            </w:r>
            <w:r>
              <w:rPr>
                <w:rFonts w:hint="eastAsia" w:ascii="宋体" w:hAnsi="宋体" w:cs="宋体"/>
                <w:sz w:val="24"/>
                <w:highlight w:val="none"/>
              </w:rPr>
              <w:t xml:space="preserve">  （见磋商公告） </w:t>
            </w:r>
          </w:p>
        </w:tc>
      </w:tr>
      <w:tr w14:paraId="127D08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734" w:type="dxa"/>
            <w:vAlign w:val="center"/>
          </w:tcPr>
          <w:p w14:paraId="013C7D0A">
            <w:pPr>
              <w:numPr>
                <w:ilvl w:val="0"/>
                <w:numId w:val="0"/>
              </w:numPr>
              <w:spacing w:beforeLines="50"/>
              <w:ind w:left="420" w:leftChars="0" w:hanging="420" w:firstLineChars="0"/>
              <w:jc w:val="center"/>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14.</w:t>
            </w:r>
          </w:p>
        </w:tc>
        <w:tc>
          <w:tcPr>
            <w:tcW w:w="1993" w:type="dxa"/>
            <w:vAlign w:val="center"/>
          </w:tcPr>
          <w:p w14:paraId="206C4546">
            <w:pPr>
              <w:spacing w:beforeLines="50"/>
              <w:jc w:val="center"/>
              <w:rPr>
                <w:rFonts w:ascii="宋体" w:hAnsi="宋体" w:cs="宋体"/>
                <w:sz w:val="24"/>
                <w:highlight w:val="none"/>
              </w:rPr>
            </w:pPr>
            <w:r>
              <w:rPr>
                <w:rFonts w:hint="eastAsia" w:ascii="宋体" w:hAnsi="宋体" w:cs="宋体"/>
                <w:sz w:val="24"/>
                <w:highlight w:val="none"/>
              </w:rPr>
              <w:t>响应文件递交地点</w:t>
            </w:r>
          </w:p>
        </w:tc>
        <w:tc>
          <w:tcPr>
            <w:tcW w:w="6613" w:type="dxa"/>
            <w:vAlign w:val="center"/>
          </w:tcPr>
          <w:p w14:paraId="6209523A">
            <w:pPr>
              <w:rPr>
                <w:rFonts w:hint="eastAsia" w:ascii="宋体" w:hAnsi="宋体" w:eastAsia="宋体"/>
                <w:sz w:val="24"/>
                <w:highlight w:val="none"/>
                <w:lang w:val="en-US" w:eastAsia="zh-CN"/>
              </w:rPr>
            </w:pPr>
            <w:r>
              <w:rPr>
                <w:rFonts w:hint="eastAsia" w:ascii="宋体" w:hAnsi="宋体"/>
                <w:sz w:val="24"/>
                <w:highlight w:val="none"/>
              </w:rPr>
              <w:t>周口市公共资源交易中心</w:t>
            </w:r>
            <w:r>
              <w:rPr>
                <w:rFonts w:hint="eastAsia" w:ascii="宋体" w:hAnsi="宋体"/>
                <w:sz w:val="24"/>
                <w:highlight w:val="none"/>
                <w:lang w:val="en-US" w:eastAsia="zh-CN"/>
              </w:rPr>
              <w:t>网</w:t>
            </w:r>
          </w:p>
          <w:p w14:paraId="342CFB5C">
            <w:pPr>
              <w:rPr>
                <w:rFonts w:hint="eastAsia" w:ascii="宋体" w:hAnsi="宋体" w:cs="宋体" w:eastAsiaTheme="minorEastAsia"/>
                <w:sz w:val="24"/>
                <w:szCs w:val="24"/>
                <w:highlight w:val="none"/>
                <w:lang w:val="en-US" w:eastAsia="zh-CN"/>
              </w:rPr>
            </w:pPr>
            <w:r>
              <w:rPr>
                <w:rFonts w:hint="eastAsia" w:ascii="宋体" w:hAnsi="宋体"/>
                <w:sz w:val="24"/>
                <w:highlight w:val="none"/>
              </w:rPr>
              <w:t>网址：周口市公共资源电子交易服务平台会员系统（网址</w:t>
            </w:r>
            <w:r>
              <w:rPr>
                <w:rFonts w:hint="eastAsia" w:asciiTheme="minorEastAsia" w:hAnsiTheme="minorEastAsia" w:eastAsiaTheme="minorEastAsia"/>
                <w:color w:val="000000"/>
                <w:highlight w:val="none"/>
              </w:rPr>
              <w:t>http://jyzx.zhoukou.gov.cn</w:t>
            </w:r>
            <w:r>
              <w:rPr>
                <w:rFonts w:hint="eastAsia" w:asciiTheme="minorEastAsia" w:hAnsiTheme="minorEastAsia" w:eastAsiaTheme="minorEastAsia"/>
                <w:color w:val="000000"/>
                <w:highlight w:val="none"/>
                <w:lang w:eastAsia="zh-CN"/>
              </w:rPr>
              <w:t>）</w:t>
            </w:r>
          </w:p>
          <w:p w14:paraId="6042BB50">
            <w:pPr>
              <w:spacing w:line="560" w:lineRule="exact"/>
              <w:rPr>
                <w:rFonts w:ascii="宋体" w:hAnsi="宋体" w:cs="宋体"/>
                <w:sz w:val="24"/>
                <w:highlight w:val="none"/>
              </w:rPr>
            </w:pPr>
            <w:r>
              <w:rPr>
                <w:rFonts w:hint="eastAsia" w:ascii="宋体" w:hAnsi="宋体" w:eastAsia="宋体" w:cs="宋体"/>
                <w:sz w:val="24"/>
                <w:szCs w:val="24"/>
                <w:highlight w:val="none"/>
              </w:rPr>
              <w:t>（本项目实行网上远程开标无须到现场提交响应文件）</w:t>
            </w:r>
          </w:p>
        </w:tc>
      </w:tr>
      <w:tr w14:paraId="77AC1B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34" w:type="dxa"/>
            <w:vAlign w:val="center"/>
          </w:tcPr>
          <w:p w14:paraId="170339DA">
            <w:pPr>
              <w:numPr>
                <w:ilvl w:val="0"/>
                <w:numId w:val="0"/>
              </w:numPr>
              <w:spacing w:beforeLines="50"/>
              <w:ind w:left="420" w:leftChars="0" w:hanging="420" w:firstLineChars="0"/>
              <w:jc w:val="center"/>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15.</w:t>
            </w:r>
          </w:p>
        </w:tc>
        <w:tc>
          <w:tcPr>
            <w:tcW w:w="1993" w:type="dxa"/>
            <w:vAlign w:val="center"/>
          </w:tcPr>
          <w:p w14:paraId="25A5E86E">
            <w:pPr>
              <w:spacing w:beforeLines="50"/>
              <w:jc w:val="center"/>
              <w:rPr>
                <w:rFonts w:ascii="宋体" w:hAnsi="宋体" w:cs="宋体"/>
                <w:sz w:val="24"/>
                <w:highlight w:val="none"/>
              </w:rPr>
            </w:pPr>
            <w:r>
              <w:rPr>
                <w:rFonts w:hint="eastAsia" w:ascii="宋体" w:hAnsi="宋体" w:cs="宋体"/>
                <w:sz w:val="24"/>
                <w:highlight w:val="none"/>
              </w:rPr>
              <w:t>磋商时间</w:t>
            </w:r>
          </w:p>
        </w:tc>
        <w:tc>
          <w:tcPr>
            <w:tcW w:w="6613" w:type="dxa"/>
            <w:vAlign w:val="center"/>
          </w:tcPr>
          <w:p w14:paraId="6863069F">
            <w:pPr>
              <w:tabs>
                <w:tab w:val="left" w:pos="8640"/>
              </w:tabs>
              <w:ind w:left="-2" w:leftChars="-1" w:firstLine="240" w:firstLineChars="100"/>
              <w:rPr>
                <w:rFonts w:ascii="宋体" w:hAnsi="宋体" w:cs="宋体"/>
                <w:sz w:val="24"/>
                <w:highlight w:val="none"/>
              </w:rPr>
            </w:pPr>
            <w:r>
              <w:rPr>
                <w:rFonts w:hint="eastAsia" w:ascii="宋体" w:hAnsi="宋体" w:cs="宋体"/>
                <w:sz w:val="24"/>
                <w:highlight w:val="none"/>
                <w:lang w:val="en-US" w:eastAsia="zh-CN"/>
              </w:rPr>
              <w:t xml:space="preserve">2026年  </w:t>
            </w:r>
            <w:r>
              <w:rPr>
                <w:rFonts w:hint="eastAsia" w:ascii="宋体" w:hAnsi="宋体" w:cs="宋体"/>
                <w:sz w:val="24"/>
                <w:highlight w:val="none"/>
              </w:rPr>
              <w:t xml:space="preserve"> 月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日上午 </w:t>
            </w:r>
            <w:r>
              <w:rPr>
                <w:rFonts w:hint="eastAsia" w:ascii="宋体" w:hAnsi="宋体" w:cs="宋体"/>
                <w:sz w:val="24"/>
                <w:highlight w:val="none"/>
                <w:lang w:val="en-US" w:eastAsia="zh-CN"/>
              </w:rPr>
              <w:t>10:00</w:t>
            </w:r>
            <w:r>
              <w:rPr>
                <w:rFonts w:hint="eastAsia" w:ascii="宋体" w:hAnsi="宋体" w:cs="宋体"/>
                <w:sz w:val="24"/>
                <w:highlight w:val="none"/>
              </w:rPr>
              <w:t xml:space="preserve">    见磋商公告</w:t>
            </w:r>
          </w:p>
        </w:tc>
      </w:tr>
      <w:tr w14:paraId="6D80C2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34" w:type="dxa"/>
            <w:vAlign w:val="center"/>
          </w:tcPr>
          <w:p w14:paraId="0D09729A">
            <w:pPr>
              <w:numPr>
                <w:ilvl w:val="0"/>
                <w:numId w:val="0"/>
              </w:numPr>
              <w:spacing w:beforeLines="50"/>
              <w:ind w:left="420" w:leftChars="0" w:hanging="420" w:firstLineChars="0"/>
              <w:jc w:val="center"/>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16.</w:t>
            </w:r>
          </w:p>
        </w:tc>
        <w:tc>
          <w:tcPr>
            <w:tcW w:w="1993" w:type="dxa"/>
            <w:vAlign w:val="center"/>
          </w:tcPr>
          <w:p w14:paraId="1CD120DA">
            <w:pPr>
              <w:spacing w:beforeLines="50"/>
              <w:jc w:val="center"/>
              <w:rPr>
                <w:rFonts w:ascii="宋体" w:hAnsi="宋体" w:cs="宋体"/>
                <w:sz w:val="24"/>
                <w:highlight w:val="none"/>
              </w:rPr>
            </w:pPr>
            <w:r>
              <w:rPr>
                <w:rFonts w:hint="eastAsia" w:ascii="宋体" w:hAnsi="宋体" w:cs="宋体"/>
                <w:sz w:val="24"/>
                <w:highlight w:val="none"/>
              </w:rPr>
              <w:t>磋商程序和内容</w:t>
            </w:r>
          </w:p>
        </w:tc>
        <w:tc>
          <w:tcPr>
            <w:tcW w:w="6613" w:type="dxa"/>
            <w:vAlign w:val="center"/>
          </w:tcPr>
          <w:p w14:paraId="2C493572">
            <w:pPr>
              <w:tabs>
                <w:tab w:val="left" w:pos="8640"/>
              </w:tabs>
              <w:rPr>
                <w:rFonts w:ascii="宋体" w:hAnsi="宋体" w:cs="宋体"/>
                <w:sz w:val="24"/>
                <w:highlight w:val="none"/>
              </w:rPr>
            </w:pPr>
            <w:r>
              <w:rPr>
                <w:rFonts w:hint="eastAsia" w:ascii="宋体" w:hAnsi="宋体" w:cs="宋体"/>
                <w:sz w:val="24"/>
                <w:highlight w:val="none"/>
              </w:rPr>
              <w:t>详见磋商文件第二章</w:t>
            </w:r>
          </w:p>
        </w:tc>
      </w:tr>
      <w:tr w14:paraId="66C6A6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34" w:type="dxa"/>
            <w:vAlign w:val="center"/>
          </w:tcPr>
          <w:p w14:paraId="55681937">
            <w:pPr>
              <w:numPr>
                <w:ilvl w:val="0"/>
                <w:numId w:val="0"/>
              </w:numPr>
              <w:spacing w:beforeLines="50"/>
              <w:ind w:left="420" w:leftChars="0" w:hanging="420" w:firstLineChars="0"/>
              <w:jc w:val="center"/>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17.</w:t>
            </w:r>
          </w:p>
        </w:tc>
        <w:tc>
          <w:tcPr>
            <w:tcW w:w="1993" w:type="dxa"/>
            <w:vAlign w:val="center"/>
          </w:tcPr>
          <w:p w14:paraId="137289EF">
            <w:pPr>
              <w:spacing w:beforeLines="50"/>
              <w:jc w:val="center"/>
              <w:rPr>
                <w:rFonts w:ascii="宋体" w:hAnsi="宋体" w:cs="宋体"/>
                <w:sz w:val="24"/>
                <w:highlight w:val="none"/>
              </w:rPr>
            </w:pPr>
            <w:r>
              <w:rPr>
                <w:rFonts w:hint="eastAsia" w:ascii="宋体" w:hAnsi="宋体" w:cs="宋体"/>
                <w:sz w:val="24"/>
                <w:highlight w:val="none"/>
              </w:rPr>
              <w:t>授予合同</w:t>
            </w:r>
          </w:p>
        </w:tc>
        <w:tc>
          <w:tcPr>
            <w:tcW w:w="6613" w:type="dxa"/>
            <w:vAlign w:val="center"/>
          </w:tcPr>
          <w:p w14:paraId="6CEF1E5D">
            <w:pPr>
              <w:tabs>
                <w:tab w:val="left" w:pos="8640"/>
              </w:tabs>
              <w:jc w:val="left"/>
              <w:rPr>
                <w:rFonts w:ascii="宋体" w:hAnsi="宋体" w:cs="宋体"/>
                <w:sz w:val="24"/>
                <w:highlight w:val="none"/>
              </w:rPr>
            </w:pPr>
            <w:r>
              <w:rPr>
                <w:rFonts w:hint="eastAsia" w:ascii="宋体" w:hAnsi="宋体" w:cs="宋体"/>
                <w:sz w:val="24"/>
                <w:highlight w:val="none"/>
              </w:rPr>
              <w:t>采购人根据磋商小组的推荐意见，确定成交供应商。采购代理机构向成交供应商发出成交通知书。</w:t>
            </w:r>
          </w:p>
        </w:tc>
      </w:tr>
      <w:tr w14:paraId="2B7E9E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734" w:type="dxa"/>
            <w:vAlign w:val="center"/>
          </w:tcPr>
          <w:p w14:paraId="394F04FA">
            <w:pPr>
              <w:numPr>
                <w:ilvl w:val="0"/>
                <w:numId w:val="0"/>
              </w:numPr>
              <w:spacing w:beforeLines="50"/>
              <w:ind w:left="420" w:leftChars="0" w:hanging="420" w:firstLineChars="0"/>
              <w:jc w:val="center"/>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18.</w:t>
            </w:r>
          </w:p>
        </w:tc>
        <w:tc>
          <w:tcPr>
            <w:tcW w:w="1993" w:type="dxa"/>
            <w:vAlign w:val="center"/>
          </w:tcPr>
          <w:p w14:paraId="70610F40">
            <w:pPr>
              <w:spacing w:beforeLines="50"/>
              <w:ind w:firstLine="14" w:firstLineChars="6"/>
              <w:jc w:val="center"/>
              <w:rPr>
                <w:rFonts w:ascii="宋体" w:hAnsi="宋体" w:cs="宋体"/>
                <w:sz w:val="24"/>
                <w:highlight w:val="none"/>
              </w:rPr>
            </w:pPr>
            <w:r>
              <w:rPr>
                <w:rFonts w:hint="eastAsia" w:ascii="宋体" w:hAnsi="宋体" w:cs="宋体"/>
                <w:sz w:val="24"/>
                <w:highlight w:val="none"/>
              </w:rPr>
              <w:t>签订合同</w:t>
            </w:r>
          </w:p>
        </w:tc>
        <w:tc>
          <w:tcPr>
            <w:tcW w:w="6613" w:type="dxa"/>
            <w:vAlign w:val="center"/>
          </w:tcPr>
          <w:p w14:paraId="5D3454DA">
            <w:pPr>
              <w:tabs>
                <w:tab w:val="left" w:pos="8640"/>
              </w:tabs>
              <w:ind w:left="-2" w:leftChars="-1"/>
              <w:rPr>
                <w:rFonts w:ascii="宋体" w:hAnsi="宋体" w:cs="宋体"/>
                <w:sz w:val="24"/>
                <w:highlight w:val="none"/>
              </w:rPr>
            </w:pPr>
            <w:r>
              <w:rPr>
                <w:rFonts w:hint="eastAsia" w:ascii="宋体" w:hAnsi="宋体" w:cs="宋体"/>
                <w:sz w:val="24"/>
                <w:highlight w:val="none"/>
              </w:rPr>
              <w:t>1）接到成交通知书30天内，成交供应商应与采购人签订采购合同。</w:t>
            </w:r>
          </w:p>
          <w:p w14:paraId="3B835E3E">
            <w:pPr>
              <w:tabs>
                <w:tab w:val="left" w:pos="8640"/>
              </w:tabs>
              <w:ind w:left="-2" w:leftChars="-1"/>
              <w:rPr>
                <w:rFonts w:ascii="宋体" w:hAnsi="宋体" w:cs="宋体"/>
                <w:sz w:val="24"/>
                <w:highlight w:val="none"/>
              </w:rPr>
            </w:pPr>
            <w:r>
              <w:rPr>
                <w:rFonts w:hint="eastAsia" w:ascii="宋体" w:hAnsi="宋体" w:cs="宋体"/>
                <w:sz w:val="24"/>
                <w:highlight w:val="none"/>
              </w:rPr>
              <w:t>2）本磋商文件、响应文件及磋商、评审过程中有关澄清、承诺文件的内容，将作为签订合同的主要内容。</w:t>
            </w:r>
          </w:p>
        </w:tc>
      </w:tr>
      <w:tr w14:paraId="5699D4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34" w:type="dxa"/>
            <w:vAlign w:val="center"/>
          </w:tcPr>
          <w:p w14:paraId="2FD95B07">
            <w:pPr>
              <w:numPr>
                <w:ilvl w:val="0"/>
                <w:numId w:val="0"/>
              </w:numPr>
              <w:spacing w:beforeLines="50"/>
              <w:ind w:left="420" w:leftChars="0" w:hanging="420" w:firstLineChars="0"/>
              <w:jc w:val="center"/>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19.</w:t>
            </w:r>
          </w:p>
        </w:tc>
        <w:tc>
          <w:tcPr>
            <w:tcW w:w="1993" w:type="dxa"/>
            <w:vAlign w:val="center"/>
          </w:tcPr>
          <w:p w14:paraId="574903F7">
            <w:pPr>
              <w:spacing w:beforeLines="50"/>
              <w:ind w:firstLine="14" w:firstLineChars="6"/>
              <w:jc w:val="center"/>
              <w:rPr>
                <w:rFonts w:ascii="宋体" w:hAnsi="宋体" w:cs="宋体"/>
                <w:sz w:val="24"/>
                <w:highlight w:val="none"/>
              </w:rPr>
            </w:pPr>
            <w:r>
              <w:rPr>
                <w:rFonts w:hint="eastAsia" w:ascii="宋体" w:hAnsi="宋体" w:cs="宋体"/>
                <w:sz w:val="24"/>
                <w:highlight w:val="none"/>
              </w:rPr>
              <w:t>投标保证金</w:t>
            </w:r>
          </w:p>
        </w:tc>
        <w:tc>
          <w:tcPr>
            <w:tcW w:w="6613" w:type="dxa"/>
            <w:vAlign w:val="center"/>
          </w:tcPr>
          <w:p w14:paraId="00E48027">
            <w:pPr>
              <w:tabs>
                <w:tab w:val="left" w:pos="8640"/>
              </w:tabs>
              <w:ind w:left="-2" w:leftChars="-1"/>
              <w:rPr>
                <w:rFonts w:ascii="宋体" w:hAnsi="宋体" w:cs="宋体"/>
                <w:sz w:val="24"/>
                <w:highlight w:val="none"/>
              </w:rPr>
            </w:pPr>
            <w:r>
              <w:rPr>
                <w:rFonts w:hint="eastAsia" w:ascii="宋体" w:hAnsi="宋体" w:cs="宋体"/>
                <w:sz w:val="24"/>
                <w:highlight w:val="none"/>
              </w:rPr>
              <w:t>本项目不需要交纳投标保证金</w:t>
            </w:r>
          </w:p>
        </w:tc>
      </w:tr>
      <w:tr w14:paraId="761F07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34" w:type="dxa"/>
            <w:vAlign w:val="center"/>
          </w:tcPr>
          <w:p w14:paraId="02D01F21">
            <w:pPr>
              <w:numPr>
                <w:ilvl w:val="0"/>
                <w:numId w:val="0"/>
              </w:numPr>
              <w:spacing w:beforeLines="50"/>
              <w:ind w:left="420" w:leftChars="0" w:hanging="420" w:firstLineChars="0"/>
              <w:jc w:val="center"/>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20.</w:t>
            </w:r>
          </w:p>
        </w:tc>
        <w:tc>
          <w:tcPr>
            <w:tcW w:w="1993" w:type="dxa"/>
            <w:vAlign w:val="center"/>
          </w:tcPr>
          <w:p w14:paraId="0DC586BC">
            <w:pPr>
              <w:jc w:val="center"/>
              <w:rPr>
                <w:rFonts w:ascii="宋体" w:hAnsi="宋体" w:cs="宋体"/>
                <w:sz w:val="24"/>
                <w:highlight w:val="none"/>
              </w:rPr>
            </w:pPr>
            <w:r>
              <w:rPr>
                <w:rFonts w:hint="eastAsia" w:ascii="宋体" w:hAnsi="宋体" w:cs="宋体"/>
                <w:sz w:val="24"/>
                <w:highlight w:val="none"/>
              </w:rPr>
              <w:t>服务期限</w:t>
            </w:r>
          </w:p>
        </w:tc>
        <w:tc>
          <w:tcPr>
            <w:tcW w:w="6613" w:type="dxa"/>
            <w:vAlign w:val="center"/>
          </w:tcPr>
          <w:p w14:paraId="48690EBD">
            <w:pPr>
              <w:jc w:val="left"/>
              <w:rPr>
                <w:rFonts w:hint="eastAsia" w:ascii="宋体" w:hAnsi="宋体" w:eastAsia="宋体" w:cs="宋体"/>
                <w:sz w:val="24"/>
                <w:highlight w:val="none"/>
                <w:lang w:eastAsia="zh-CN"/>
              </w:rPr>
            </w:pPr>
            <w:r>
              <w:rPr>
                <w:rFonts w:hint="eastAsia" w:ascii="宋体" w:hAnsi="宋体" w:cs="宋体"/>
                <w:sz w:val="24"/>
                <w:highlight w:val="none"/>
                <w:lang w:val="en-US" w:eastAsia="zh-CN"/>
              </w:rPr>
              <w:t>一年</w:t>
            </w:r>
          </w:p>
        </w:tc>
      </w:tr>
      <w:tr w14:paraId="476F33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34" w:type="dxa"/>
            <w:vAlign w:val="center"/>
          </w:tcPr>
          <w:p w14:paraId="6F1FB5B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21.</w:t>
            </w:r>
          </w:p>
        </w:tc>
        <w:tc>
          <w:tcPr>
            <w:tcW w:w="1993" w:type="dxa"/>
            <w:vAlign w:val="center"/>
          </w:tcPr>
          <w:p w14:paraId="57C4851B">
            <w:pPr>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6613" w:type="dxa"/>
            <w:vAlign w:val="center"/>
          </w:tcPr>
          <w:p w14:paraId="34E9B847">
            <w:pPr>
              <w:tabs>
                <w:tab w:val="left" w:pos="8640"/>
              </w:tabs>
              <w:ind w:left="-2" w:leftChars="-1"/>
              <w:rPr>
                <w:rFonts w:hint="eastAsia" w:ascii="宋体" w:hAnsi="宋体" w:eastAsia="宋体" w:cs="宋体"/>
                <w:color w:val="auto"/>
                <w:sz w:val="24"/>
                <w:szCs w:val="24"/>
                <w:highlight w:val="none"/>
              </w:rPr>
            </w:pPr>
            <w:r>
              <w:rPr>
                <w:rFonts w:hint="eastAsia" w:ascii="宋体" w:hAnsi="宋体" w:cs="宋体"/>
                <w:sz w:val="24"/>
                <w:highlight w:val="none"/>
                <w:lang w:val="en-US" w:eastAsia="zh-CN"/>
              </w:rPr>
              <w:t>按季度付款，每季度结束验收合格后，支付上季度费用。</w:t>
            </w:r>
          </w:p>
        </w:tc>
      </w:tr>
      <w:tr w14:paraId="36A705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34" w:type="dxa"/>
            <w:vAlign w:val="center"/>
          </w:tcPr>
          <w:p w14:paraId="51F91082">
            <w:pPr>
              <w:numPr>
                <w:ilvl w:val="0"/>
                <w:numId w:val="0"/>
              </w:numPr>
              <w:spacing w:beforeLines="50"/>
              <w:ind w:left="420" w:leftChars="0" w:hanging="420" w:firstLineChars="0"/>
              <w:jc w:val="center"/>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22.</w:t>
            </w:r>
          </w:p>
        </w:tc>
        <w:tc>
          <w:tcPr>
            <w:tcW w:w="1993" w:type="dxa"/>
            <w:vAlign w:val="center"/>
          </w:tcPr>
          <w:p w14:paraId="7499E056">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勘察现场</w:t>
            </w:r>
          </w:p>
        </w:tc>
        <w:tc>
          <w:tcPr>
            <w:tcW w:w="6613" w:type="dxa"/>
            <w:vAlign w:val="center"/>
          </w:tcPr>
          <w:p w14:paraId="2F9C8820">
            <w:pPr>
              <w:bidi w:val="0"/>
              <w:jc w:val="both"/>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不组织</w:t>
            </w:r>
          </w:p>
        </w:tc>
      </w:tr>
      <w:tr w14:paraId="5E2A2B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34" w:type="dxa"/>
            <w:vAlign w:val="center"/>
          </w:tcPr>
          <w:p w14:paraId="6785DF07">
            <w:pPr>
              <w:numPr>
                <w:ilvl w:val="0"/>
                <w:numId w:val="0"/>
              </w:numPr>
              <w:tabs>
                <w:tab w:val="left" w:pos="420"/>
              </w:tabs>
              <w:spacing w:line="240" w:lineRule="auto"/>
              <w:ind w:left="0" w:leftChars="0" w:firstLine="0" w:firstLineChars="0"/>
              <w:jc w:val="center"/>
              <w:rPr>
                <w:rFonts w:hint="eastAsia" w:ascii="宋体" w:hAnsi="宋体" w:eastAsia="宋体" w:cs="宋体"/>
                <w:sz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p>
        </w:tc>
        <w:tc>
          <w:tcPr>
            <w:tcW w:w="1993" w:type="dxa"/>
            <w:vAlign w:val="center"/>
          </w:tcPr>
          <w:p w14:paraId="76524DDB">
            <w:pPr>
              <w:bidi w:val="0"/>
              <w:jc w:val="center"/>
              <w:rPr>
                <w:rFonts w:hint="default" w:ascii="宋体" w:hAnsi="宋体" w:eastAsia="宋体" w:cs="宋体"/>
                <w:b/>
                <w:bCs/>
                <w:color w:val="auto"/>
                <w:sz w:val="24"/>
                <w:highlight w:val="none"/>
                <w:lang w:val="en-US" w:eastAsia="zh-CN"/>
              </w:rPr>
            </w:pPr>
            <w:r>
              <w:rPr>
                <w:rFonts w:hint="eastAsia" w:asciiTheme="minorEastAsia" w:hAnsiTheme="minorEastAsia" w:eastAsiaTheme="minorEastAsia" w:cstheme="minorEastAsia"/>
                <w:b/>
                <w:bCs/>
                <w:sz w:val="24"/>
                <w:szCs w:val="24"/>
                <w:highlight w:val="none"/>
              </w:rPr>
              <w:t>报价</w:t>
            </w:r>
          </w:p>
        </w:tc>
        <w:tc>
          <w:tcPr>
            <w:tcW w:w="6613" w:type="dxa"/>
            <w:vAlign w:val="center"/>
          </w:tcPr>
          <w:p w14:paraId="23FDA229">
            <w:pPr>
              <w:tabs>
                <w:tab w:val="left" w:pos="8640"/>
              </w:tabs>
              <w:spacing w:line="240" w:lineRule="auto"/>
              <w:jc w:val="left"/>
              <w:rPr>
                <w:rFonts w:hint="default" w:ascii="宋体" w:hAnsi="宋体" w:eastAsia="宋体" w:cs="宋体"/>
                <w:b/>
                <w:bCs/>
                <w:color w:val="auto"/>
                <w:sz w:val="24"/>
                <w:highlight w:val="none"/>
                <w:u w:val="single"/>
                <w:lang w:val="en-US" w:eastAsia="zh-CN"/>
              </w:rPr>
            </w:pPr>
            <w:r>
              <w:rPr>
                <w:rFonts w:hint="eastAsia" w:asciiTheme="minorEastAsia" w:hAnsiTheme="minorEastAsia" w:eastAsiaTheme="minorEastAsia" w:cstheme="minorEastAsia"/>
                <w:b/>
                <w:bCs/>
                <w:sz w:val="24"/>
                <w:szCs w:val="24"/>
                <w:highlight w:val="none"/>
              </w:rPr>
              <w:t>一次报价</w:t>
            </w:r>
          </w:p>
        </w:tc>
      </w:tr>
      <w:tr w14:paraId="725C22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34" w:type="dxa"/>
            <w:vAlign w:val="center"/>
          </w:tcPr>
          <w:p w14:paraId="0A73311C">
            <w:pPr>
              <w:numPr>
                <w:ilvl w:val="0"/>
                <w:numId w:val="0"/>
              </w:numPr>
              <w:spacing w:beforeLines="50"/>
              <w:ind w:leftChars="0"/>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26.</w:t>
            </w:r>
          </w:p>
        </w:tc>
        <w:tc>
          <w:tcPr>
            <w:tcW w:w="1993" w:type="dxa"/>
            <w:vAlign w:val="center"/>
          </w:tcPr>
          <w:p w14:paraId="4CF3FEBC">
            <w:pPr>
              <w:spacing w:line="240" w:lineRule="auto"/>
              <w:ind w:firstLine="14" w:firstLineChars="0"/>
              <w:jc w:val="center"/>
              <w:rPr>
                <w:rFonts w:hint="default" w:ascii="宋体" w:hAnsi="宋体" w:eastAsia="宋体"/>
                <w:sz w:val="24"/>
                <w:szCs w:val="24"/>
                <w:highlight w:val="none"/>
                <w:lang w:val="en-US" w:eastAsia="zh-CN"/>
              </w:rPr>
            </w:pPr>
            <w:r>
              <w:rPr>
                <w:rFonts w:hint="eastAsia" w:ascii="宋体" w:hAnsi="宋体" w:eastAsia="宋体" w:cs="宋体"/>
                <w:sz w:val="24"/>
                <w:szCs w:val="24"/>
                <w:highlight w:val="none"/>
                <w:lang w:val="en-US" w:eastAsia="zh-CN"/>
              </w:rPr>
              <w:t>本项目所属行业</w:t>
            </w:r>
          </w:p>
        </w:tc>
        <w:tc>
          <w:tcPr>
            <w:tcW w:w="6613" w:type="dxa"/>
            <w:vAlign w:val="center"/>
          </w:tcPr>
          <w:p w14:paraId="327683D9">
            <w:pPr>
              <w:rPr>
                <w:rFonts w:hint="eastAsia" w:ascii="宋体" w:hAnsi="宋体"/>
                <w:sz w:val="24"/>
                <w:szCs w:val="24"/>
                <w:highlight w:val="none"/>
              </w:rPr>
            </w:pPr>
            <w:r>
              <w:rPr>
                <w:rFonts w:hint="eastAsia" w:ascii="宋体" w:hAnsi="宋体" w:eastAsia="宋体"/>
                <w:sz w:val="24"/>
                <w:szCs w:val="24"/>
                <w:highlight w:val="none"/>
              </w:rPr>
              <w:t>其他未列明行业</w:t>
            </w:r>
            <w:r>
              <w:rPr>
                <w:rFonts w:hint="eastAsia" w:ascii="宋体" w:hAnsi="宋体" w:eastAsia="宋体"/>
                <w:sz w:val="24"/>
                <w:szCs w:val="24"/>
                <w:highlight w:val="none"/>
                <w:lang w:eastAsia="zh-CN"/>
              </w:rPr>
              <w:t>。</w:t>
            </w:r>
          </w:p>
        </w:tc>
      </w:tr>
    </w:tbl>
    <w:p w14:paraId="4EE8771F">
      <w:pPr>
        <w:spacing w:line="720" w:lineRule="auto"/>
        <w:jc w:val="center"/>
        <w:rPr>
          <w:rFonts w:hint="eastAsia" w:ascii="宋体" w:hAnsi="宋体" w:cs="宋体"/>
          <w:b/>
          <w:sz w:val="30"/>
          <w:szCs w:val="30"/>
          <w:highlight w:val="none"/>
        </w:rPr>
      </w:pPr>
    </w:p>
    <w:p w14:paraId="0A57385C">
      <w:pPr>
        <w:spacing w:line="720" w:lineRule="auto"/>
        <w:jc w:val="center"/>
        <w:rPr>
          <w:rFonts w:hint="eastAsia" w:ascii="宋体" w:hAnsi="宋体" w:cs="宋体"/>
          <w:b/>
          <w:sz w:val="30"/>
          <w:szCs w:val="30"/>
          <w:highlight w:val="none"/>
        </w:rPr>
      </w:pPr>
    </w:p>
    <w:p w14:paraId="7E67578A">
      <w:pPr>
        <w:spacing w:line="720" w:lineRule="auto"/>
        <w:jc w:val="center"/>
        <w:rPr>
          <w:rFonts w:hint="eastAsia" w:ascii="宋体" w:hAnsi="宋体" w:cs="宋体"/>
          <w:b/>
          <w:sz w:val="30"/>
          <w:szCs w:val="30"/>
          <w:highlight w:val="none"/>
        </w:rPr>
      </w:pPr>
    </w:p>
    <w:p w14:paraId="343C5DC3">
      <w:pPr>
        <w:spacing w:line="720" w:lineRule="auto"/>
        <w:jc w:val="center"/>
        <w:rPr>
          <w:rFonts w:hint="eastAsia" w:ascii="宋体" w:hAnsi="宋体" w:cs="宋体"/>
          <w:b/>
          <w:sz w:val="30"/>
          <w:szCs w:val="30"/>
          <w:highlight w:val="none"/>
        </w:rPr>
      </w:pPr>
    </w:p>
    <w:p w14:paraId="49BF20ED">
      <w:pPr>
        <w:spacing w:line="720" w:lineRule="auto"/>
        <w:jc w:val="center"/>
        <w:rPr>
          <w:rFonts w:hint="eastAsia" w:ascii="宋体" w:hAnsi="宋体" w:cs="宋体"/>
          <w:b/>
          <w:sz w:val="30"/>
          <w:szCs w:val="30"/>
          <w:highlight w:val="none"/>
        </w:rPr>
      </w:pPr>
    </w:p>
    <w:p w14:paraId="46380E76">
      <w:pPr>
        <w:spacing w:line="720" w:lineRule="auto"/>
        <w:jc w:val="center"/>
        <w:rPr>
          <w:rFonts w:ascii="宋体" w:hAnsi="宋体" w:cs="宋体"/>
          <w:b/>
          <w:sz w:val="30"/>
          <w:szCs w:val="30"/>
          <w:highlight w:val="none"/>
        </w:rPr>
      </w:pPr>
      <w:r>
        <w:rPr>
          <w:rFonts w:hint="eastAsia" w:ascii="宋体" w:hAnsi="宋体" w:cs="宋体"/>
          <w:b/>
          <w:sz w:val="30"/>
          <w:szCs w:val="30"/>
          <w:highlight w:val="none"/>
        </w:rPr>
        <w:t>一、总则</w:t>
      </w:r>
    </w:p>
    <w:p w14:paraId="216373E5">
      <w:pPr>
        <w:spacing w:line="360" w:lineRule="auto"/>
        <w:ind w:firstLine="482" w:firstLineChars="200"/>
        <w:rPr>
          <w:rFonts w:ascii="宋体" w:hAnsi="宋体" w:cs="宋体"/>
          <w:sz w:val="24"/>
          <w:highlight w:val="none"/>
        </w:rPr>
      </w:pPr>
      <w:r>
        <w:rPr>
          <w:rFonts w:hint="eastAsia" w:ascii="宋体" w:hAnsi="宋体" w:cs="宋体"/>
          <w:b/>
          <w:sz w:val="24"/>
          <w:highlight w:val="none"/>
        </w:rPr>
        <w:t>1．适用范围</w:t>
      </w:r>
    </w:p>
    <w:p w14:paraId="1E2A87DF">
      <w:pPr>
        <w:spacing w:line="360" w:lineRule="auto"/>
        <w:ind w:firstLine="480" w:firstLineChars="200"/>
        <w:rPr>
          <w:rFonts w:ascii="宋体" w:hAnsi="宋体" w:cs="宋体"/>
          <w:bCs/>
          <w:sz w:val="24"/>
          <w:highlight w:val="none"/>
        </w:rPr>
      </w:pPr>
      <w:r>
        <w:rPr>
          <w:rFonts w:hint="eastAsia" w:ascii="宋体" w:hAnsi="宋体" w:cs="宋体"/>
          <w:sz w:val="24"/>
          <w:highlight w:val="none"/>
        </w:rPr>
        <w:t>1.1本竞争性磋商文件仅适用于本次竞争性磋商邀请函中所述</w:t>
      </w:r>
      <w:r>
        <w:rPr>
          <w:rFonts w:hint="eastAsia" w:ascii="宋体" w:hAnsi="宋体" w:cs="宋体"/>
          <w:bCs/>
          <w:sz w:val="24"/>
          <w:highlight w:val="none"/>
        </w:rPr>
        <w:t>项目。</w:t>
      </w:r>
    </w:p>
    <w:p w14:paraId="2267143F">
      <w:pPr>
        <w:spacing w:line="360" w:lineRule="auto"/>
        <w:ind w:firstLine="482" w:firstLineChars="200"/>
        <w:rPr>
          <w:rFonts w:ascii="宋体" w:hAnsi="宋体" w:cs="宋体"/>
          <w:b/>
          <w:sz w:val="24"/>
          <w:highlight w:val="none"/>
        </w:rPr>
      </w:pPr>
      <w:r>
        <w:rPr>
          <w:rFonts w:hint="eastAsia" w:ascii="宋体" w:hAnsi="宋体" w:cs="宋体"/>
          <w:b/>
          <w:sz w:val="24"/>
          <w:highlight w:val="none"/>
        </w:rPr>
        <w:t>2．定义</w:t>
      </w:r>
    </w:p>
    <w:p w14:paraId="17B5E26A">
      <w:pPr>
        <w:spacing w:line="360" w:lineRule="auto"/>
        <w:ind w:firstLine="480" w:firstLineChars="200"/>
        <w:rPr>
          <w:rFonts w:ascii="宋体" w:hAnsi="宋体" w:cs="宋体"/>
          <w:sz w:val="24"/>
          <w:highlight w:val="none"/>
        </w:rPr>
      </w:pPr>
      <w:r>
        <w:rPr>
          <w:rFonts w:hint="eastAsia" w:ascii="宋体" w:hAnsi="宋体" w:cs="宋体"/>
          <w:sz w:val="24"/>
          <w:highlight w:val="none"/>
        </w:rPr>
        <w:t>2.1“采购代理机构”：周口市公共资源交易中心政府采购中心。</w:t>
      </w:r>
    </w:p>
    <w:p w14:paraId="52277F8A">
      <w:pPr>
        <w:tabs>
          <w:tab w:val="left" w:pos="0"/>
        </w:tabs>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2.2“采购人”：</w:t>
      </w:r>
      <w:r>
        <w:rPr>
          <w:rFonts w:hint="eastAsia" w:ascii="宋体" w:hAnsi="宋体" w:cs="宋体"/>
          <w:sz w:val="24"/>
          <w:highlight w:val="none"/>
          <w:lang w:val="en-US" w:eastAsia="zh-CN"/>
        </w:rPr>
        <w:t>西华县中医院。</w:t>
      </w:r>
    </w:p>
    <w:p w14:paraId="0046287A">
      <w:pPr>
        <w:spacing w:line="360" w:lineRule="auto"/>
        <w:ind w:firstLine="480" w:firstLineChars="200"/>
        <w:rPr>
          <w:rFonts w:ascii="宋体" w:hAnsi="宋体" w:cs="宋体"/>
          <w:sz w:val="24"/>
          <w:highlight w:val="none"/>
        </w:rPr>
      </w:pPr>
      <w:r>
        <w:rPr>
          <w:rFonts w:hint="eastAsia" w:ascii="宋体" w:hAnsi="宋体" w:cs="宋体"/>
          <w:sz w:val="24"/>
          <w:highlight w:val="none"/>
        </w:rPr>
        <w:t>2.3“供应商”系指按竞争性磋商文件规定取得竞争性磋商文件并参加竞争性磋商活动的法人、其他组织或者自然人。</w:t>
      </w:r>
    </w:p>
    <w:p w14:paraId="5A5A6E7C">
      <w:pPr>
        <w:spacing w:line="360" w:lineRule="auto"/>
        <w:ind w:firstLine="480" w:firstLineChars="200"/>
        <w:rPr>
          <w:rFonts w:ascii="宋体" w:hAnsi="宋体" w:cs="宋体"/>
          <w:sz w:val="24"/>
          <w:highlight w:val="none"/>
        </w:rPr>
      </w:pPr>
      <w:r>
        <w:rPr>
          <w:rFonts w:hint="eastAsia" w:ascii="宋体" w:hAnsi="宋体" w:cs="宋体"/>
          <w:sz w:val="24"/>
          <w:highlight w:val="none"/>
        </w:rPr>
        <w:t>2.4“供应商代表”：系指代表供应商参加本次竞争性磋商活动的供应商的法定代表人或其委托代理人。</w:t>
      </w:r>
    </w:p>
    <w:p w14:paraId="51CD4D06">
      <w:pPr>
        <w:spacing w:line="360" w:lineRule="auto"/>
        <w:ind w:firstLine="480" w:firstLineChars="200"/>
        <w:rPr>
          <w:rFonts w:ascii="宋体" w:hAnsi="宋体" w:cs="宋体"/>
          <w:sz w:val="24"/>
          <w:highlight w:val="none"/>
        </w:rPr>
      </w:pPr>
      <w:r>
        <w:rPr>
          <w:rFonts w:hint="eastAsia" w:ascii="宋体" w:hAnsi="宋体" w:cs="宋体"/>
          <w:sz w:val="24"/>
          <w:highlight w:val="none"/>
        </w:rPr>
        <w:t>2.5“服务”：系指本项目所采购的服务及其他要求等。</w:t>
      </w:r>
    </w:p>
    <w:p w14:paraId="511C87B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2.6“法定代表人”系指法人单位（企业）法人营业执照（或事业法人登记证书上）上注明的法定代表人；如为其他组织或个体经营者参加竞争性磋商会的，指营业执照上注明的负责人或经营者。</w:t>
      </w:r>
    </w:p>
    <w:p w14:paraId="72F5FFD7">
      <w:pPr>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7</w:t>
      </w:r>
      <w:r>
        <w:rPr>
          <w:rFonts w:hint="eastAsia" w:ascii="宋体" w:hAnsi="宋体" w:cs="宋体"/>
          <w:sz w:val="24"/>
          <w:highlight w:val="none"/>
        </w:rPr>
        <w:t>“重大违法记录”系指供应商因违法经营受到刑事处罚或者责令停产停业、吊销许可证或者执照、较大数额罚款等行政处罚。</w:t>
      </w:r>
    </w:p>
    <w:p w14:paraId="672F1B86">
      <w:pPr>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8</w:t>
      </w:r>
      <w:r>
        <w:rPr>
          <w:rFonts w:hint="eastAsia" w:ascii="宋体" w:hAnsi="宋体" w:cs="宋体"/>
          <w:sz w:val="24"/>
          <w:highlight w:val="none"/>
        </w:rPr>
        <w:t>“不具备良好的商业信誉”是指：</w:t>
      </w:r>
    </w:p>
    <w:p w14:paraId="18C995BC">
      <w:pPr>
        <w:spacing w:line="360" w:lineRule="auto"/>
        <w:ind w:firstLine="480" w:firstLineChars="200"/>
        <w:rPr>
          <w:rFonts w:ascii="宋体" w:hAnsi="宋体" w:cs="宋体"/>
          <w:sz w:val="24"/>
          <w:highlight w:val="none"/>
        </w:rPr>
      </w:pPr>
      <w:r>
        <w:rPr>
          <w:rFonts w:hint="eastAsia" w:ascii="宋体" w:hAnsi="宋体" w:cs="宋体"/>
          <w:sz w:val="24"/>
          <w:highlight w:val="none"/>
        </w:rPr>
        <w:t>（1）有重大违法记录的（满三年的除外）；</w:t>
      </w:r>
    </w:p>
    <w:p w14:paraId="6EFBC0FF">
      <w:pPr>
        <w:spacing w:line="360" w:lineRule="auto"/>
        <w:ind w:firstLine="480" w:firstLineChars="200"/>
        <w:rPr>
          <w:rFonts w:ascii="宋体" w:hAnsi="宋体" w:cs="宋体"/>
          <w:sz w:val="24"/>
          <w:highlight w:val="none"/>
        </w:rPr>
      </w:pPr>
      <w:r>
        <w:rPr>
          <w:rFonts w:hint="eastAsia" w:ascii="宋体" w:hAnsi="宋体" w:cs="宋体"/>
          <w:sz w:val="24"/>
          <w:highlight w:val="none"/>
        </w:rPr>
        <w:t>（2）被各级财政部门列入政府采购严重违法失信行为信息记录的（期限已满的除外）；</w:t>
      </w:r>
    </w:p>
    <w:p w14:paraId="38455DEC">
      <w:pPr>
        <w:spacing w:line="360" w:lineRule="auto"/>
        <w:ind w:firstLine="480" w:firstLineChars="200"/>
        <w:rPr>
          <w:rFonts w:ascii="宋体" w:hAnsi="宋体" w:cs="宋体"/>
          <w:sz w:val="24"/>
          <w:highlight w:val="none"/>
        </w:rPr>
      </w:pPr>
      <w:r>
        <w:rPr>
          <w:rFonts w:hint="eastAsia" w:ascii="宋体" w:hAnsi="宋体" w:cs="宋体"/>
          <w:sz w:val="24"/>
          <w:highlight w:val="none"/>
        </w:rPr>
        <w:t>（3）被各级政府采购监督管理部门禁止在一定期限内参加政府采购活动等处罚的（期限已满的除外）；</w:t>
      </w:r>
    </w:p>
    <w:p w14:paraId="03EC39F7">
      <w:pPr>
        <w:spacing w:line="360" w:lineRule="auto"/>
        <w:ind w:firstLine="480" w:firstLineChars="200"/>
        <w:rPr>
          <w:rFonts w:ascii="宋体" w:hAnsi="宋体" w:cs="宋体"/>
          <w:sz w:val="24"/>
          <w:highlight w:val="none"/>
        </w:rPr>
      </w:pPr>
      <w:r>
        <w:rPr>
          <w:rFonts w:hint="eastAsia" w:ascii="宋体" w:hAnsi="宋体" w:cs="宋体"/>
          <w:sz w:val="24"/>
          <w:highlight w:val="none"/>
        </w:rPr>
        <w:t>（4）被各级法院列入失信名单的（已依法解除的除外）；</w:t>
      </w:r>
    </w:p>
    <w:p w14:paraId="5862EC8A">
      <w:pPr>
        <w:spacing w:line="360" w:lineRule="auto"/>
        <w:ind w:firstLine="480" w:firstLineChars="200"/>
        <w:rPr>
          <w:rFonts w:ascii="宋体" w:hAnsi="宋体" w:cs="宋体"/>
          <w:sz w:val="24"/>
          <w:highlight w:val="none"/>
        </w:rPr>
      </w:pPr>
      <w:r>
        <w:rPr>
          <w:rFonts w:hint="eastAsia" w:ascii="宋体" w:hAnsi="宋体" w:cs="宋体"/>
          <w:sz w:val="24"/>
          <w:highlight w:val="none"/>
        </w:rPr>
        <w:t>（5）法律法规规定的其他情形。</w:t>
      </w:r>
    </w:p>
    <w:p w14:paraId="430095F3">
      <w:pPr>
        <w:spacing w:line="360" w:lineRule="auto"/>
        <w:ind w:firstLine="482" w:firstLineChars="200"/>
        <w:rPr>
          <w:rFonts w:ascii="宋体" w:hAnsi="宋体" w:cs="宋体"/>
          <w:b/>
          <w:sz w:val="24"/>
          <w:highlight w:val="none"/>
        </w:rPr>
      </w:pPr>
      <w:r>
        <w:rPr>
          <w:rFonts w:hint="eastAsia" w:ascii="宋体" w:hAnsi="宋体" w:cs="宋体"/>
          <w:b/>
          <w:sz w:val="24"/>
          <w:highlight w:val="none"/>
        </w:rPr>
        <w:t>3.采购预算</w:t>
      </w:r>
    </w:p>
    <w:p w14:paraId="79177E31">
      <w:pPr>
        <w:spacing w:line="360" w:lineRule="auto"/>
        <w:ind w:firstLine="480" w:firstLineChars="200"/>
        <w:rPr>
          <w:rFonts w:ascii="宋体" w:hAnsi="宋体" w:cs="宋体"/>
          <w:sz w:val="24"/>
          <w:highlight w:val="none"/>
        </w:rPr>
      </w:pPr>
      <w:r>
        <w:rPr>
          <w:rFonts w:hint="eastAsia" w:ascii="宋体" w:hAnsi="宋体" w:cs="宋体"/>
          <w:sz w:val="24"/>
          <w:highlight w:val="none"/>
        </w:rPr>
        <w:t>3.1本次采购预算：见公告。</w:t>
      </w:r>
    </w:p>
    <w:p w14:paraId="25756A75">
      <w:pPr>
        <w:spacing w:line="360" w:lineRule="auto"/>
        <w:ind w:firstLine="482" w:firstLineChars="200"/>
        <w:rPr>
          <w:rFonts w:ascii="宋体" w:hAnsi="宋体" w:cs="宋体"/>
          <w:b/>
          <w:sz w:val="24"/>
          <w:highlight w:val="none"/>
        </w:rPr>
      </w:pPr>
      <w:r>
        <w:rPr>
          <w:rFonts w:hint="eastAsia" w:ascii="宋体" w:hAnsi="宋体" w:cs="宋体"/>
          <w:b/>
          <w:sz w:val="24"/>
          <w:highlight w:val="none"/>
        </w:rPr>
        <w:t>4.合格的供应商</w:t>
      </w:r>
    </w:p>
    <w:p w14:paraId="69DDC69C">
      <w:pPr>
        <w:spacing w:line="360" w:lineRule="auto"/>
        <w:ind w:firstLine="480"/>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rPr>
        <w:t>4.1符合</w:t>
      </w:r>
      <w:r>
        <w:rPr>
          <w:rFonts w:hint="eastAsia" w:asciiTheme="minorEastAsia" w:hAnsiTheme="minorEastAsia" w:eastAsiaTheme="minorEastAsia" w:cstheme="minorEastAsia"/>
          <w:color w:val="000000"/>
          <w:sz w:val="24"/>
          <w:highlight w:val="none"/>
        </w:rPr>
        <w:t>供应商资格条件（详见第一部分</w:t>
      </w:r>
      <w:r>
        <w:rPr>
          <w:rFonts w:hint="eastAsia" w:asciiTheme="minorEastAsia" w:hAnsiTheme="minorEastAsia" w:cstheme="minorEastAsia"/>
          <w:color w:val="000000"/>
          <w:sz w:val="24"/>
          <w:highlight w:val="none"/>
          <w:lang w:val="en-US" w:eastAsia="zh-CN"/>
        </w:rPr>
        <w:t>申请人的</w:t>
      </w:r>
      <w:r>
        <w:rPr>
          <w:rFonts w:hint="eastAsia" w:asciiTheme="minorEastAsia" w:hAnsiTheme="minorEastAsia" w:eastAsiaTheme="minorEastAsia" w:cstheme="minorEastAsia"/>
          <w:color w:val="000000"/>
          <w:sz w:val="24"/>
          <w:highlight w:val="none"/>
        </w:rPr>
        <w:t>资格条件）</w:t>
      </w:r>
    </w:p>
    <w:p w14:paraId="4C5B74F6">
      <w:pPr>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cs="宋体"/>
          <w:color w:val="000000"/>
          <w:sz w:val="24"/>
          <w:highlight w:val="none"/>
          <w:lang w:val="en-US" w:eastAsia="zh-CN"/>
        </w:rPr>
        <w:t>4.1.1</w:t>
      </w:r>
      <w:r>
        <w:rPr>
          <w:rFonts w:hint="eastAsia" w:ascii="宋体" w:hAnsi="宋体" w:eastAsia="宋体" w:cs="宋体"/>
          <w:sz w:val="24"/>
          <w:szCs w:val="24"/>
          <w:highlight w:val="none"/>
        </w:rPr>
        <w:t>满足《中华人民共和国政府采购法》第二十二条规定</w:t>
      </w:r>
    </w:p>
    <w:p w14:paraId="664086F0">
      <w:pPr>
        <w:bidi w:val="0"/>
        <w:spacing w:line="360" w:lineRule="auto"/>
        <w:ind w:firstLine="240" w:firstLine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（1）具有独立承担民事责任的能力；（具有有效的营业执照）；</w:t>
      </w:r>
    </w:p>
    <w:p w14:paraId="48A32EB8">
      <w:pPr>
        <w:bidi w:val="0"/>
        <w:spacing w:line="360" w:lineRule="auto"/>
        <w:ind w:firstLine="240" w:firstLine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（2）具有良好的商业信誉和健全的财务会计制度；（提供202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年度</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年度审计报告，如为新成立公司可提供银行开具资信证明</w:t>
      </w:r>
      <w:r>
        <w:rPr>
          <w:rFonts w:hint="eastAsia" w:ascii="宋体" w:hAnsi="宋体" w:cs="宋体"/>
          <w:sz w:val="24"/>
          <w:szCs w:val="24"/>
          <w:highlight w:val="none"/>
          <w:lang w:val="en-US" w:eastAsia="zh-CN"/>
        </w:rPr>
        <w:t>加公司财务制度</w:t>
      </w:r>
      <w:r>
        <w:rPr>
          <w:rFonts w:hint="eastAsia" w:ascii="宋体" w:hAnsi="宋体" w:eastAsia="宋体" w:cs="宋体"/>
          <w:sz w:val="24"/>
          <w:szCs w:val="24"/>
          <w:highlight w:val="none"/>
        </w:rPr>
        <w:t>）；</w:t>
      </w:r>
    </w:p>
    <w:p w14:paraId="6274FD77">
      <w:pPr>
        <w:bidi w:val="0"/>
        <w:spacing w:line="360" w:lineRule="auto"/>
        <w:ind w:firstLine="240" w:firstLine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（3）具有履行合同所必需的设备和专业技术能力；</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提供承诺函)；</w:t>
      </w:r>
    </w:p>
    <w:p w14:paraId="70CAFD8A">
      <w:pPr>
        <w:bidi w:val="0"/>
        <w:spacing w:line="360" w:lineRule="auto"/>
        <w:ind w:firstLine="240" w:firstLine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（4）具有依法缴纳税收和社会保障资金的良好记录；（提供</w:t>
      </w:r>
      <w:r>
        <w:rPr>
          <w:rFonts w:hint="eastAsia" w:ascii="宋体" w:hAnsi="宋体" w:cs="宋体"/>
          <w:sz w:val="24"/>
          <w:szCs w:val="24"/>
          <w:highlight w:val="none"/>
          <w:lang w:eastAsia="zh-CN"/>
        </w:rPr>
        <w:t>2026年</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月以来</w:t>
      </w:r>
      <w:r>
        <w:rPr>
          <w:rFonts w:hint="eastAsia" w:ascii="宋体" w:hAnsi="宋体" w:eastAsia="宋体" w:cs="宋体"/>
          <w:sz w:val="24"/>
          <w:szCs w:val="24"/>
          <w:highlight w:val="none"/>
        </w:rPr>
        <w:t>任意</w:t>
      </w:r>
      <w:r>
        <w:rPr>
          <w:rFonts w:hint="eastAsia" w:ascii="宋体" w:hAnsi="宋体" w:cs="宋体"/>
          <w:sz w:val="24"/>
          <w:szCs w:val="24"/>
          <w:highlight w:val="none"/>
          <w:lang w:val="en-US" w:eastAsia="zh-CN"/>
        </w:rPr>
        <w:t>一</w:t>
      </w:r>
      <w:r>
        <w:rPr>
          <w:rFonts w:hint="eastAsia" w:ascii="宋体" w:hAnsi="宋体" w:eastAsia="宋体" w:cs="宋体"/>
          <w:sz w:val="24"/>
          <w:szCs w:val="24"/>
          <w:highlight w:val="none"/>
        </w:rPr>
        <w:t>个月依法缴纳税收和社会保障资金的凭证；依法免税或不需要缴纳社会保障资金的供应商，提供相应文件证明其依法免税或不需要缴纳社会保障资金）；</w:t>
      </w:r>
    </w:p>
    <w:p w14:paraId="3C1AD690">
      <w:pPr>
        <w:bidi w:val="0"/>
        <w:spacing w:line="360" w:lineRule="auto"/>
        <w:ind w:firstLine="240" w:firstLine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（5）参加政府采购活动前三年内，在经营活动中没有重大违法记录；</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提供书面声明)；</w:t>
      </w:r>
    </w:p>
    <w:p w14:paraId="2393FEBF">
      <w:pPr>
        <w:bidi w:val="0"/>
        <w:spacing w:line="360" w:lineRule="auto"/>
        <w:ind w:firstLine="240" w:firstLineChars="100"/>
        <w:jc w:val="left"/>
        <w:rPr>
          <w:rFonts w:hint="eastAsia" w:asciiTheme="minorEastAsia" w:hAnsiTheme="minorEastAsia" w:eastAsiaTheme="minorEastAsia" w:cstheme="minorEastAsia"/>
          <w:sz w:val="24"/>
          <w:highlight w:val="none"/>
          <w:shd w:val="clear" w:color="auto" w:fill="FFFFFF"/>
        </w:rPr>
      </w:pPr>
      <w:r>
        <w:rPr>
          <w:rFonts w:hint="eastAsia" w:ascii="宋体" w:hAnsi="宋体" w:eastAsia="宋体" w:cs="宋体"/>
          <w:sz w:val="24"/>
          <w:szCs w:val="24"/>
          <w:highlight w:val="none"/>
        </w:rPr>
        <w:t>（6）法律、行政法规规定的其他条件。</w:t>
      </w:r>
    </w:p>
    <w:p w14:paraId="78769CCB">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w:t>
      </w: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 xml:space="preserve"> 政府采购供应商诚信承诺书；</w:t>
      </w:r>
    </w:p>
    <w:p w14:paraId="10CCAFCC">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w:t>
      </w: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 xml:space="preserve"> 供应商自觉抵制政府采购领域商业贿赂行为承诺书；</w:t>
      </w:r>
    </w:p>
    <w:p w14:paraId="6B3C9AD2">
      <w:pPr>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未被工商行政管理机关在全国企业信用信息公示系统中列入严重违法失信企业名单和经营异常名录，查询日期为公告发布之日起至投标截止之日止。</w:t>
      </w:r>
    </w:p>
    <w:p w14:paraId="1EEF35AF">
      <w:pPr>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4.2 供应商需提供售后服务体系与承诺。</w:t>
      </w:r>
    </w:p>
    <w:p w14:paraId="1DD195DC">
      <w:pPr>
        <w:bidi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4.3符合本竞争性磋商文件规定的供应商资格要求及项目要求的</w:t>
      </w:r>
      <w:r>
        <w:rPr>
          <w:rFonts w:hint="eastAsia" w:asciiTheme="minorEastAsia" w:hAnsiTheme="minorEastAsia" w:cstheme="minorEastAsia"/>
          <w:sz w:val="24"/>
          <w:szCs w:val="24"/>
          <w:highlight w:val="none"/>
          <w:lang w:eastAsia="zh-CN"/>
        </w:rPr>
        <w:t>其他条件</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并按照要求提供相关证明材料。</w:t>
      </w:r>
    </w:p>
    <w:p w14:paraId="3F63A446">
      <w:pPr>
        <w:spacing w:line="360" w:lineRule="auto"/>
        <w:ind w:firstLine="480"/>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4.4供应商应遵守国家</w:t>
      </w:r>
      <w:r>
        <w:rPr>
          <w:rFonts w:hint="eastAsia" w:asciiTheme="minorEastAsia" w:hAnsiTheme="minorEastAsia" w:cstheme="minorEastAsia"/>
          <w:color w:val="000000"/>
          <w:sz w:val="24"/>
          <w:highlight w:val="none"/>
          <w:lang w:eastAsia="zh-CN"/>
        </w:rPr>
        <w:t>法律法规</w:t>
      </w:r>
      <w:r>
        <w:rPr>
          <w:rFonts w:hint="eastAsia" w:asciiTheme="minorEastAsia" w:hAnsiTheme="minorEastAsia" w:eastAsiaTheme="minorEastAsia" w:cstheme="minorEastAsia"/>
          <w:color w:val="000000"/>
          <w:sz w:val="24"/>
          <w:highlight w:val="none"/>
        </w:rPr>
        <w:t>有关竞争性磋商的规定。</w:t>
      </w:r>
    </w:p>
    <w:p w14:paraId="45EB194F">
      <w:pPr>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4.5 凡通过磋商小组符合性审查的供应商均为合格供应商。未通过符合性审查的供应商将视为不响应本项目的竞争性磋商文件被否决。</w:t>
      </w:r>
    </w:p>
    <w:p w14:paraId="5DAC71B0">
      <w:pPr>
        <w:autoSpaceDE w:val="0"/>
        <w:autoSpaceDN w:val="0"/>
        <w:adjustRightInd w:val="0"/>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注：单位负责人为同一人或者存在直接控股、管理关系的不同供应商，不得参加同一合同项下的政府采购活动。</w:t>
      </w:r>
      <w:r>
        <w:rPr>
          <w:rFonts w:hint="eastAsia" w:ascii="宋体" w:hAnsi="宋体" w:eastAsia="宋体" w:cs="宋体"/>
          <w:sz w:val="24"/>
          <w:szCs w:val="24"/>
          <w:highlight w:val="none"/>
        </w:rPr>
        <w:t>（提供国家企业信用信息系统查询截图，包括公司基础信息和股东信息，</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文件中提供网站查询截图的扫描件、法定代表人和委托代理人签章并加盖公章。查询时间公告后有效）。</w:t>
      </w:r>
    </w:p>
    <w:p w14:paraId="0730BD47">
      <w:pPr>
        <w:spacing w:line="360" w:lineRule="auto"/>
        <w:ind w:firstLine="482" w:firstLineChars="200"/>
        <w:rPr>
          <w:rFonts w:ascii="宋体" w:hAnsi="宋体" w:cs="宋体"/>
          <w:b/>
          <w:sz w:val="24"/>
          <w:highlight w:val="none"/>
        </w:rPr>
      </w:pPr>
      <w:r>
        <w:rPr>
          <w:rFonts w:hint="eastAsia" w:ascii="宋体" w:hAnsi="宋体" w:cs="宋体"/>
          <w:b/>
          <w:sz w:val="24"/>
          <w:highlight w:val="none"/>
        </w:rPr>
        <w:t xml:space="preserve">5.竞争性磋商文件的约束力 </w:t>
      </w:r>
    </w:p>
    <w:p w14:paraId="4A96762A">
      <w:pPr>
        <w:spacing w:line="360" w:lineRule="auto"/>
        <w:ind w:firstLine="480" w:firstLineChars="200"/>
        <w:rPr>
          <w:rFonts w:ascii="宋体" w:hAnsi="宋体" w:cs="宋体"/>
          <w:sz w:val="24"/>
          <w:highlight w:val="none"/>
        </w:rPr>
      </w:pPr>
      <w:r>
        <w:rPr>
          <w:rFonts w:hint="eastAsia" w:ascii="宋体" w:hAnsi="宋体" w:cs="宋体"/>
          <w:sz w:val="24"/>
          <w:highlight w:val="none"/>
        </w:rPr>
        <w:t>5.l供应商一旦参加竞争性磋商，即被认为接受了本竞争性磋商文件中的所有条款和规定。</w:t>
      </w:r>
    </w:p>
    <w:p w14:paraId="32D73DEE">
      <w:pPr>
        <w:spacing w:line="360" w:lineRule="auto"/>
        <w:ind w:firstLine="480" w:firstLineChars="200"/>
        <w:rPr>
          <w:rFonts w:ascii="宋体" w:hAnsi="宋体" w:cs="宋体"/>
          <w:sz w:val="24"/>
          <w:highlight w:val="none"/>
        </w:rPr>
      </w:pPr>
      <w:r>
        <w:rPr>
          <w:rFonts w:hint="eastAsia" w:ascii="宋体" w:hAnsi="宋体" w:cs="宋体"/>
          <w:sz w:val="24"/>
          <w:highlight w:val="none"/>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2DC5A5DA">
      <w:pPr>
        <w:spacing w:line="360" w:lineRule="auto"/>
        <w:ind w:firstLine="480" w:firstLineChars="200"/>
        <w:rPr>
          <w:rFonts w:ascii="宋体" w:hAnsi="宋体" w:cs="宋体"/>
          <w:sz w:val="24"/>
          <w:highlight w:val="none"/>
        </w:rPr>
      </w:pPr>
      <w:r>
        <w:rPr>
          <w:rFonts w:hint="eastAsia" w:ascii="宋体" w:hAnsi="宋体" w:cs="宋体"/>
          <w:sz w:val="24"/>
          <w:highlight w:val="none"/>
        </w:rPr>
        <w:t>5.3本磋商文件由采购人负责解释。</w:t>
      </w:r>
    </w:p>
    <w:p w14:paraId="5034583A">
      <w:pPr>
        <w:pStyle w:val="27"/>
        <w:spacing w:line="360" w:lineRule="auto"/>
        <w:ind w:firstLine="480"/>
        <w:rPr>
          <w:rFonts w:ascii="宋体" w:hAnsi="宋体" w:eastAsia="宋体" w:cs="宋体"/>
          <w:sz w:val="24"/>
          <w:highlight w:val="none"/>
        </w:rPr>
      </w:pPr>
    </w:p>
    <w:p w14:paraId="7B1EB6D2">
      <w:pPr>
        <w:spacing w:line="360" w:lineRule="auto"/>
        <w:jc w:val="center"/>
        <w:rPr>
          <w:rFonts w:ascii="宋体" w:hAnsi="宋体" w:cs="宋体"/>
          <w:b/>
          <w:sz w:val="24"/>
          <w:highlight w:val="none"/>
        </w:rPr>
      </w:pPr>
      <w:r>
        <w:rPr>
          <w:rFonts w:hint="eastAsia" w:ascii="宋体" w:hAnsi="宋体" w:cs="宋体"/>
          <w:b/>
          <w:sz w:val="24"/>
          <w:highlight w:val="none"/>
        </w:rPr>
        <w:t>二、竞争性磋商文件</w:t>
      </w:r>
    </w:p>
    <w:p w14:paraId="68CDFEAE">
      <w:pPr>
        <w:tabs>
          <w:tab w:val="left" w:pos="632"/>
          <w:tab w:val="left" w:pos="790"/>
        </w:tabs>
        <w:spacing w:line="360" w:lineRule="auto"/>
        <w:ind w:firstLine="482" w:firstLineChars="200"/>
        <w:rPr>
          <w:rFonts w:ascii="宋体" w:hAnsi="宋体" w:cs="宋体"/>
          <w:b/>
          <w:sz w:val="24"/>
          <w:highlight w:val="none"/>
        </w:rPr>
      </w:pPr>
      <w:r>
        <w:rPr>
          <w:rFonts w:hint="eastAsia" w:ascii="宋体" w:hAnsi="宋体" w:cs="宋体"/>
          <w:b/>
          <w:sz w:val="24"/>
          <w:highlight w:val="none"/>
        </w:rPr>
        <w:t>6．竞争性磋商文件的组成</w:t>
      </w:r>
    </w:p>
    <w:p w14:paraId="104C2D43">
      <w:pPr>
        <w:autoSpaceDE w:val="0"/>
        <w:autoSpaceDN w:val="0"/>
        <w:adjustRightInd w:val="0"/>
        <w:spacing w:line="360" w:lineRule="auto"/>
        <w:ind w:firstLine="480" w:firstLineChars="200"/>
        <w:rPr>
          <w:rFonts w:ascii="宋体" w:hAnsi="宋体" w:cs="宋体"/>
          <w:sz w:val="24"/>
          <w:highlight w:val="none"/>
        </w:rPr>
      </w:pPr>
      <w:r>
        <w:rPr>
          <w:rFonts w:hint="eastAsia" w:ascii="宋体" w:hAnsi="宋体" w:cs="宋体"/>
          <w:sz w:val="24"/>
          <w:highlight w:val="none"/>
        </w:rPr>
        <w:t>6.1竞争性磋商</w:t>
      </w:r>
      <w:r>
        <w:rPr>
          <w:rFonts w:hint="eastAsia" w:ascii="宋体" w:hAnsi="宋体" w:cs="宋体"/>
          <w:sz w:val="24"/>
          <w:highlight w:val="none"/>
          <w:lang w:val="zh-CN"/>
        </w:rPr>
        <w:t>文件是用以阐明的采购需求、采购程序和合同格式等的规范性文件。竞争性磋商文件主要由以下部分组成：</w:t>
      </w:r>
    </w:p>
    <w:p w14:paraId="41361E7E">
      <w:pPr>
        <w:spacing w:line="360" w:lineRule="auto"/>
        <w:ind w:firstLine="480" w:firstLineChars="200"/>
        <w:rPr>
          <w:rFonts w:ascii="宋体" w:hAnsi="宋体" w:cs="宋体"/>
          <w:sz w:val="24"/>
          <w:highlight w:val="none"/>
        </w:rPr>
      </w:pPr>
      <w:r>
        <w:rPr>
          <w:rFonts w:hint="eastAsia" w:ascii="宋体" w:hAnsi="宋体" w:cs="宋体"/>
          <w:sz w:val="24"/>
          <w:highlight w:val="none"/>
        </w:rPr>
        <w:t>（1）竞争性磋商邀请函；</w:t>
      </w:r>
    </w:p>
    <w:p w14:paraId="1150F9CB">
      <w:pPr>
        <w:spacing w:line="360" w:lineRule="auto"/>
        <w:ind w:firstLine="480" w:firstLineChars="200"/>
        <w:rPr>
          <w:rFonts w:ascii="宋体" w:hAnsi="宋体" w:cs="宋体"/>
          <w:sz w:val="24"/>
          <w:highlight w:val="none"/>
        </w:rPr>
      </w:pPr>
      <w:r>
        <w:rPr>
          <w:rFonts w:hint="eastAsia" w:ascii="宋体" w:hAnsi="宋体" w:cs="宋体"/>
          <w:sz w:val="24"/>
          <w:highlight w:val="none"/>
        </w:rPr>
        <w:t>（2）供应商须知；</w:t>
      </w:r>
    </w:p>
    <w:p w14:paraId="3C3DB288">
      <w:pPr>
        <w:spacing w:line="360" w:lineRule="auto"/>
        <w:ind w:firstLine="480" w:firstLineChars="200"/>
        <w:rPr>
          <w:rFonts w:ascii="宋体" w:hAnsi="宋体" w:cs="宋体"/>
          <w:sz w:val="24"/>
          <w:highlight w:val="none"/>
        </w:rPr>
      </w:pPr>
      <w:r>
        <w:rPr>
          <w:rFonts w:hint="eastAsia" w:ascii="宋体" w:hAnsi="宋体" w:cs="宋体"/>
          <w:sz w:val="24"/>
          <w:highlight w:val="none"/>
        </w:rPr>
        <w:t>（3）采购需求；</w:t>
      </w:r>
    </w:p>
    <w:p w14:paraId="4F2D4731">
      <w:pPr>
        <w:spacing w:line="360" w:lineRule="auto"/>
        <w:ind w:firstLine="480" w:firstLineChars="200"/>
        <w:rPr>
          <w:rFonts w:ascii="宋体" w:hAnsi="宋体" w:cs="宋体"/>
          <w:sz w:val="24"/>
          <w:highlight w:val="none"/>
        </w:rPr>
      </w:pPr>
      <w:r>
        <w:rPr>
          <w:rFonts w:hint="eastAsia" w:ascii="宋体" w:hAnsi="宋体" w:cs="宋体"/>
          <w:sz w:val="24"/>
          <w:highlight w:val="none"/>
        </w:rPr>
        <w:t>（4）响应性文件内容及格式；</w:t>
      </w:r>
    </w:p>
    <w:p w14:paraId="502A1AD2">
      <w:pPr>
        <w:spacing w:line="360" w:lineRule="auto"/>
        <w:ind w:firstLine="480" w:firstLineChars="200"/>
        <w:rPr>
          <w:rFonts w:ascii="宋体" w:hAnsi="宋体" w:cs="宋体"/>
          <w:sz w:val="24"/>
          <w:highlight w:val="none"/>
        </w:rPr>
      </w:pPr>
      <w:r>
        <w:rPr>
          <w:rFonts w:hint="eastAsia" w:ascii="宋体" w:hAnsi="宋体" w:cs="宋体"/>
          <w:sz w:val="24"/>
          <w:highlight w:val="none"/>
        </w:rPr>
        <w:t>（5）合同主要条款。</w:t>
      </w:r>
    </w:p>
    <w:p w14:paraId="35FFA896">
      <w:pPr>
        <w:spacing w:line="560" w:lineRule="exact"/>
        <w:ind w:firstLine="480" w:firstLineChars="200"/>
        <w:rPr>
          <w:rFonts w:hint="eastAsia" w:ascii="宋体" w:hAnsi="宋体" w:eastAsia="宋体" w:cs="宋体"/>
          <w:sz w:val="24"/>
          <w:highlight w:val="none"/>
        </w:rPr>
      </w:pPr>
      <w:r>
        <w:rPr>
          <w:rFonts w:hint="eastAsia" w:ascii="宋体" w:hAnsi="宋体" w:cs="宋体"/>
          <w:sz w:val="24"/>
          <w:highlight w:val="none"/>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w:t>
      </w:r>
      <w:r>
        <w:rPr>
          <w:rFonts w:hint="eastAsia" w:ascii="宋体" w:hAnsi="宋体" w:eastAsia="宋体" w:cs="宋体"/>
          <w:sz w:val="24"/>
          <w:highlight w:val="none"/>
        </w:rPr>
        <w:t>供应商因未按上述提出要求而造成不良后果的，采购人不承担任何责任。供应商应认真阅读</w:t>
      </w:r>
      <w:r>
        <w:rPr>
          <w:rFonts w:hint="eastAsia" w:ascii="宋体" w:hAnsi="宋体" w:eastAsia="宋体" w:cs="宋体"/>
          <w:sz w:val="24"/>
          <w:highlight w:val="none"/>
          <w:lang w:val="en-US" w:eastAsia="zh-CN"/>
        </w:rPr>
        <w:t>竞争性磋商</w:t>
      </w:r>
      <w:r>
        <w:rPr>
          <w:rFonts w:hint="eastAsia" w:ascii="宋体" w:hAnsi="宋体" w:eastAsia="宋体" w:cs="宋体"/>
          <w:sz w:val="24"/>
          <w:highlight w:val="none"/>
        </w:rPr>
        <w:t>文件中所有的事项、格式、条件、条款和规范等要求。</w:t>
      </w:r>
    </w:p>
    <w:p w14:paraId="7AB7EE91">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6.3供应商被视为充分熟悉本采购项目所在地的与履行合同有关的各种情况，包括自然环境、气候条件、劳动力及公用设施等，本竞争性磋商文件不再对上述情况进行描述。</w:t>
      </w:r>
    </w:p>
    <w:p w14:paraId="10FF4E47">
      <w:pPr>
        <w:spacing w:line="360" w:lineRule="auto"/>
        <w:ind w:firstLine="480" w:firstLineChars="200"/>
        <w:rPr>
          <w:rFonts w:ascii="宋体" w:hAnsi="宋体" w:cs="宋体"/>
          <w:sz w:val="24"/>
          <w:highlight w:val="none"/>
        </w:rPr>
      </w:pPr>
      <w:r>
        <w:rPr>
          <w:rFonts w:hint="eastAsia" w:ascii="宋体" w:hAnsi="宋体" w:cs="宋体"/>
          <w:sz w:val="24"/>
          <w:highlight w:val="none"/>
        </w:rPr>
        <w:t>6.4供应商必须详阅竞争性磋商文件的所有条款、文件及表格格式等。供应商若未按竞争性磋商文件的要求和规范编制、提交响应性文件，将有可能导致响应性文件被拒绝接受或被视为无</w:t>
      </w:r>
      <w:r>
        <w:rPr>
          <w:rFonts w:hint="eastAsia" w:ascii="宋体" w:hAnsi="宋体" w:cs="宋体"/>
          <w:spacing w:val="-20"/>
          <w:w w:val="50"/>
          <w:sz w:val="24"/>
          <w:highlight w:val="none"/>
          <w:lang w:val="en-US" w:eastAsia="zh-CN"/>
        </w:rPr>
        <w:t xml:space="preserve"> </w:t>
      </w:r>
      <w:r>
        <w:rPr>
          <w:rFonts w:hint="eastAsia" w:ascii="宋体" w:hAnsi="宋体" w:cs="宋体"/>
          <w:sz w:val="24"/>
          <w:highlight w:val="none"/>
        </w:rPr>
        <w:t>效。</w:t>
      </w:r>
    </w:p>
    <w:p w14:paraId="4B3E5EEE">
      <w:pPr>
        <w:widowControl/>
        <w:spacing w:line="360" w:lineRule="auto"/>
        <w:ind w:firstLine="482" w:firstLineChars="200"/>
        <w:rPr>
          <w:rFonts w:ascii="宋体" w:hAnsi="宋体" w:cs="宋体"/>
          <w:b/>
          <w:sz w:val="24"/>
          <w:highlight w:val="none"/>
        </w:rPr>
      </w:pPr>
      <w:r>
        <w:rPr>
          <w:rFonts w:hint="eastAsia" w:ascii="宋体" w:hAnsi="宋体" w:cs="宋体"/>
          <w:b/>
          <w:sz w:val="24"/>
          <w:highlight w:val="none"/>
        </w:rPr>
        <w:t>7.竞争性磋商文件的澄清与修改</w:t>
      </w:r>
    </w:p>
    <w:p w14:paraId="1D440B82">
      <w:pPr>
        <w:autoSpaceDE w:val="0"/>
        <w:autoSpaceDN w:val="0"/>
        <w:adjustRightIn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3C79C5C2">
      <w:pPr>
        <w:spacing w:line="360" w:lineRule="auto"/>
        <w:jc w:val="center"/>
        <w:rPr>
          <w:rFonts w:ascii="宋体" w:hAnsi="宋体" w:cs="宋体"/>
          <w:b/>
          <w:sz w:val="24"/>
          <w:highlight w:val="none"/>
        </w:rPr>
      </w:pPr>
      <w:r>
        <w:rPr>
          <w:rFonts w:hint="eastAsia" w:ascii="宋体" w:hAnsi="宋体" w:cs="宋体"/>
          <w:b/>
          <w:sz w:val="24"/>
          <w:highlight w:val="none"/>
        </w:rPr>
        <w:t>三、响应性文件的编制</w:t>
      </w:r>
    </w:p>
    <w:p w14:paraId="79ABB3A7">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8.要求</w:t>
      </w:r>
    </w:p>
    <w:p w14:paraId="5D0CA813">
      <w:pPr>
        <w:spacing w:line="360" w:lineRule="auto"/>
        <w:ind w:firstLine="480" w:firstLineChars="200"/>
        <w:rPr>
          <w:rFonts w:ascii="宋体" w:hAnsi="宋体" w:cs="宋体"/>
          <w:sz w:val="24"/>
          <w:highlight w:val="none"/>
        </w:rPr>
      </w:pPr>
      <w:r>
        <w:rPr>
          <w:rFonts w:hint="eastAsia" w:ascii="宋体" w:hAnsi="宋体" w:cs="宋体"/>
          <w:sz w:val="24"/>
          <w:highlight w:val="none"/>
        </w:rPr>
        <w:t>8.1供应商应仔细阅读、并充分理解竞争性磋商文件的所有内容，按照竞争性磋商文件的要求编制、提交响应性文件。响应性文件应对竞争性磋商文件的要求作出实质性响应，并</w:t>
      </w:r>
      <w:r>
        <w:rPr>
          <w:rFonts w:hint="eastAsia" w:ascii="宋体" w:hAnsi="宋体" w:cs="宋体"/>
          <w:sz w:val="24"/>
          <w:highlight w:val="none"/>
          <w:lang w:val="en-US" w:eastAsia="zh-CN"/>
        </w:rPr>
        <w:t>保证</w:t>
      </w:r>
      <w:r>
        <w:rPr>
          <w:rFonts w:hint="eastAsia" w:ascii="宋体" w:hAnsi="宋体" w:cs="宋体"/>
          <w:sz w:val="24"/>
          <w:highlight w:val="none"/>
        </w:rPr>
        <w:t>所提供的全部资料的真实性、合法性，否则其响应性文件将作为</w:t>
      </w:r>
      <w:r>
        <w:rPr>
          <w:rFonts w:hint="eastAsia" w:ascii="宋体" w:hAnsi="宋体" w:cs="宋体"/>
          <w:sz w:val="24"/>
          <w:highlight w:val="none"/>
          <w:lang w:eastAsia="zh-CN"/>
        </w:rPr>
        <w:t>无 效</w:t>
      </w:r>
      <w:r>
        <w:rPr>
          <w:rFonts w:hint="eastAsia" w:ascii="宋体" w:hAnsi="宋体" w:cs="宋体"/>
          <w:sz w:val="24"/>
          <w:highlight w:val="none"/>
        </w:rPr>
        <w:t>处理。</w:t>
      </w:r>
    </w:p>
    <w:p w14:paraId="2487F478">
      <w:pPr>
        <w:spacing w:line="360" w:lineRule="auto"/>
        <w:ind w:firstLine="480" w:firstLineChars="200"/>
        <w:rPr>
          <w:rFonts w:ascii="宋体" w:hAnsi="宋体" w:cs="宋体"/>
          <w:sz w:val="24"/>
          <w:highlight w:val="none"/>
        </w:rPr>
      </w:pPr>
      <w:r>
        <w:rPr>
          <w:rFonts w:hint="eastAsia" w:ascii="宋体" w:hAnsi="宋体" w:cs="宋体"/>
          <w:sz w:val="24"/>
          <w:highlight w:val="none"/>
        </w:rPr>
        <w:t>8.2任何对竞争性磋商文件的忽略或误解不能作为响应性文件没有完全响应竞争性磋商文件的有效理由。</w:t>
      </w:r>
    </w:p>
    <w:p w14:paraId="579FB33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8.3供应商没有按照竞争性磋商文件要求提供全部资料，或者供应商没有对竞争性磋商文件在各方面都作出实质性响应是供应商的风险，并可能导致其响应性文件被拒绝。</w:t>
      </w:r>
    </w:p>
    <w:p w14:paraId="37F585BB">
      <w:pPr>
        <w:widowControl/>
        <w:spacing w:line="360" w:lineRule="auto"/>
        <w:ind w:firstLine="482" w:firstLineChars="200"/>
        <w:rPr>
          <w:rFonts w:ascii="宋体" w:hAnsi="宋体" w:cs="宋体"/>
          <w:b/>
          <w:sz w:val="24"/>
          <w:highlight w:val="none"/>
        </w:rPr>
      </w:pPr>
      <w:r>
        <w:rPr>
          <w:rFonts w:hint="eastAsia" w:ascii="宋体" w:hAnsi="宋体" w:cs="宋体"/>
          <w:b/>
          <w:sz w:val="24"/>
          <w:highlight w:val="none"/>
        </w:rPr>
        <w:t xml:space="preserve">9.响应性文件的语言及度量衡 </w:t>
      </w:r>
    </w:p>
    <w:p w14:paraId="3B3B8CB1">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9.1响应性文件以及供应商与采购代理机构之间的所有书面往来都应用简体中文书写。 </w:t>
      </w:r>
    </w:p>
    <w:p w14:paraId="6B5AFA89">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9.2供应商使用其他语言的，以中文翻译为准。 </w:t>
      </w:r>
    </w:p>
    <w:p w14:paraId="50F8EBDE">
      <w:pPr>
        <w:spacing w:line="360" w:lineRule="auto"/>
        <w:ind w:firstLine="480" w:firstLineChars="200"/>
        <w:rPr>
          <w:rFonts w:ascii="宋体" w:hAnsi="宋体" w:cs="宋体"/>
          <w:sz w:val="24"/>
          <w:highlight w:val="none"/>
        </w:rPr>
      </w:pPr>
      <w:r>
        <w:rPr>
          <w:rFonts w:hint="eastAsia" w:ascii="宋体" w:hAnsi="宋体" w:cs="宋体"/>
          <w:sz w:val="24"/>
          <w:highlight w:val="none"/>
        </w:rPr>
        <w:t>9.3关于计量单位，竞争性磋商文件已有明确规定的，使用竞争性磋商文件规定的计量单位；竞争性磋商文件没有规定的，应采用中华人民共和国法定计量单位。</w:t>
      </w:r>
    </w:p>
    <w:p w14:paraId="00C92D78">
      <w:pPr>
        <w:spacing w:line="360" w:lineRule="auto"/>
        <w:ind w:firstLine="480" w:firstLineChars="200"/>
        <w:rPr>
          <w:rFonts w:ascii="宋体" w:hAnsi="宋体" w:cs="宋体"/>
          <w:sz w:val="24"/>
          <w:highlight w:val="none"/>
        </w:rPr>
      </w:pPr>
      <w:r>
        <w:rPr>
          <w:rFonts w:hint="eastAsia" w:ascii="宋体" w:hAnsi="宋体" w:cs="宋体"/>
          <w:sz w:val="24"/>
          <w:highlight w:val="none"/>
        </w:rPr>
        <w:t>9.4本竞争性磋商文件所表述的时间均为北京时间。</w:t>
      </w:r>
    </w:p>
    <w:p w14:paraId="4AEF1793">
      <w:pPr>
        <w:spacing w:line="360" w:lineRule="auto"/>
        <w:ind w:firstLine="482" w:firstLineChars="200"/>
        <w:rPr>
          <w:rFonts w:ascii="宋体" w:hAnsi="宋体" w:cs="宋体"/>
          <w:b/>
          <w:sz w:val="24"/>
          <w:highlight w:val="none"/>
        </w:rPr>
      </w:pPr>
      <w:r>
        <w:rPr>
          <w:rFonts w:hint="eastAsia" w:ascii="宋体" w:hAnsi="宋体" w:cs="宋体"/>
          <w:b/>
          <w:sz w:val="24"/>
          <w:highlight w:val="none"/>
        </w:rPr>
        <w:t>10.响应性文件的组成</w:t>
      </w:r>
    </w:p>
    <w:p w14:paraId="6C0421AA">
      <w:pPr>
        <w:widowControl/>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10.1响应性文件由</w:t>
      </w:r>
      <w:r>
        <w:rPr>
          <w:rFonts w:hint="eastAsia" w:ascii="宋体" w:hAnsi="宋体" w:cs="宋体"/>
          <w:bCs/>
          <w:sz w:val="24"/>
          <w:highlight w:val="none"/>
          <w:u w:val="single"/>
        </w:rPr>
        <w:t>资格性证明材料</w:t>
      </w:r>
      <w:r>
        <w:rPr>
          <w:rFonts w:hint="eastAsia" w:ascii="宋体" w:hAnsi="宋体" w:cs="宋体"/>
          <w:bCs/>
          <w:sz w:val="24"/>
          <w:highlight w:val="none"/>
        </w:rPr>
        <w:t>、</w:t>
      </w:r>
      <w:r>
        <w:rPr>
          <w:rFonts w:hint="eastAsia" w:ascii="宋体" w:hAnsi="宋体" w:cs="宋体"/>
          <w:bCs/>
          <w:sz w:val="24"/>
          <w:highlight w:val="none"/>
          <w:u w:val="single"/>
        </w:rPr>
        <w:t>符合性证明材料</w:t>
      </w:r>
      <w:r>
        <w:rPr>
          <w:rFonts w:hint="eastAsia" w:ascii="宋体" w:hAnsi="宋体" w:cs="宋体"/>
          <w:bCs/>
          <w:sz w:val="24"/>
          <w:highlight w:val="none"/>
        </w:rPr>
        <w:t>、</w:t>
      </w:r>
      <w:r>
        <w:rPr>
          <w:rFonts w:hint="eastAsia" w:ascii="宋体" w:hAnsi="宋体" w:cs="宋体"/>
          <w:bCs/>
          <w:sz w:val="24"/>
          <w:highlight w:val="none"/>
          <w:u w:val="single"/>
        </w:rPr>
        <w:t>其他材料</w:t>
      </w:r>
      <w:r>
        <w:rPr>
          <w:rFonts w:hint="eastAsia" w:ascii="宋体" w:hAnsi="宋体" w:cs="宋体"/>
          <w:sz w:val="24"/>
          <w:highlight w:val="none"/>
        </w:rPr>
        <w:t>三部分组成。具体内容和格式见竞争性磋商文件</w:t>
      </w:r>
      <w:r>
        <w:rPr>
          <w:rFonts w:hint="eastAsia" w:ascii="宋体" w:hAnsi="宋体" w:cs="宋体"/>
          <w:bCs/>
          <w:sz w:val="24"/>
          <w:highlight w:val="none"/>
        </w:rPr>
        <w:t>第四章</w:t>
      </w:r>
      <w:r>
        <w:rPr>
          <w:rFonts w:hint="eastAsia" w:ascii="宋体" w:hAnsi="宋体" w:cs="宋体"/>
          <w:sz w:val="24"/>
          <w:highlight w:val="none"/>
        </w:rPr>
        <w:t>。</w:t>
      </w:r>
    </w:p>
    <w:p w14:paraId="31E84130">
      <w:pPr>
        <w:spacing w:line="360" w:lineRule="auto"/>
        <w:ind w:firstLine="482" w:firstLineChars="200"/>
        <w:rPr>
          <w:rFonts w:ascii="宋体" w:hAnsi="宋体" w:cs="宋体"/>
          <w:b/>
          <w:sz w:val="24"/>
          <w:highlight w:val="none"/>
        </w:rPr>
      </w:pPr>
      <w:r>
        <w:rPr>
          <w:rFonts w:hint="eastAsia" w:ascii="宋体" w:hAnsi="宋体" w:cs="宋体"/>
          <w:b/>
          <w:sz w:val="24"/>
          <w:highlight w:val="none"/>
        </w:rPr>
        <w:t>11.响应性文件格式</w:t>
      </w:r>
    </w:p>
    <w:p w14:paraId="09AD9FEB">
      <w:pPr>
        <w:widowControl/>
        <w:spacing w:line="360" w:lineRule="auto"/>
        <w:ind w:firstLine="480" w:firstLineChars="200"/>
        <w:rPr>
          <w:rFonts w:ascii="宋体" w:hAnsi="宋体" w:cs="宋体"/>
          <w:sz w:val="24"/>
          <w:highlight w:val="none"/>
        </w:rPr>
      </w:pPr>
      <w:r>
        <w:rPr>
          <w:rFonts w:hint="eastAsia" w:ascii="宋体" w:hAnsi="宋体" w:cs="宋体"/>
          <w:sz w:val="24"/>
          <w:highlight w:val="none"/>
        </w:rPr>
        <w:t>11.1供应商应按照竞争性磋商文件提供的格式编写响应性文件，不得缺少、留空或私自更改任何竞争性磋商文件要求填写的表格或提交的资料。</w:t>
      </w:r>
      <w:r>
        <w:rPr>
          <w:rFonts w:hint="eastAsia" w:ascii="宋体" w:hAnsi="宋体" w:cs="宋体"/>
          <w:sz w:val="24"/>
          <w:highlight w:val="none"/>
          <w:lang w:val="en-US" w:eastAsia="zh-CN"/>
        </w:rPr>
        <w:t>所有扫描件影印件等证明材料标注与原件一致。</w:t>
      </w:r>
      <w:r>
        <w:rPr>
          <w:rFonts w:hint="eastAsia" w:ascii="宋体" w:hAnsi="宋体" w:cs="宋体"/>
          <w:sz w:val="24"/>
          <w:highlight w:val="none"/>
        </w:rPr>
        <w:t>竞争性磋商文件提供格式的按格式填列，未提供格式的可自行拟定。</w:t>
      </w:r>
    </w:p>
    <w:p w14:paraId="195E063F">
      <w:pPr>
        <w:widowControl/>
        <w:spacing w:line="360" w:lineRule="auto"/>
        <w:ind w:firstLine="482" w:firstLineChars="200"/>
        <w:rPr>
          <w:rFonts w:ascii="宋体" w:hAnsi="宋体" w:cs="宋体"/>
          <w:b/>
          <w:bCs/>
          <w:kern w:val="0"/>
          <w:sz w:val="24"/>
          <w:highlight w:val="none"/>
        </w:rPr>
      </w:pPr>
      <w:r>
        <w:rPr>
          <w:rFonts w:hint="eastAsia" w:ascii="宋体" w:hAnsi="宋体" w:cs="宋体"/>
          <w:b/>
          <w:bCs/>
          <w:kern w:val="0"/>
          <w:sz w:val="24"/>
          <w:highlight w:val="none"/>
        </w:rPr>
        <w:t>12.竞争性磋商报价</w:t>
      </w:r>
    </w:p>
    <w:p w14:paraId="7040B92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12.1报价包括所投服务、保险、税费、检测、验收和交付后约定期限内免费维保等工作所发生的一切应有费用。</w:t>
      </w:r>
    </w:p>
    <w:p w14:paraId="4381924C">
      <w:pPr>
        <w:spacing w:line="360" w:lineRule="auto"/>
        <w:ind w:firstLine="480" w:firstLineChars="200"/>
        <w:rPr>
          <w:rFonts w:ascii="宋体" w:hAnsi="宋体" w:cs="宋体"/>
          <w:sz w:val="24"/>
          <w:highlight w:val="none"/>
        </w:rPr>
      </w:pPr>
      <w:r>
        <w:rPr>
          <w:rFonts w:hint="eastAsia" w:ascii="宋体" w:hAnsi="宋体" w:cs="宋体"/>
          <w:sz w:val="24"/>
          <w:highlight w:val="none"/>
        </w:rPr>
        <w:t>12.2供应商应填写报价一览表，如果分项报价与单价不符，则以单价为准；其它表格与报价一览表不符，以报价一览表为准且须在报价大写处加盖公章；小写与大写不符，以大写为准。</w:t>
      </w:r>
    </w:p>
    <w:p w14:paraId="6D3A66BA">
      <w:pPr>
        <w:spacing w:line="360" w:lineRule="auto"/>
        <w:ind w:firstLine="480" w:firstLineChars="200"/>
        <w:rPr>
          <w:rFonts w:ascii="宋体" w:hAnsi="宋体" w:cs="宋体"/>
          <w:sz w:val="24"/>
          <w:highlight w:val="none"/>
        </w:rPr>
      </w:pPr>
      <w:r>
        <w:rPr>
          <w:rFonts w:hint="eastAsia" w:ascii="宋体" w:hAnsi="宋体" w:cs="宋体"/>
          <w:sz w:val="24"/>
          <w:highlight w:val="none"/>
        </w:rPr>
        <w:t>12.3采购人不接受有选择的报价。</w:t>
      </w:r>
    </w:p>
    <w:p w14:paraId="15A84644">
      <w:pPr>
        <w:spacing w:line="360" w:lineRule="auto"/>
        <w:ind w:firstLine="480" w:firstLineChars="200"/>
        <w:rPr>
          <w:rFonts w:ascii="宋体" w:hAnsi="宋体" w:cs="宋体"/>
          <w:sz w:val="24"/>
          <w:highlight w:val="none"/>
        </w:rPr>
      </w:pPr>
      <w:r>
        <w:rPr>
          <w:rFonts w:hint="eastAsia" w:ascii="宋体" w:hAnsi="宋体" w:cs="宋体"/>
          <w:sz w:val="24"/>
          <w:highlight w:val="none"/>
        </w:rPr>
        <w:t>12.4最终报价不得超过采购预算。</w:t>
      </w:r>
    </w:p>
    <w:p w14:paraId="4760A9C4">
      <w:pPr>
        <w:spacing w:line="360" w:lineRule="auto"/>
        <w:ind w:firstLine="480" w:firstLineChars="200"/>
        <w:rPr>
          <w:rFonts w:ascii="宋体" w:hAnsi="宋体" w:cs="宋体"/>
          <w:sz w:val="24"/>
          <w:highlight w:val="none"/>
        </w:rPr>
      </w:pPr>
      <w:r>
        <w:rPr>
          <w:rFonts w:hint="eastAsia" w:ascii="宋体" w:hAnsi="宋体" w:cs="宋体"/>
          <w:sz w:val="24"/>
          <w:highlight w:val="none"/>
        </w:rPr>
        <w:t>12.5报价均须以人民币为计算单位。</w:t>
      </w:r>
    </w:p>
    <w:p w14:paraId="25EDD5F0">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 xml:space="preserve">13．响应性文件有效期 </w:t>
      </w:r>
    </w:p>
    <w:p w14:paraId="07EA79CE">
      <w:pPr>
        <w:spacing w:line="360" w:lineRule="auto"/>
        <w:ind w:firstLine="480" w:firstLineChars="200"/>
        <w:rPr>
          <w:rFonts w:ascii="宋体" w:hAnsi="宋体" w:cs="宋体"/>
          <w:sz w:val="24"/>
          <w:highlight w:val="none"/>
        </w:rPr>
      </w:pPr>
      <w:r>
        <w:rPr>
          <w:rFonts w:hint="eastAsia" w:ascii="宋体" w:hAnsi="宋体" w:cs="宋体"/>
          <w:sz w:val="24"/>
          <w:highlight w:val="none"/>
        </w:rPr>
        <w:t>13.l响应性文件有效期为自竞争性磋商开始之日起60天，</w:t>
      </w:r>
      <w:r>
        <w:rPr>
          <w:rFonts w:hint="eastAsia" w:ascii="宋体" w:hAnsi="宋体" w:cs="宋体"/>
          <w:color w:val="auto"/>
          <w:sz w:val="24"/>
          <w:highlight w:val="none"/>
        </w:rPr>
        <w:t>成交的响应性文件其有效期应延续至合同执行结束</w:t>
      </w:r>
      <w:r>
        <w:rPr>
          <w:rFonts w:hint="eastAsia" w:ascii="宋体" w:hAnsi="宋体" w:cs="宋体"/>
          <w:color w:val="auto"/>
          <w:sz w:val="24"/>
          <w:highlight w:val="none"/>
          <w:lang w:eastAsia="zh-CN"/>
        </w:rPr>
        <w:t>，</w:t>
      </w:r>
      <w:r>
        <w:rPr>
          <w:rFonts w:hint="eastAsia" w:ascii="宋体" w:hAnsi="宋体" w:cs="宋体"/>
          <w:sz w:val="24"/>
          <w:highlight w:val="none"/>
        </w:rPr>
        <w:t>有效期短于此规定的响应性文件将被视为</w:t>
      </w:r>
      <w:r>
        <w:rPr>
          <w:rFonts w:hint="eastAsia" w:ascii="宋体" w:hAnsi="宋体" w:cs="宋体"/>
          <w:sz w:val="24"/>
          <w:highlight w:val="none"/>
          <w:lang w:eastAsia="zh-CN"/>
        </w:rPr>
        <w:t>无</w:t>
      </w:r>
      <w:r>
        <w:rPr>
          <w:rFonts w:hint="eastAsia" w:ascii="宋体" w:hAnsi="宋体" w:cs="宋体"/>
          <w:spacing w:val="-20"/>
          <w:w w:val="50"/>
          <w:sz w:val="24"/>
          <w:highlight w:val="none"/>
          <w:lang w:eastAsia="zh-CN"/>
        </w:rPr>
        <w:t xml:space="preserve"> </w:t>
      </w:r>
      <w:r>
        <w:rPr>
          <w:rFonts w:hint="eastAsia" w:ascii="宋体" w:hAnsi="宋体" w:cs="宋体"/>
          <w:sz w:val="24"/>
          <w:highlight w:val="none"/>
          <w:lang w:eastAsia="zh-CN"/>
        </w:rPr>
        <w:t>效</w:t>
      </w:r>
      <w:r>
        <w:rPr>
          <w:rFonts w:hint="eastAsia" w:ascii="宋体" w:hAnsi="宋体" w:cs="宋体"/>
          <w:sz w:val="24"/>
          <w:highlight w:val="none"/>
        </w:rPr>
        <w:t>。</w:t>
      </w:r>
    </w:p>
    <w:p w14:paraId="54C5CBEC">
      <w:pPr>
        <w:spacing w:line="360" w:lineRule="auto"/>
        <w:ind w:firstLine="480" w:firstLineChars="200"/>
        <w:rPr>
          <w:rFonts w:ascii="宋体" w:hAnsi="宋体" w:cs="宋体"/>
          <w:sz w:val="24"/>
          <w:highlight w:val="none"/>
        </w:rPr>
      </w:pPr>
      <w:r>
        <w:rPr>
          <w:rFonts w:hint="eastAsia" w:ascii="宋体" w:hAnsi="宋体" w:cs="宋体"/>
          <w:sz w:val="24"/>
          <w:highlight w:val="none"/>
        </w:rPr>
        <w:t>13.2特殊情况下，采购人可于响应性文件有效期满之前书面要求供应商同意延长有效期，供应商应在采购人规定的期限内以书面形式予以答复。供应商答复不明确或逾期未答复的，均视为拒绝上述要求。</w:t>
      </w:r>
    </w:p>
    <w:p w14:paraId="5E4F60DE">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14.响应性文件的签署、盖章</w:t>
      </w:r>
    </w:p>
    <w:p w14:paraId="35BCEA28">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14.1</w:t>
      </w:r>
      <w:r>
        <w:rPr>
          <w:rFonts w:hint="eastAsia" w:ascii="宋体" w:hAnsi="宋体" w:cs="宋体"/>
          <w:color w:val="auto"/>
          <w:sz w:val="24"/>
          <w:highlight w:val="none"/>
          <w:lang w:val="zh-CN"/>
        </w:rPr>
        <w:t>响应性文件中凡是要求签署和加盖公章处均须由供应商的法定代表人或其委托代理人签字并加盖供应商公章。本竞争性磋商文件所表述（指定）的签章是指签字和盖章，表述（指定）的公章是指法人（供应商）行政公章，不包括专用章。</w:t>
      </w:r>
    </w:p>
    <w:p w14:paraId="5091314C">
      <w:pPr>
        <w:spacing w:line="360" w:lineRule="auto"/>
        <w:ind w:firstLine="480" w:firstLineChars="200"/>
        <w:rPr>
          <w:rFonts w:ascii="宋体" w:hAnsi="宋体" w:cs="宋体"/>
          <w:sz w:val="24"/>
          <w:highlight w:val="none"/>
        </w:rPr>
      </w:pPr>
      <w:r>
        <w:rPr>
          <w:rFonts w:hint="eastAsia" w:ascii="宋体" w:hAnsi="宋体" w:cs="宋体"/>
          <w:sz w:val="24"/>
          <w:highlight w:val="none"/>
        </w:rPr>
        <w:t>14.2响应性文件应无涂改和行间插字，除非这些改动是为改正供应商造成的必须修改的错误进行的。有改动时，修改处应由供应商代表签署证明或加盖公章，但非供应商出具的材料，供应商改动</w:t>
      </w:r>
      <w:r>
        <w:rPr>
          <w:rFonts w:hint="eastAsia" w:ascii="宋体" w:hAnsi="宋体" w:cs="宋体"/>
          <w:sz w:val="24"/>
          <w:highlight w:val="none"/>
          <w:lang w:eastAsia="zh-CN"/>
        </w:rPr>
        <w:t>无</w:t>
      </w:r>
      <w:r>
        <w:rPr>
          <w:rFonts w:hint="eastAsia" w:ascii="宋体" w:hAnsi="宋体" w:cs="宋体"/>
          <w:spacing w:val="-20"/>
          <w:w w:val="50"/>
          <w:sz w:val="24"/>
          <w:highlight w:val="none"/>
          <w:lang w:eastAsia="zh-CN"/>
        </w:rPr>
        <w:t xml:space="preserve"> </w:t>
      </w:r>
      <w:r>
        <w:rPr>
          <w:rFonts w:hint="eastAsia" w:ascii="宋体" w:hAnsi="宋体" w:cs="宋体"/>
          <w:sz w:val="24"/>
          <w:highlight w:val="none"/>
          <w:lang w:eastAsia="zh-CN"/>
        </w:rPr>
        <w:t>效</w:t>
      </w:r>
      <w:r>
        <w:rPr>
          <w:rFonts w:hint="eastAsia" w:ascii="宋体" w:hAnsi="宋体" w:cs="宋体"/>
          <w:sz w:val="24"/>
          <w:highlight w:val="none"/>
        </w:rPr>
        <w:t>。</w:t>
      </w:r>
    </w:p>
    <w:p w14:paraId="1FC1EDA1">
      <w:pPr>
        <w:spacing w:line="360" w:lineRule="auto"/>
        <w:ind w:firstLine="480" w:firstLineChars="200"/>
        <w:rPr>
          <w:rFonts w:hint="eastAsia" w:ascii="宋体" w:hAnsi="宋体" w:cs="宋体"/>
          <w:color w:val="auto"/>
          <w:sz w:val="24"/>
          <w:highlight w:val="none"/>
        </w:rPr>
      </w:pPr>
      <w:r>
        <w:rPr>
          <w:rFonts w:hint="eastAsia" w:ascii="宋体" w:hAnsi="宋体" w:cs="宋体"/>
          <w:sz w:val="24"/>
          <w:highlight w:val="none"/>
        </w:rPr>
        <w:t>14.3供应商提交的资料应证明其满足竞争性磋商文件要求，该文件可以是文字资料、</w:t>
      </w:r>
      <w:r>
        <w:rPr>
          <w:rFonts w:hint="eastAsia" w:ascii="宋体" w:hAnsi="宋体" w:cs="宋体"/>
          <w:color w:val="auto"/>
          <w:sz w:val="24"/>
          <w:highlight w:val="none"/>
        </w:rPr>
        <w:t>图纸和数据等详细描述的资料。</w:t>
      </w:r>
    </w:p>
    <w:p w14:paraId="4F43D122">
      <w:pPr>
        <w:spacing w:line="360" w:lineRule="auto"/>
        <w:ind w:firstLine="482" w:firstLineChars="200"/>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15、电子投标文件制作</w:t>
      </w:r>
    </w:p>
    <w:p w14:paraId="4B91AA7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见周口市公共资源交易中心</w:t>
      </w:r>
      <w:r>
        <w:rPr>
          <w:rFonts w:hint="eastAsia" w:ascii="宋体" w:hAnsi="宋体" w:cs="宋体"/>
          <w:sz w:val="24"/>
          <w:highlight w:val="none"/>
          <w:lang w:val="en-US" w:eastAsia="zh-CN"/>
        </w:rPr>
        <w:t>网站下载中心版块</w:t>
      </w:r>
      <w:r>
        <w:rPr>
          <w:rFonts w:hint="eastAsia" w:ascii="宋体" w:hAnsi="宋体" w:cs="宋体"/>
          <w:sz w:val="24"/>
          <w:highlight w:val="none"/>
        </w:rPr>
        <w:t>《投标单位-电子投标文件视频制作手册》的相关规定。</w:t>
      </w:r>
    </w:p>
    <w:p w14:paraId="7F591059">
      <w:pPr>
        <w:numPr>
          <w:ilvl w:val="0"/>
          <w:numId w:val="2"/>
        </w:numPr>
        <w:spacing w:line="360" w:lineRule="auto"/>
        <w:jc w:val="center"/>
        <w:rPr>
          <w:rFonts w:ascii="宋体" w:hAnsi="宋体" w:cs="宋体"/>
          <w:b/>
          <w:sz w:val="24"/>
          <w:highlight w:val="none"/>
        </w:rPr>
      </w:pPr>
      <w:r>
        <w:rPr>
          <w:rFonts w:hint="eastAsia" w:ascii="宋体" w:hAnsi="宋体" w:cs="宋体"/>
          <w:b/>
          <w:sz w:val="24"/>
          <w:highlight w:val="none"/>
        </w:rPr>
        <w:t>响应性文件的递交</w:t>
      </w:r>
    </w:p>
    <w:p w14:paraId="0A9D020A">
      <w:pPr>
        <w:autoSpaceDE w:val="0"/>
        <w:autoSpaceDN w:val="0"/>
        <w:adjustRightInd w:val="0"/>
        <w:spacing w:line="360" w:lineRule="auto"/>
        <w:ind w:firstLine="480" w:firstLineChars="200"/>
        <w:rPr>
          <w:rFonts w:ascii="宋体" w:hAnsi="宋体" w:cs="宋体"/>
          <w:sz w:val="24"/>
          <w:highlight w:val="none"/>
        </w:rPr>
      </w:pPr>
      <w:r>
        <w:rPr>
          <w:rFonts w:hint="eastAsia" w:ascii="宋体" w:hAnsi="宋体" w:cs="宋体"/>
          <w:sz w:val="24"/>
          <w:highlight w:val="none"/>
        </w:rPr>
        <w:t>加密的电子磋商响应文件，应在磋商截止时间前通过周口市公共资源交易中心会员系统上传；本项目实行网上远程开标，未加密的电子</w:t>
      </w:r>
      <w:r>
        <w:rPr>
          <w:rFonts w:hint="eastAsia" w:ascii="宋体" w:hAnsi="宋体" w:cs="宋体"/>
          <w:sz w:val="24"/>
          <w:highlight w:val="none"/>
          <w:lang w:val="en-US" w:eastAsia="zh-CN"/>
        </w:rPr>
        <w:t>响应</w:t>
      </w:r>
      <w:r>
        <w:rPr>
          <w:rFonts w:hint="eastAsia" w:ascii="宋体" w:hAnsi="宋体" w:cs="宋体"/>
          <w:sz w:val="24"/>
          <w:highlight w:val="none"/>
        </w:rPr>
        <w:t>文件和纸质</w:t>
      </w:r>
      <w:r>
        <w:rPr>
          <w:rFonts w:hint="eastAsia" w:ascii="宋体" w:hAnsi="宋体" w:cs="宋体"/>
          <w:sz w:val="24"/>
          <w:highlight w:val="none"/>
          <w:lang w:val="en-US" w:eastAsia="zh-CN"/>
        </w:rPr>
        <w:t>响应</w:t>
      </w:r>
      <w:r>
        <w:rPr>
          <w:rFonts w:hint="eastAsia" w:ascii="宋体" w:hAnsi="宋体" w:cs="宋体"/>
          <w:sz w:val="24"/>
          <w:highlight w:val="none"/>
        </w:rPr>
        <w:t>文件均不再提交。在解密投标</w:t>
      </w:r>
      <w:r>
        <w:rPr>
          <w:rFonts w:hint="eastAsia" w:ascii="宋体" w:hAnsi="宋体" w:cs="宋体"/>
          <w:sz w:val="24"/>
          <w:highlight w:val="none"/>
          <w:lang w:val="en-US" w:eastAsia="zh-CN"/>
        </w:rPr>
        <w:t>响应</w:t>
      </w:r>
      <w:r>
        <w:rPr>
          <w:rFonts w:hint="eastAsia" w:ascii="宋体" w:hAnsi="宋体" w:cs="宋体"/>
          <w:sz w:val="24"/>
          <w:highlight w:val="none"/>
        </w:rPr>
        <w:t>开始时30分钟内进行解密，超时视为放弃递交</w:t>
      </w:r>
      <w:r>
        <w:rPr>
          <w:rFonts w:hint="eastAsia" w:ascii="宋体" w:hAnsi="宋体" w:cs="宋体"/>
          <w:sz w:val="24"/>
          <w:highlight w:val="none"/>
          <w:lang w:val="en-US" w:eastAsia="zh-CN"/>
        </w:rPr>
        <w:t>响应</w:t>
      </w:r>
      <w:r>
        <w:rPr>
          <w:rFonts w:hint="eastAsia" w:ascii="宋体" w:hAnsi="宋体" w:cs="宋体"/>
          <w:sz w:val="24"/>
          <w:highlight w:val="none"/>
        </w:rPr>
        <w:t>文件。</w:t>
      </w:r>
    </w:p>
    <w:p w14:paraId="720905D0">
      <w:pPr>
        <w:spacing w:line="360" w:lineRule="auto"/>
        <w:ind w:firstLine="550"/>
        <w:rPr>
          <w:rFonts w:hint="eastAsia" w:ascii="宋体" w:hAnsi="宋体" w:cs="宋体"/>
          <w:sz w:val="24"/>
          <w:highlight w:val="none"/>
        </w:rPr>
      </w:pPr>
      <w:r>
        <w:rPr>
          <w:rFonts w:hint="eastAsia" w:ascii="宋体" w:hAnsi="宋体" w:cs="宋体"/>
          <w:sz w:val="24"/>
          <w:highlight w:val="none"/>
        </w:rPr>
        <w:t>注：</w:t>
      </w:r>
      <w:r>
        <w:rPr>
          <w:rFonts w:hint="eastAsia" w:ascii="宋体" w:hAnsi="宋体" w:eastAsia="宋体" w:cs="宋体"/>
          <w:sz w:val="24"/>
          <w:highlight w:val="none"/>
        </w:rPr>
        <w:t>加密的电子投标文件的递交</w:t>
      </w:r>
      <w:r>
        <w:rPr>
          <w:rFonts w:hint="eastAsia" w:ascii="宋体" w:hAnsi="宋体" w:eastAsia="宋体" w:cs="宋体"/>
          <w:sz w:val="24"/>
          <w:highlight w:val="none"/>
          <w:lang w:eastAsia="zh-CN"/>
        </w:rPr>
        <w:t>，</w:t>
      </w:r>
      <w:r>
        <w:rPr>
          <w:rFonts w:hint="eastAsia" w:ascii="宋体" w:hAnsi="宋体" w:eastAsia="宋体" w:cs="宋体"/>
          <w:sz w:val="24"/>
          <w:highlight w:val="none"/>
        </w:rPr>
        <w:t>见周口市公共资源交易中心</w:t>
      </w:r>
      <w:r>
        <w:rPr>
          <w:rFonts w:hint="eastAsia" w:ascii="宋体" w:hAnsi="宋体" w:eastAsia="宋体" w:cs="宋体"/>
          <w:sz w:val="24"/>
          <w:highlight w:val="none"/>
          <w:lang w:val="en-US" w:eastAsia="zh-CN"/>
        </w:rPr>
        <w:t>网站下载中心版块</w:t>
      </w:r>
      <w:r>
        <w:rPr>
          <w:rFonts w:hint="eastAsia" w:ascii="宋体" w:hAnsi="宋体" w:eastAsia="宋体" w:cs="宋体"/>
          <w:color w:val="auto"/>
          <w:sz w:val="24"/>
          <w:highlight w:val="none"/>
        </w:rPr>
        <w:t>《投标单位-电子投标文件视频制作手册》的相</w:t>
      </w:r>
      <w:r>
        <w:rPr>
          <w:rFonts w:hint="eastAsia" w:ascii="宋体" w:hAnsi="宋体" w:eastAsia="宋体" w:cs="宋体"/>
          <w:sz w:val="24"/>
          <w:highlight w:val="none"/>
        </w:rPr>
        <w:t>关规定。</w:t>
      </w:r>
      <w:r>
        <w:rPr>
          <w:rFonts w:hint="eastAsia" w:ascii="宋体" w:hAnsi="宋体" w:cs="宋体"/>
          <w:sz w:val="24"/>
          <w:highlight w:val="none"/>
        </w:rPr>
        <w:t>如未在招标文件规定的投标时间截止前上传网上</w:t>
      </w:r>
      <w:r>
        <w:rPr>
          <w:rFonts w:hint="eastAsia" w:ascii="宋体" w:hAnsi="宋体" w:cs="宋体"/>
          <w:sz w:val="24"/>
          <w:highlight w:val="none"/>
          <w:lang w:val="en-US" w:eastAsia="zh-CN"/>
        </w:rPr>
        <w:t>响应</w:t>
      </w:r>
      <w:r>
        <w:rPr>
          <w:rFonts w:hint="eastAsia" w:ascii="宋体" w:hAnsi="宋体" w:cs="宋体"/>
          <w:sz w:val="24"/>
          <w:highlight w:val="none"/>
        </w:rPr>
        <w:t>文件，投标无效。</w:t>
      </w:r>
    </w:p>
    <w:p w14:paraId="5CF84D17">
      <w:pPr>
        <w:autoSpaceDE w:val="0"/>
        <w:autoSpaceDN w:val="0"/>
        <w:adjustRightInd w:val="0"/>
        <w:spacing w:line="360" w:lineRule="auto"/>
        <w:ind w:firstLine="240" w:firstLineChars="100"/>
        <w:rPr>
          <w:rFonts w:ascii="宋体" w:hAnsi="宋体" w:cs="宋体"/>
          <w:sz w:val="24"/>
          <w:highlight w:val="none"/>
        </w:rPr>
      </w:pPr>
      <w:r>
        <w:rPr>
          <w:rFonts w:hint="eastAsia" w:ascii="宋体" w:hAnsi="宋体" w:cs="宋体"/>
          <w:sz w:val="24"/>
          <w:highlight w:val="none"/>
        </w:rPr>
        <w:t>供应商须使用单位CA证书进行电子响应文件远程解密，详见周口市公共资源电子交易中心网站（网址：http://jyzx.zhoukou.gov.cn）</w:t>
      </w:r>
      <w:r>
        <w:rPr>
          <w:rFonts w:hint="eastAsia" w:ascii="宋体" w:hAnsi="宋体" w:cs="宋体"/>
          <w:sz w:val="24"/>
          <w:highlight w:val="none"/>
          <w:lang w:val="en-US" w:eastAsia="zh-CN"/>
        </w:rPr>
        <w:t>办事指南</w:t>
      </w:r>
      <w:r>
        <w:rPr>
          <w:rFonts w:hint="eastAsia" w:ascii="宋体" w:hAnsi="宋体" w:eastAsia="宋体" w:cs="宋体"/>
          <w:bCs/>
          <w:sz w:val="24"/>
          <w:highlight w:val="none"/>
          <w:lang w:val="en-US" w:eastAsia="zh-CN"/>
        </w:rPr>
        <w:t>《</w:t>
      </w:r>
      <w:r>
        <w:rPr>
          <w:rFonts w:hint="eastAsia" w:ascii="宋体" w:hAnsi="宋体" w:eastAsia="宋体" w:cs="宋体"/>
          <w:bCs/>
          <w:sz w:val="24"/>
          <w:highlight w:val="none"/>
        </w:rPr>
        <w:t>不见面开标远程在线解密会员端操作手册操作指南</w:t>
      </w:r>
      <w:r>
        <w:rPr>
          <w:rFonts w:hint="eastAsia" w:ascii="宋体" w:hAnsi="宋体" w:eastAsia="宋体" w:cs="宋体"/>
          <w:bCs/>
          <w:sz w:val="24"/>
          <w:highlight w:val="none"/>
          <w:lang w:val="en-US" w:eastAsia="zh-CN"/>
        </w:rPr>
        <w:t>》</w:t>
      </w:r>
      <w:r>
        <w:rPr>
          <w:rFonts w:hint="eastAsia" w:ascii="宋体" w:hAnsi="宋体" w:cs="宋体"/>
          <w:sz w:val="24"/>
          <w:highlight w:val="none"/>
        </w:rPr>
        <w:t>。</w:t>
      </w:r>
    </w:p>
    <w:p w14:paraId="52875B17">
      <w:pPr>
        <w:spacing w:line="360" w:lineRule="auto"/>
        <w:ind w:firstLine="482" w:firstLineChars="200"/>
        <w:rPr>
          <w:rFonts w:ascii="宋体" w:hAnsi="宋体" w:cs="宋体"/>
          <w:b/>
          <w:sz w:val="24"/>
          <w:highlight w:val="none"/>
        </w:rPr>
      </w:pPr>
      <w:r>
        <w:rPr>
          <w:rFonts w:hint="eastAsia" w:ascii="宋体" w:hAnsi="宋体" w:cs="宋体"/>
          <w:b/>
          <w:sz w:val="24"/>
          <w:highlight w:val="none"/>
        </w:rPr>
        <w:t>16.响应性文件的递交</w:t>
      </w:r>
    </w:p>
    <w:p w14:paraId="03128F43">
      <w:pPr>
        <w:spacing w:line="360" w:lineRule="auto"/>
        <w:ind w:firstLine="480" w:firstLineChars="200"/>
        <w:rPr>
          <w:rFonts w:ascii="宋体" w:hAnsi="宋体" w:cs="宋体"/>
          <w:sz w:val="24"/>
          <w:highlight w:val="none"/>
        </w:rPr>
      </w:pPr>
      <w:r>
        <w:rPr>
          <w:rFonts w:hint="eastAsia" w:ascii="宋体" w:hAnsi="宋体" w:cs="宋体"/>
          <w:sz w:val="24"/>
          <w:highlight w:val="none"/>
        </w:rPr>
        <w:t>16.1供应商应在竞争性磋商邀请函中规定的截止日期和时间前，将响应性文件在会员系统成功上传，递交（接收）地点为竞争性磋商邀请函中规定的地址。</w:t>
      </w:r>
    </w:p>
    <w:p w14:paraId="3238A2A1">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16.2若采购人推迟了响应性文件接收截止时间，采购人和供应商受响应性文件接收截止时间制约的所有权利和义务均应以新的截止时间为准。 </w:t>
      </w:r>
    </w:p>
    <w:p w14:paraId="343FA18F">
      <w:pPr>
        <w:pStyle w:val="57"/>
        <w:spacing w:line="360" w:lineRule="auto"/>
        <w:ind w:firstLine="482" w:firstLineChars="200"/>
        <w:rPr>
          <w:rFonts w:ascii="宋体" w:hAnsi="宋体"/>
          <w:b/>
          <w:sz w:val="24"/>
          <w:szCs w:val="24"/>
          <w:highlight w:val="none"/>
        </w:rPr>
      </w:pPr>
      <w:r>
        <w:rPr>
          <w:rFonts w:hint="eastAsia" w:ascii="宋体" w:hAnsi="宋体"/>
          <w:b/>
          <w:bCs/>
          <w:sz w:val="24"/>
          <w:szCs w:val="24"/>
          <w:highlight w:val="none"/>
        </w:rPr>
        <w:t>17</w:t>
      </w:r>
      <w:r>
        <w:rPr>
          <w:rFonts w:hint="eastAsia" w:ascii="宋体" w:hAnsi="宋体"/>
          <w:b/>
          <w:sz w:val="24"/>
          <w:szCs w:val="24"/>
          <w:highlight w:val="none"/>
        </w:rPr>
        <w:t>.响应性文件的修改和撤回</w:t>
      </w:r>
    </w:p>
    <w:p w14:paraId="5F544EB3">
      <w:pPr>
        <w:pStyle w:val="57"/>
        <w:spacing w:line="360" w:lineRule="auto"/>
        <w:ind w:left="279" w:leftChars="133" w:firstLine="240" w:firstLineChars="100"/>
        <w:rPr>
          <w:rFonts w:ascii="宋体" w:hAnsi="宋体"/>
          <w:b/>
          <w:bCs/>
          <w:sz w:val="24"/>
          <w:szCs w:val="24"/>
          <w:highlight w:val="none"/>
        </w:rPr>
      </w:pPr>
      <w:r>
        <w:rPr>
          <w:rFonts w:hint="eastAsia" w:ascii="宋体" w:hAnsi="宋体"/>
          <w:sz w:val="24"/>
          <w:szCs w:val="24"/>
          <w:highlight w:val="none"/>
        </w:rPr>
        <w:t>17.1供应商在提交响应性文件截止时间前，可以对已上传的响应文件进行撤回补充、修改或撤回，补充、修改之后进行再次上传，再次上传内容作为响应性文件的组成部分。</w:t>
      </w:r>
    </w:p>
    <w:p w14:paraId="7427D2F4">
      <w:pPr>
        <w:pStyle w:val="57"/>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17.2响应性文件的补充、修改文件应按照本竞争性磋商文件有关规定进行密封、签署，修改后的加密的电子投标文件须在投标截止时间前成功上传。 </w:t>
      </w:r>
    </w:p>
    <w:p w14:paraId="0C28186B">
      <w:pPr>
        <w:pStyle w:val="57"/>
        <w:spacing w:line="360" w:lineRule="auto"/>
        <w:ind w:firstLine="480" w:firstLineChars="200"/>
        <w:rPr>
          <w:rFonts w:ascii="宋体" w:hAnsi="宋体"/>
          <w:sz w:val="24"/>
          <w:szCs w:val="24"/>
          <w:highlight w:val="none"/>
        </w:rPr>
      </w:pPr>
      <w:r>
        <w:rPr>
          <w:rFonts w:hint="eastAsia" w:ascii="宋体" w:hAnsi="宋体"/>
          <w:sz w:val="24"/>
          <w:szCs w:val="24"/>
          <w:highlight w:val="none"/>
        </w:rPr>
        <w:t>17.3供应商在响应性文件接收截止时间后不得修改、撤回响应性文件。供应商在响应性文件接收截止时间后修改响应性文件的，将被拒绝接受。</w:t>
      </w:r>
    </w:p>
    <w:p w14:paraId="5B9795A8">
      <w:pPr>
        <w:pStyle w:val="57"/>
        <w:spacing w:line="360" w:lineRule="auto"/>
        <w:ind w:firstLine="480" w:firstLineChars="200"/>
        <w:rPr>
          <w:rFonts w:ascii="宋体" w:hAnsi="宋体"/>
          <w:sz w:val="24"/>
          <w:szCs w:val="24"/>
          <w:highlight w:val="none"/>
        </w:rPr>
      </w:pPr>
      <w:r>
        <w:rPr>
          <w:rFonts w:hint="eastAsia" w:ascii="宋体" w:hAnsi="宋体"/>
          <w:sz w:val="24"/>
          <w:szCs w:val="24"/>
          <w:highlight w:val="none"/>
        </w:rPr>
        <w:t>17.4供应商有下列情形之一的，采购人将拒绝接受其响应性文件：</w:t>
      </w:r>
    </w:p>
    <w:p w14:paraId="5AD7E24B">
      <w:pPr>
        <w:pStyle w:val="57"/>
        <w:spacing w:line="360" w:lineRule="auto"/>
        <w:ind w:firstLine="480" w:firstLineChars="200"/>
        <w:rPr>
          <w:rFonts w:ascii="宋体" w:hAnsi="宋体"/>
          <w:sz w:val="24"/>
          <w:szCs w:val="24"/>
          <w:highlight w:val="none"/>
        </w:rPr>
      </w:pPr>
      <w:r>
        <w:rPr>
          <w:rFonts w:hint="eastAsia" w:ascii="宋体" w:hAnsi="宋体"/>
          <w:sz w:val="24"/>
          <w:szCs w:val="24"/>
          <w:highlight w:val="none"/>
        </w:rPr>
        <w:t>17.4.1在竞争性磋商文件规定的响应性文件接收截止时间之后递交响应性文件的；</w:t>
      </w:r>
    </w:p>
    <w:p w14:paraId="3F31F4BB">
      <w:pPr>
        <w:pStyle w:val="57"/>
        <w:spacing w:line="360" w:lineRule="auto"/>
        <w:ind w:firstLine="480" w:firstLineChars="200"/>
        <w:rPr>
          <w:rFonts w:ascii="宋体" w:hAnsi="宋体"/>
          <w:sz w:val="24"/>
          <w:szCs w:val="24"/>
          <w:highlight w:val="none"/>
        </w:rPr>
      </w:pPr>
      <w:r>
        <w:rPr>
          <w:rFonts w:hint="eastAsia" w:ascii="宋体" w:hAnsi="宋体"/>
          <w:sz w:val="24"/>
          <w:szCs w:val="24"/>
          <w:highlight w:val="none"/>
        </w:rPr>
        <w:t>17.4.2响应性文件未按竞争性磋商文件规定密封、签署、盖章</w:t>
      </w:r>
      <w:r>
        <w:rPr>
          <w:rFonts w:hint="eastAsia" w:ascii="宋体" w:hAnsi="宋体"/>
          <w:sz w:val="24"/>
          <w:szCs w:val="24"/>
          <w:highlight w:val="none"/>
          <w:lang w:val="en-US" w:eastAsia="zh-CN"/>
        </w:rPr>
        <w:t>及未加盖骑缝章</w:t>
      </w:r>
      <w:r>
        <w:rPr>
          <w:rFonts w:hint="eastAsia" w:ascii="宋体" w:hAnsi="宋体"/>
          <w:sz w:val="24"/>
          <w:szCs w:val="24"/>
          <w:highlight w:val="none"/>
        </w:rPr>
        <w:t>的；</w:t>
      </w:r>
    </w:p>
    <w:p w14:paraId="59178EC2">
      <w:pPr>
        <w:pStyle w:val="57"/>
        <w:spacing w:line="360" w:lineRule="auto"/>
        <w:ind w:firstLine="480" w:firstLineChars="200"/>
        <w:rPr>
          <w:rFonts w:ascii="宋体" w:hAnsi="宋体"/>
          <w:b/>
          <w:sz w:val="24"/>
          <w:szCs w:val="24"/>
          <w:highlight w:val="none"/>
        </w:rPr>
      </w:pPr>
      <w:r>
        <w:rPr>
          <w:rFonts w:hint="eastAsia" w:ascii="宋体" w:hAnsi="宋体"/>
          <w:sz w:val="24"/>
          <w:szCs w:val="24"/>
          <w:highlight w:val="none"/>
        </w:rPr>
        <w:t>17.4.3一个供应商不止递交一套响应性文件的。</w:t>
      </w:r>
    </w:p>
    <w:p w14:paraId="50B658C2">
      <w:pPr>
        <w:spacing w:line="360" w:lineRule="auto"/>
        <w:jc w:val="center"/>
        <w:rPr>
          <w:rFonts w:ascii="宋体" w:hAnsi="宋体" w:cs="宋体"/>
          <w:b/>
          <w:sz w:val="24"/>
          <w:highlight w:val="none"/>
        </w:rPr>
      </w:pPr>
      <w:r>
        <w:rPr>
          <w:rFonts w:hint="eastAsia" w:ascii="宋体" w:hAnsi="宋体" w:cs="宋体"/>
          <w:b/>
          <w:sz w:val="24"/>
          <w:highlight w:val="none"/>
        </w:rPr>
        <w:t>五、竞争性磋商</w:t>
      </w:r>
    </w:p>
    <w:p w14:paraId="0D5CBEA8">
      <w:pPr>
        <w:spacing w:line="360" w:lineRule="auto"/>
        <w:ind w:firstLine="482" w:firstLineChars="200"/>
        <w:rPr>
          <w:rFonts w:ascii="宋体" w:hAnsi="宋体" w:cs="宋体"/>
          <w:b/>
          <w:sz w:val="24"/>
          <w:highlight w:val="none"/>
          <w:lang w:val="zh-CN"/>
        </w:rPr>
      </w:pPr>
      <w:r>
        <w:rPr>
          <w:rFonts w:hint="eastAsia" w:ascii="宋体" w:hAnsi="宋体" w:cs="宋体"/>
          <w:b/>
          <w:sz w:val="24"/>
          <w:highlight w:val="none"/>
        </w:rPr>
        <w:t>18.组建</w:t>
      </w:r>
      <w:r>
        <w:rPr>
          <w:rFonts w:hint="eastAsia" w:ascii="宋体" w:hAnsi="宋体" w:cs="宋体"/>
          <w:b/>
          <w:sz w:val="24"/>
          <w:highlight w:val="none"/>
          <w:lang w:val="zh-CN"/>
        </w:rPr>
        <w:t>竞争性磋商小组</w:t>
      </w:r>
    </w:p>
    <w:p w14:paraId="4F863987">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18.1采购人根据采购项目的特点依法组建竞争性磋商小组。</w:t>
      </w:r>
    </w:p>
    <w:p w14:paraId="2FFF02F8">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18.2竞争性磋商小组</w:t>
      </w:r>
      <w:r>
        <w:rPr>
          <w:rFonts w:hint="eastAsia" w:ascii="宋体" w:hAnsi="宋体" w:cs="宋体"/>
          <w:bCs/>
          <w:kern w:val="0"/>
          <w:sz w:val="24"/>
          <w:highlight w:val="none"/>
        </w:rPr>
        <w:t>确认竞争性磋商文件，并</w:t>
      </w:r>
      <w:r>
        <w:rPr>
          <w:rFonts w:hint="eastAsia" w:ascii="宋体" w:hAnsi="宋体" w:cs="宋体"/>
          <w:kern w:val="0"/>
          <w:sz w:val="24"/>
          <w:highlight w:val="none"/>
        </w:rPr>
        <w:t>负责具体评审事务，根据有关法律法规和竞争性磋商文件规定的评审程序，按照评审方法及评审标准独立履行竞争性磋商小组职责。</w:t>
      </w:r>
    </w:p>
    <w:p w14:paraId="72E94A57">
      <w:pPr>
        <w:spacing w:line="360" w:lineRule="auto"/>
        <w:ind w:firstLine="482" w:firstLineChars="200"/>
        <w:rPr>
          <w:rFonts w:ascii="宋体" w:hAnsi="宋体" w:cs="宋体"/>
          <w:b/>
          <w:sz w:val="24"/>
          <w:highlight w:val="none"/>
        </w:rPr>
      </w:pPr>
      <w:r>
        <w:rPr>
          <w:rFonts w:hint="eastAsia" w:ascii="宋体" w:hAnsi="宋体" w:cs="宋体"/>
          <w:b/>
          <w:sz w:val="24"/>
          <w:highlight w:val="none"/>
        </w:rPr>
        <w:t>19.资格性和符合性审查</w:t>
      </w:r>
    </w:p>
    <w:p w14:paraId="0A3817CE">
      <w:pPr>
        <w:spacing w:line="360" w:lineRule="auto"/>
        <w:ind w:firstLine="480" w:firstLineChars="200"/>
        <w:rPr>
          <w:rFonts w:ascii="宋体" w:hAnsi="宋体" w:cs="宋体"/>
          <w:sz w:val="24"/>
          <w:highlight w:val="none"/>
        </w:rPr>
      </w:pPr>
      <w:r>
        <w:rPr>
          <w:rFonts w:hint="eastAsia" w:ascii="宋体" w:hAnsi="宋体" w:cs="宋体"/>
          <w:sz w:val="24"/>
          <w:highlight w:val="none"/>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03680D07">
      <w:pPr>
        <w:spacing w:line="360" w:lineRule="auto"/>
        <w:ind w:firstLine="480" w:firstLineChars="200"/>
        <w:rPr>
          <w:rFonts w:ascii="宋体" w:hAnsi="宋体" w:cs="宋体"/>
          <w:b/>
          <w:bCs/>
          <w:sz w:val="24"/>
          <w:highlight w:val="none"/>
        </w:rPr>
      </w:pPr>
      <w:r>
        <w:rPr>
          <w:rFonts w:hint="eastAsia" w:ascii="宋体" w:hAnsi="宋体" w:cs="宋体"/>
          <w:sz w:val="24"/>
          <w:highlight w:val="none"/>
        </w:rPr>
        <w:t>19.1.1资格性审查的内容包括：竞争性磋商文件规定的供应商资格条件；</w:t>
      </w:r>
    </w:p>
    <w:p w14:paraId="5C9F90B0">
      <w:pPr>
        <w:spacing w:line="360" w:lineRule="auto"/>
        <w:ind w:firstLine="480" w:firstLineChars="200"/>
        <w:rPr>
          <w:rFonts w:ascii="宋体" w:hAnsi="宋体" w:cs="宋体"/>
          <w:sz w:val="24"/>
          <w:highlight w:val="none"/>
        </w:rPr>
      </w:pPr>
      <w:r>
        <w:rPr>
          <w:rFonts w:hint="eastAsia" w:ascii="宋体" w:hAnsi="宋体" w:cs="宋体"/>
          <w:sz w:val="24"/>
          <w:highlight w:val="none"/>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4636ACEA">
      <w:pPr>
        <w:spacing w:line="360" w:lineRule="auto"/>
        <w:ind w:firstLine="480" w:firstLineChars="200"/>
        <w:rPr>
          <w:rFonts w:ascii="宋体" w:hAnsi="宋体" w:cs="宋体"/>
          <w:sz w:val="24"/>
          <w:highlight w:val="none"/>
        </w:rPr>
      </w:pPr>
      <w:r>
        <w:rPr>
          <w:rFonts w:hint="eastAsia" w:ascii="宋体" w:hAnsi="宋体" w:cs="宋体"/>
          <w:sz w:val="24"/>
          <w:highlight w:val="none"/>
        </w:rPr>
        <w:t>19.2.1符合性审查的内容包括：</w:t>
      </w:r>
    </w:p>
    <w:p w14:paraId="53B7F908">
      <w:pPr>
        <w:spacing w:line="360" w:lineRule="auto"/>
        <w:ind w:firstLine="480" w:firstLineChars="200"/>
        <w:rPr>
          <w:rFonts w:ascii="宋体" w:hAnsi="宋体" w:cs="宋体"/>
          <w:sz w:val="24"/>
          <w:highlight w:val="none"/>
        </w:rPr>
      </w:pPr>
      <w:r>
        <w:rPr>
          <w:rFonts w:hint="eastAsia" w:ascii="宋体" w:hAnsi="宋体" w:cs="宋体"/>
          <w:sz w:val="24"/>
          <w:highlight w:val="none"/>
        </w:rPr>
        <w:t>（1）响应性文件的有效性(签署情况等)；</w:t>
      </w:r>
    </w:p>
    <w:p w14:paraId="6714A3C1">
      <w:pPr>
        <w:spacing w:line="360" w:lineRule="auto"/>
        <w:ind w:firstLine="480" w:firstLineChars="200"/>
        <w:rPr>
          <w:rFonts w:ascii="宋体" w:hAnsi="宋体" w:cs="宋体"/>
          <w:sz w:val="24"/>
          <w:highlight w:val="none"/>
        </w:rPr>
      </w:pPr>
      <w:r>
        <w:rPr>
          <w:rFonts w:hint="eastAsia" w:ascii="宋体" w:hAnsi="宋体" w:cs="宋体"/>
          <w:sz w:val="24"/>
          <w:highlight w:val="none"/>
        </w:rPr>
        <w:t>（2）响应性文件的完整性；</w:t>
      </w:r>
    </w:p>
    <w:p w14:paraId="200C2FD8">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（3）对竞争性磋商文件的响应程度（是否存在重大负偏离等）。 </w:t>
      </w:r>
    </w:p>
    <w:p w14:paraId="0470E17B">
      <w:pPr>
        <w:spacing w:line="360" w:lineRule="auto"/>
        <w:ind w:firstLine="480" w:firstLineChars="200"/>
        <w:rPr>
          <w:rFonts w:ascii="宋体" w:hAnsi="宋体" w:cs="宋体"/>
          <w:sz w:val="24"/>
          <w:highlight w:val="none"/>
        </w:rPr>
      </w:pPr>
      <w:r>
        <w:rPr>
          <w:rFonts w:hint="eastAsia" w:ascii="宋体" w:hAnsi="宋体" w:cs="宋体"/>
          <w:sz w:val="24"/>
          <w:highlight w:val="none"/>
          <w:u w:val="single"/>
        </w:rPr>
        <w:t>以上资格性审查和符合性审查的内容只要有一条不满足，则响应性文件无效，将不进入竞争性磋商程序。</w:t>
      </w:r>
    </w:p>
    <w:p w14:paraId="581E4E79">
      <w:pPr>
        <w:spacing w:line="360" w:lineRule="auto"/>
        <w:ind w:firstLine="480" w:firstLineChars="200"/>
        <w:rPr>
          <w:rFonts w:ascii="宋体" w:hAnsi="宋体" w:cs="宋体"/>
          <w:sz w:val="24"/>
          <w:highlight w:val="none"/>
        </w:rPr>
      </w:pPr>
      <w:r>
        <w:rPr>
          <w:rFonts w:hint="eastAsia" w:ascii="宋体" w:hAnsi="宋体" w:cs="宋体"/>
          <w:sz w:val="24"/>
          <w:highlight w:val="none"/>
        </w:rPr>
        <w:t>注意事项：资格性、符合性证明材料见竞争性磋商文件第四章规定。</w:t>
      </w:r>
    </w:p>
    <w:p w14:paraId="2441AEE8">
      <w:pPr>
        <w:spacing w:line="360" w:lineRule="auto"/>
        <w:ind w:firstLine="480" w:firstLineChars="200"/>
        <w:rPr>
          <w:rFonts w:ascii="宋体" w:hAnsi="宋体" w:cs="宋体"/>
          <w:sz w:val="24"/>
          <w:highlight w:val="none"/>
        </w:rPr>
      </w:pPr>
      <w:r>
        <w:rPr>
          <w:rFonts w:hint="eastAsia" w:ascii="宋体" w:hAnsi="宋体" w:cs="宋体"/>
          <w:sz w:val="24"/>
          <w:highlight w:val="none"/>
        </w:rPr>
        <w:t>19.3实质性响应的响应性文件是指与竞争性磋商文件的全部条款、条件和规格相符，没有重大偏离；重大负偏离的认定须经竞争性磋商小组三分之二以上同意。</w:t>
      </w:r>
    </w:p>
    <w:p w14:paraId="2241CFC7">
      <w:pPr>
        <w:spacing w:line="360" w:lineRule="auto"/>
        <w:ind w:firstLine="480" w:firstLineChars="200"/>
        <w:rPr>
          <w:rFonts w:ascii="宋体" w:hAnsi="宋体" w:cs="宋体"/>
          <w:sz w:val="24"/>
          <w:highlight w:val="none"/>
        </w:rPr>
      </w:pPr>
      <w:r>
        <w:rPr>
          <w:rFonts w:hint="eastAsia" w:ascii="宋体" w:hAnsi="宋体" w:cs="宋体"/>
          <w:sz w:val="24"/>
          <w:highlight w:val="none"/>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6C5391A8">
      <w:pPr>
        <w:spacing w:line="360" w:lineRule="auto"/>
        <w:ind w:firstLine="480" w:firstLineChars="200"/>
        <w:rPr>
          <w:rFonts w:ascii="宋体" w:hAnsi="宋体" w:cs="宋体"/>
          <w:sz w:val="24"/>
          <w:highlight w:val="none"/>
        </w:rPr>
      </w:pPr>
      <w:r>
        <w:rPr>
          <w:rFonts w:hint="eastAsia" w:ascii="宋体" w:hAnsi="宋体" w:cs="宋体"/>
          <w:sz w:val="24"/>
          <w:highlight w:val="none"/>
        </w:rPr>
        <w:t>19.5如果响应性文件实质上没有响应竞争性磋商文件的要求，将作为</w:t>
      </w:r>
      <w:r>
        <w:rPr>
          <w:rFonts w:hint="eastAsia" w:ascii="宋体" w:hAnsi="宋体" w:cs="宋体"/>
          <w:sz w:val="24"/>
          <w:highlight w:val="none"/>
          <w:lang w:eastAsia="zh-CN"/>
        </w:rPr>
        <w:t>无</w:t>
      </w:r>
      <w:r>
        <w:rPr>
          <w:rFonts w:hint="eastAsia" w:ascii="宋体" w:hAnsi="宋体" w:cs="宋体"/>
          <w:spacing w:val="-20"/>
          <w:w w:val="50"/>
          <w:sz w:val="24"/>
          <w:highlight w:val="none"/>
          <w:lang w:eastAsia="zh-CN"/>
        </w:rPr>
        <w:t xml:space="preserve"> </w:t>
      </w:r>
      <w:r>
        <w:rPr>
          <w:rFonts w:hint="eastAsia" w:ascii="宋体" w:hAnsi="宋体" w:cs="宋体"/>
          <w:sz w:val="24"/>
          <w:highlight w:val="none"/>
          <w:lang w:eastAsia="zh-CN"/>
        </w:rPr>
        <w:t>效</w:t>
      </w:r>
      <w:r>
        <w:rPr>
          <w:rFonts w:hint="eastAsia" w:ascii="宋体" w:hAnsi="宋体" w:cs="宋体"/>
          <w:sz w:val="24"/>
          <w:highlight w:val="none"/>
        </w:rPr>
        <w:t>处理，供应商不得再对响应性文件进行任何修正从而使其响应性文件成为实质上响应的文件；</w:t>
      </w:r>
    </w:p>
    <w:p w14:paraId="25F55562">
      <w:pPr>
        <w:spacing w:line="360" w:lineRule="auto"/>
        <w:ind w:firstLine="480" w:firstLineChars="200"/>
        <w:rPr>
          <w:rFonts w:ascii="宋体" w:hAnsi="宋体" w:cs="宋体"/>
          <w:sz w:val="24"/>
          <w:highlight w:val="none"/>
        </w:rPr>
      </w:pPr>
      <w:r>
        <w:rPr>
          <w:rFonts w:hint="eastAsia" w:ascii="宋体" w:hAnsi="宋体" w:cs="宋体"/>
          <w:sz w:val="24"/>
          <w:highlight w:val="none"/>
        </w:rPr>
        <w:t>19.6竞争性磋商小组审定响应性文件的响应性只根据响应性文件本身的内容而不寻求外部证据。</w:t>
      </w:r>
    </w:p>
    <w:p w14:paraId="062E4B1B">
      <w:pPr>
        <w:spacing w:line="360" w:lineRule="auto"/>
        <w:ind w:firstLine="480" w:firstLineChars="200"/>
        <w:rPr>
          <w:rFonts w:ascii="宋体" w:hAnsi="宋体" w:cs="宋体"/>
          <w:sz w:val="24"/>
          <w:highlight w:val="none"/>
        </w:rPr>
      </w:pPr>
      <w:r>
        <w:rPr>
          <w:rFonts w:hint="eastAsia" w:ascii="宋体" w:hAnsi="宋体" w:cs="宋体"/>
          <w:sz w:val="24"/>
          <w:highlight w:val="none"/>
        </w:rPr>
        <w:t>19.7凡有下列情况之一的，其响应性文件也被视为未实质性响应竞争性磋商文件，按照无效处理（不再参加竞争性磋商）：</w:t>
      </w:r>
    </w:p>
    <w:p w14:paraId="045503A5">
      <w:pPr>
        <w:spacing w:line="360" w:lineRule="auto"/>
        <w:ind w:firstLine="480" w:firstLineChars="200"/>
        <w:rPr>
          <w:rFonts w:ascii="宋体" w:hAnsi="宋体" w:cs="宋体"/>
          <w:sz w:val="24"/>
          <w:highlight w:val="none"/>
        </w:rPr>
      </w:pPr>
      <w:r>
        <w:rPr>
          <w:rFonts w:hint="eastAsia" w:ascii="宋体" w:hAnsi="宋体" w:cs="宋体"/>
          <w:sz w:val="24"/>
          <w:highlight w:val="none"/>
        </w:rPr>
        <w:t>19.7.1未按竞争性磋商文件规定要求</w:t>
      </w:r>
      <w:r>
        <w:rPr>
          <w:rFonts w:hint="eastAsia" w:ascii="宋体" w:hAnsi="宋体" w:cs="宋体"/>
          <w:sz w:val="24"/>
          <w:highlight w:val="none"/>
          <w:lang w:val="zh-CN"/>
        </w:rPr>
        <w:t>签署、盖章的；</w:t>
      </w:r>
    </w:p>
    <w:p w14:paraId="12AC81CC">
      <w:pPr>
        <w:spacing w:line="360" w:lineRule="auto"/>
        <w:ind w:firstLine="480" w:firstLineChars="200"/>
        <w:rPr>
          <w:rFonts w:ascii="宋体" w:hAnsi="宋体" w:cs="宋体"/>
          <w:sz w:val="24"/>
          <w:highlight w:val="none"/>
        </w:rPr>
      </w:pPr>
      <w:r>
        <w:rPr>
          <w:rFonts w:hint="eastAsia" w:ascii="宋体" w:hAnsi="宋体" w:cs="宋体"/>
          <w:sz w:val="24"/>
          <w:highlight w:val="none"/>
        </w:rPr>
        <w:t>19.7.2</w:t>
      </w:r>
      <w:r>
        <w:rPr>
          <w:rFonts w:hint="eastAsia" w:ascii="宋体" w:hAnsi="宋体" w:cs="宋体"/>
          <w:color w:val="auto"/>
          <w:sz w:val="24"/>
          <w:highlight w:val="none"/>
        </w:rPr>
        <w:t>资格证明文件不全或不符合竞争性磋商文件中规定的资格要求的</w:t>
      </w:r>
      <w:r>
        <w:rPr>
          <w:rFonts w:hint="eastAsia" w:ascii="宋体" w:hAnsi="宋体" w:cs="宋体"/>
          <w:sz w:val="24"/>
          <w:highlight w:val="none"/>
        </w:rPr>
        <w:t>；</w:t>
      </w:r>
    </w:p>
    <w:p w14:paraId="38F92202">
      <w:pPr>
        <w:spacing w:line="360" w:lineRule="auto"/>
        <w:ind w:firstLine="480" w:firstLineChars="200"/>
        <w:rPr>
          <w:rFonts w:ascii="宋体" w:hAnsi="宋体" w:cs="宋体"/>
          <w:sz w:val="24"/>
          <w:highlight w:val="none"/>
        </w:rPr>
      </w:pPr>
      <w:r>
        <w:rPr>
          <w:rFonts w:hint="eastAsia" w:ascii="宋体" w:hAnsi="宋体" w:cs="宋体"/>
          <w:sz w:val="24"/>
          <w:highlight w:val="none"/>
        </w:rPr>
        <w:t>19.7.3供应商代表未能出具身份证正面经其签字确认的有效身份证明的；</w:t>
      </w:r>
    </w:p>
    <w:p w14:paraId="2DC80DAC">
      <w:pPr>
        <w:spacing w:line="360" w:lineRule="auto"/>
        <w:ind w:firstLine="480" w:firstLineChars="200"/>
        <w:rPr>
          <w:rFonts w:ascii="宋体" w:hAnsi="宋体" w:cs="宋体"/>
          <w:sz w:val="24"/>
          <w:highlight w:val="none"/>
        </w:rPr>
      </w:pPr>
      <w:r>
        <w:rPr>
          <w:rFonts w:hint="eastAsia" w:ascii="宋体" w:hAnsi="宋体" w:cs="宋体"/>
          <w:sz w:val="24"/>
          <w:highlight w:val="none"/>
        </w:rPr>
        <w:t>19.7.4不符合竞争性磋商文件规定的实质性要求的；</w:t>
      </w:r>
    </w:p>
    <w:p w14:paraId="1861CE91">
      <w:pPr>
        <w:spacing w:line="360" w:lineRule="auto"/>
        <w:ind w:firstLine="480" w:firstLineChars="200"/>
        <w:rPr>
          <w:rFonts w:ascii="宋体" w:hAnsi="宋体" w:cs="宋体"/>
          <w:sz w:val="24"/>
          <w:highlight w:val="none"/>
        </w:rPr>
      </w:pPr>
      <w:r>
        <w:rPr>
          <w:rFonts w:hint="eastAsia" w:ascii="宋体" w:hAnsi="宋体" w:cs="宋体"/>
          <w:sz w:val="24"/>
          <w:highlight w:val="none"/>
        </w:rPr>
        <w:t>19.7.5响应性文件内容不齐全或内容虚假的；</w:t>
      </w:r>
    </w:p>
    <w:p w14:paraId="3485CB70">
      <w:pPr>
        <w:spacing w:line="360" w:lineRule="auto"/>
        <w:ind w:firstLine="480" w:firstLineChars="200"/>
        <w:rPr>
          <w:rFonts w:ascii="宋体" w:hAnsi="宋体" w:cs="宋体"/>
          <w:sz w:val="24"/>
          <w:highlight w:val="none"/>
        </w:rPr>
      </w:pPr>
      <w:r>
        <w:rPr>
          <w:rFonts w:hint="eastAsia" w:ascii="宋体" w:hAnsi="宋体" w:cs="宋体"/>
          <w:sz w:val="24"/>
          <w:highlight w:val="none"/>
        </w:rPr>
        <w:t>19.7.6响应性文件的实质性内容未使用中文表述；</w:t>
      </w:r>
    </w:p>
    <w:p w14:paraId="1129FA80">
      <w:pPr>
        <w:spacing w:line="360" w:lineRule="auto"/>
        <w:ind w:firstLine="480" w:firstLineChars="200"/>
        <w:rPr>
          <w:rFonts w:ascii="宋体" w:hAnsi="宋体" w:cs="宋体"/>
          <w:sz w:val="24"/>
          <w:highlight w:val="none"/>
        </w:rPr>
      </w:pPr>
      <w:r>
        <w:rPr>
          <w:rFonts w:hint="eastAsia" w:ascii="宋体" w:hAnsi="宋体" w:cs="宋体"/>
          <w:sz w:val="24"/>
          <w:highlight w:val="none"/>
        </w:rPr>
        <w:t>19.7.7响应性文件的内容修改处未按规定签名或盖章的；</w:t>
      </w:r>
    </w:p>
    <w:p w14:paraId="518103BC">
      <w:pPr>
        <w:spacing w:line="360" w:lineRule="auto"/>
        <w:ind w:firstLine="480" w:firstLineChars="200"/>
        <w:rPr>
          <w:rFonts w:ascii="宋体" w:hAnsi="宋体" w:cs="宋体"/>
          <w:sz w:val="24"/>
          <w:highlight w:val="none"/>
        </w:rPr>
      </w:pPr>
      <w:r>
        <w:rPr>
          <w:rFonts w:hint="eastAsia" w:ascii="宋体" w:hAnsi="宋体" w:cs="宋体"/>
          <w:sz w:val="24"/>
          <w:highlight w:val="none"/>
        </w:rPr>
        <w:t>19.7.8违反法律、行政法规、竞争性磋商文件规定的其他情形的。</w:t>
      </w:r>
    </w:p>
    <w:p w14:paraId="4C2462F1">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不同供应商的电子投标（响应）文件上传计算机的网卡 MAC 地址、CPU 序列号和硬盘序列号等硬件信息相同的;</w:t>
      </w:r>
    </w:p>
    <w:p w14:paraId="067064AC">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不同供应商的投标（响应）文件由同一电子设备编制，打印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复印、</w:t>
      </w:r>
      <w:r>
        <w:rPr>
          <w:rFonts w:hint="eastAsia" w:ascii="宋体" w:hAnsi="宋体" w:eastAsia="宋体" w:cs="宋体"/>
          <w:color w:val="auto"/>
          <w:sz w:val="24"/>
          <w:highlight w:val="none"/>
        </w:rPr>
        <w:t>加密或者上传</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w:t>
      </w:r>
    </w:p>
    <w:p w14:paraId="11E85D50">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不同供应商的投标（响应）文件由同一人送达或者分发，或者不同供应商联系人为同一人或不同联系人的联系电话一致的；</w:t>
      </w:r>
    </w:p>
    <w:p w14:paraId="05B3AD58">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不同供应商的投标（响应）文件的内容存在两处以上细节错误一致；</w:t>
      </w:r>
    </w:p>
    <w:p w14:paraId="1C5635D4">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13</w:t>
      </w:r>
      <w:r>
        <w:rPr>
          <w:rFonts w:hint="eastAsia" w:ascii="宋体" w:hAnsi="宋体" w:eastAsia="宋体" w:cs="宋体"/>
          <w:color w:val="auto"/>
          <w:sz w:val="24"/>
          <w:highlight w:val="none"/>
        </w:rPr>
        <w:t>不同供应商的法定代表人、委托代理人、项目经理、项目负责人等由同一个单位缴纳社会保险或者领取报酬及供应商代表未提供劳动合同的；</w:t>
      </w:r>
    </w:p>
    <w:p w14:paraId="5FF7690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19.7.14未提供经会计师事务所或审计机构审计的财务会计报表，包括资产负债表、现金流量表、利润表和财务情况说明书的；</w:t>
      </w:r>
    </w:p>
    <w:p w14:paraId="41C6E101">
      <w:pPr>
        <w:spacing w:line="360" w:lineRule="auto"/>
        <w:ind w:firstLine="480" w:firstLineChars="200"/>
        <w:rPr>
          <w:highlight w:val="none"/>
        </w:rPr>
      </w:pPr>
      <w:r>
        <w:rPr>
          <w:rFonts w:hint="eastAsia" w:ascii="宋体" w:hAnsi="宋体" w:eastAsia="宋体" w:cs="宋体"/>
          <w:color w:val="auto"/>
          <w:sz w:val="24"/>
          <w:highlight w:val="none"/>
        </w:rPr>
        <w:t>19.7.15不同供应商投标（响应）文件中法定代表人或者负责人签字出自同一人之手。</w:t>
      </w:r>
    </w:p>
    <w:p w14:paraId="2D6FCD53">
      <w:pPr>
        <w:spacing w:line="360" w:lineRule="auto"/>
        <w:ind w:firstLine="480" w:firstLineChars="200"/>
        <w:rPr>
          <w:rFonts w:ascii="宋体" w:hAnsi="宋体" w:cs="宋体"/>
          <w:sz w:val="24"/>
          <w:highlight w:val="none"/>
        </w:rPr>
      </w:pPr>
      <w:r>
        <w:rPr>
          <w:rFonts w:hint="eastAsia" w:ascii="宋体" w:hAnsi="宋体" w:cs="宋体"/>
          <w:sz w:val="24"/>
          <w:highlight w:val="none"/>
        </w:rPr>
        <w:t>19.8在评审过程中，竞争性磋商小组发现供应商有下列情形之一的，视为供应商相互串通，按照无效处理并依据法律、法规追究其相关责任。具体表现形式如下：</w:t>
      </w:r>
    </w:p>
    <w:p w14:paraId="71E7A3BD">
      <w:pPr>
        <w:spacing w:line="360" w:lineRule="auto"/>
        <w:ind w:firstLine="480" w:firstLineChars="200"/>
        <w:rPr>
          <w:rFonts w:ascii="宋体" w:hAnsi="宋体" w:cs="宋体"/>
          <w:sz w:val="24"/>
          <w:highlight w:val="none"/>
        </w:rPr>
      </w:pPr>
      <w:r>
        <w:rPr>
          <w:rFonts w:hint="eastAsia" w:ascii="宋体" w:hAnsi="宋体" w:cs="宋体"/>
          <w:sz w:val="24"/>
          <w:highlight w:val="none"/>
        </w:rPr>
        <w:t>19.8.1不同供应商的响应性文件互相混装的；</w:t>
      </w:r>
    </w:p>
    <w:p w14:paraId="16CC8BBD">
      <w:pPr>
        <w:spacing w:line="360" w:lineRule="auto"/>
        <w:ind w:firstLine="480" w:firstLineChars="200"/>
        <w:rPr>
          <w:rFonts w:ascii="宋体" w:hAnsi="宋体" w:cs="宋体"/>
          <w:sz w:val="24"/>
          <w:highlight w:val="none"/>
        </w:rPr>
      </w:pPr>
      <w:r>
        <w:rPr>
          <w:rFonts w:hint="eastAsia" w:ascii="宋体" w:hAnsi="宋体" w:cs="宋体"/>
          <w:sz w:val="24"/>
          <w:highlight w:val="none"/>
        </w:rPr>
        <w:t>19.8.2不同供应商授权同一人作为供应商委托代理人的；</w:t>
      </w:r>
    </w:p>
    <w:p w14:paraId="57BF36E2">
      <w:pPr>
        <w:spacing w:line="360" w:lineRule="auto"/>
        <w:ind w:firstLine="480" w:firstLineChars="200"/>
        <w:rPr>
          <w:rFonts w:ascii="宋体" w:hAnsi="宋体" w:cs="宋体"/>
          <w:sz w:val="24"/>
          <w:highlight w:val="none"/>
        </w:rPr>
      </w:pPr>
      <w:r>
        <w:rPr>
          <w:rFonts w:hint="eastAsia" w:ascii="宋体" w:hAnsi="宋体" w:cs="宋体"/>
          <w:sz w:val="24"/>
          <w:highlight w:val="none"/>
        </w:rPr>
        <w:t>19.8.3不同供应商的响应性文件载明的项目管理成员为同一人的；</w:t>
      </w:r>
    </w:p>
    <w:p w14:paraId="6E279A28">
      <w:pPr>
        <w:spacing w:line="360" w:lineRule="auto"/>
        <w:ind w:firstLine="480" w:firstLineChars="200"/>
        <w:rPr>
          <w:rFonts w:ascii="宋体" w:hAnsi="宋体" w:cs="宋体"/>
          <w:sz w:val="24"/>
          <w:highlight w:val="none"/>
        </w:rPr>
      </w:pPr>
      <w:r>
        <w:rPr>
          <w:rFonts w:hint="eastAsia" w:ascii="宋体" w:hAnsi="宋体" w:cs="宋体"/>
          <w:sz w:val="24"/>
          <w:highlight w:val="none"/>
        </w:rPr>
        <w:t>19.8.4有证据证明供应商与采购人、采购代理机构或者其他供应商串通的其他情形；</w:t>
      </w:r>
    </w:p>
    <w:p w14:paraId="544A28BE">
      <w:pPr>
        <w:spacing w:line="360" w:lineRule="auto"/>
        <w:ind w:firstLine="480" w:firstLineChars="200"/>
        <w:rPr>
          <w:rFonts w:ascii="宋体" w:hAnsi="宋体" w:cs="宋体"/>
          <w:color w:val="FF0000"/>
          <w:sz w:val="24"/>
          <w:highlight w:val="none"/>
        </w:rPr>
      </w:pPr>
      <w:r>
        <w:rPr>
          <w:rFonts w:hint="eastAsia" w:ascii="宋体" w:hAnsi="宋体" w:cs="宋体"/>
          <w:sz w:val="24"/>
          <w:highlight w:val="none"/>
        </w:rPr>
        <w:t>19.8.5竞争性磋商小组认定的其他串通情形。</w:t>
      </w:r>
    </w:p>
    <w:p w14:paraId="62A5E7D5">
      <w:pPr>
        <w:pStyle w:val="40"/>
        <w:rPr>
          <w:rFonts w:ascii="宋体" w:hAnsi="宋体" w:cs="宋体"/>
          <w:sz w:val="24"/>
          <w:szCs w:val="24"/>
          <w:highlight w:val="none"/>
        </w:rPr>
      </w:pPr>
    </w:p>
    <w:tbl>
      <w:tblPr>
        <w:tblStyle w:val="28"/>
        <w:tblW w:w="0" w:type="auto"/>
        <w:jc w:val="center"/>
        <w:tblLayout w:type="autofit"/>
        <w:tblCellMar>
          <w:top w:w="0" w:type="dxa"/>
          <w:left w:w="10" w:type="dxa"/>
          <w:bottom w:w="0" w:type="dxa"/>
          <w:right w:w="10" w:type="dxa"/>
        </w:tblCellMar>
      </w:tblPr>
      <w:tblGrid>
        <w:gridCol w:w="703"/>
        <w:gridCol w:w="2640"/>
        <w:gridCol w:w="1913"/>
        <w:gridCol w:w="819"/>
        <w:gridCol w:w="2339"/>
      </w:tblGrid>
      <w:tr w14:paraId="04957F0C">
        <w:tblPrEx>
          <w:tblCellMar>
            <w:top w:w="0" w:type="dxa"/>
            <w:left w:w="10" w:type="dxa"/>
            <w:bottom w:w="0" w:type="dxa"/>
            <w:right w:w="10" w:type="dxa"/>
          </w:tblCellMar>
        </w:tblPrEx>
        <w:trPr>
          <w:cantSplit/>
          <w:trHeight w:val="567" w:hRule="atLeast"/>
          <w:jc w:val="center"/>
        </w:trPr>
        <w:tc>
          <w:tcPr>
            <w:tcW w:w="8414"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D40DC2">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项目符合性审查表</w:t>
            </w:r>
          </w:p>
        </w:tc>
      </w:tr>
      <w:tr w14:paraId="412E2A46">
        <w:tblPrEx>
          <w:tblCellMar>
            <w:top w:w="0" w:type="dxa"/>
            <w:left w:w="10" w:type="dxa"/>
            <w:bottom w:w="0" w:type="dxa"/>
            <w:right w:w="10"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418A88">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2AE74F">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指标名称</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762F4F">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指标要求</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739095">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w:t>
            </w:r>
          </w:p>
          <w:p w14:paraId="4B85539E">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通过</w:t>
            </w: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C0895E">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投标文件格式及</w:t>
            </w:r>
          </w:p>
          <w:p w14:paraId="7CB1A249">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提交资料要求</w:t>
            </w:r>
          </w:p>
        </w:tc>
      </w:tr>
      <w:tr w14:paraId="58F9F4DC">
        <w:tblPrEx>
          <w:tblCellMar>
            <w:top w:w="0" w:type="dxa"/>
            <w:left w:w="10" w:type="dxa"/>
            <w:bottom w:w="0" w:type="dxa"/>
            <w:right w:w="10"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2D143D">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8EE5F9">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营业执照</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15EC80">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见磋商文件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BC15FF">
            <w:pPr>
              <w:bidi w:val="0"/>
              <w:spacing w:line="240" w:lineRule="auto"/>
              <w:jc w:val="center"/>
              <w:rPr>
                <w:rFonts w:hint="eastAsia" w:asciiTheme="minorEastAsia" w:hAnsiTheme="minorEastAsia" w:eastAsiaTheme="minorEastAsia" w:cstheme="minorEastAsia"/>
                <w:sz w:val="24"/>
                <w:szCs w:val="24"/>
                <w:highlight w:val="none"/>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0614E3">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见</w:t>
            </w:r>
            <w:r>
              <w:rPr>
                <w:rFonts w:hint="eastAsia" w:asciiTheme="minorEastAsia" w:hAnsiTheme="minorEastAsia" w:cstheme="minorEastAsia"/>
                <w:sz w:val="24"/>
                <w:szCs w:val="24"/>
                <w:highlight w:val="none"/>
                <w:lang w:val="en-US" w:eastAsia="zh-CN"/>
              </w:rPr>
              <w:t>磋商响应</w:t>
            </w:r>
            <w:r>
              <w:rPr>
                <w:rFonts w:hint="eastAsia" w:asciiTheme="minorEastAsia" w:hAnsiTheme="minorEastAsia" w:eastAsiaTheme="minorEastAsia" w:cstheme="minorEastAsia"/>
                <w:sz w:val="24"/>
                <w:szCs w:val="24"/>
                <w:highlight w:val="none"/>
              </w:rPr>
              <w:t>文件</w:t>
            </w:r>
          </w:p>
        </w:tc>
      </w:tr>
      <w:tr w14:paraId="421D36F8">
        <w:tblPrEx>
          <w:tblCellMar>
            <w:top w:w="0" w:type="dxa"/>
            <w:left w:w="10" w:type="dxa"/>
            <w:bottom w:w="0" w:type="dxa"/>
            <w:right w:w="10"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8139A7">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51A132">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法定代表人及身份证</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48E6B8">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见磋商文件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EAE681">
            <w:pPr>
              <w:bidi w:val="0"/>
              <w:spacing w:line="240" w:lineRule="auto"/>
              <w:jc w:val="center"/>
              <w:rPr>
                <w:rFonts w:hint="eastAsia" w:asciiTheme="minorEastAsia" w:hAnsiTheme="minorEastAsia" w:eastAsiaTheme="minorEastAsia" w:cstheme="minorEastAsia"/>
                <w:sz w:val="24"/>
                <w:szCs w:val="24"/>
                <w:highlight w:val="none"/>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26BDB5">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见</w:t>
            </w:r>
            <w:r>
              <w:rPr>
                <w:rFonts w:hint="eastAsia" w:asciiTheme="minorEastAsia" w:hAnsiTheme="minorEastAsia" w:cstheme="minorEastAsia"/>
                <w:sz w:val="24"/>
                <w:szCs w:val="24"/>
                <w:highlight w:val="none"/>
                <w:lang w:val="en-US" w:eastAsia="zh-CN"/>
              </w:rPr>
              <w:t>磋商响应</w:t>
            </w:r>
            <w:r>
              <w:rPr>
                <w:rFonts w:hint="eastAsia" w:asciiTheme="minorEastAsia" w:hAnsiTheme="minorEastAsia" w:eastAsiaTheme="minorEastAsia" w:cstheme="minorEastAsia"/>
                <w:sz w:val="24"/>
                <w:szCs w:val="24"/>
                <w:highlight w:val="none"/>
              </w:rPr>
              <w:t>文件</w:t>
            </w:r>
          </w:p>
        </w:tc>
      </w:tr>
      <w:tr w14:paraId="6DC816D5">
        <w:tblPrEx>
          <w:tblCellMar>
            <w:top w:w="0" w:type="dxa"/>
            <w:left w:w="10" w:type="dxa"/>
            <w:bottom w:w="0" w:type="dxa"/>
            <w:right w:w="10"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566478">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9145B4">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纳税凭证和社保证明</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F93450">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见磋商文件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A617A8">
            <w:pPr>
              <w:bidi w:val="0"/>
              <w:spacing w:line="240" w:lineRule="auto"/>
              <w:jc w:val="center"/>
              <w:rPr>
                <w:rFonts w:hint="eastAsia" w:asciiTheme="minorEastAsia" w:hAnsiTheme="minorEastAsia" w:eastAsiaTheme="minorEastAsia" w:cstheme="minorEastAsia"/>
                <w:sz w:val="24"/>
                <w:szCs w:val="24"/>
                <w:highlight w:val="none"/>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F98694">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见</w:t>
            </w:r>
            <w:r>
              <w:rPr>
                <w:rFonts w:hint="eastAsia" w:asciiTheme="minorEastAsia" w:hAnsiTheme="minorEastAsia" w:cstheme="minorEastAsia"/>
                <w:sz w:val="24"/>
                <w:szCs w:val="24"/>
                <w:highlight w:val="none"/>
                <w:lang w:val="en-US" w:eastAsia="zh-CN"/>
              </w:rPr>
              <w:t>磋商响应</w:t>
            </w:r>
            <w:r>
              <w:rPr>
                <w:rFonts w:hint="eastAsia" w:asciiTheme="minorEastAsia" w:hAnsiTheme="minorEastAsia" w:eastAsiaTheme="minorEastAsia" w:cstheme="minorEastAsia"/>
                <w:sz w:val="24"/>
                <w:szCs w:val="24"/>
                <w:highlight w:val="none"/>
              </w:rPr>
              <w:t>文件</w:t>
            </w:r>
          </w:p>
        </w:tc>
      </w:tr>
      <w:tr w14:paraId="4FD75CE8">
        <w:tblPrEx>
          <w:tblCellMar>
            <w:top w:w="0" w:type="dxa"/>
            <w:left w:w="10" w:type="dxa"/>
            <w:bottom w:w="0" w:type="dxa"/>
            <w:right w:w="10"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41B4E0">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16BFE6">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财务审计报告</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7F3847">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见磋商文件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1B3AA0">
            <w:pPr>
              <w:bidi w:val="0"/>
              <w:spacing w:line="240" w:lineRule="auto"/>
              <w:jc w:val="center"/>
              <w:rPr>
                <w:rFonts w:hint="eastAsia" w:asciiTheme="minorEastAsia" w:hAnsiTheme="minorEastAsia" w:eastAsiaTheme="minorEastAsia" w:cstheme="minorEastAsia"/>
                <w:sz w:val="24"/>
                <w:szCs w:val="24"/>
                <w:highlight w:val="none"/>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CC3CDF">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见</w:t>
            </w:r>
            <w:r>
              <w:rPr>
                <w:rFonts w:hint="eastAsia" w:asciiTheme="minorEastAsia" w:hAnsiTheme="minorEastAsia" w:cstheme="minorEastAsia"/>
                <w:sz w:val="24"/>
                <w:szCs w:val="24"/>
                <w:highlight w:val="none"/>
                <w:lang w:val="en-US" w:eastAsia="zh-CN"/>
              </w:rPr>
              <w:t>磋商响应</w:t>
            </w:r>
            <w:r>
              <w:rPr>
                <w:rFonts w:hint="eastAsia" w:asciiTheme="minorEastAsia" w:hAnsiTheme="minorEastAsia" w:eastAsiaTheme="minorEastAsia" w:cstheme="minorEastAsia"/>
                <w:sz w:val="24"/>
                <w:szCs w:val="24"/>
                <w:highlight w:val="none"/>
              </w:rPr>
              <w:t>文件</w:t>
            </w:r>
          </w:p>
        </w:tc>
      </w:tr>
      <w:tr w14:paraId="56BD4AE2">
        <w:tblPrEx>
          <w:tblCellMar>
            <w:top w:w="0" w:type="dxa"/>
            <w:left w:w="10" w:type="dxa"/>
            <w:bottom w:w="0" w:type="dxa"/>
            <w:right w:w="10"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F2A50A">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71B565">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“信用中国”“中国政府采购网”查询</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0454EF">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见磋商文件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F1F56A">
            <w:pPr>
              <w:bidi w:val="0"/>
              <w:spacing w:line="240" w:lineRule="auto"/>
              <w:jc w:val="center"/>
              <w:rPr>
                <w:rFonts w:hint="eastAsia" w:asciiTheme="minorEastAsia" w:hAnsiTheme="minorEastAsia" w:eastAsiaTheme="minorEastAsia" w:cstheme="minorEastAsia"/>
                <w:sz w:val="24"/>
                <w:szCs w:val="24"/>
                <w:highlight w:val="none"/>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97B610">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见</w:t>
            </w:r>
            <w:r>
              <w:rPr>
                <w:rFonts w:hint="eastAsia" w:asciiTheme="minorEastAsia" w:hAnsiTheme="minorEastAsia" w:cstheme="minorEastAsia"/>
                <w:sz w:val="24"/>
                <w:szCs w:val="24"/>
                <w:highlight w:val="none"/>
                <w:lang w:val="en-US" w:eastAsia="zh-CN"/>
              </w:rPr>
              <w:t>磋商响应</w:t>
            </w:r>
            <w:r>
              <w:rPr>
                <w:rFonts w:hint="eastAsia" w:asciiTheme="minorEastAsia" w:hAnsiTheme="minorEastAsia" w:eastAsiaTheme="minorEastAsia" w:cstheme="minorEastAsia"/>
                <w:sz w:val="24"/>
                <w:szCs w:val="24"/>
                <w:highlight w:val="none"/>
              </w:rPr>
              <w:t>文件</w:t>
            </w:r>
          </w:p>
        </w:tc>
      </w:tr>
      <w:tr w14:paraId="6B0F6C2B">
        <w:tblPrEx>
          <w:tblCellMar>
            <w:top w:w="0" w:type="dxa"/>
            <w:left w:w="10" w:type="dxa"/>
            <w:bottom w:w="0" w:type="dxa"/>
            <w:right w:w="10"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263268">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D47B91">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文件签字盖章格式</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748DDD">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见磋商文件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C2E392">
            <w:pPr>
              <w:bidi w:val="0"/>
              <w:spacing w:line="240" w:lineRule="auto"/>
              <w:jc w:val="center"/>
              <w:rPr>
                <w:rFonts w:hint="eastAsia" w:asciiTheme="minorEastAsia" w:hAnsiTheme="minorEastAsia" w:eastAsiaTheme="minorEastAsia" w:cstheme="minorEastAsia"/>
                <w:sz w:val="24"/>
                <w:szCs w:val="24"/>
                <w:highlight w:val="none"/>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8E6547">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见</w:t>
            </w:r>
            <w:r>
              <w:rPr>
                <w:rFonts w:hint="eastAsia" w:asciiTheme="minorEastAsia" w:hAnsiTheme="minorEastAsia" w:cstheme="minorEastAsia"/>
                <w:sz w:val="24"/>
                <w:szCs w:val="24"/>
                <w:highlight w:val="none"/>
                <w:lang w:val="en-US" w:eastAsia="zh-CN"/>
              </w:rPr>
              <w:t>磋商响应</w:t>
            </w:r>
            <w:r>
              <w:rPr>
                <w:rFonts w:hint="eastAsia" w:asciiTheme="minorEastAsia" w:hAnsiTheme="minorEastAsia" w:eastAsiaTheme="minorEastAsia" w:cstheme="minorEastAsia"/>
                <w:sz w:val="24"/>
                <w:szCs w:val="24"/>
                <w:highlight w:val="none"/>
              </w:rPr>
              <w:t>文件</w:t>
            </w:r>
          </w:p>
        </w:tc>
      </w:tr>
      <w:tr w14:paraId="5DD0C8A1">
        <w:tblPrEx>
          <w:tblCellMar>
            <w:top w:w="0" w:type="dxa"/>
            <w:left w:w="10" w:type="dxa"/>
            <w:bottom w:w="0" w:type="dxa"/>
            <w:right w:w="10"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DB8B35">
            <w:pPr>
              <w:bidi w:val="0"/>
              <w:spacing w:line="24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3E8F5A">
            <w:pPr>
              <w:bidi w:val="0"/>
              <w:spacing w:line="24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响应文件格式</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A902A7">
            <w:pPr>
              <w:bidi w:val="0"/>
              <w:spacing w:line="24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见磋商文件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B78831">
            <w:pPr>
              <w:bidi w:val="0"/>
              <w:spacing w:line="240" w:lineRule="auto"/>
              <w:jc w:val="center"/>
              <w:rPr>
                <w:rFonts w:hint="eastAsia" w:asciiTheme="minorEastAsia" w:hAnsiTheme="minorEastAsia" w:eastAsiaTheme="minorEastAsia" w:cstheme="minorEastAsia"/>
                <w:sz w:val="24"/>
                <w:szCs w:val="24"/>
                <w:highlight w:val="none"/>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DB3452">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见</w:t>
            </w:r>
            <w:r>
              <w:rPr>
                <w:rFonts w:hint="eastAsia" w:asciiTheme="minorEastAsia" w:hAnsiTheme="minorEastAsia" w:cstheme="minorEastAsia"/>
                <w:sz w:val="24"/>
                <w:szCs w:val="24"/>
                <w:highlight w:val="none"/>
                <w:lang w:val="en-US" w:eastAsia="zh-CN"/>
              </w:rPr>
              <w:t>磋商响应</w:t>
            </w:r>
            <w:r>
              <w:rPr>
                <w:rFonts w:hint="eastAsia" w:asciiTheme="minorEastAsia" w:hAnsiTheme="minorEastAsia" w:eastAsiaTheme="minorEastAsia" w:cstheme="minorEastAsia"/>
                <w:sz w:val="24"/>
                <w:szCs w:val="24"/>
                <w:highlight w:val="none"/>
              </w:rPr>
              <w:t>文件</w:t>
            </w:r>
          </w:p>
        </w:tc>
      </w:tr>
      <w:tr w14:paraId="2A8F9F87">
        <w:tblPrEx>
          <w:tblCellMar>
            <w:top w:w="0" w:type="dxa"/>
            <w:left w:w="10" w:type="dxa"/>
            <w:bottom w:w="0" w:type="dxa"/>
            <w:right w:w="10"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737071">
            <w:pPr>
              <w:bidi w:val="0"/>
              <w:spacing w:line="24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8</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45EE2E">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合格供应商的声明函和承诺书</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515BC8">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见磋商文件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05685F">
            <w:pPr>
              <w:bidi w:val="0"/>
              <w:spacing w:line="240" w:lineRule="auto"/>
              <w:jc w:val="center"/>
              <w:rPr>
                <w:rFonts w:hint="eastAsia" w:asciiTheme="minorEastAsia" w:hAnsiTheme="minorEastAsia" w:eastAsiaTheme="minorEastAsia" w:cstheme="minorEastAsia"/>
                <w:sz w:val="24"/>
                <w:szCs w:val="24"/>
                <w:highlight w:val="none"/>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AA164">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见</w:t>
            </w:r>
            <w:r>
              <w:rPr>
                <w:rFonts w:hint="eastAsia" w:asciiTheme="minorEastAsia" w:hAnsiTheme="minorEastAsia" w:cstheme="minorEastAsia"/>
                <w:sz w:val="24"/>
                <w:szCs w:val="24"/>
                <w:highlight w:val="none"/>
                <w:lang w:val="en-US" w:eastAsia="zh-CN"/>
              </w:rPr>
              <w:t>磋商响应</w:t>
            </w:r>
            <w:r>
              <w:rPr>
                <w:rFonts w:hint="eastAsia" w:asciiTheme="minorEastAsia" w:hAnsiTheme="minorEastAsia" w:eastAsiaTheme="minorEastAsia" w:cstheme="minorEastAsia"/>
                <w:sz w:val="24"/>
                <w:szCs w:val="24"/>
                <w:highlight w:val="none"/>
              </w:rPr>
              <w:t>文件</w:t>
            </w:r>
          </w:p>
        </w:tc>
      </w:tr>
      <w:tr w14:paraId="64238BC7">
        <w:tblPrEx>
          <w:tblCellMar>
            <w:top w:w="0" w:type="dxa"/>
            <w:left w:w="10" w:type="dxa"/>
            <w:bottom w:w="0" w:type="dxa"/>
            <w:right w:w="10"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849295">
            <w:pPr>
              <w:bidi w:val="0"/>
              <w:spacing w:line="24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9</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45C073">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服务</w:t>
            </w:r>
            <w:r>
              <w:rPr>
                <w:rFonts w:hint="eastAsia" w:asciiTheme="minorEastAsia" w:hAnsiTheme="minorEastAsia" w:eastAsiaTheme="minorEastAsia" w:cstheme="minorEastAsia"/>
                <w:sz w:val="24"/>
                <w:szCs w:val="24"/>
                <w:highlight w:val="none"/>
              </w:rPr>
              <w:t>期</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88F65C">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见磋商文件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692970">
            <w:pPr>
              <w:bidi w:val="0"/>
              <w:spacing w:line="240" w:lineRule="auto"/>
              <w:jc w:val="center"/>
              <w:rPr>
                <w:rFonts w:hint="eastAsia" w:asciiTheme="minorEastAsia" w:hAnsiTheme="minorEastAsia" w:eastAsiaTheme="minorEastAsia" w:cstheme="minorEastAsia"/>
                <w:sz w:val="24"/>
                <w:szCs w:val="24"/>
                <w:highlight w:val="none"/>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632DC5">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见</w:t>
            </w:r>
            <w:r>
              <w:rPr>
                <w:rFonts w:hint="eastAsia" w:asciiTheme="minorEastAsia" w:hAnsiTheme="minorEastAsia" w:cstheme="minorEastAsia"/>
                <w:sz w:val="24"/>
                <w:szCs w:val="24"/>
                <w:highlight w:val="none"/>
                <w:lang w:val="en-US" w:eastAsia="zh-CN"/>
              </w:rPr>
              <w:t>磋商响应</w:t>
            </w:r>
            <w:r>
              <w:rPr>
                <w:rFonts w:hint="eastAsia" w:asciiTheme="minorEastAsia" w:hAnsiTheme="minorEastAsia" w:eastAsiaTheme="minorEastAsia" w:cstheme="minorEastAsia"/>
                <w:sz w:val="24"/>
                <w:szCs w:val="24"/>
                <w:highlight w:val="none"/>
              </w:rPr>
              <w:t>文件</w:t>
            </w:r>
          </w:p>
        </w:tc>
      </w:tr>
      <w:tr w14:paraId="0F618036">
        <w:tblPrEx>
          <w:tblCellMar>
            <w:top w:w="0" w:type="dxa"/>
            <w:left w:w="10" w:type="dxa"/>
            <w:bottom w:w="0" w:type="dxa"/>
            <w:right w:w="10"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014E87">
            <w:pPr>
              <w:bidi w:val="0"/>
              <w:spacing w:line="24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10</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1875FD">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投标有效期</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406E67">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见磋商文件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D6447">
            <w:pPr>
              <w:bidi w:val="0"/>
              <w:spacing w:line="240" w:lineRule="auto"/>
              <w:jc w:val="center"/>
              <w:rPr>
                <w:rFonts w:hint="eastAsia" w:asciiTheme="minorEastAsia" w:hAnsiTheme="minorEastAsia" w:eastAsiaTheme="minorEastAsia" w:cstheme="minorEastAsia"/>
                <w:sz w:val="24"/>
                <w:szCs w:val="24"/>
                <w:highlight w:val="none"/>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84D722">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见</w:t>
            </w:r>
            <w:r>
              <w:rPr>
                <w:rFonts w:hint="eastAsia" w:asciiTheme="minorEastAsia" w:hAnsiTheme="minorEastAsia" w:cstheme="minorEastAsia"/>
                <w:sz w:val="24"/>
                <w:szCs w:val="24"/>
                <w:highlight w:val="none"/>
                <w:lang w:val="en-US" w:eastAsia="zh-CN"/>
              </w:rPr>
              <w:t>磋商响应</w:t>
            </w:r>
            <w:r>
              <w:rPr>
                <w:rFonts w:hint="eastAsia" w:asciiTheme="minorEastAsia" w:hAnsiTheme="minorEastAsia" w:eastAsiaTheme="minorEastAsia" w:cstheme="minorEastAsia"/>
                <w:sz w:val="24"/>
                <w:szCs w:val="24"/>
                <w:highlight w:val="none"/>
              </w:rPr>
              <w:t>文件</w:t>
            </w:r>
          </w:p>
        </w:tc>
      </w:tr>
      <w:tr w14:paraId="3F1943D6">
        <w:tblPrEx>
          <w:tblCellMar>
            <w:top w:w="0" w:type="dxa"/>
            <w:left w:w="10" w:type="dxa"/>
            <w:bottom w:w="0" w:type="dxa"/>
            <w:right w:w="10"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E224B7">
            <w:pPr>
              <w:bidi w:val="0"/>
              <w:spacing w:line="24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cstheme="minorEastAsia"/>
                <w:sz w:val="24"/>
                <w:szCs w:val="24"/>
                <w:highlight w:val="none"/>
                <w:lang w:val="en-US" w:eastAsia="zh-CN"/>
              </w:rPr>
              <w:t>1</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F68B7F">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服务</w:t>
            </w:r>
            <w:r>
              <w:rPr>
                <w:rFonts w:hint="eastAsia" w:asciiTheme="minorEastAsia" w:hAnsiTheme="minorEastAsia" w:eastAsiaTheme="minorEastAsia" w:cstheme="minorEastAsia"/>
                <w:sz w:val="24"/>
                <w:szCs w:val="24"/>
                <w:highlight w:val="none"/>
              </w:rPr>
              <w:t>技术要求</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6463CE">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见磋商文件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3AF7C7">
            <w:pPr>
              <w:bidi w:val="0"/>
              <w:spacing w:line="240" w:lineRule="auto"/>
              <w:jc w:val="center"/>
              <w:rPr>
                <w:rFonts w:hint="eastAsia" w:asciiTheme="minorEastAsia" w:hAnsiTheme="minorEastAsia" w:eastAsiaTheme="minorEastAsia" w:cstheme="minorEastAsia"/>
                <w:sz w:val="24"/>
                <w:szCs w:val="24"/>
                <w:highlight w:val="none"/>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D49926">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见</w:t>
            </w:r>
            <w:r>
              <w:rPr>
                <w:rFonts w:hint="eastAsia" w:asciiTheme="minorEastAsia" w:hAnsiTheme="minorEastAsia" w:cstheme="minorEastAsia"/>
                <w:sz w:val="24"/>
                <w:szCs w:val="24"/>
                <w:highlight w:val="none"/>
                <w:lang w:val="en-US" w:eastAsia="zh-CN"/>
              </w:rPr>
              <w:t>磋商响应</w:t>
            </w:r>
            <w:r>
              <w:rPr>
                <w:rFonts w:hint="eastAsia" w:asciiTheme="minorEastAsia" w:hAnsiTheme="minorEastAsia" w:eastAsiaTheme="minorEastAsia" w:cstheme="minorEastAsia"/>
                <w:sz w:val="24"/>
                <w:szCs w:val="24"/>
                <w:highlight w:val="none"/>
              </w:rPr>
              <w:t>文件</w:t>
            </w:r>
          </w:p>
        </w:tc>
      </w:tr>
      <w:tr w14:paraId="0816D05D">
        <w:tblPrEx>
          <w:tblCellMar>
            <w:top w:w="0" w:type="dxa"/>
            <w:left w:w="10" w:type="dxa"/>
            <w:bottom w:w="0" w:type="dxa"/>
            <w:right w:w="10"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A2F711">
            <w:pPr>
              <w:bidi w:val="0"/>
              <w:spacing w:line="24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cstheme="minorEastAsia"/>
                <w:sz w:val="24"/>
                <w:szCs w:val="24"/>
                <w:highlight w:val="none"/>
                <w:lang w:val="en-US" w:eastAsia="zh-CN"/>
              </w:rPr>
              <w:t>2</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05B860">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其他实质性要求</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FF22E1">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见磋商文件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0CA74">
            <w:pPr>
              <w:bidi w:val="0"/>
              <w:spacing w:line="240" w:lineRule="auto"/>
              <w:jc w:val="center"/>
              <w:rPr>
                <w:rFonts w:hint="eastAsia" w:asciiTheme="minorEastAsia" w:hAnsiTheme="minorEastAsia" w:eastAsiaTheme="minorEastAsia" w:cstheme="minorEastAsia"/>
                <w:sz w:val="24"/>
                <w:szCs w:val="24"/>
                <w:highlight w:val="none"/>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C74BD5">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见</w:t>
            </w:r>
            <w:r>
              <w:rPr>
                <w:rFonts w:hint="eastAsia" w:asciiTheme="minorEastAsia" w:hAnsiTheme="minorEastAsia" w:cstheme="minorEastAsia"/>
                <w:sz w:val="24"/>
                <w:szCs w:val="24"/>
                <w:highlight w:val="none"/>
                <w:lang w:val="en-US" w:eastAsia="zh-CN"/>
              </w:rPr>
              <w:t>磋商响应</w:t>
            </w:r>
            <w:r>
              <w:rPr>
                <w:rFonts w:hint="eastAsia" w:asciiTheme="minorEastAsia" w:hAnsiTheme="minorEastAsia" w:eastAsiaTheme="minorEastAsia" w:cstheme="minorEastAsia"/>
                <w:sz w:val="24"/>
                <w:szCs w:val="24"/>
                <w:highlight w:val="none"/>
              </w:rPr>
              <w:t>文件</w:t>
            </w:r>
          </w:p>
        </w:tc>
      </w:tr>
      <w:tr w14:paraId="33A4854A">
        <w:tblPrEx>
          <w:tblCellMar>
            <w:top w:w="0" w:type="dxa"/>
            <w:left w:w="10" w:type="dxa"/>
            <w:bottom w:w="0" w:type="dxa"/>
            <w:right w:w="10"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61E587">
            <w:pPr>
              <w:bidi w:val="0"/>
              <w:spacing w:line="240" w:lineRule="auto"/>
              <w:jc w:val="center"/>
              <w:rPr>
                <w:rFonts w:hint="eastAsia" w:asciiTheme="minorEastAsia" w:hAnsiTheme="minorEastAsia" w:eastAsiaTheme="minorEastAsia" w:cstheme="minorEastAsia"/>
                <w:szCs w:val="24"/>
                <w:highlight w:val="none"/>
                <w:lang w:val="en-US" w:eastAsia="zh-CN"/>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cstheme="minorEastAsia"/>
                <w:sz w:val="24"/>
                <w:szCs w:val="24"/>
                <w:highlight w:val="none"/>
                <w:lang w:val="en-US" w:eastAsia="zh-CN"/>
              </w:rPr>
              <w:t>3</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F4711B">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结论</w:t>
            </w:r>
          </w:p>
        </w:tc>
        <w:tc>
          <w:tcPr>
            <w:tcW w:w="5071"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733C6E">
            <w:pPr>
              <w:bidi w:val="0"/>
              <w:spacing w:line="24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是否通过审查</w:t>
            </w:r>
          </w:p>
        </w:tc>
      </w:tr>
    </w:tbl>
    <w:p w14:paraId="416DA72E">
      <w:pPr>
        <w:pStyle w:val="40"/>
        <w:rPr>
          <w:rFonts w:ascii="宋体" w:hAnsi="宋体" w:cs="宋体"/>
          <w:sz w:val="24"/>
          <w:szCs w:val="24"/>
          <w:highlight w:val="none"/>
        </w:rPr>
      </w:pPr>
    </w:p>
    <w:p w14:paraId="6B252277">
      <w:pPr>
        <w:spacing w:line="360" w:lineRule="auto"/>
        <w:ind w:firstLine="482" w:firstLineChars="200"/>
        <w:rPr>
          <w:rFonts w:ascii="宋体" w:hAnsi="宋体" w:cs="宋体"/>
          <w:b/>
          <w:sz w:val="24"/>
          <w:highlight w:val="none"/>
        </w:rPr>
      </w:pPr>
      <w:r>
        <w:rPr>
          <w:rFonts w:hint="eastAsia" w:ascii="宋体" w:hAnsi="宋体" w:cs="宋体"/>
          <w:b/>
          <w:sz w:val="24"/>
          <w:highlight w:val="none"/>
        </w:rPr>
        <w:t>20.响应性文件的澄清</w:t>
      </w:r>
    </w:p>
    <w:p w14:paraId="55289278">
      <w:pPr>
        <w:spacing w:line="360" w:lineRule="auto"/>
        <w:ind w:firstLine="480" w:firstLineChars="200"/>
        <w:rPr>
          <w:rFonts w:ascii="宋体" w:hAnsi="宋体" w:cs="宋体"/>
          <w:sz w:val="24"/>
          <w:highlight w:val="none"/>
        </w:rPr>
      </w:pPr>
      <w:r>
        <w:rPr>
          <w:rFonts w:hint="eastAsia" w:ascii="宋体" w:hAnsi="宋体" w:cs="宋体"/>
          <w:sz w:val="24"/>
          <w:highlight w:val="none"/>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4CDD52B4">
      <w:pPr>
        <w:spacing w:line="360" w:lineRule="auto"/>
        <w:ind w:firstLine="480" w:firstLineChars="200"/>
        <w:rPr>
          <w:rFonts w:ascii="宋体" w:hAnsi="宋体" w:cs="宋体"/>
          <w:sz w:val="24"/>
          <w:highlight w:val="none"/>
        </w:rPr>
      </w:pPr>
      <w:r>
        <w:rPr>
          <w:rFonts w:hint="eastAsia" w:ascii="宋体" w:hAnsi="宋体" w:cs="宋体"/>
          <w:sz w:val="24"/>
          <w:highlight w:val="none"/>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47F105E8">
      <w:pPr>
        <w:spacing w:line="360" w:lineRule="auto"/>
        <w:ind w:firstLine="480" w:firstLineChars="200"/>
        <w:rPr>
          <w:rFonts w:ascii="宋体" w:hAnsi="宋体" w:cs="宋体"/>
          <w:sz w:val="24"/>
          <w:highlight w:val="none"/>
        </w:rPr>
      </w:pPr>
      <w:r>
        <w:rPr>
          <w:rFonts w:hint="eastAsia" w:ascii="宋体" w:hAnsi="宋体" w:cs="宋体"/>
          <w:sz w:val="24"/>
          <w:highlight w:val="none"/>
        </w:rPr>
        <w:t>20.3供应商拒不进行澄清、说明、补正的，或者不能在竞争性磋商小组规定时间内作出书面澄清、说明、补正的，其响应性文件将被作为无效处理。</w:t>
      </w:r>
    </w:p>
    <w:p w14:paraId="30415B81">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20.4供应商的书面澄清材料作为响应性文件的补充。 </w:t>
      </w:r>
    </w:p>
    <w:p w14:paraId="42FE96B1">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20.5竞争性磋商小组不得接受供应商主动提出的澄清和解释。 </w:t>
      </w:r>
    </w:p>
    <w:p w14:paraId="63CAB40D">
      <w:pPr>
        <w:spacing w:line="360" w:lineRule="auto"/>
        <w:ind w:firstLine="480" w:firstLineChars="200"/>
        <w:rPr>
          <w:rFonts w:ascii="宋体" w:hAnsi="宋体" w:cs="宋体"/>
          <w:sz w:val="24"/>
          <w:highlight w:val="none"/>
        </w:rPr>
      </w:pPr>
      <w:r>
        <w:rPr>
          <w:rFonts w:hint="eastAsia" w:ascii="宋体" w:hAnsi="宋体" w:cs="宋体"/>
          <w:sz w:val="24"/>
          <w:highlight w:val="none"/>
        </w:rPr>
        <w:t>20.6并非每个供应商都将被询问、澄清。</w:t>
      </w:r>
    </w:p>
    <w:p w14:paraId="52C09DB6">
      <w:pPr>
        <w:spacing w:line="360" w:lineRule="auto"/>
        <w:ind w:firstLine="482" w:firstLineChars="200"/>
        <w:rPr>
          <w:rFonts w:ascii="宋体" w:hAnsi="宋体" w:cs="宋体"/>
          <w:b/>
          <w:sz w:val="24"/>
          <w:highlight w:val="none"/>
        </w:rPr>
      </w:pPr>
      <w:r>
        <w:rPr>
          <w:rFonts w:hint="eastAsia" w:ascii="宋体" w:hAnsi="宋体" w:cs="宋体"/>
          <w:b/>
          <w:sz w:val="24"/>
          <w:highlight w:val="none"/>
        </w:rPr>
        <w:t>21.竞争性磋商</w:t>
      </w:r>
    </w:p>
    <w:p w14:paraId="245EEAA6">
      <w:pPr>
        <w:spacing w:line="360" w:lineRule="auto"/>
        <w:ind w:firstLine="480" w:firstLineChars="200"/>
        <w:rPr>
          <w:rFonts w:ascii="宋体" w:hAnsi="宋体" w:cs="宋体"/>
          <w:sz w:val="24"/>
          <w:highlight w:val="none"/>
        </w:rPr>
      </w:pPr>
      <w:r>
        <w:rPr>
          <w:rFonts w:hint="eastAsia" w:ascii="宋体" w:hAnsi="宋体" w:cs="宋体"/>
          <w:sz w:val="24"/>
          <w:highlight w:val="none"/>
        </w:rPr>
        <w:t>21.1资格性审查和符合性审查合格的供应商，将进入本次竞争性磋商程序。</w:t>
      </w:r>
    </w:p>
    <w:p w14:paraId="6BC4D0EC">
      <w:pPr>
        <w:spacing w:line="360" w:lineRule="auto"/>
        <w:ind w:firstLine="480" w:firstLineChars="200"/>
        <w:rPr>
          <w:rFonts w:ascii="宋体" w:hAnsi="宋体" w:cs="宋体"/>
          <w:sz w:val="24"/>
          <w:highlight w:val="none"/>
        </w:rPr>
      </w:pPr>
      <w:r>
        <w:rPr>
          <w:rFonts w:hint="eastAsia" w:ascii="宋体" w:hAnsi="宋体" w:cs="宋体"/>
          <w:sz w:val="24"/>
          <w:highlight w:val="none"/>
        </w:rPr>
        <w:t>21.2竞争性磋商将按照供应商的签到顺序进行。</w:t>
      </w:r>
    </w:p>
    <w:p w14:paraId="52E17E6A">
      <w:pPr>
        <w:spacing w:line="360" w:lineRule="auto"/>
        <w:ind w:firstLine="480" w:firstLineChars="200"/>
        <w:rPr>
          <w:rFonts w:ascii="宋体" w:hAnsi="宋体" w:cs="宋体"/>
          <w:sz w:val="24"/>
          <w:highlight w:val="none"/>
        </w:rPr>
      </w:pPr>
      <w:r>
        <w:rPr>
          <w:rFonts w:hint="eastAsia" w:ascii="宋体" w:hAnsi="宋体" w:cs="宋体"/>
          <w:sz w:val="24"/>
          <w:highlight w:val="none"/>
        </w:rPr>
        <w:t>21.3磋商内容包括：</w:t>
      </w:r>
    </w:p>
    <w:p w14:paraId="310F8B3F">
      <w:pPr>
        <w:spacing w:line="360" w:lineRule="auto"/>
        <w:ind w:firstLine="480" w:firstLineChars="200"/>
        <w:rPr>
          <w:rFonts w:ascii="宋体" w:hAnsi="宋体" w:cs="宋体"/>
          <w:sz w:val="24"/>
          <w:highlight w:val="none"/>
        </w:rPr>
      </w:pPr>
      <w:r>
        <w:rPr>
          <w:rFonts w:hint="eastAsia" w:ascii="宋体" w:hAnsi="宋体" w:cs="宋体"/>
          <w:sz w:val="24"/>
          <w:highlight w:val="none"/>
        </w:rPr>
        <w:t>21.3.1按照竞争性磋商文件中商务部分的内容，对照供应商提交的响应文件逐一进行比较各项指标和要求。</w:t>
      </w:r>
    </w:p>
    <w:p w14:paraId="18C846AF">
      <w:pPr>
        <w:spacing w:line="360" w:lineRule="auto"/>
        <w:ind w:firstLine="480" w:firstLineChars="200"/>
        <w:rPr>
          <w:rFonts w:ascii="宋体" w:hAnsi="宋体" w:cs="宋体"/>
          <w:sz w:val="24"/>
          <w:highlight w:val="none"/>
        </w:rPr>
      </w:pPr>
      <w:r>
        <w:rPr>
          <w:rFonts w:hint="eastAsia" w:ascii="宋体" w:hAnsi="宋体" w:cs="宋体"/>
          <w:sz w:val="24"/>
          <w:highlight w:val="none"/>
        </w:rPr>
        <w:t>21.3.2按照竞争性磋商文件中技术部分的内容，对照供应商提交的响应文件逐一进行比较各项指标和要求。</w:t>
      </w:r>
    </w:p>
    <w:p w14:paraId="3C866A90">
      <w:pPr>
        <w:spacing w:line="360" w:lineRule="auto"/>
        <w:ind w:firstLine="480" w:firstLineChars="200"/>
        <w:rPr>
          <w:rFonts w:ascii="宋体" w:hAnsi="宋体" w:cs="宋体"/>
          <w:sz w:val="24"/>
          <w:highlight w:val="none"/>
        </w:rPr>
      </w:pPr>
      <w:r>
        <w:rPr>
          <w:rFonts w:hint="eastAsia" w:ascii="宋体" w:hAnsi="宋体" w:cs="宋体"/>
          <w:sz w:val="24"/>
          <w:highlight w:val="none"/>
        </w:rPr>
        <w:t>21.3.3按照竞争性磋商文件中合同条款部分的内容，对照供应商提交的响应文件逐一进行比较各项指标和要求。</w:t>
      </w:r>
    </w:p>
    <w:p w14:paraId="1848F46B">
      <w:pPr>
        <w:spacing w:line="360" w:lineRule="auto"/>
        <w:ind w:firstLine="480" w:firstLineChars="200"/>
        <w:rPr>
          <w:rFonts w:ascii="宋体" w:hAnsi="宋体" w:cs="宋体"/>
          <w:sz w:val="24"/>
          <w:highlight w:val="none"/>
        </w:rPr>
      </w:pPr>
      <w:r>
        <w:rPr>
          <w:rFonts w:hint="eastAsia" w:ascii="宋体" w:hAnsi="宋体" w:cs="宋体"/>
          <w:sz w:val="24"/>
          <w:highlight w:val="none"/>
        </w:rPr>
        <w:t>21.3.4在磋商中，磋商的任何一方不得透露与磋商有关的其他供应商的技术资料及其他信息。</w:t>
      </w:r>
    </w:p>
    <w:p w14:paraId="79FC4EA2">
      <w:pPr>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21.4</w:t>
      </w:r>
      <w:r>
        <w:rPr>
          <w:rFonts w:hint="eastAsia" w:ascii="宋体" w:hAnsi="宋体" w:cs="宋体"/>
          <w:sz w:val="24"/>
          <w:highlight w:val="none"/>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07FC5087">
      <w:pPr>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21.4.1</w:t>
      </w:r>
      <w:r>
        <w:rPr>
          <w:rFonts w:hint="eastAsia" w:ascii="宋体" w:hAnsi="宋体" w:cs="宋体"/>
          <w:sz w:val="24"/>
          <w:highlight w:val="none"/>
          <w:lang w:val="zh-CN"/>
        </w:rPr>
        <w:t>对竞争性磋商文件作出实质性变动是竞争性磋商文件的有效组成部分，竞争性磋商小组应当及时以书面形式同时通知所有参加竞争性磋商的供应商。</w:t>
      </w:r>
    </w:p>
    <w:p w14:paraId="75F567A5">
      <w:pPr>
        <w:spacing w:line="360" w:lineRule="auto"/>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21.4.2供应商应当按照竞争性磋商文件的变动情况和竞争性磋商小组的要求重新提交响应性文件，并由其法定代表人或授权代表签字或者加盖公章。</w:t>
      </w:r>
    </w:p>
    <w:p w14:paraId="5D8F3F04">
      <w:pPr>
        <w:spacing w:line="360" w:lineRule="auto"/>
        <w:ind w:firstLine="480" w:firstLineChars="200"/>
        <w:rPr>
          <w:rFonts w:hint="eastAsia" w:ascii="宋体" w:hAnsi="宋体" w:eastAsia="宋体" w:cs="宋体"/>
          <w:b w:val="0"/>
          <w:bCs w:val="0"/>
          <w:color w:val="auto"/>
          <w:sz w:val="24"/>
          <w:highlight w:val="none"/>
          <w:lang w:val="zh-CN"/>
        </w:rPr>
      </w:pPr>
      <w:r>
        <w:rPr>
          <w:rFonts w:hint="eastAsia" w:ascii="宋体" w:hAnsi="宋体" w:eastAsia="宋体" w:cs="宋体"/>
          <w:b w:val="0"/>
          <w:bCs w:val="0"/>
          <w:color w:val="auto"/>
          <w:sz w:val="24"/>
          <w:highlight w:val="none"/>
          <w:lang w:val="zh-CN"/>
        </w:rPr>
        <w:t>21.5报价</w:t>
      </w:r>
    </w:p>
    <w:p w14:paraId="129CC237">
      <w:pPr>
        <w:spacing w:line="360" w:lineRule="auto"/>
        <w:ind w:firstLine="480" w:firstLineChars="200"/>
        <w:rPr>
          <w:rFonts w:hint="eastAsia" w:ascii="宋体" w:hAnsi="宋体" w:eastAsia="宋体" w:cs="宋体"/>
          <w:b w:val="0"/>
          <w:bCs w:val="0"/>
          <w:color w:val="auto"/>
          <w:sz w:val="24"/>
          <w:highlight w:val="none"/>
          <w:lang w:val="zh-CN"/>
        </w:rPr>
      </w:pPr>
      <w:r>
        <w:rPr>
          <w:rFonts w:hint="eastAsia" w:ascii="宋体" w:hAnsi="宋体" w:eastAsia="宋体" w:cs="宋体"/>
          <w:b w:val="0"/>
          <w:bCs w:val="0"/>
          <w:color w:val="auto"/>
          <w:sz w:val="24"/>
          <w:highlight w:val="none"/>
          <w:lang w:val="zh-CN"/>
        </w:rPr>
        <w:t>一次报价依据</w:t>
      </w:r>
      <w:r>
        <w:rPr>
          <w:rFonts w:hint="eastAsia" w:ascii="宋体" w:hAnsi="宋体" w:eastAsia="宋体" w:cs="宋体"/>
          <w:b w:val="0"/>
          <w:bCs w:val="0"/>
          <w:color w:val="auto"/>
          <w:sz w:val="24"/>
          <w:highlight w:val="none"/>
          <w:lang w:val="en-US" w:eastAsia="zh-CN"/>
        </w:rPr>
        <w:t>是</w:t>
      </w:r>
      <w:r>
        <w:rPr>
          <w:rFonts w:hint="eastAsia" w:ascii="宋体" w:hAnsi="宋体" w:eastAsia="宋体" w:cs="宋体"/>
          <w:b w:val="0"/>
          <w:bCs w:val="0"/>
          <w:color w:val="auto"/>
          <w:sz w:val="24"/>
          <w:highlight w:val="none"/>
          <w:lang w:val="zh-CN"/>
        </w:rPr>
        <w:t>供应商的投标函和开标记</w:t>
      </w:r>
      <w:r>
        <w:rPr>
          <w:rFonts w:hint="eastAsia" w:ascii="宋体" w:hAnsi="宋体" w:cs="宋体"/>
          <w:b w:val="0"/>
          <w:bCs w:val="0"/>
          <w:color w:val="auto"/>
          <w:sz w:val="24"/>
          <w:highlight w:val="none"/>
          <w:lang w:val="en-US" w:eastAsia="zh-CN"/>
        </w:rPr>
        <w:t>录表</w:t>
      </w:r>
      <w:r>
        <w:rPr>
          <w:rFonts w:hint="eastAsia" w:ascii="宋体" w:hAnsi="宋体" w:eastAsia="宋体" w:cs="宋体"/>
          <w:b w:val="0"/>
          <w:bCs w:val="0"/>
          <w:color w:val="auto"/>
          <w:sz w:val="24"/>
          <w:highlight w:val="none"/>
          <w:lang w:val="zh-CN"/>
        </w:rPr>
        <w:t>。</w:t>
      </w:r>
    </w:p>
    <w:p w14:paraId="7013254F">
      <w:pPr>
        <w:spacing w:line="360" w:lineRule="auto"/>
        <w:jc w:val="center"/>
        <w:rPr>
          <w:rFonts w:ascii="宋体" w:hAnsi="宋体" w:cs="宋体"/>
          <w:b/>
          <w:sz w:val="24"/>
          <w:highlight w:val="none"/>
        </w:rPr>
      </w:pPr>
      <w:r>
        <w:rPr>
          <w:rFonts w:hint="eastAsia" w:ascii="宋体" w:hAnsi="宋体" w:cs="宋体"/>
          <w:b/>
          <w:sz w:val="24"/>
          <w:highlight w:val="none"/>
        </w:rPr>
        <w:t>六、评定标准</w:t>
      </w:r>
    </w:p>
    <w:p w14:paraId="4C49E9F8">
      <w:pPr>
        <w:spacing w:line="360" w:lineRule="auto"/>
        <w:ind w:firstLine="482" w:firstLineChars="200"/>
        <w:rPr>
          <w:rFonts w:ascii="宋体" w:hAnsi="宋体" w:cs="宋体"/>
          <w:b/>
          <w:sz w:val="24"/>
          <w:highlight w:val="none"/>
        </w:rPr>
      </w:pPr>
      <w:r>
        <w:rPr>
          <w:rFonts w:hint="eastAsia" w:ascii="宋体" w:hAnsi="宋体" w:cs="宋体"/>
          <w:b/>
          <w:sz w:val="24"/>
          <w:highlight w:val="none"/>
        </w:rPr>
        <w:t>22.竞争性磋商过程及保密原则</w:t>
      </w:r>
    </w:p>
    <w:p w14:paraId="1D13A4C6">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22.1磋商小组采用综合评分法对有效供应商的响应文件和报价进行评审。磋商委员会按照投标人综合得分由高到低推荐中标候选人，采购人将从评委会推荐的中标候选人中依次选取成交供应商。</w:t>
      </w:r>
    </w:p>
    <w:p w14:paraId="5156C8BC">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采购代理机构在评标结束后</w:t>
      </w:r>
      <w:r>
        <w:rPr>
          <w:rFonts w:hint="eastAsia" w:ascii="宋体" w:hAnsi="宋体" w:cs="宋体"/>
          <w:bCs/>
          <w:sz w:val="24"/>
          <w:highlight w:val="none"/>
          <w:lang w:val="en-US" w:eastAsia="zh-CN"/>
        </w:rPr>
        <w:t>1</w:t>
      </w:r>
      <w:r>
        <w:rPr>
          <w:rFonts w:hint="eastAsia" w:ascii="宋体" w:hAnsi="宋体" w:cs="宋体"/>
          <w:bCs/>
          <w:sz w:val="24"/>
          <w:highlight w:val="none"/>
        </w:rPr>
        <w:t>个工作日内将评标报告送采购人。采购人自收到评标报告之日起</w:t>
      </w:r>
      <w:r>
        <w:rPr>
          <w:rFonts w:hint="eastAsia" w:ascii="宋体" w:hAnsi="宋体" w:cs="宋体"/>
          <w:bCs/>
          <w:sz w:val="24"/>
          <w:highlight w:val="none"/>
          <w:lang w:val="en-US" w:eastAsia="zh-CN"/>
        </w:rPr>
        <w:t>5</w:t>
      </w:r>
      <w:r>
        <w:rPr>
          <w:rFonts w:hint="eastAsia" w:ascii="宋体" w:hAnsi="宋体" w:cs="宋体"/>
          <w:bCs/>
          <w:sz w:val="24"/>
          <w:highlight w:val="none"/>
        </w:rPr>
        <w:t>个工作日内，在评标报告确定的中标候选人名单中确定中标人。</w:t>
      </w:r>
    </w:p>
    <w:p w14:paraId="55737969">
      <w:pPr>
        <w:pStyle w:val="16"/>
        <w:spacing w:after="0" w:line="360" w:lineRule="auto"/>
        <w:ind w:left="0" w:leftChars="0" w:firstLine="480" w:firstLineChars="200"/>
        <w:rPr>
          <w:rFonts w:ascii="宋体" w:hAnsi="宋体" w:cs="宋体"/>
          <w:bCs/>
          <w:sz w:val="24"/>
          <w:highlight w:val="none"/>
        </w:rPr>
      </w:pPr>
      <w:r>
        <w:rPr>
          <w:rFonts w:hint="eastAsia" w:ascii="宋体" w:hAnsi="宋体" w:cs="宋体"/>
          <w:bCs/>
          <w:sz w:val="24"/>
          <w:highlight w:val="none"/>
        </w:rPr>
        <w:t>22.2对通过初步审查的响应文件，采用百分制综合评分法进行评价。</w:t>
      </w:r>
    </w:p>
    <w:p w14:paraId="640F7848">
      <w:pPr>
        <w:spacing w:line="360" w:lineRule="auto"/>
        <w:ind w:right="-92" w:rightChars="-44"/>
        <w:rPr>
          <w:rFonts w:ascii="宋体" w:hAnsi="宋体" w:cs="宋体"/>
          <w:sz w:val="24"/>
          <w:highlight w:val="none"/>
        </w:rPr>
      </w:pPr>
      <w:r>
        <w:rPr>
          <w:rFonts w:hint="eastAsia" w:ascii="宋体" w:hAnsi="宋体" w:cs="宋体"/>
          <w:sz w:val="24"/>
          <w:highlight w:val="none"/>
        </w:rPr>
        <w:t>评标方法：</w:t>
      </w:r>
    </w:p>
    <w:tbl>
      <w:tblPr>
        <w:tblStyle w:val="28"/>
        <w:tblW w:w="9508" w:type="dxa"/>
        <w:jc w:val="center"/>
        <w:tblLayout w:type="fixed"/>
        <w:tblCellMar>
          <w:top w:w="0" w:type="dxa"/>
          <w:left w:w="108" w:type="dxa"/>
          <w:bottom w:w="0" w:type="dxa"/>
          <w:right w:w="108" w:type="dxa"/>
        </w:tblCellMar>
      </w:tblPr>
      <w:tblGrid>
        <w:gridCol w:w="1284"/>
        <w:gridCol w:w="1999"/>
        <w:gridCol w:w="4173"/>
        <w:gridCol w:w="2052"/>
      </w:tblGrid>
      <w:tr w14:paraId="05C6184A">
        <w:tblPrEx>
          <w:tblCellMar>
            <w:top w:w="0" w:type="dxa"/>
            <w:left w:w="108" w:type="dxa"/>
            <w:bottom w:w="0" w:type="dxa"/>
            <w:right w:w="108" w:type="dxa"/>
          </w:tblCellMar>
        </w:tblPrEx>
        <w:trPr>
          <w:trHeight w:val="252"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14:paraId="3BB7FE26">
            <w:pPr>
              <w:keepNext w:val="0"/>
              <w:keepLines w:val="0"/>
              <w:pageBreakBefore w:val="0"/>
              <w:widowControl/>
              <w:kinsoku/>
              <w:wordWrap/>
              <w:overflowPunct/>
              <w:topLinePunct w:val="0"/>
              <w:autoSpaceDE/>
              <w:autoSpaceDN/>
              <w:bidi w:val="0"/>
              <w:adjustRightInd w:val="0"/>
              <w:snapToGrid w:val="0"/>
              <w:spacing w:line="284" w:lineRule="auto"/>
              <w:ind w:right="0"/>
              <w:jc w:val="center"/>
              <w:rPr>
                <w:rFonts w:hint="eastAsia" w:ascii="宋体" w:hAnsi="宋体" w:cs="宋体"/>
                <w:b/>
                <w:bCs/>
                <w:sz w:val="24"/>
                <w:szCs w:val="24"/>
                <w:highlight w:val="none"/>
              </w:rPr>
            </w:pPr>
            <w:r>
              <w:rPr>
                <w:rFonts w:hint="eastAsia" w:ascii="宋体" w:hAnsi="宋体" w:cs="宋体"/>
                <w:b/>
                <w:bCs/>
                <w:sz w:val="24"/>
                <w:szCs w:val="24"/>
                <w:highlight w:val="none"/>
              </w:rPr>
              <w:t>评分指标</w:t>
            </w:r>
          </w:p>
        </w:tc>
        <w:tc>
          <w:tcPr>
            <w:tcW w:w="1999" w:type="dxa"/>
            <w:tcBorders>
              <w:top w:val="single" w:color="auto" w:sz="4" w:space="0"/>
              <w:left w:val="single" w:color="auto" w:sz="4" w:space="0"/>
              <w:bottom w:val="single" w:color="auto" w:sz="4" w:space="0"/>
              <w:right w:val="single" w:color="auto" w:sz="4" w:space="0"/>
            </w:tcBorders>
            <w:vAlign w:val="center"/>
          </w:tcPr>
          <w:p w14:paraId="1C9DDC23">
            <w:pPr>
              <w:keepNext w:val="0"/>
              <w:keepLines w:val="0"/>
              <w:pageBreakBefore w:val="0"/>
              <w:widowControl/>
              <w:kinsoku/>
              <w:wordWrap/>
              <w:overflowPunct/>
              <w:topLinePunct w:val="0"/>
              <w:autoSpaceDE/>
              <w:autoSpaceDN/>
              <w:bidi w:val="0"/>
              <w:adjustRightInd w:val="0"/>
              <w:snapToGrid w:val="0"/>
              <w:spacing w:line="284" w:lineRule="auto"/>
              <w:ind w:right="0"/>
              <w:jc w:val="center"/>
              <w:rPr>
                <w:rFonts w:hint="eastAsia" w:ascii="宋体" w:hAnsi="宋体" w:cs="宋体"/>
                <w:b/>
                <w:bCs/>
                <w:sz w:val="24"/>
                <w:szCs w:val="24"/>
                <w:highlight w:val="none"/>
              </w:rPr>
            </w:pPr>
            <w:r>
              <w:rPr>
                <w:rFonts w:hint="eastAsia" w:ascii="宋体" w:hAnsi="宋体" w:cs="宋体"/>
                <w:b/>
                <w:bCs/>
                <w:sz w:val="24"/>
                <w:szCs w:val="24"/>
                <w:highlight w:val="none"/>
              </w:rPr>
              <w:t>分值</w:t>
            </w:r>
          </w:p>
        </w:tc>
        <w:tc>
          <w:tcPr>
            <w:tcW w:w="4173" w:type="dxa"/>
            <w:tcBorders>
              <w:top w:val="single" w:color="auto" w:sz="4" w:space="0"/>
              <w:left w:val="single" w:color="auto" w:sz="4" w:space="0"/>
              <w:bottom w:val="single" w:color="auto" w:sz="4" w:space="0"/>
              <w:right w:val="single" w:color="auto" w:sz="4" w:space="0"/>
            </w:tcBorders>
            <w:vAlign w:val="center"/>
          </w:tcPr>
          <w:p w14:paraId="6F12E681">
            <w:pPr>
              <w:keepNext w:val="0"/>
              <w:keepLines w:val="0"/>
              <w:pageBreakBefore w:val="0"/>
              <w:widowControl/>
              <w:kinsoku/>
              <w:wordWrap/>
              <w:overflowPunct/>
              <w:topLinePunct w:val="0"/>
              <w:autoSpaceDE/>
              <w:autoSpaceDN/>
              <w:bidi w:val="0"/>
              <w:adjustRightInd w:val="0"/>
              <w:snapToGrid w:val="0"/>
              <w:spacing w:line="284" w:lineRule="auto"/>
              <w:ind w:right="0"/>
              <w:jc w:val="center"/>
              <w:rPr>
                <w:rFonts w:hint="eastAsia" w:ascii="宋体" w:hAnsi="宋体" w:cs="宋体"/>
                <w:b/>
                <w:bCs/>
                <w:sz w:val="24"/>
                <w:szCs w:val="24"/>
                <w:highlight w:val="none"/>
              </w:rPr>
            </w:pPr>
            <w:r>
              <w:rPr>
                <w:rFonts w:hint="eastAsia" w:ascii="宋体" w:hAnsi="宋体" w:cs="宋体"/>
                <w:b/>
                <w:bCs/>
                <w:sz w:val="24"/>
                <w:szCs w:val="24"/>
                <w:highlight w:val="none"/>
              </w:rPr>
              <w:t>指标说明及评分标准</w:t>
            </w:r>
          </w:p>
        </w:tc>
        <w:tc>
          <w:tcPr>
            <w:tcW w:w="2052" w:type="dxa"/>
            <w:tcBorders>
              <w:top w:val="single" w:color="auto" w:sz="4" w:space="0"/>
              <w:left w:val="single" w:color="auto" w:sz="4" w:space="0"/>
              <w:bottom w:val="single" w:color="auto" w:sz="4" w:space="0"/>
              <w:right w:val="single" w:color="auto" w:sz="4" w:space="0"/>
            </w:tcBorders>
            <w:vAlign w:val="center"/>
          </w:tcPr>
          <w:p w14:paraId="4321E11E">
            <w:pPr>
              <w:keepNext w:val="0"/>
              <w:keepLines w:val="0"/>
              <w:pageBreakBefore w:val="0"/>
              <w:widowControl/>
              <w:kinsoku/>
              <w:wordWrap/>
              <w:overflowPunct/>
              <w:topLinePunct w:val="0"/>
              <w:autoSpaceDE/>
              <w:autoSpaceDN/>
              <w:bidi w:val="0"/>
              <w:adjustRightInd w:val="0"/>
              <w:snapToGrid w:val="0"/>
              <w:spacing w:line="284" w:lineRule="auto"/>
              <w:ind w:right="0"/>
              <w:jc w:val="center"/>
              <w:rPr>
                <w:rFonts w:hint="eastAsia" w:ascii="宋体" w:hAnsi="宋体" w:cs="宋体"/>
                <w:b/>
                <w:bCs/>
                <w:sz w:val="24"/>
                <w:szCs w:val="24"/>
                <w:highlight w:val="none"/>
              </w:rPr>
            </w:pPr>
            <w:r>
              <w:rPr>
                <w:rFonts w:hint="eastAsia" w:ascii="宋体" w:hAnsi="宋体" w:cs="宋体"/>
                <w:b/>
                <w:bCs/>
                <w:sz w:val="24"/>
                <w:szCs w:val="24"/>
                <w:highlight w:val="none"/>
              </w:rPr>
              <w:t>评分依据</w:t>
            </w:r>
          </w:p>
        </w:tc>
      </w:tr>
      <w:tr w14:paraId="54DBF5B3">
        <w:tblPrEx>
          <w:tblCellMar>
            <w:top w:w="0" w:type="dxa"/>
            <w:left w:w="108" w:type="dxa"/>
            <w:bottom w:w="0" w:type="dxa"/>
            <w:right w:w="108" w:type="dxa"/>
          </w:tblCellMar>
        </w:tblPrEx>
        <w:trPr>
          <w:trHeight w:val="4678" w:hRule="atLeast"/>
          <w:jc w:val="center"/>
        </w:trPr>
        <w:tc>
          <w:tcPr>
            <w:tcW w:w="1284" w:type="dxa"/>
            <w:tcBorders>
              <w:top w:val="single" w:color="auto" w:sz="4" w:space="0"/>
              <w:left w:val="single" w:color="auto" w:sz="4" w:space="0"/>
              <w:bottom w:val="single" w:color="auto" w:sz="4" w:space="0"/>
              <w:right w:val="single" w:color="auto" w:sz="4" w:space="0"/>
            </w:tcBorders>
            <w:vAlign w:val="center"/>
          </w:tcPr>
          <w:p w14:paraId="1B9E80F0">
            <w:pPr>
              <w:keepNext w:val="0"/>
              <w:keepLines w:val="0"/>
              <w:pageBreakBefore w:val="0"/>
              <w:kinsoku/>
              <w:wordWrap/>
              <w:overflowPunct/>
              <w:topLinePunct w:val="0"/>
              <w:autoSpaceDE/>
              <w:autoSpaceDN/>
              <w:bidi w:val="0"/>
              <w:adjustRightInd w:val="0"/>
              <w:snapToGrid w:val="0"/>
              <w:spacing w:line="284" w:lineRule="auto"/>
              <w:ind w:right="0"/>
              <w:jc w:val="center"/>
              <w:rPr>
                <w:rFonts w:hint="eastAsia" w:ascii="宋体" w:hAnsi="宋体" w:cs="宋体"/>
                <w:color w:val="000000" w:themeColor="text1"/>
                <w:spacing w:val="1"/>
                <w:kern w:val="0"/>
                <w:sz w:val="24"/>
                <w:szCs w:val="24"/>
                <w:highlight w:val="none"/>
                <w14:textFill>
                  <w14:solidFill>
                    <w14:schemeClr w14:val="tx1"/>
                  </w14:solidFill>
                </w14:textFill>
              </w:rPr>
            </w:pPr>
            <w:r>
              <w:rPr>
                <w:rFonts w:hint="eastAsia" w:ascii="宋体" w:hAnsi="宋体" w:cs="宋体"/>
                <w:color w:val="000000" w:themeColor="text1"/>
                <w:spacing w:val="1"/>
                <w:kern w:val="0"/>
                <w:sz w:val="24"/>
                <w:szCs w:val="24"/>
                <w:highlight w:val="none"/>
                <w14:textFill>
                  <w14:solidFill>
                    <w14:schemeClr w14:val="tx1"/>
                  </w14:solidFill>
                </w14:textFill>
              </w:rPr>
              <w:t>报价得分（</w:t>
            </w:r>
            <w:r>
              <w:rPr>
                <w:rFonts w:hint="eastAsia" w:ascii="宋体" w:hAnsi="宋体" w:cs="宋体"/>
                <w:color w:val="000000" w:themeColor="text1"/>
                <w:spacing w:val="1"/>
                <w:kern w:val="0"/>
                <w:sz w:val="24"/>
                <w:szCs w:val="24"/>
                <w:highlight w:val="none"/>
                <w:lang w:val="en-US" w:eastAsia="zh-CN"/>
                <w14:textFill>
                  <w14:solidFill>
                    <w14:schemeClr w14:val="tx1"/>
                  </w14:solidFill>
                </w14:textFill>
              </w:rPr>
              <w:t>1</w:t>
            </w:r>
            <w:r>
              <w:rPr>
                <w:rFonts w:hint="eastAsia" w:ascii="宋体" w:hAnsi="宋体" w:cs="宋体"/>
                <w:color w:val="000000" w:themeColor="text1"/>
                <w:spacing w:val="1"/>
                <w:kern w:val="0"/>
                <w:sz w:val="24"/>
                <w:szCs w:val="24"/>
                <w:highlight w:val="none"/>
                <w14:textFill>
                  <w14:solidFill>
                    <w14:schemeClr w14:val="tx1"/>
                  </w14:solidFill>
                </w14:textFill>
              </w:rPr>
              <w:t>0分）</w:t>
            </w:r>
          </w:p>
        </w:tc>
        <w:tc>
          <w:tcPr>
            <w:tcW w:w="1999" w:type="dxa"/>
            <w:tcBorders>
              <w:top w:val="single" w:color="auto" w:sz="4" w:space="0"/>
              <w:left w:val="single" w:color="auto" w:sz="4" w:space="0"/>
              <w:bottom w:val="single" w:color="auto" w:sz="4" w:space="0"/>
              <w:right w:val="single" w:color="auto" w:sz="4" w:space="0"/>
            </w:tcBorders>
            <w:vAlign w:val="center"/>
          </w:tcPr>
          <w:p w14:paraId="2AC5378D">
            <w:pPr>
              <w:keepNext w:val="0"/>
              <w:keepLines w:val="0"/>
              <w:pageBreakBefore w:val="0"/>
              <w:kinsoku/>
              <w:wordWrap/>
              <w:overflowPunct/>
              <w:topLinePunct w:val="0"/>
              <w:autoSpaceDE/>
              <w:autoSpaceDN/>
              <w:bidi w:val="0"/>
              <w:adjustRightInd w:val="0"/>
              <w:snapToGrid w:val="0"/>
              <w:spacing w:line="284" w:lineRule="auto"/>
              <w:ind w:right="0"/>
              <w:jc w:val="center"/>
              <w:rPr>
                <w:rFonts w:hint="eastAsia" w:ascii="宋体" w:hAnsi="宋体" w:cs="宋体"/>
                <w:color w:val="000000" w:themeColor="text1"/>
                <w:spacing w:val="1"/>
                <w:kern w:val="0"/>
                <w:sz w:val="24"/>
                <w:szCs w:val="24"/>
                <w:highlight w:val="none"/>
                <w14:textFill>
                  <w14:solidFill>
                    <w14:schemeClr w14:val="tx1"/>
                  </w14:solidFill>
                </w14:textFill>
              </w:rPr>
            </w:pPr>
            <w:r>
              <w:rPr>
                <w:rFonts w:hint="eastAsia" w:ascii="宋体" w:hAnsi="宋体" w:cs="宋体"/>
                <w:color w:val="000000" w:themeColor="text1"/>
                <w:spacing w:val="1"/>
                <w:kern w:val="0"/>
                <w:sz w:val="24"/>
                <w:szCs w:val="24"/>
                <w:highlight w:val="none"/>
                <w14:textFill>
                  <w14:solidFill>
                    <w14:schemeClr w14:val="tx1"/>
                  </w14:solidFill>
                </w14:textFill>
              </w:rPr>
              <w:t>（</w:t>
            </w:r>
            <w:r>
              <w:rPr>
                <w:rFonts w:hint="eastAsia" w:ascii="宋体" w:hAnsi="宋体" w:cs="宋体"/>
                <w:color w:val="000000" w:themeColor="text1"/>
                <w:spacing w:val="1"/>
                <w:kern w:val="0"/>
                <w:sz w:val="24"/>
                <w:szCs w:val="24"/>
                <w:highlight w:val="none"/>
                <w:lang w:val="en-US" w:eastAsia="zh-CN"/>
                <w14:textFill>
                  <w14:solidFill>
                    <w14:schemeClr w14:val="tx1"/>
                  </w14:solidFill>
                </w14:textFill>
              </w:rPr>
              <w:t>1</w:t>
            </w:r>
            <w:r>
              <w:rPr>
                <w:rFonts w:hint="eastAsia" w:ascii="宋体" w:hAnsi="宋体" w:cs="宋体"/>
                <w:color w:val="000000" w:themeColor="text1"/>
                <w:spacing w:val="1"/>
                <w:kern w:val="0"/>
                <w:sz w:val="24"/>
                <w:szCs w:val="24"/>
                <w:highlight w:val="none"/>
                <w14:textFill>
                  <w14:solidFill>
                    <w14:schemeClr w14:val="tx1"/>
                  </w14:solidFill>
                </w14:textFill>
              </w:rPr>
              <w:t>0分）</w:t>
            </w:r>
          </w:p>
        </w:tc>
        <w:tc>
          <w:tcPr>
            <w:tcW w:w="6225" w:type="dxa"/>
            <w:gridSpan w:val="2"/>
            <w:tcBorders>
              <w:top w:val="single" w:color="auto" w:sz="4" w:space="0"/>
              <w:left w:val="single" w:color="auto" w:sz="4" w:space="0"/>
              <w:bottom w:val="single" w:color="auto" w:sz="4" w:space="0"/>
              <w:right w:val="single" w:color="auto" w:sz="4" w:space="0"/>
            </w:tcBorders>
            <w:vAlign w:val="center"/>
          </w:tcPr>
          <w:p w14:paraId="6AF0F72F">
            <w:pPr>
              <w:keepNext w:val="0"/>
              <w:keepLines w:val="0"/>
              <w:pageBreakBefore w:val="0"/>
              <w:kinsoku/>
              <w:wordWrap/>
              <w:overflowPunct/>
              <w:topLinePunct w:val="0"/>
              <w:autoSpaceDE/>
              <w:autoSpaceDN/>
              <w:bidi w:val="0"/>
              <w:adjustRightInd w:val="0"/>
              <w:snapToGrid w:val="0"/>
              <w:spacing w:line="284" w:lineRule="auto"/>
              <w:ind w:right="0" w:firstLine="484" w:firstLineChars="200"/>
              <w:rPr>
                <w:rFonts w:hint="eastAsia" w:ascii="宋体" w:hAnsi="宋体" w:cs="宋体"/>
                <w:color w:val="000000" w:themeColor="text1"/>
                <w:spacing w:val="1"/>
                <w:kern w:val="0"/>
                <w:sz w:val="24"/>
                <w:szCs w:val="24"/>
                <w:highlight w:val="none"/>
                <w14:textFill>
                  <w14:solidFill>
                    <w14:schemeClr w14:val="tx1"/>
                  </w14:solidFill>
                </w14:textFill>
              </w:rPr>
            </w:pPr>
            <w:r>
              <w:rPr>
                <w:rFonts w:hint="eastAsia" w:ascii="宋体" w:hAnsi="宋体" w:cs="宋体"/>
                <w:color w:val="000000" w:themeColor="text1"/>
                <w:spacing w:val="1"/>
                <w:kern w:val="0"/>
                <w:sz w:val="24"/>
                <w:szCs w:val="24"/>
                <w:highlight w:val="none"/>
                <w14:textFill>
                  <w14:solidFill>
                    <w14:schemeClr w14:val="tx1"/>
                  </w14:solidFill>
                </w14:textFill>
              </w:rPr>
              <w:t>满足磋商文件要求且最后报价最低的供应商的价格为磋商基准价，其价格分为满分。其他供应商的价格分统一按照下列公式计算：</w:t>
            </w:r>
          </w:p>
          <w:p w14:paraId="3947B38C">
            <w:pPr>
              <w:keepNext w:val="0"/>
              <w:keepLines w:val="0"/>
              <w:pageBreakBefore w:val="0"/>
              <w:kinsoku/>
              <w:wordWrap/>
              <w:overflowPunct/>
              <w:topLinePunct w:val="0"/>
              <w:autoSpaceDE/>
              <w:autoSpaceDN/>
              <w:bidi w:val="0"/>
              <w:adjustRightInd w:val="0"/>
              <w:snapToGrid w:val="0"/>
              <w:spacing w:line="284" w:lineRule="auto"/>
              <w:ind w:right="0" w:firstLine="484" w:firstLineChars="200"/>
              <w:rPr>
                <w:rFonts w:hint="eastAsia" w:ascii="宋体" w:hAnsi="宋体" w:cs="宋体"/>
                <w:color w:val="000000" w:themeColor="text1"/>
                <w:spacing w:val="1"/>
                <w:kern w:val="0"/>
                <w:sz w:val="24"/>
                <w:szCs w:val="24"/>
                <w:highlight w:val="none"/>
                <w14:textFill>
                  <w14:solidFill>
                    <w14:schemeClr w14:val="tx1"/>
                  </w14:solidFill>
                </w14:textFill>
              </w:rPr>
            </w:pPr>
            <w:r>
              <w:rPr>
                <w:rFonts w:hint="eastAsia" w:ascii="宋体" w:hAnsi="宋体" w:cs="宋体"/>
                <w:color w:val="000000" w:themeColor="text1"/>
                <w:spacing w:val="1"/>
                <w:kern w:val="0"/>
                <w:sz w:val="24"/>
                <w:szCs w:val="24"/>
                <w:highlight w:val="none"/>
                <w14:textFill>
                  <w14:solidFill>
                    <w14:schemeClr w14:val="tx1"/>
                  </w14:solidFill>
                </w14:textFill>
              </w:rPr>
              <w:t>磋商报价得分=（磋商基准价/最后磋商报价）×</w:t>
            </w:r>
            <w:r>
              <w:rPr>
                <w:rFonts w:hint="eastAsia" w:ascii="宋体" w:hAnsi="宋体" w:cs="宋体"/>
                <w:color w:val="000000" w:themeColor="text1"/>
                <w:spacing w:val="1"/>
                <w:kern w:val="0"/>
                <w:sz w:val="24"/>
                <w:szCs w:val="24"/>
                <w:highlight w:val="none"/>
                <w:lang w:val="en-US" w:eastAsia="zh-CN"/>
                <w14:textFill>
                  <w14:solidFill>
                    <w14:schemeClr w14:val="tx1"/>
                  </w14:solidFill>
                </w14:textFill>
              </w:rPr>
              <w:t>1</w:t>
            </w:r>
            <w:r>
              <w:rPr>
                <w:rFonts w:hint="eastAsia" w:ascii="宋体" w:hAnsi="宋体" w:cs="宋体"/>
                <w:color w:val="000000" w:themeColor="text1"/>
                <w:spacing w:val="1"/>
                <w:kern w:val="0"/>
                <w:sz w:val="24"/>
                <w:szCs w:val="24"/>
                <w:highlight w:val="none"/>
                <w14:textFill>
                  <w14:solidFill>
                    <w14:schemeClr w14:val="tx1"/>
                  </w14:solidFill>
                </w14:textFill>
              </w:rPr>
              <w:t>0</w:t>
            </w:r>
          </w:p>
          <w:p w14:paraId="0EBFC3E0">
            <w:pPr>
              <w:keepNext w:val="0"/>
              <w:keepLines w:val="0"/>
              <w:pageBreakBefore w:val="0"/>
              <w:tabs>
                <w:tab w:val="left" w:pos="5130"/>
              </w:tabs>
              <w:kinsoku/>
              <w:wordWrap/>
              <w:overflowPunct/>
              <w:topLinePunct w:val="0"/>
              <w:autoSpaceDE/>
              <w:autoSpaceDN/>
              <w:bidi w:val="0"/>
              <w:adjustRightInd w:val="0"/>
              <w:snapToGrid w:val="0"/>
              <w:spacing w:line="284" w:lineRule="auto"/>
              <w:ind w:right="0"/>
              <w:rPr>
                <w:rFonts w:hint="eastAsia" w:ascii="宋体" w:hAnsi="宋体" w:cs="宋体"/>
                <w:color w:val="000000" w:themeColor="text1"/>
                <w:spacing w:val="1"/>
                <w:kern w:val="0"/>
                <w:sz w:val="24"/>
                <w:szCs w:val="24"/>
                <w:highlight w:val="none"/>
                <w14:textFill>
                  <w14:solidFill>
                    <w14:schemeClr w14:val="tx1"/>
                  </w14:solidFill>
                </w14:textFill>
              </w:rPr>
            </w:pPr>
            <w:r>
              <w:rPr>
                <w:rFonts w:hint="eastAsia" w:ascii="宋体" w:hAnsi="宋体" w:cs="宋体"/>
                <w:color w:val="000000" w:themeColor="text1"/>
                <w:spacing w:val="1"/>
                <w:kern w:val="0"/>
                <w:sz w:val="24"/>
                <w:szCs w:val="24"/>
                <w:highlight w:val="none"/>
                <w14:textFill>
                  <w14:solidFill>
                    <w14:schemeClr w14:val="tx1"/>
                  </w14:solidFill>
                </w14:textFill>
              </w:rPr>
              <w:t>备注：价格分计算保留小数点后二位。</w:t>
            </w:r>
          </w:p>
          <w:p w14:paraId="6DCA1CD3">
            <w:pPr>
              <w:keepNext w:val="0"/>
              <w:keepLines w:val="0"/>
              <w:pageBreakBefore w:val="0"/>
              <w:kinsoku/>
              <w:wordWrap/>
              <w:overflowPunct/>
              <w:topLinePunct w:val="0"/>
              <w:autoSpaceDE/>
              <w:autoSpaceDN/>
              <w:bidi w:val="0"/>
              <w:adjustRightInd w:val="0"/>
              <w:snapToGrid w:val="0"/>
              <w:spacing w:line="284" w:lineRule="auto"/>
              <w:ind w:right="0"/>
              <w:rPr>
                <w:rFonts w:hint="eastAsia" w:ascii="宋体" w:hAnsi="宋体" w:cs="宋体"/>
                <w:color w:val="000000" w:themeColor="text1"/>
                <w:spacing w:val="1"/>
                <w:kern w:val="0"/>
                <w:sz w:val="24"/>
                <w:szCs w:val="24"/>
                <w:highlight w:val="none"/>
                <w14:textFill>
                  <w14:solidFill>
                    <w14:schemeClr w14:val="tx1"/>
                  </w14:solidFill>
                </w14:textFill>
              </w:rPr>
            </w:pPr>
            <w:r>
              <w:rPr>
                <w:rFonts w:hint="eastAsia" w:ascii="宋体" w:hAnsi="宋体" w:cs="宋体"/>
                <w:color w:val="000000" w:themeColor="text1"/>
                <w:spacing w:val="1"/>
                <w:kern w:val="0"/>
                <w:sz w:val="24"/>
                <w:szCs w:val="24"/>
                <w:highlight w:val="none"/>
                <w14:textFill>
                  <w14:solidFill>
                    <w14:schemeClr w14:val="tx1"/>
                  </w14:solidFill>
                </w14:textFill>
              </w:rPr>
              <w:t>根据财政部、工信部关于印发《政府采购促进中小企业发展管理办法》的通知（财库〔2020〕46号 ）文件规定：</w:t>
            </w:r>
          </w:p>
          <w:p w14:paraId="7DC0AA2F">
            <w:pPr>
              <w:keepNext w:val="0"/>
              <w:keepLines w:val="0"/>
              <w:pageBreakBefore w:val="0"/>
              <w:kinsoku/>
              <w:wordWrap/>
              <w:overflowPunct/>
              <w:topLinePunct w:val="0"/>
              <w:autoSpaceDE/>
              <w:autoSpaceDN/>
              <w:bidi w:val="0"/>
              <w:adjustRightInd w:val="0"/>
              <w:snapToGrid w:val="0"/>
              <w:spacing w:line="284" w:lineRule="auto"/>
              <w:ind w:right="0"/>
              <w:rPr>
                <w:rFonts w:hint="eastAsia" w:ascii="宋体" w:hAnsi="宋体" w:cs="宋体"/>
                <w:color w:val="000000" w:themeColor="text1"/>
                <w:spacing w:val="1"/>
                <w:kern w:val="0"/>
                <w:sz w:val="24"/>
                <w:szCs w:val="24"/>
                <w:highlight w:val="none"/>
                <w14:textFill>
                  <w14:solidFill>
                    <w14:schemeClr w14:val="tx1"/>
                  </w14:solidFill>
                </w14:textFill>
              </w:rPr>
            </w:pPr>
            <w:r>
              <w:rPr>
                <w:rFonts w:hint="eastAsia" w:ascii="宋体" w:hAnsi="宋体" w:cs="宋体"/>
                <w:color w:val="000000" w:themeColor="text1"/>
                <w:spacing w:val="1"/>
                <w:kern w:val="0"/>
                <w:sz w:val="24"/>
                <w:szCs w:val="24"/>
                <w:highlight w:val="none"/>
                <w14:textFill>
                  <w14:solidFill>
                    <w14:schemeClr w14:val="tx1"/>
                  </w14:solidFill>
                </w14:textFill>
              </w:rPr>
              <w:t>（1）对小微企业报价给予20%扣除，请按照《政府采购促进中小企业发展管理办法》要求提供中小企业声明函。</w:t>
            </w:r>
          </w:p>
          <w:p w14:paraId="634DBDB1">
            <w:pPr>
              <w:keepNext w:val="0"/>
              <w:keepLines w:val="0"/>
              <w:pageBreakBefore w:val="0"/>
              <w:kinsoku/>
              <w:wordWrap/>
              <w:overflowPunct/>
              <w:topLinePunct w:val="0"/>
              <w:autoSpaceDE/>
              <w:autoSpaceDN/>
              <w:bidi w:val="0"/>
              <w:adjustRightInd w:val="0"/>
              <w:snapToGrid w:val="0"/>
              <w:spacing w:line="284" w:lineRule="auto"/>
              <w:ind w:right="0"/>
              <w:rPr>
                <w:rFonts w:hint="eastAsia" w:ascii="宋体" w:hAnsi="宋体" w:cs="宋体"/>
                <w:color w:val="000000" w:themeColor="text1"/>
                <w:spacing w:val="1"/>
                <w:kern w:val="0"/>
                <w:sz w:val="24"/>
                <w:szCs w:val="24"/>
                <w:highlight w:val="none"/>
                <w14:textFill>
                  <w14:solidFill>
                    <w14:schemeClr w14:val="tx1"/>
                  </w14:solidFill>
                </w14:textFill>
              </w:rPr>
            </w:pPr>
            <w:r>
              <w:rPr>
                <w:rFonts w:hint="eastAsia" w:ascii="宋体" w:hAnsi="宋体" w:cs="宋体"/>
                <w:color w:val="000000" w:themeColor="text1"/>
                <w:spacing w:val="1"/>
                <w:kern w:val="0"/>
                <w:sz w:val="24"/>
                <w:szCs w:val="24"/>
                <w:highlight w:val="none"/>
                <w14:textFill>
                  <w14:solidFill>
                    <w14:schemeClr w14:val="tx1"/>
                  </w14:solidFill>
                </w14:textFill>
              </w:rPr>
              <w:t>（2）关于监狱企业：视同小微企业。须提供由省级以上监狱管理局、戒毒管理局（含新疆生产建设兵团）出具的属于监狱企业的证明文件，否则不考虑价格扣除。</w:t>
            </w:r>
          </w:p>
          <w:p w14:paraId="38730971">
            <w:pPr>
              <w:keepNext w:val="0"/>
              <w:keepLines w:val="0"/>
              <w:pageBreakBefore w:val="0"/>
              <w:kinsoku/>
              <w:wordWrap/>
              <w:overflowPunct/>
              <w:topLinePunct w:val="0"/>
              <w:autoSpaceDE/>
              <w:autoSpaceDN/>
              <w:bidi w:val="0"/>
              <w:adjustRightInd w:val="0"/>
              <w:snapToGrid w:val="0"/>
              <w:spacing w:line="284" w:lineRule="auto"/>
              <w:ind w:right="0"/>
              <w:rPr>
                <w:rFonts w:hint="eastAsia" w:ascii="宋体" w:hAnsi="宋体" w:cs="宋体"/>
                <w:color w:val="000000" w:themeColor="text1"/>
                <w:spacing w:val="1"/>
                <w:kern w:val="0"/>
                <w:sz w:val="24"/>
                <w:szCs w:val="24"/>
                <w:highlight w:val="none"/>
                <w14:textFill>
                  <w14:solidFill>
                    <w14:schemeClr w14:val="tx1"/>
                  </w14:solidFill>
                </w14:textFill>
              </w:rPr>
            </w:pPr>
            <w:r>
              <w:rPr>
                <w:rFonts w:hint="eastAsia" w:ascii="宋体" w:hAnsi="宋体" w:cs="宋体"/>
                <w:color w:val="000000" w:themeColor="text1"/>
                <w:spacing w:val="1"/>
                <w:kern w:val="0"/>
                <w:sz w:val="24"/>
                <w:szCs w:val="24"/>
                <w:highlight w:val="none"/>
                <w14:textFill>
                  <w14:solidFill>
                    <w14:schemeClr w14:val="tx1"/>
                  </w14:solidFill>
                </w14:textFill>
              </w:rPr>
              <w:t>（3）关于残疾人福利性单位：视同小微企业。须提供完整的“残疾人福利性单位声明函”，否则在价格评审时不予考虑价格扣除。残疾人福利性单位属于小型、微型企业的，不重复享受政策。</w:t>
            </w:r>
          </w:p>
          <w:p w14:paraId="303DFB3C">
            <w:pPr>
              <w:keepNext w:val="0"/>
              <w:keepLines w:val="0"/>
              <w:pageBreakBefore w:val="0"/>
              <w:kinsoku/>
              <w:wordWrap/>
              <w:overflowPunct/>
              <w:topLinePunct w:val="0"/>
              <w:autoSpaceDE/>
              <w:autoSpaceDN/>
              <w:bidi w:val="0"/>
              <w:adjustRightInd w:val="0"/>
              <w:snapToGrid w:val="0"/>
              <w:spacing w:line="284" w:lineRule="auto"/>
              <w:ind w:right="0"/>
              <w:rPr>
                <w:rFonts w:hint="eastAsia" w:ascii="宋体" w:hAnsi="宋体" w:cs="宋体"/>
                <w:color w:val="000000" w:themeColor="text1"/>
                <w:spacing w:val="1"/>
                <w:kern w:val="0"/>
                <w:sz w:val="24"/>
                <w:szCs w:val="24"/>
                <w:highlight w:val="none"/>
                <w14:textFill>
                  <w14:solidFill>
                    <w14:schemeClr w14:val="tx1"/>
                  </w14:solidFill>
                </w14:textFill>
              </w:rPr>
            </w:pPr>
            <w:r>
              <w:rPr>
                <w:rFonts w:hint="eastAsia" w:ascii="宋体" w:hAnsi="宋体" w:cs="宋体"/>
                <w:color w:val="000000" w:themeColor="text1"/>
                <w:spacing w:val="1"/>
                <w:kern w:val="0"/>
                <w:sz w:val="24"/>
                <w:szCs w:val="24"/>
                <w:highlight w:val="none"/>
                <w14:textFill>
                  <w14:solidFill>
                    <w14:schemeClr w14:val="tx1"/>
                  </w14:solidFill>
                </w14:textFill>
              </w:rPr>
              <w:t>（4）没有提供有效证明材料的供应商将被视为不接受投标总价的扣除，用原投标总价参与评审。</w:t>
            </w:r>
          </w:p>
        </w:tc>
      </w:tr>
      <w:tr w14:paraId="7D70BD0C">
        <w:tblPrEx>
          <w:tblCellMar>
            <w:top w:w="0" w:type="dxa"/>
            <w:left w:w="108" w:type="dxa"/>
            <w:bottom w:w="0" w:type="dxa"/>
            <w:right w:w="108" w:type="dxa"/>
          </w:tblCellMar>
        </w:tblPrEx>
        <w:trPr>
          <w:trHeight w:val="502" w:hRule="atLeast"/>
          <w:jc w:val="center"/>
        </w:trPr>
        <w:tc>
          <w:tcPr>
            <w:tcW w:w="1284" w:type="dxa"/>
            <w:vMerge w:val="restart"/>
            <w:tcBorders>
              <w:top w:val="single" w:color="auto" w:sz="4" w:space="0"/>
              <w:left w:val="single" w:color="auto" w:sz="4" w:space="0"/>
              <w:right w:val="single" w:color="auto" w:sz="4" w:space="0"/>
            </w:tcBorders>
            <w:vAlign w:val="center"/>
          </w:tcPr>
          <w:p w14:paraId="36D9C5AB">
            <w:pPr>
              <w:keepNext w:val="0"/>
              <w:keepLines w:val="0"/>
              <w:pageBreakBefore w:val="0"/>
              <w:kinsoku/>
              <w:wordWrap/>
              <w:overflowPunct/>
              <w:topLinePunct w:val="0"/>
              <w:autoSpaceDE/>
              <w:autoSpaceDN/>
              <w:bidi w:val="0"/>
              <w:adjustRightInd w:val="0"/>
              <w:snapToGrid w:val="0"/>
              <w:spacing w:line="284" w:lineRule="auto"/>
              <w:ind w:right="0"/>
              <w:jc w:val="center"/>
              <w:rPr>
                <w:rFonts w:hint="eastAsia" w:ascii="宋体" w:hAnsi="宋体" w:cs="宋体"/>
                <w:spacing w:val="1"/>
                <w:kern w:val="0"/>
                <w:sz w:val="24"/>
                <w:szCs w:val="24"/>
                <w:highlight w:val="none"/>
              </w:rPr>
            </w:pPr>
            <w:r>
              <w:rPr>
                <w:rFonts w:hint="eastAsia" w:ascii="宋体" w:hAnsi="宋体" w:cs="宋体"/>
                <w:spacing w:val="1"/>
                <w:kern w:val="0"/>
                <w:sz w:val="24"/>
                <w:szCs w:val="24"/>
                <w:highlight w:val="none"/>
              </w:rPr>
              <w:t>技术方案(</w:t>
            </w:r>
            <w:r>
              <w:rPr>
                <w:rFonts w:hint="eastAsia" w:ascii="宋体" w:hAnsi="宋体" w:cs="宋体"/>
                <w:spacing w:val="1"/>
                <w:kern w:val="0"/>
                <w:sz w:val="24"/>
                <w:szCs w:val="24"/>
                <w:highlight w:val="none"/>
                <w:lang w:val="en-US" w:eastAsia="zh-CN"/>
              </w:rPr>
              <w:t>60</w:t>
            </w:r>
            <w:r>
              <w:rPr>
                <w:rFonts w:hint="eastAsia" w:ascii="宋体" w:hAnsi="宋体" w:cs="宋体"/>
                <w:spacing w:val="1"/>
                <w:kern w:val="0"/>
                <w:sz w:val="24"/>
                <w:szCs w:val="24"/>
                <w:highlight w:val="none"/>
              </w:rPr>
              <w:t>分)</w:t>
            </w:r>
          </w:p>
          <w:p w14:paraId="2FEF9E91">
            <w:pPr>
              <w:keepNext w:val="0"/>
              <w:keepLines w:val="0"/>
              <w:pageBreakBefore w:val="0"/>
              <w:kinsoku/>
              <w:wordWrap/>
              <w:overflowPunct/>
              <w:topLinePunct w:val="0"/>
              <w:autoSpaceDE/>
              <w:autoSpaceDN/>
              <w:bidi w:val="0"/>
              <w:adjustRightInd w:val="0"/>
              <w:snapToGrid w:val="0"/>
              <w:spacing w:line="284" w:lineRule="auto"/>
              <w:ind w:right="0"/>
              <w:jc w:val="center"/>
              <w:rPr>
                <w:rFonts w:hint="eastAsia" w:ascii="宋体" w:hAnsi="宋体" w:cs="宋体"/>
                <w:spacing w:val="1"/>
                <w:kern w:val="0"/>
                <w:sz w:val="24"/>
                <w:szCs w:val="24"/>
                <w:highlight w:val="none"/>
              </w:rPr>
            </w:pPr>
          </w:p>
        </w:tc>
        <w:tc>
          <w:tcPr>
            <w:tcW w:w="1999" w:type="dxa"/>
            <w:tcBorders>
              <w:top w:val="single" w:color="auto" w:sz="4" w:space="0"/>
              <w:left w:val="single" w:color="auto" w:sz="4" w:space="0"/>
              <w:right w:val="single" w:color="auto" w:sz="4" w:space="0"/>
            </w:tcBorders>
            <w:vAlign w:val="center"/>
          </w:tcPr>
          <w:p w14:paraId="25F5506A">
            <w:pPr>
              <w:keepNext w:val="0"/>
              <w:keepLines w:val="0"/>
              <w:pageBreakBefore w:val="0"/>
              <w:kinsoku/>
              <w:wordWrap/>
              <w:overflowPunct/>
              <w:topLinePunct w:val="0"/>
              <w:autoSpaceDE/>
              <w:autoSpaceDN/>
              <w:bidi w:val="0"/>
              <w:adjustRightInd w:val="0"/>
              <w:snapToGrid w:val="0"/>
              <w:spacing w:line="284" w:lineRule="auto"/>
              <w:ind w:right="0"/>
              <w:jc w:val="center"/>
              <w:rPr>
                <w:rFonts w:hint="eastAsia" w:ascii="宋体" w:hAnsi="宋体" w:cs="宋体"/>
                <w:sz w:val="24"/>
                <w:szCs w:val="24"/>
                <w:highlight w:val="none"/>
              </w:rPr>
            </w:pPr>
            <w:r>
              <w:rPr>
                <w:rFonts w:hint="eastAsia" w:ascii="宋体" w:hAnsi="宋体" w:cs="宋体"/>
                <w:sz w:val="24"/>
                <w:szCs w:val="24"/>
                <w:highlight w:val="none"/>
              </w:rPr>
              <w:t>服务要求</w:t>
            </w:r>
          </w:p>
          <w:p w14:paraId="16A2E6F6">
            <w:pPr>
              <w:keepNext w:val="0"/>
              <w:keepLines w:val="0"/>
              <w:pageBreakBefore w:val="0"/>
              <w:kinsoku/>
              <w:wordWrap/>
              <w:overflowPunct/>
              <w:topLinePunct w:val="0"/>
              <w:autoSpaceDE/>
              <w:autoSpaceDN/>
              <w:bidi w:val="0"/>
              <w:adjustRightInd w:val="0"/>
              <w:snapToGrid w:val="0"/>
              <w:spacing w:line="284" w:lineRule="auto"/>
              <w:ind w:right="0"/>
              <w:jc w:val="center"/>
              <w:rPr>
                <w:rFonts w:hint="eastAsia" w:ascii="宋体" w:hAnsi="宋体" w:cs="宋体"/>
                <w:spacing w:val="1"/>
                <w:kern w:val="0"/>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0</w:t>
            </w:r>
            <w:r>
              <w:rPr>
                <w:rFonts w:hint="eastAsia" w:ascii="宋体" w:hAnsi="宋体" w:cs="宋体"/>
                <w:sz w:val="24"/>
                <w:szCs w:val="24"/>
                <w:highlight w:val="none"/>
              </w:rPr>
              <w:t>分）</w:t>
            </w:r>
          </w:p>
        </w:tc>
        <w:tc>
          <w:tcPr>
            <w:tcW w:w="6225" w:type="dxa"/>
            <w:gridSpan w:val="2"/>
            <w:tcBorders>
              <w:top w:val="single" w:color="auto" w:sz="4" w:space="0"/>
              <w:left w:val="single" w:color="auto" w:sz="4" w:space="0"/>
              <w:right w:val="single" w:color="auto" w:sz="4" w:space="0"/>
            </w:tcBorders>
            <w:vAlign w:val="center"/>
          </w:tcPr>
          <w:p w14:paraId="02832D62">
            <w:pPr>
              <w:keepNext w:val="0"/>
              <w:keepLines w:val="0"/>
              <w:pageBreakBefore w:val="0"/>
              <w:kinsoku/>
              <w:wordWrap/>
              <w:overflowPunct/>
              <w:topLinePunct w:val="0"/>
              <w:autoSpaceDE/>
              <w:autoSpaceDN/>
              <w:bidi w:val="0"/>
              <w:adjustRightInd w:val="0"/>
              <w:snapToGrid w:val="0"/>
              <w:spacing w:line="284" w:lineRule="auto"/>
              <w:ind w:right="0"/>
              <w:rPr>
                <w:rFonts w:hint="eastAsia" w:ascii="宋体" w:hAnsi="宋体" w:cs="宋体"/>
                <w:spacing w:val="1"/>
                <w:kern w:val="0"/>
                <w:sz w:val="24"/>
                <w:szCs w:val="24"/>
                <w:highlight w:val="none"/>
              </w:rPr>
            </w:pPr>
            <w:r>
              <w:rPr>
                <w:rFonts w:hint="eastAsia" w:ascii="宋体" w:hAnsi="宋体" w:cs="宋体"/>
                <w:kern w:val="0"/>
                <w:sz w:val="24"/>
                <w:szCs w:val="24"/>
                <w:highlight w:val="none"/>
              </w:rPr>
              <w:t>供应商根据采购内容及服务要求，完全满足服务要求的得满分1</w:t>
            </w:r>
            <w:r>
              <w:rPr>
                <w:rFonts w:hint="eastAsia" w:ascii="宋体" w:hAnsi="宋体" w:cs="宋体"/>
                <w:kern w:val="0"/>
                <w:sz w:val="24"/>
                <w:szCs w:val="24"/>
                <w:highlight w:val="none"/>
                <w:lang w:val="en-US" w:eastAsia="zh-CN"/>
              </w:rPr>
              <w:t>0</w:t>
            </w:r>
            <w:r>
              <w:rPr>
                <w:rFonts w:hint="eastAsia" w:ascii="宋体" w:hAnsi="宋体" w:cs="宋体"/>
                <w:kern w:val="0"/>
                <w:sz w:val="24"/>
                <w:szCs w:val="24"/>
                <w:highlight w:val="none"/>
              </w:rPr>
              <w:t>分，有一项不满足的扣2分，扣完1</w:t>
            </w:r>
            <w:r>
              <w:rPr>
                <w:rFonts w:hint="eastAsia" w:ascii="宋体" w:hAnsi="宋体" w:cs="宋体"/>
                <w:kern w:val="0"/>
                <w:sz w:val="24"/>
                <w:szCs w:val="24"/>
                <w:highlight w:val="none"/>
                <w:lang w:val="en-US" w:eastAsia="zh-CN"/>
              </w:rPr>
              <w:t>0</w:t>
            </w:r>
            <w:r>
              <w:rPr>
                <w:rFonts w:hint="eastAsia" w:ascii="宋体" w:hAnsi="宋体" w:cs="宋体"/>
                <w:kern w:val="0"/>
                <w:sz w:val="24"/>
                <w:szCs w:val="24"/>
                <w:highlight w:val="none"/>
              </w:rPr>
              <w:t>分为止。</w:t>
            </w:r>
          </w:p>
        </w:tc>
      </w:tr>
      <w:tr w14:paraId="2EBAEDC6">
        <w:tblPrEx>
          <w:tblCellMar>
            <w:top w:w="0" w:type="dxa"/>
            <w:left w:w="108" w:type="dxa"/>
            <w:bottom w:w="0" w:type="dxa"/>
            <w:right w:w="108" w:type="dxa"/>
          </w:tblCellMar>
        </w:tblPrEx>
        <w:trPr>
          <w:trHeight w:val="991" w:hRule="atLeast"/>
          <w:jc w:val="center"/>
        </w:trPr>
        <w:tc>
          <w:tcPr>
            <w:tcW w:w="1284" w:type="dxa"/>
            <w:vMerge w:val="continue"/>
            <w:tcBorders>
              <w:left w:val="single" w:color="auto" w:sz="4" w:space="0"/>
              <w:right w:val="single" w:color="auto" w:sz="4" w:space="0"/>
            </w:tcBorders>
            <w:vAlign w:val="center"/>
          </w:tcPr>
          <w:p w14:paraId="5B33035A">
            <w:pPr>
              <w:keepNext w:val="0"/>
              <w:keepLines w:val="0"/>
              <w:pageBreakBefore w:val="0"/>
              <w:kinsoku/>
              <w:wordWrap/>
              <w:overflowPunct/>
              <w:topLinePunct w:val="0"/>
              <w:autoSpaceDE/>
              <w:autoSpaceDN/>
              <w:bidi w:val="0"/>
              <w:adjustRightInd w:val="0"/>
              <w:snapToGrid w:val="0"/>
              <w:spacing w:line="284" w:lineRule="auto"/>
              <w:ind w:right="0"/>
              <w:jc w:val="center"/>
              <w:rPr>
                <w:rFonts w:hint="eastAsia" w:ascii="宋体" w:hAnsi="宋体" w:cs="宋体"/>
                <w:spacing w:val="1"/>
                <w:kern w:val="0"/>
                <w:sz w:val="24"/>
                <w:szCs w:val="24"/>
                <w:highlight w:val="none"/>
              </w:rPr>
            </w:pPr>
          </w:p>
        </w:tc>
        <w:tc>
          <w:tcPr>
            <w:tcW w:w="1999" w:type="dxa"/>
            <w:tcBorders>
              <w:top w:val="single" w:color="auto" w:sz="4" w:space="0"/>
              <w:left w:val="single" w:color="auto" w:sz="4" w:space="0"/>
              <w:right w:val="single" w:color="auto" w:sz="4" w:space="0"/>
            </w:tcBorders>
            <w:vAlign w:val="center"/>
          </w:tcPr>
          <w:p w14:paraId="12A83DE8">
            <w:pPr>
              <w:keepNext w:val="0"/>
              <w:keepLines w:val="0"/>
              <w:pageBreakBefore w:val="0"/>
              <w:kinsoku/>
              <w:wordWrap/>
              <w:overflowPunct/>
              <w:topLinePunct w:val="0"/>
              <w:autoSpaceDE/>
              <w:autoSpaceDN/>
              <w:bidi w:val="0"/>
              <w:adjustRightInd w:val="0"/>
              <w:snapToGrid w:val="0"/>
              <w:spacing w:line="284" w:lineRule="auto"/>
              <w:ind w:right="0"/>
              <w:jc w:val="center"/>
              <w:rPr>
                <w:sz w:val="24"/>
                <w:szCs w:val="24"/>
                <w:highlight w:val="none"/>
              </w:rPr>
            </w:pPr>
            <w:r>
              <w:rPr>
                <w:rFonts w:hint="eastAsia" w:ascii="宋体" w:hAnsi="宋体" w:cs="宋体"/>
                <w:sz w:val="24"/>
                <w:szCs w:val="24"/>
                <w:highlight w:val="none"/>
              </w:rPr>
              <w:t>运维方案</w:t>
            </w:r>
          </w:p>
          <w:p w14:paraId="4F14721B">
            <w:pPr>
              <w:keepNext w:val="0"/>
              <w:keepLines w:val="0"/>
              <w:pageBreakBefore w:val="0"/>
              <w:kinsoku/>
              <w:wordWrap/>
              <w:overflowPunct/>
              <w:topLinePunct w:val="0"/>
              <w:autoSpaceDE/>
              <w:autoSpaceDN/>
              <w:bidi w:val="0"/>
              <w:adjustRightInd w:val="0"/>
              <w:snapToGrid w:val="0"/>
              <w:spacing w:line="284" w:lineRule="auto"/>
              <w:ind w:right="0"/>
              <w:jc w:val="center"/>
              <w:rPr>
                <w:rFonts w:hint="eastAsia" w:ascii="宋体" w:hAnsi="宋体" w:cs="宋体"/>
                <w:spacing w:val="1"/>
                <w:kern w:val="0"/>
                <w:sz w:val="24"/>
                <w:szCs w:val="24"/>
                <w:highlight w:val="none"/>
              </w:rPr>
            </w:pPr>
            <w:r>
              <w:rPr>
                <w:rFonts w:hint="eastAsia" w:ascii="宋体" w:hAnsi="宋体" w:cs="宋体"/>
                <w:sz w:val="24"/>
                <w:szCs w:val="24"/>
                <w:highlight w:val="none"/>
              </w:rPr>
              <w:t>（10分）</w:t>
            </w:r>
          </w:p>
        </w:tc>
        <w:tc>
          <w:tcPr>
            <w:tcW w:w="6225" w:type="dxa"/>
            <w:gridSpan w:val="2"/>
            <w:tcBorders>
              <w:top w:val="single" w:color="auto" w:sz="4" w:space="0"/>
              <w:left w:val="single" w:color="auto" w:sz="4" w:space="0"/>
              <w:right w:val="single" w:color="auto" w:sz="4" w:space="0"/>
            </w:tcBorders>
            <w:vAlign w:val="center"/>
          </w:tcPr>
          <w:p w14:paraId="5E6A4A8D">
            <w:pPr>
              <w:keepNext w:val="0"/>
              <w:keepLines w:val="0"/>
              <w:pageBreakBefore w:val="0"/>
              <w:kinsoku/>
              <w:wordWrap/>
              <w:overflowPunct/>
              <w:topLinePunct w:val="0"/>
              <w:autoSpaceDE/>
              <w:autoSpaceDN/>
              <w:bidi w:val="0"/>
              <w:adjustRightInd w:val="0"/>
              <w:snapToGrid w:val="0"/>
              <w:spacing w:line="284" w:lineRule="auto"/>
              <w:ind w:right="0"/>
              <w:rPr>
                <w:rFonts w:hint="eastAsia" w:ascii="宋体" w:hAnsi="宋体" w:cs="宋体"/>
                <w:spacing w:val="1"/>
                <w:kern w:val="0"/>
                <w:sz w:val="24"/>
                <w:szCs w:val="24"/>
                <w:highlight w:val="none"/>
              </w:rPr>
            </w:pPr>
            <w:r>
              <w:rPr>
                <w:rFonts w:hint="eastAsia" w:ascii="宋体" w:hAnsi="宋体" w:cs="宋体"/>
                <w:kern w:val="0"/>
                <w:sz w:val="24"/>
                <w:szCs w:val="24"/>
                <w:highlight w:val="none"/>
              </w:rPr>
              <w:t>供应商对服务内容提供本项目的理解、定位、重点突出、法律依据、运维服务方案</w:t>
            </w:r>
            <w:r>
              <w:rPr>
                <w:rFonts w:hint="eastAsia" w:ascii="宋体" w:hAnsi="宋体" w:cs="宋体"/>
                <w:kern w:val="0"/>
                <w:sz w:val="24"/>
                <w:szCs w:val="24"/>
                <w:highlight w:val="none"/>
                <w:lang w:val="en-US" w:eastAsia="zh-CN"/>
              </w:rPr>
              <w:t>全面合理</w:t>
            </w:r>
            <w:r>
              <w:rPr>
                <w:rFonts w:hint="eastAsia" w:ascii="宋体" w:hAnsi="宋体" w:cs="宋体"/>
                <w:kern w:val="0"/>
                <w:sz w:val="24"/>
                <w:szCs w:val="24"/>
                <w:highlight w:val="none"/>
              </w:rPr>
              <w:t>的得10分，缺项或不提供不得分。</w:t>
            </w:r>
          </w:p>
        </w:tc>
      </w:tr>
      <w:tr w14:paraId="6625D341">
        <w:tblPrEx>
          <w:tblCellMar>
            <w:top w:w="0" w:type="dxa"/>
            <w:left w:w="108" w:type="dxa"/>
            <w:bottom w:w="0" w:type="dxa"/>
            <w:right w:w="108" w:type="dxa"/>
          </w:tblCellMar>
        </w:tblPrEx>
        <w:trPr>
          <w:trHeight w:val="536" w:hRule="atLeast"/>
          <w:jc w:val="center"/>
        </w:trPr>
        <w:tc>
          <w:tcPr>
            <w:tcW w:w="1284" w:type="dxa"/>
            <w:vMerge w:val="continue"/>
            <w:tcBorders>
              <w:left w:val="single" w:color="auto" w:sz="4" w:space="0"/>
              <w:right w:val="single" w:color="auto" w:sz="4" w:space="0"/>
            </w:tcBorders>
            <w:vAlign w:val="center"/>
          </w:tcPr>
          <w:p w14:paraId="69117B42">
            <w:pPr>
              <w:keepNext w:val="0"/>
              <w:keepLines w:val="0"/>
              <w:pageBreakBefore w:val="0"/>
              <w:kinsoku/>
              <w:wordWrap/>
              <w:overflowPunct/>
              <w:topLinePunct w:val="0"/>
              <w:autoSpaceDE/>
              <w:autoSpaceDN/>
              <w:bidi w:val="0"/>
              <w:adjustRightInd w:val="0"/>
              <w:snapToGrid w:val="0"/>
              <w:spacing w:line="284" w:lineRule="auto"/>
              <w:ind w:right="0"/>
              <w:jc w:val="center"/>
              <w:rPr>
                <w:rFonts w:hint="eastAsia" w:ascii="宋体" w:hAnsi="宋体" w:cs="宋体"/>
                <w:spacing w:val="1"/>
                <w:kern w:val="0"/>
                <w:sz w:val="24"/>
                <w:szCs w:val="24"/>
                <w:highlight w:val="none"/>
              </w:rPr>
            </w:pPr>
          </w:p>
        </w:tc>
        <w:tc>
          <w:tcPr>
            <w:tcW w:w="1999" w:type="dxa"/>
            <w:tcBorders>
              <w:top w:val="single" w:color="auto" w:sz="4" w:space="0"/>
              <w:left w:val="single" w:color="auto" w:sz="4" w:space="0"/>
              <w:bottom w:val="single" w:color="auto" w:sz="4" w:space="0"/>
              <w:right w:val="single" w:color="auto" w:sz="4" w:space="0"/>
            </w:tcBorders>
            <w:vAlign w:val="center"/>
          </w:tcPr>
          <w:p w14:paraId="5EB27428">
            <w:pPr>
              <w:keepNext w:val="0"/>
              <w:keepLines w:val="0"/>
              <w:pageBreakBefore w:val="0"/>
              <w:kinsoku/>
              <w:wordWrap/>
              <w:overflowPunct/>
              <w:topLinePunct w:val="0"/>
              <w:autoSpaceDE/>
              <w:autoSpaceDN/>
              <w:bidi w:val="0"/>
              <w:adjustRightInd w:val="0"/>
              <w:snapToGrid w:val="0"/>
              <w:spacing w:line="284" w:lineRule="auto"/>
              <w:ind w:right="0"/>
              <w:jc w:val="center"/>
              <w:rPr>
                <w:rFonts w:hint="eastAsia" w:ascii="宋体" w:hAnsi="宋体" w:cs="宋体"/>
                <w:spacing w:val="1"/>
                <w:kern w:val="0"/>
                <w:sz w:val="24"/>
                <w:szCs w:val="24"/>
                <w:highlight w:val="none"/>
              </w:rPr>
            </w:pPr>
            <w:r>
              <w:rPr>
                <w:rFonts w:hint="eastAsia" w:ascii="宋体" w:hAnsi="宋体" w:cs="宋体"/>
                <w:sz w:val="24"/>
                <w:szCs w:val="24"/>
                <w:highlight w:val="none"/>
              </w:rPr>
              <w:t>运营巡查（10分）</w:t>
            </w:r>
          </w:p>
        </w:tc>
        <w:tc>
          <w:tcPr>
            <w:tcW w:w="6225" w:type="dxa"/>
            <w:gridSpan w:val="2"/>
            <w:tcBorders>
              <w:top w:val="single" w:color="auto" w:sz="4" w:space="0"/>
              <w:left w:val="single" w:color="auto" w:sz="4" w:space="0"/>
              <w:right w:val="single" w:color="auto" w:sz="4" w:space="0"/>
            </w:tcBorders>
            <w:vAlign w:val="center"/>
          </w:tcPr>
          <w:p w14:paraId="7F1F12EC">
            <w:pPr>
              <w:keepNext w:val="0"/>
              <w:keepLines w:val="0"/>
              <w:pageBreakBefore w:val="0"/>
              <w:kinsoku/>
              <w:wordWrap/>
              <w:overflowPunct/>
              <w:topLinePunct w:val="0"/>
              <w:autoSpaceDE/>
              <w:autoSpaceDN/>
              <w:bidi w:val="0"/>
              <w:adjustRightInd w:val="0"/>
              <w:snapToGrid w:val="0"/>
              <w:spacing w:line="284" w:lineRule="auto"/>
              <w:ind w:right="0"/>
              <w:rPr>
                <w:rFonts w:hint="eastAsia" w:ascii="宋体" w:hAnsi="宋体" w:cs="宋体"/>
                <w:spacing w:val="1"/>
                <w:kern w:val="0"/>
                <w:sz w:val="24"/>
                <w:szCs w:val="24"/>
                <w:highlight w:val="none"/>
              </w:rPr>
            </w:pPr>
            <w:r>
              <w:rPr>
                <w:rFonts w:hint="eastAsia" w:ascii="宋体" w:hAnsi="宋体" w:cs="宋体"/>
                <w:kern w:val="0"/>
                <w:sz w:val="24"/>
                <w:szCs w:val="24"/>
                <w:highlight w:val="none"/>
              </w:rPr>
              <w:t>供应商提供运营体系，巡查和检查、检测管理流程、日常检测体系的得10分，缺项或不提供不得分。</w:t>
            </w:r>
          </w:p>
        </w:tc>
      </w:tr>
      <w:tr w14:paraId="197C57FF">
        <w:tblPrEx>
          <w:tblCellMar>
            <w:top w:w="0" w:type="dxa"/>
            <w:left w:w="108" w:type="dxa"/>
            <w:bottom w:w="0" w:type="dxa"/>
            <w:right w:w="108" w:type="dxa"/>
          </w:tblCellMar>
        </w:tblPrEx>
        <w:trPr>
          <w:trHeight w:val="250" w:hRule="atLeast"/>
          <w:jc w:val="center"/>
        </w:trPr>
        <w:tc>
          <w:tcPr>
            <w:tcW w:w="1284" w:type="dxa"/>
            <w:vMerge w:val="continue"/>
            <w:tcBorders>
              <w:left w:val="single" w:color="auto" w:sz="4" w:space="0"/>
              <w:right w:val="single" w:color="auto" w:sz="4" w:space="0"/>
            </w:tcBorders>
            <w:vAlign w:val="center"/>
          </w:tcPr>
          <w:p w14:paraId="542657A1">
            <w:pPr>
              <w:keepNext w:val="0"/>
              <w:keepLines w:val="0"/>
              <w:pageBreakBefore w:val="0"/>
              <w:kinsoku/>
              <w:wordWrap/>
              <w:overflowPunct/>
              <w:topLinePunct w:val="0"/>
              <w:autoSpaceDE/>
              <w:autoSpaceDN/>
              <w:bidi w:val="0"/>
              <w:adjustRightInd w:val="0"/>
              <w:snapToGrid w:val="0"/>
              <w:spacing w:line="284" w:lineRule="auto"/>
              <w:ind w:right="0"/>
              <w:jc w:val="center"/>
              <w:rPr>
                <w:rFonts w:hint="eastAsia" w:ascii="宋体" w:hAnsi="宋体" w:cs="宋体"/>
                <w:spacing w:val="1"/>
                <w:kern w:val="0"/>
                <w:sz w:val="24"/>
                <w:szCs w:val="24"/>
                <w:highlight w:val="none"/>
              </w:rPr>
            </w:pPr>
          </w:p>
        </w:tc>
        <w:tc>
          <w:tcPr>
            <w:tcW w:w="1999" w:type="dxa"/>
            <w:tcBorders>
              <w:top w:val="single" w:color="auto" w:sz="4" w:space="0"/>
              <w:left w:val="single" w:color="auto" w:sz="4" w:space="0"/>
              <w:bottom w:val="single" w:color="auto" w:sz="4" w:space="0"/>
              <w:right w:val="single" w:color="auto" w:sz="4" w:space="0"/>
            </w:tcBorders>
            <w:vAlign w:val="center"/>
          </w:tcPr>
          <w:p w14:paraId="5DFC8E5C">
            <w:pPr>
              <w:keepNext w:val="0"/>
              <w:keepLines w:val="0"/>
              <w:pageBreakBefore w:val="0"/>
              <w:kinsoku/>
              <w:wordWrap/>
              <w:overflowPunct/>
              <w:topLinePunct w:val="0"/>
              <w:autoSpaceDE/>
              <w:autoSpaceDN/>
              <w:bidi w:val="0"/>
              <w:adjustRightInd w:val="0"/>
              <w:snapToGrid w:val="0"/>
              <w:spacing w:line="284" w:lineRule="auto"/>
              <w:ind w:right="0"/>
              <w:jc w:val="center"/>
              <w:rPr>
                <w:rFonts w:hint="eastAsia" w:ascii="宋体" w:hAnsi="宋体" w:cs="宋体"/>
                <w:spacing w:val="1"/>
                <w:kern w:val="0"/>
                <w:sz w:val="24"/>
                <w:szCs w:val="24"/>
                <w:highlight w:val="none"/>
              </w:rPr>
            </w:pPr>
            <w:r>
              <w:rPr>
                <w:rFonts w:hint="eastAsia" w:ascii="宋体" w:hAnsi="宋体" w:cs="宋体"/>
                <w:sz w:val="24"/>
                <w:szCs w:val="24"/>
                <w:highlight w:val="none"/>
              </w:rPr>
              <w:t>安全管理和突发事件管理（</w:t>
            </w:r>
            <w:r>
              <w:rPr>
                <w:rFonts w:hint="eastAsia" w:ascii="宋体" w:hAnsi="宋体" w:cs="宋体"/>
                <w:sz w:val="24"/>
                <w:szCs w:val="24"/>
                <w:highlight w:val="none"/>
                <w:lang w:val="en-US" w:eastAsia="zh-CN"/>
              </w:rPr>
              <w:t>10</w:t>
            </w:r>
            <w:r>
              <w:rPr>
                <w:rFonts w:hint="eastAsia" w:ascii="宋体" w:hAnsi="宋体" w:cs="宋体"/>
                <w:sz w:val="24"/>
                <w:szCs w:val="24"/>
                <w:highlight w:val="none"/>
              </w:rPr>
              <w:t>分）</w:t>
            </w:r>
          </w:p>
        </w:tc>
        <w:tc>
          <w:tcPr>
            <w:tcW w:w="6225" w:type="dxa"/>
            <w:gridSpan w:val="2"/>
            <w:tcBorders>
              <w:top w:val="single" w:color="auto" w:sz="4" w:space="0"/>
              <w:left w:val="single" w:color="auto" w:sz="4" w:space="0"/>
              <w:bottom w:val="single" w:color="auto" w:sz="4" w:space="0"/>
              <w:right w:val="single" w:color="auto" w:sz="4" w:space="0"/>
            </w:tcBorders>
            <w:vAlign w:val="center"/>
          </w:tcPr>
          <w:p w14:paraId="3CEE3537">
            <w:pPr>
              <w:keepNext w:val="0"/>
              <w:keepLines w:val="0"/>
              <w:pageBreakBefore w:val="0"/>
              <w:kinsoku/>
              <w:wordWrap/>
              <w:overflowPunct/>
              <w:topLinePunct w:val="0"/>
              <w:autoSpaceDE/>
              <w:autoSpaceDN/>
              <w:bidi w:val="0"/>
              <w:adjustRightInd w:val="0"/>
              <w:snapToGrid w:val="0"/>
              <w:spacing w:line="284" w:lineRule="auto"/>
              <w:ind w:right="0"/>
              <w:rPr>
                <w:rFonts w:hint="eastAsia" w:ascii="宋体" w:hAnsi="宋体" w:cs="宋体"/>
                <w:spacing w:val="1"/>
                <w:kern w:val="0"/>
                <w:sz w:val="24"/>
                <w:szCs w:val="24"/>
                <w:highlight w:val="none"/>
              </w:rPr>
            </w:pPr>
            <w:r>
              <w:rPr>
                <w:rFonts w:hint="eastAsia" w:ascii="宋体" w:hAnsi="宋体" w:cs="宋体"/>
                <w:sz w:val="24"/>
                <w:szCs w:val="24"/>
                <w:highlight w:val="none"/>
              </w:rPr>
              <w:t>供应商提供</w:t>
            </w:r>
            <w:r>
              <w:rPr>
                <w:rFonts w:hint="eastAsia" w:ascii="宋体" w:hAnsi="宋体" w:cs="宋体"/>
                <w:sz w:val="24"/>
                <w:szCs w:val="24"/>
                <w:highlight w:val="none"/>
                <w:lang w:val="en-US" w:eastAsia="zh-CN"/>
              </w:rPr>
              <w:t>合理的</w:t>
            </w:r>
            <w:r>
              <w:rPr>
                <w:rFonts w:hint="eastAsia" w:ascii="宋体" w:hAnsi="宋体" w:cs="宋体"/>
                <w:sz w:val="24"/>
                <w:szCs w:val="24"/>
                <w:highlight w:val="none"/>
              </w:rPr>
              <w:t>安全管理和突发事件管理的组织机构及紧急预案的得</w:t>
            </w:r>
            <w:r>
              <w:rPr>
                <w:rFonts w:hint="eastAsia" w:ascii="宋体" w:hAnsi="宋体" w:cs="宋体"/>
                <w:sz w:val="24"/>
                <w:szCs w:val="24"/>
                <w:highlight w:val="none"/>
                <w:lang w:val="en-US" w:eastAsia="zh-CN"/>
              </w:rPr>
              <w:t>10</w:t>
            </w:r>
            <w:r>
              <w:rPr>
                <w:rFonts w:hint="eastAsia" w:ascii="宋体" w:hAnsi="宋体" w:cs="宋体"/>
                <w:sz w:val="24"/>
                <w:szCs w:val="24"/>
                <w:highlight w:val="none"/>
              </w:rPr>
              <w:t>分，</w:t>
            </w:r>
            <w:r>
              <w:rPr>
                <w:rFonts w:hint="eastAsia" w:ascii="宋体" w:hAnsi="宋体" w:cs="宋体"/>
                <w:kern w:val="0"/>
                <w:sz w:val="24"/>
                <w:szCs w:val="24"/>
                <w:highlight w:val="none"/>
              </w:rPr>
              <w:t>不提供不得分</w:t>
            </w:r>
            <w:r>
              <w:rPr>
                <w:rFonts w:hint="eastAsia" w:ascii="宋体" w:hAnsi="宋体" w:cs="宋体"/>
                <w:sz w:val="24"/>
                <w:szCs w:val="24"/>
                <w:highlight w:val="none"/>
              </w:rPr>
              <w:t>。</w:t>
            </w:r>
          </w:p>
        </w:tc>
      </w:tr>
      <w:tr w14:paraId="2B3AF966">
        <w:tblPrEx>
          <w:tblCellMar>
            <w:top w:w="0" w:type="dxa"/>
            <w:left w:w="108" w:type="dxa"/>
            <w:bottom w:w="0" w:type="dxa"/>
            <w:right w:w="108" w:type="dxa"/>
          </w:tblCellMar>
        </w:tblPrEx>
        <w:trPr>
          <w:trHeight w:val="1212" w:hRule="atLeast"/>
          <w:jc w:val="center"/>
        </w:trPr>
        <w:tc>
          <w:tcPr>
            <w:tcW w:w="1284" w:type="dxa"/>
            <w:vMerge w:val="continue"/>
            <w:tcBorders>
              <w:left w:val="single" w:color="auto" w:sz="4" w:space="0"/>
              <w:right w:val="single" w:color="auto" w:sz="4" w:space="0"/>
            </w:tcBorders>
            <w:vAlign w:val="center"/>
          </w:tcPr>
          <w:p w14:paraId="1FB74414">
            <w:pPr>
              <w:keepNext w:val="0"/>
              <w:keepLines w:val="0"/>
              <w:pageBreakBefore w:val="0"/>
              <w:kinsoku/>
              <w:wordWrap/>
              <w:overflowPunct/>
              <w:topLinePunct w:val="0"/>
              <w:autoSpaceDE/>
              <w:autoSpaceDN/>
              <w:bidi w:val="0"/>
              <w:adjustRightInd w:val="0"/>
              <w:snapToGrid w:val="0"/>
              <w:spacing w:line="284" w:lineRule="auto"/>
              <w:ind w:right="0"/>
              <w:jc w:val="center"/>
              <w:rPr>
                <w:rFonts w:hint="eastAsia" w:ascii="宋体" w:hAnsi="宋体" w:cs="宋体"/>
                <w:spacing w:val="1"/>
                <w:kern w:val="0"/>
                <w:sz w:val="24"/>
                <w:szCs w:val="24"/>
                <w:highlight w:val="none"/>
              </w:rPr>
            </w:pPr>
          </w:p>
        </w:tc>
        <w:tc>
          <w:tcPr>
            <w:tcW w:w="1999" w:type="dxa"/>
            <w:tcBorders>
              <w:top w:val="single" w:color="auto" w:sz="4" w:space="0"/>
              <w:left w:val="single" w:color="auto" w:sz="4" w:space="0"/>
              <w:right w:val="single" w:color="auto" w:sz="4" w:space="0"/>
            </w:tcBorders>
            <w:vAlign w:val="center"/>
          </w:tcPr>
          <w:p w14:paraId="54BB6731">
            <w:pPr>
              <w:keepNext w:val="0"/>
              <w:keepLines w:val="0"/>
              <w:pageBreakBefore w:val="0"/>
              <w:kinsoku/>
              <w:wordWrap/>
              <w:overflowPunct/>
              <w:topLinePunct w:val="0"/>
              <w:autoSpaceDE/>
              <w:autoSpaceDN/>
              <w:bidi w:val="0"/>
              <w:adjustRightInd w:val="0"/>
              <w:snapToGrid w:val="0"/>
              <w:spacing w:line="284" w:lineRule="auto"/>
              <w:ind w:right="0"/>
              <w:jc w:val="center"/>
              <w:rPr>
                <w:rFonts w:hint="eastAsia" w:ascii="宋体" w:hAnsi="宋体" w:cs="宋体"/>
                <w:spacing w:val="1"/>
                <w:kern w:val="0"/>
                <w:sz w:val="24"/>
                <w:szCs w:val="24"/>
                <w:highlight w:val="none"/>
              </w:rPr>
            </w:pPr>
            <w:r>
              <w:rPr>
                <w:rFonts w:hint="eastAsia" w:ascii="宋体" w:hAnsi="宋体" w:cs="宋体"/>
                <w:sz w:val="24"/>
                <w:szCs w:val="24"/>
                <w:highlight w:val="none"/>
              </w:rPr>
              <w:t>污水处理设备的运行管理与维护（</w:t>
            </w:r>
            <w:r>
              <w:rPr>
                <w:rFonts w:hint="eastAsia" w:ascii="宋体" w:hAnsi="宋体" w:cs="宋体"/>
                <w:sz w:val="24"/>
                <w:szCs w:val="24"/>
                <w:highlight w:val="none"/>
                <w:lang w:val="en-US" w:eastAsia="zh-CN"/>
              </w:rPr>
              <w:t>10</w:t>
            </w:r>
            <w:r>
              <w:rPr>
                <w:rFonts w:hint="eastAsia" w:ascii="宋体" w:hAnsi="宋体" w:cs="宋体"/>
                <w:sz w:val="24"/>
                <w:szCs w:val="24"/>
                <w:highlight w:val="none"/>
              </w:rPr>
              <w:t>分）</w:t>
            </w:r>
          </w:p>
        </w:tc>
        <w:tc>
          <w:tcPr>
            <w:tcW w:w="6225" w:type="dxa"/>
            <w:gridSpan w:val="2"/>
            <w:tcBorders>
              <w:top w:val="single" w:color="auto" w:sz="4" w:space="0"/>
              <w:left w:val="single" w:color="auto" w:sz="4" w:space="0"/>
              <w:right w:val="single" w:color="auto" w:sz="4" w:space="0"/>
            </w:tcBorders>
            <w:vAlign w:val="center"/>
          </w:tcPr>
          <w:p w14:paraId="347297EC">
            <w:pPr>
              <w:keepNext w:val="0"/>
              <w:keepLines w:val="0"/>
              <w:pageBreakBefore w:val="0"/>
              <w:kinsoku/>
              <w:wordWrap/>
              <w:overflowPunct/>
              <w:topLinePunct w:val="0"/>
              <w:autoSpaceDE/>
              <w:autoSpaceDN/>
              <w:bidi w:val="0"/>
              <w:adjustRightInd w:val="0"/>
              <w:snapToGrid w:val="0"/>
              <w:spacing w:line="284" w:lineRule="auto"/>
              <w:ind w:right="0"/>
              <w:rPr>
                <w:rFonts w:hint="eastAsia" w:ascii="宋体" w:hAnsi="宋体" w:cs="宋体"/>
                <w:spacing w:val="1"/>
                <w:kern w:val="0"/>
                <w:sz w:val="24"/>
                <w:szCs w:val="24"/>
                <w:highlight w:val="none"/>
              </w:rPr>
            </w:pPr>
            <w:r>
              <w:rPr>
                <w:rFonts w:hint="eastAsia" w:ascii="宋体" w:hAnsi="宋体" w:cs="宋体"/>
                <w:sz w:val="24"/>
                <w:szCs w:val="24"/>
                <w:highlight w:val="none"/>
              </w:rPr>
              <w:t>供应商提供污水处理设备的运行管理与维护方案（内容包括但不限于：机械设备、电气设备、计量仪器等设备的维护）的得</w:t>
            </w:r>
            <w:r>
              <w:rPr>
                <w:rFonts w:hint="eastAsia" w:ascii="宋体" w:hAnsi="宋体" w:cs="宋体"/>
                <w:sz w:val="24"/>
                <w:szCs w:val="24"/>
                <w:highlight w:val="none"/>
                <w:lang w:val="en-US" w:eastAsia="zh-CN"/>
              </w:rPr>
              <w:t>10</w:t>
            </w:r>
            <w:r>
              <w:rPr>
                <w:rFonts w:hint="eastAsia" w:ascii="宋体" w:hAnsi="宋体" w:cs="宋体"/>
                <w:sz w:val="24"/>
                <w:szCs w:val="24"/>
                <w:highlight w:val="none"/>
              </w:rPr>
              <w:t>分，</w:t>
            </w:r>
            <w:r>
              <w:rPr>
                <w:rFonts w:hint="eastAsia" w:ascii="宋体" w:hAnsi="宋体" w:cs="宋体"/>
                <w:kern w:val="0"/>
                <w:sz w:val="24"/>
                <w:szCs w:val="24"/>
                <w:highlight w:val="none"/>
              </w:rPr>
              <w:t>缺项或不提供不得分</w:t>
            </w:r>
            <w:r>
              <w:rPr>
                <w:rFonts w:hint="eastAsia" w:ascii="宋体" w:hAnsi="宋体" w:cs="宋体"/>
                <w:sz w:val="24"/>
                <w:szCs w:val="24"/>
                <w:highlight w:val="none"/>
              </w:rPr>
              <w:t>。</w:t>
            </w:r>
          </w:p>
        </w:tc>
      </w:tr>
      <w:tr w14:paraId="4956C96C">
        <w:tblPrEx>
          <w:tblCellMar>
            <w:top w:w="0" w:type="dxa"/>
            <w:left w:w="108" w:type="dxa"/>
            <w:bottom w:w="0" w:type="dxa"/>
            <w:right w:w="108" w:type="dxa"/>
          </w:tblCellMar>
        </w:tblPrEx>
        <w:trPr>
          <w:trHeight w:val="723" w:hRule="atLeast"/>
          <w:jc w:val="center"/>
        </w:trPr>
        <w:tc>
          <w:tcPr>
            <w:tcW w:w="1284" w:type="dxa"/>
            <w:vMerge w:val="continue"/>
            <w:tcBorders>
              <w:left w:val="single" w:color="auto" w:sz="4" w:space="0"/>
              <w:bottom w:val="single" w:color="auto" w:sz="4" w:space="0"/>
              <w:right w:val="single" w:color="auto" w:sz="4" w:space="0"/>
            </w:tcBorders>
            <w:vAlign w:val="center"/>
          </w:tcPr>
          <w:p w14:paraId="46D309A4">
            <w:pPr>
              <w:keepNext w:val="0"/>
              <w:keepLines w:val="0"/>
              <w:pageBreakBefore w:val="0"/>
              <w:kinsoku/>
              <w:wordWrap/>
              <w:overflowPunct/>
              <w:topLinePunct w:val="0"/>
              <w:autoSpaceDE/>
              <w:autoSpaceDN/>
              <w:bidi w:val="0"/>
              <w:adjustRightInd w:val="0"/>
              <w:snapToGrid w:val="0"/>
              <w:spacing w:line="284" w:lineRule="auto"/>
              <w:ind w:right="0"/>
              <w:jc w:val="center"/>
              <w:rPr>
                <w:rFonts w:hint="eastAsia" w:ascii="宋体" w:hAnsi="宋体" w:cs="宋体"/>
                <w:spacing w:val="1"/>
                <w:kern w:val="0"/>
                <w:sz w:val="24"/>
                <w:szCs w:val="24"/>
                <w:highlight w:val="none"/>
              </w:rPr>
            </w:pPr>
          </w:p>
        </w:tc>
        <w:tc>
          <w:tcPr>
            <w:tcW w:w="1999" w:type="dxa"/>
            <w:tcBorders>
              <w:top w:val="single" w:color="auto" w:sz="4" w:space="0"/>
              <w:left w:val="single" w:color="auto" w:sz="4" w:space="0"/>
              <w:bottom w:val="single" w:color="auto" w:sz="4" w:space="0"/>
              <w:right w:val="single" w:color="auto" w:sz="4" w:space="0"/>
            </w:tcBorders>
            <w:vAlign w:val="center"/>
          </w:tcPr>
          <w:p w14:paraId="2925BAF6">
            <w:pPr>
              <w:keepNext w:val="0"/>
              <w:keepLines w:val="0"/>
              <w:pageBreakBefore w:val="0"/>
              <w:kinsoku/>
              <w:wordWrap/>
              <w:overflowPunct/>
              <w:topLinePunct w:val="0"/>
              <w:autoSpaceDE/>
              <w:autoSpaceDN/>
              <w:bidi w:val="0"/>
              <w:adjustRightInd w:val="0"/>
              <w:snapToGrid w:val="0"/>
              <w:spacing w:line="284" w:lineRule="auto"/>
              <w:ind w:right="0"/>
              <w:jc w:val="center"/>
              <w:rPr>
                <w:rFonts w:hint="eastAsia" w:ascii="宋体" w:hAnsi="宋体" w:cs="宋体"/>
                <w:sz w:val="24"/>
                <w:szCs w:val="24"/>
                <w:highlight w:val="none"/>
              </w:rPr>
            </w:pPr>
            <w:r>
              <w:rPr>
                <w:rFonts w:hint="eastAsia" w:ascii="宋体" w:hAnsi="宋体" w:cs="宋体"/>
                <w:sz w:val="24"/>
                <w:szCs w:val="24"/>
                <w:highlight w:val="none"/>
              </w:rPr>
              <w:t>移交方案（</w:t>
            </w:r>
            <w:r>
              <w:rPr>
                <w:rFonts w:hint="eastAsia" w:ascii="宋体" w:hAnsi="宋体" w:cs="宋体"/>
                <w:sz w:val="24"/>
                <w:szCs w:val="24"/>
                <w:highlight w:val="none"/>
                <w:lang w:val="en-US" w:eastAsia="zh-CN"/>
              </w:rPr>
              <w:t>10</w:t>
            </w:r>
            <w:r>
              <w:rPr>
                <w:rFonts w:hint="eastAsia" w:ascii="宋体" w:hAnsi="宋体" w:cs="宋体"/>
                <w:sz w:val="24"/>
                <w:szCs w:val="24"/>
                <w:highlight w:val="none"/>
              </w:rPr>
              <w:t>分）</w:t>
            </w:r>
          </w:p>
        </w:tc>
        <w:tc>
          <w:tcPr>
            <w:tcW w:w="6225" w:type="dxa"/>
            <w:gridSpan w:val="2"/>
            <w:tcBorders>
              <w:top w:val="single" w:color="auto" w:sz="4" w:space="0"/>
              <w:left w:val="single" w:color="auto" w:sz="4" w:space="0"/>
              <w:bottom w:val="single" w:color="auto" w:sz="4" w:space="0"/>
              <w:right w:val="single" w:color="auto" w:sz="4" w:space="0"/>
            </w:tcBorders>
            <w:vAlign w:val="center"/>
          </w:tcPr>
          <w:p w14:paraId="278235CD">
            <w:pPr>
              <w:keepNext w:val="0"/>
              <w:keepLines w:val="0"/>
              <w:pageBreakBefore w:val="0"/>
              <w:kinsoku/>
              <w:wordWrap/>
              <w:overflowPunct/>
              <w:topLinePunct w:val="0"/>
              <w:autoSpaceDE/>
              <w:autoSpaceDN/>
              <w:bidi w:val="0"/>
              <w:adjustRightInd w:val="0"/>
              <w:snapToGrid w:val="0"/>
              <w:spacing w:line="284" w:lineRule="auto"/>
              <w:ind w:right="0"/>
              <w:rPr>
                <w:rFonts w:hint="eastAsia" w:ascii="宋体" w:hAnsi="宋体" w:cs="宋体"/>
                <w:sz w:val="24"/>
                <w:szCs w:val="24"/>
                <w:highlight w:val="none"/>
              </w:rPr>
            </w:pPr>
            <w:r>
              <w:rPr>
                <w:rFonts w:hint="eastAsia" w:ascii="宋体" w:hAnsi="宋体" w:cs="宋体"/>
                <w:sz w:val="24"/>
                <w:szCs w:val="24"/>
                <w:highlight w:val="none"/>
              </w:rPr>
              <w:t>供应商提供服务期满后的项目设施移交方案（内容包括但不限于：移交范围、最后检修、移交委员会、技术移交、人员培训等）的得10分，缺项或不提供不得分。</w:t>
            </w:r>
          </w:p>
        </w:tc>
      </w:tr>
      <w:tr w14:paraId="495CFD03">
        <w:tblPrEx>
          <w:tblCellMar>
            <w:top w:w="0" w:type="dxa"/>
            <w:left w:w="108" w:type="dxa"/>
            <w:bottom w:w="0" w:type="dxa"/>
            <w:right w:w="108" w:type="dxa"/>
          </w:tblCellMar>
        </w:tblPrEx>
        <w:trPr>
          <w:trHeight w:val="287" w:hRule="atLeast"/>
          <w:jc w:val="center"/>
        </w:trPr>
        <w:tc>
          <w:tcPr>
            <w:tcW w:w="1284" w:type="dxa"/>
            <w:vMerge w:val="restart"/>
            <w:tcBorders>
              <w:top w:val="single" w:color="auto" w:sz="4" w:space="0"/>
              <w:left w:val="single" w:color="auto" w:sz="4" w:space="0"/>
              <w:right w:val="single" w:color="auto" w:sz="4" w:space="0"/>
            </w:tcBorders>
            <w:vAlign w:val="center"/>
          </w:tcPr>
          <w:p w14:paraId="1A8CE5FF">
            <w:pPr>
              <w:keepNext w:val="0"/>
              <w:keepLines w:val="0"/>
              <w:pageBreakBefore w:val="0"/>
              <w:kinsoku/>
              <w:wordWrap/>
              <w:overflowPunct/>
              <w:topLinePunct w:val="0"/>
              <w:autoSpaceDE/>
              <w:autoSpaceDN/>
              <w:bidi w:val="0"/>
              <w:adjustRightInd w:val="0"/>
              <w:snapToGrid w:val="0"/>
              <w:spacing w:line="284" w:lineRule="auto"/>
              <w:ind w:right="0"/>
              <w:jc w:val="center"/>
              <w:rPr>
                <w:rFonts w:hint="eastAsia" w:ascii="宋体" w:hAnsi="宋体" w:cs="宋体"/>
                <w:spacing w:val="1"/>
                <w:kern w:val="0"/>
                <w:sz w:val="24"/>
                <w:szCs w:val="24"/>
                <w:highlight w:val="none"/>
              </w:rPr>
            </w:pPr>
            <w:r>
              <w:rPr>
                <w:rFonts w:hint="eastAsia" w:ascii="宋体" w:hAnsi="宋体" w:cs="宋体"/>
                <w:spacing w:val="1"/>
                <w:kern w:val="0"/>
                <w:sz w:val="24"/>
                <w:szCs w:val="24"/>
                <w:highlight w:val="none"/>
              </w:rPr>
              <w:t>综合</w:t>
            </w:r>
          </w:p>
          <w:p w14:paraId="243C1E63">
            <w:pPr>
              <w:keepNext w:val="0"/>
              <w:keepLines w:val="0"/>
              <w:pageBreakBefore w:val="0"/>
              <w:kinsoku/>
              <w:wordWrap/>
              <w:overflowPunct/>
              <w:topLinePunct w:val="0"/>
              <w:autoSpaceDE/>
              <w:autoSpaceDN/>
              <w:bidi w:val="0"/>
              <w:adjustRightInd w:val="0"/>
              <w:snapToGrid w:val="0"/>
              <w:spacing w:line="284" w:lineRule="auto"/>
              <w:ind w:right="0"/>
              <w:jc w:val="center"/>
              <w:rPr>
                <w:rFonts w:hint="eastAsia" w:ascii="宋体" w:hAnsi="宋体" w:cs="宋体"/>
                <w:spacing w:val="1"/>
                <w:kern w:val="0"/>
                <w:sz w:val="24"/>
                <w:szCs w:val="24"/>
                <w:highlight w:val="none"/>
              </w:rPr>
            </w:pPr>
            <w:r>
              <w:rPr>
                <w:rFonts w:hint="eastAsia" w:ascii="宋体" w:hAnsi="宋体" w:cs="宋体"/>
                <w:spacing w:val="1"/>
                <w:kern w:val="0"/>
                <w:sz w:val="24"/>
                <w:szCs w:val="24"/>
                <w:highlight w:val="none"/>
              </w:rPr>
              <w:t>（</w:t>
            </w:r>
            <w:r>
              <w:rPr>
                <w:rFonts w:hint="eastAsia" w:ascii="宋体" w:hAnsi="宋体" w:cs="宋体"/>
                <w:spacing w:val="1"/>
                <w:kern w:val="0"/>
                <w:sz w:val="24"/>
                <w:szCs w:val="24"/>
                <w:highlight w:val="none"/>
                <w:lang w:val="en-US" w:eastAsia="zh-CN"/>
              </w:rPr>
              <w:t>30</w:t>
            </w:r>
            <w:r>
              <w:rPr>
                <w:rFonts w:hint="eastAsia" w:ascii="宋体" w:hAnsi="宋体" w:cs="宋体"/>
                <w:spacing w:val="1"/>
                <w:kern w:val="0"/>
                <w:sz w:val="24"/>
                <w:szCs w:val="24"/>
                <w:highlight w:val="none"/>
              </w:rPr>
              <w:t>分）</w:t>
            </w:r>
          </w:p>
        </w:tc>
        <w:tc>
          <w:tcPr>
            <w:tcW w:w="1999" w:type="dxa"/>
            <w:tcBorders>
              <w:top w:val="single" w:color="auto" w:sz="4" w:space="0"/>
              <w:left w:val="single" w:color="auto" w:sz="4" w:space="0"/>
              <w:bottom w:val="single" w:color="auto" w:sz="4" w:space="0"/>
              <w:right w:val="single" w:color="auto" w:sz="4" w:space="0"/>
            </w:tcBorders>
            <w:vAlign w:val="center"/>
          </w:tcPr>
          <w:p w14:paraId="47A0E51B">
            <w:pPr>
              <w:keepNext w:val="0"/>
              <w:keepLines w:val="0"/>
              <w:pageBreakBefore w:val="0"/>
              <w:kinsoku/>
              <w:wordWrap/>
              <w:overflowPunct/>
              <w:topLinePunct w:val="0"/>
              <w:autoSpaceDE/>
              <w:autoSpaceDN/>
              <w:bidi w:val="0"/>
              <w:adjustRightInd w:val="0"/>
              <w:snapToGrid w:val="0"/>
              <w:spacing w:line="284" w:lineRule="auto"/>
              <w:ind w:right="0"/>
              <w:jc w:val="center"/>
              <w:rPr>
                <w:rFonts w:hint="eastAsia" w:ascii="宋体" w:hAnsi="宋体" w:cs="宋体"/>
                <w:sz w:val="24"/>
                <w:szCs w:val="24"/>
                <w:highlight w:val="none"/>
              </w:rPr>
            </w:pPr>
            <w:r>
              <w:rPr>
                <w:rFonts w:hint="eastAsia" w:ascii="宋体" w:hAnsi="宋体" w:cs="宋体"/>
                <w:sz w:val="24"/>
                <w:szCs w:val="24"/>
                <w:highlight w:val="none"/>
              </w:rPr>
              <w:t>业绩情况</w:t>
            </w:r>
          </w:p>
          <w:p w14:paraId="31667FC7">
            <w:pPr>
              <w:keepNext w:val="0"/>
              <w:keepLines w:val="0"/>
              <w:pageBreakBefore w:val="0"/>
              <w:kinsoku/>
              <w:wordWrap/>
              <w:overflowPunct/>
              <w:topLinePunct w:val="0"/>
              <w:autoSpaceDE/>
              <w:autoSpaceDN/>
              <w:bidi w:val="0"/>
              <w:adjustRightInd w:val="0"/>
              <w:snapToGrid w:val="0"/>
              <w:spacing w:line="284" w:lineRule="auto"/>
              <w:ind w:right="0"/>
              <w:jc w:val="center"/>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p>
        </w:tc>
        <w:tc>
          <w:tcPr>
            <w:tcW w:w="6225" w:type="dxa"/>
            <w:gridSpan w:val="2"/>
            <w:tcBorders>
              <w:top w:val="single" w:color="auto" w:sz="4" w:space="0"/>
              <w:left w:val="single" w:color="auto" w:sz="4" w:space="0"/>
              <w:bottom w:val="single" w:color="auto" w:sz="4" w:space="0"/>
              <w:right w:val="single" w:color="auto" w:sz="4" w:space="0"/>
            </w:tcBorders>
            <w:vAlign w:val="center"/>
          </w:tcPr>
          <w:p w14:paraId="41A974B1">
            <w:pPr>
              <w:pStyle w:val="26"/>
              <w:keepNext w:val="0"/>
              <w:keepLines w:val="0"/>
              <w:pageBreakBefore w:val="0"/>
              <w:kinsoku/>
              <w:wordWrap/>
              <w:overflowPunct/>
              <w:topLinePunct w:val="0"/>
              <w:autoSpaceDE/>
              <w:autoSpaceDN/>
              <w:bidi w:val="0"/>
              <w:adjustRightInd w:val="0"/>
              <w:snapToGrid w:val="0"/>
              <w:spacing w:after="0" w:line="284" w:lineRule="auto"/>
              <w:ind w:right="0" w:firstLine="0" w:firstLineChars="0"/>
              <w:rPr>
                <w:rFonts w:hint="eastAsia" w:ascii="宋体" w:hAnsi="宋体" w:cs="宋体"/>
                <w:sz w:val="24"/>
                <w:szCs w:val="24"/>
                <w:highlight w:val="none"/>
              </w:rPr>
            </w:pPr>
            <w:r>
              <w:rPr>
                <w:rFonts w:hint="eastAsia" w:ascii="宋体" w:hAnsi="宋体" w:cs="宋体"/>
                <w:sz w:val="24"/>
                <w:szCs w:val="24"/>
                <w:highlight w:val="none"/>
                <w:lang w:val="en-US" w:eastAsia="zh-CN"/>
              </w:rPr>
              <w:t>供应商</w:t>
            </w:r>
            <w:r>
              <w:rPr>
                <w:rFonts w:hint="eastAsia" w:ascii="宋体" w:hAnsi="宋体" w:cs="宋体"/>
                <w:sz w:val="24"/>
                <w:szCs w:val="24"/>
                <w:highlight w:val="none"/>
              </w:rPr>
              <w:t>自202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年1月1月以来承接过</w:t>
            </w:r>
            <w:r>
              <w:rPr>
                <w:rFonts w:hint="eastAsia" w:ascii="宋体" w:hAnsi="宋体" w:cs="宋体"/>
                <w:sz w:val="24"/>
                <w:szCs w:val="24"/>
                <w:highlight w:val="none"/>
                <w:lang w:val="en-US" w:eastAsia="zh-CN"/>
              </w:rPr>
              <w:t>1</w:t>
            </w:r>
            <w:r>
              <w:rPr>
                <w:rFonts w:hint="eastAsia" w:ascii="宋体" w:hAnsi="宋体" w:cs="宋体"/>
                <w:sz w:val="24"/>
                <w:szCs w:val="24"/>
                <w:highlight w:val="none"/>
              </w:rPr>
              <w:t>项类似项目业绩的得</w:t>
            </w:r>
            <w:r>
              <w:rPr>
                <w:rFonts w:hint="eastAsia" w:ascii="宋体" w:hAnsi="宋体" w:cs="宋体"/>
                <w:sz w:val="24"/>
                <w:szCs w:val="24"/>
                <w:highlight w:val="none"/>
                <w:lang w:val="en-US" w:eastAsia="zh-CN"/>
              </w:rPr>
              <w:t>2.5</w:t>
            </w:r>
            <w:r>
              <w:rPr>
                <w:rFonts w:hint="eastAsia" w:ascii="宋体" w:hAnsi="宋体" w:cs="宋体"/>
                <w:sz w:val="24"/>
                <w:szCs w:val="24"/>
                <w:highlight w:val="none"/>
              </w:rPr>
              <w:t>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最高得5分。</w:t>
            </w:r>
            <w:r>
              <w:rPr>
                <w:rFonts w:hint="eastAsia" w:ascii="宋体" w:hAnsi="宋体" w:cs="宋体"/>
                <w:sz w:val="24"/>
                <w:szCs w:val="24"/>
                <w:highlight w:val="none"/>
              </w:rPr>
              <w:t>（以合同协议书签订时间为准）。</w:t>
            </w:r>
          </w:p>
          <w:p w14:paraId="01CDA5C4">
            <w:pPr>
              <w:keepNext w:val="0"/>
              <w:keepLines w:val="0"/>
              <w:pageBreakBefore w:val="0"/>
              <w:kinsoku/>
              <w:wordWrap/>
              <w:overflowPunct/>
              <w:topLinePunct w:val="0"/>
              <w:autoSpaceDE/>
              <w:autoSpaceDN/>
              <w:bidi w:val="0"/>
              <w:adjustRightInd w:val="0"/>
              <w:snapToGrid w:val="0"/>
              <w:spacing w:line="284" w:lineRule="auto"/>
              <w:ind w:right="0"/>
              <w:rPr>
                <w:rFonts w:hint="eastAsia" w:ascii="宋体" w:hAnsi="宋体" w:cs="宋体"/>
                <w:sz w:val="24"/>
                <w:szCs w:val="24"/>
                <w:highlight w:val="none"/>
              </w:rPr>
            </w:pPr>
            <w:r>
              <w:rPr>
                <w:rFonts w:hint="eastAsia" w:ascii="宋体" w:hAnsi="宋体" w:cs="宋体"/>
                <w:sz w:val="24"/>
                <w:szCs w:val="24"/>
                <w:highlight w:val="none"/>
              </w:rPr>
              <w:t>注：</w:t>
            </w:r>
            <w:r>
              <w:rPr>
                <w:rFonts w:hint="eastAsia" w:ascii="宋体" w:hAnsi="宋体" w:cs="宋体"/>
                <w:sz w:val="24"/>
                <w:szCs w:val="24"/>
                <w:highlight w:val="none"/>
                <w:lang w:val="en-US" w:eastAsia="zh-CN"/>
              </w:rPr>
              <w:t>提供中标（成交）通知书、</w:t>
            </w:r>
            <w:r>
              <w:rPr>
                <w:rFonts w:hint="eastAsia" w:ascii="宋体" w:hAnsi="宋体" w:cs="宋体"/>
                <w:sz w:val="24"/>
                <w:szCs w:val="24"/>
                <w:highlight w:val="none"/>
              </w:rPr>
              <w:t>合同协议书扫描件，否则不计分。</w:t>
            </w:r>
          </w:p>
        </w:tc>
      </w:tr>
      <w:tr w14:paraId="43A00362">
        <w:tblPrEx>
          <w:tblCellMar>
            <w:top w:w="0" w:type="dxa"/>
            <w:left w:w="108" w:type="dxa"/>
            <w:bottom w:w="0" w:type="dxa"/>
            <w:right w:w="108" w:type="dxa"/>
          </w:tblCellMar>
        </w:tblPrEx>
        <w:trPr>
          <w:trHeight w:val="287" w:hRule="atLeast"/>
          <w:jc w:val="center"/>
        </w:trPr>
        <w:tc>
          <w:tcPr>
            <w:tcW w:w="1284" w:type="dxa"/>
            <w:vMerge w:val="continue"/>
            <w:tcBorders>
              <w:left w:val="single" w:color="auto" w:sz="4" w:space="0"/>
              <w:right w:val="single" w:color="auto" w:sz="4" w:space="0"/>
            </w:tcBorders>
            <w:vAlign w:val="center"/>
          </w:tcPr>
          <w:p w14:paraId="56045431">
            <w:pPr>
              <w:keepNext w:val="0"/>
              <w:keepLines w:val="0"/>
              <w:pageBreakBefore w:val="0"/>
              <w:kinsoku/>
              <w:wordWrap/>
              <w:overflowPunct/>
              <w:topLinePunct w:val="0"/>
              <w:autoSpaceDE/>
              <w:autoSpaceDN/>
              <w:bidi w:val="0"/>
              <w:adjustRightInd w:val="0"/>
              <w:snapToGrid w:val="0"/>
              <w:spacing w:line="284" w:lineRule="auto"/>
              <w:ind w:right="0"/>
              <w:jc w:val="center"/>
              <w:rPr>
                <w:rFonts w:hint="eastAsia" w:ascii="宋体" w:hAnsi="宋体" w:cs="宋体"/>
                <w:spacing w:val="1"/>
                <w:kern w:val="0"/>
                <w:sz w:val="24"/>
                <w:szCs w:val="24"/>
                <w:highlight w:val="none"/>
              </w:rPr>
            </w:pPr>
          </w:p>
        </w:tc>
        <w:tc>
          <w:tcPr>
            <w:tcW w:w="1999" w:type="dxa"/>
            <w:tcBorders>
              <w:top w:val="single" w:color="auto" w:sz="4" w:space="0"/>
              <w:left w:val="single" w:color="auto" w:sz="4" w:space="0"/>
              <w:bottom w:val="single" w:color="auto" w:sz="4" w:space="0"/>
              <w:right w:val="single" w:color="auto" w:sz="4" w:space="0"/>
            </w:tcBorders>
            <w:vAlign w:val="center"/>
          </w:tcPr>
          <w:p w14:paraId="7F1EB111">
            <w:pPr>
              <w:keepNext w:val="0"/>
              <w:keepLines w:val="0"/>
              <w:pageBreakBefore w:val="0"/>
              <w:kinsoku/>
              <w:wordWrap/>
              <w:overflowPunct/>
              <w:topLinePunct w:val="0"/>
              <w:autoSpaceDE/>
              <w:autoSpaceDN/>
              <w:bidi w:val="0"/>
              <w:adjustRightInd w:val="0"/>
              <w:snapToGrid w:val="0"/>
              <w:spacing w:line="284" w:lineRule="auto"/>
              <w:ind w:right="0"/>
              <w:jc w:val="center"/>
              <w:rPr>
                <w:rFonts w:hint="eastAsia" w:ascii="宋体" w:hAnsi="宋体" w:cs="宋体"/>
                <w:sz w:val="24"/>
                <w:szCs w:val="24"/>
                <w:highlight w:val="none"/>
              </w:rPr>
            </w:pPr>
            <w:r>
              <w:rPr>
                <w:rFonts w:hint="eastAsia" w:ascii="宋体" w:hAnsi="宋体" w:cs="宋体"/>
                <w:sz w:val="24"/>
                <w:szCs w:val="24"/>
                <w:highlight w:val="none"/>
              </w:rPr>
              <w:t>服务承诺（10分）</w:t>
            </w:r>
          </w:p>
        </w:tc>
        <w:tc>
          <w:tcPr>
            <w:tcW w:w="6225" w:type="dxa"/>
            <w:gridSpan w:val="2"/>
            <w:tcBorders>
              <w:top w:val="single" w:color="auto" w:sz="4" w:space="0"/>
              <w:left w:val="single" w:color="auto" w:sz="4" w:space="0"/>
              <w:bottom w:val="single" w:color="auto" w:sz="4" w:space="0"/>
              <w:right w:val="single" w:color="auto" w:sz="4" w:space="0"/>
            </w:tcBorders>
            <w:vAlign w:val="center"/>
          </w:tcPr>
          <w:p w14:paraId="577BCE23">
            <w:pPr>
              <w:keepNext w:val="0"/>
              <w:keepLines w:val="0"/>
              <w:pageBreakBefore w:val="0"/>
              <w:kinsoku/>
              <w:wordWrap/>
              <w:overflowPunct/>
              <w:topLinePunct w:val="0"/>
              <w:autoSpaceDE/>
              <w:autoSpaceDN/>
              <w:bidi w:val="0"/>
              <w:adjustRightInd w:val="0"/>
              <w:snapToGrid w:val="0"/>
              <w:spacing w:line="284" w:lineRule="auto"/>
              <w:ind w:right="0"/>
              <w:rPr>
                <w:rFonts w:hint="eastAsia" w:ascii="宋体" w:hAnsi="宋体" w:cs="宋体"/>
                <w:sz w:val="24"/>
                <w:szCs w:val="24"/>
                <w:highlight w:val="none"/>
              </w:rPr>
            </w:pPr>
            <w:r>
              <w:rPr>
                <w:rFonts w:hint="eastAsia" w:ascii="宋体" w:hAnsi="宋体" w:cs="宋体"/>
                <w:sz w:val="24"/>
                <w:szCs w:val="24"/>
                <w:highlight w:val="none"/>
              </w:rPr>
              <w:t>提供服务承诺（内容包括但不限于：保证工期质量承诺、安全文明施工及环境保护、履职尽责承诺）的得10分，缺一项项扣2.5分，不提供不得分。</w:t>
            </w:r>
          </w:p>
        </w:tc>
      </w:tr>
      <w:tr w14:paraId="3FCFF9DE">
        <w:tblPrEx>
          <w:tblCellMar>
            <w:top w:w="0" w:type="dxa"/>
            <w:left w:w="108" w:type="dxa"/>
            <w:bottom w:w="0" w:type="dxa"/>
            <w:right w:w="108" w:type="dxa"/>
          </w:tblCellMar>
        </w:tblPrEx>
        <w:trPr>
          <w:trHeight w:val="912" w:hRule="atLeast"/>
          <w:jc w:val="center"/>
        </w:trPr>
        <w:tc>
          <w:tcPr>
            <w:tcW w:w="1284" w:type="dxa"/>
            <w:vMerge w:val="continue"/>
            <w:tcBorders>
              <w:left w:val="single" w:color="auto" w:sz="4" w:space="0"/>
              <w:right w:val="single" w:color="auto" w:sz="4" w:space="0"/>
            </w:tcBorders>
            <w:vAlign w:val="center"/>
          </w:tcPr>
          <w:p w14:paraId="4731074F">
            <w:pPr>
              <w:keepNext w:val="0"/>
              <w:keepLines w:val="0"/>
              <w:pageBreakBefore w:val="0"/>
              <w:kinsoku/>
              <w:wordWrap/>
              <w:overflowPunct/>
              <w:topLinePunct w:val="0"/>
              <w:autoSpaceDE/>
              <w:autoSpaceDN/>
              <w:bidi w:val="0"/>
              <w:adjustRightInd w:val="0"/>
              <w:snapToGrid w:val="0"/>
              <w:spacing w:line="284" w:lineRule="auto"/>
              <w:ind w:right="0"/>
              <w:jc w:val="center"/>
              <w:rPr>
                <w:rFonts w:hint="eastAsia" w:ascii="宋体" w:hAnsi="宋体" w:cs="宋体"/>
                <w:spacing w:val="1"/>
                <w:kern w:val="0"/>
                <w:sz w:val="24"/>
                <w:szCs w:val="24"/>
                <w:highlight w:val="none"/>
              </w:rPr>
            </w:pPr>
            <w:bookmarkStart w:id="4" w:name="_Hlk196140172"/>
          </w:p>
        </w:tc>
        <w:tc>
          <w:tcPr>
            <w:tcW w:w="1999" w:type="dxa"/>
            <w:tcBorders>
              <w:top w:val="single" w:color="auto" w:sz="4" w:space="0"/>
              <w:left w:val="single" w:color="auto" w:sz="4" w:space="0"/>
              <w:bottom w:val="single" w:color="auto" w:sz="4" w:space="0"/>
              <w:right w:val="single" w:color="auto" w:sz="4" w:space="0"/>
            </w:tcBorders>
            <w:vAlign w:val="center"/>
          </w:tcPr>
          <w:p w14:paraId="563FBDF7">
            <w:pPr>
              <w:keepNext w:val="0"/>
              <w:keepLines w:val="0"/>
              <w:pageBreakBefore w:val="0"/>
              <w:kinsoku/>
              <w:wordWrap/>
              <w:overflowPunct/>
              <w:topLinePunct w:val="0"/>
              <w:autoSpaceDE/>
              <w:autoSpaceDN/>
              <w:bidi w:val="0"/>
              <w:adjustRightInd w:val="0"/>
              <w:snapToGrid w:val="0"/>
              <w:spacing w:line="284" w:lineRule="auto"/>
              <w:ind w:right="0"/>
              <w:jc w:val="center"/>
              <w:rPr>
                <w:rFonts w:hint="eastAsia" w:ascii="宋体" w:hAnsi="宋体" w:cs="宋体"/>
                <w:sz w:val="24"/>
                <w:szCs w:val="24"/>
                <w:highlight w:val="none"/>
              </w:rPr>
            </w:pPr>
            <w:r>
              <w:rPr>
                <w:rFonts w:hint="eastAsia" w:ascii="宋体" w:hAnsi="宋体" w:cs="宋体"/>
                <w:sz w:val="24"/>
                <w:szCs w:val="24"/>
                <w:highlight w:val="none"/>
              </w:rPr>
              <w:t>人员证件</w:t>
            </w:r>
          </w:p>
          <w:p w14:paraId="3EF23A6A">
            <w:pPr>
              <w:keepNext w:val="0"/>
              <w:keepLines w:val="0"/>
              <w:pageBreakBefore w:val="0"/>
              <w:kinsoku/>
              <w:wordWrap/>
              <w:overflowPunct/>
              <w:topLinePunct w:val="0"/>
              <w:autoSpaceDE/>
              <w:autoSpaceDN/>
              <w:bidi w:val="0"/>
              <w:adjustRightInd w:val="0"/>
              <w:snapToGrid w:val="0"/>
              <w:spacing w:line="284" w:lineRule="auto"/>
              <w:ind w:right="0"/>
              <w:jc w:val="center"/>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9</w:t>
            </w:r>
            <w:r>
              <w:rPr>
                <w:rFonts w:hint="eastAsia" w:ascii="宋体" w:hAnsi="宋体" w:cs="宋体"/>
                <w:sz w:val="24"/>
                <w:szCs w:val="24"/>
                <w:highlight w:val="none"/>
              </w:rPr>
              <w:t>分）</w:t>
            </w:r>
          </w:p>
        </w:tc>
        <w:tc>
          <w:tcPr>
            <w:tcW w:w="6225" w:type="dxa"/>
            <w:gridSpan w:val="2"/>
            <w:tcBorders>
              <w:top w:val="single" w:color="auto" w:sz="4" w:space="0"/>
              <w:left w:val="single" w:color="auto" w:sz="4" w:space="0"/>
              <w:bottom w:val="single" w:color="auto" w:sz="4" w:space="0"/>
              <w:right w:val="single" w:color="auto" w:sz="4" w:space="0"/>
            </w:tcBorders>
            <w:vAlign w:val="center"/>
          </w:tcPr>
          <w:p w14:paraId="6DB7D0BE">
            <w:pPr>
              <w:keepNext w:val="0"/>
              <w:keepLines w:val="0"/>
              <w:pageBreakBefore w:val="0"/>
              <w:kinsoku/>
              <w:wordWrap/>
              <w:overflowPunct/>
              <w:topLinePunct w:val="0"/>
              <w:autoSpaceDE/>
              <w:autoSpaceDN/>
              <w:bidi w:val="0"/>
              <w:adjustRightInd w:val="0"/>
              <w:snapToGrid w:val="0"/>
              <w:spacing w:line="284" w:lineRule="auto"/>
              <w:ind w:right="0"/>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提供相关污水处理工人员证件每提供一名人员得</w:t>
            </w:r>
            <w:r>
              <w:rPr>
                <w:rFonts w:hint="eastAsia" w:ascii="宋体" w:hAnsi="宋体" w:cs="宋体"/>
                <w:sz w:val="24"/>
                <w:szCs w:val="24"/>
                <w:highlight w:val="none"/>
                <w:lang w:val="en-US" w:eastAsia="zh-CN"/>
              </w:rPr>
              <w:t>3</w:t>
            </w:r>
            <w:r>
              <w:rPr>
                <w:rFonts w:hint="eastAsia" w:ascii="宋体" w:hAnsi="宋体" w:cs="宋体"/>
                <w:sz w:val="24"/>
                <w:szCs w:val="24"/>
                <w:highlight w:val="none"/>
              </w:rPr>
              <w:t>分，最高得</w:t>
            </w:r>
            <w:r>
              <w:rPr>
                <w:rFonts w:hint="eastAsia" w:ascii="宋体" w:hAnsi="宋体" w:cs="宋体"/>
                <w:sz w:val="24"/>
                <w:szCs w:val="24"/>
                <w:highlight w:val="none"/>
                <w:lang w:val="en-US" w:eastAsia="zh-CN"/>
              </w:rPr>
              <w:t>9</w:t>
            </w:r>
            <w:r>
              <w:rPr>
                <w:rFonts w:hint="eastAsia" w:ascii="宋体" w:hAnsi="宋体" w:cs="宋体"/>
                <w:sz w:val="24"/>
                <w:szCs w:val="24"/>
                <w:highlight w:val="none"/>
              </w:rPr>
              <w:t>分。不提供不得分</w:t>
            </w:r>
            <w:r>
              <w:rPr>
                <w:rFonts w:hint="eastAsia" w:ascii="宋体" w:hAnsi="宋体" w:cs="宋体"/>
                <w:sz w:val="24"/>
                <w:szCs w:val="24"/>
                <w:highlight w:val="none"/>
                <w:lang w:val="en-US" w:eastAsia="zh-CN"/>
              </w:rPr>
              <w:t>。</w:t>
            </w:r>
          </w:p>
        </w:tc>
      </w:tr>
      <w:tr w14:paraId="6B428AC2">
        <w:tblPrEx>
          <w:tblCellMar>
            <w:top w:w="0" w:type="dxa"/>
            <w:left w:w="108" w:type="dxa"/>
            <w:bottom w:w="0" w:type="dxa"/>
            <w:right w:w="108" w:type="dxa"/>
          </w:tblCellMar>
        </w:tblPrEx>
        <w:trPr>
          <w:trHeight w:val="1066" w:hRule="atLeast"/>
          <w:jc w:val="center"/>
        </w:trPr>
        <w:tc>
          <w:tcPr>
            <w:tcW w:w="1284" w:type="dxa"/>
            <w:vMerge w:val="continue"/>
            <w:tcBorders>
              <w:left w:val="single" w:color="auto" w:sz="4" w:space="0"/>
              <w:bottom w:val="single" w:color="auto" w:sz="4" w:space="0"/>
              <w:right w:val="single" w:color="auto" w:sz="4" w:space="0"/>
            </w:tcBorders>
            <w:vAlign w:val="center"/>
          </w:tcPr>
          <w:p w14:paraId="7BABFDA8">
            <w:pPr>
              <w:keepNext w:val="0"/>
              <w:keepLines w:val="0"/>
              <w:pageBreakBefore w:val="0"/>
              <w:kinsoku/>
              <w:wordWrap/>
              <w:overflowPunct/>
              <w:topLinePunct w:val="0"/>
              <w:autoSpaceDE/>
              <w:autoSpaceDN/>
              <w:bidi w:val="0"/>
              <w:adjustRightInd w:val="0"/>
              <w:snapToGrid w:val="0"/>
              <w:spacing w:line="284" w:lineRule="auto"/>
              <w:ind w:right="0"/>
              <w:jc w:val="center"/>
              <w:rPr>
                <w:rFonts w:hint="eastAsia" w:ascii="宋体" w:hAnsi="宋体" w:cs="宋体"/>
                <w:spacing w:val="1"/>
                <w:kern w:val="0"/>
                <w:sz w:val="24"/>
                <w:szCs w:val="24"/>
                <w:highlight w:val="none"/>
              </w:rPr>
            </w:pPr>
          </w:p>
        </w:tc>
        <w:tc>
          <w:tcPr>
            <w:tcW w:w="1999" w:type="dxa"/>
            <w:tcBorders>
              <w:top w:val="single" w:color="auto" w:sz="4" w:space="0"/>
              <w:left w:val="single" w:color="auto" w:sz="4" w:space="0"/>
              <w:bottom w:val="single" w:color="auto" w:sz="4" w:space="0"/>
              <w:right w:val="single" w:color="auto" w:sz="4" w:space="0"/>
            </w:tcBorders>
            <w:shd w:val="clear" w:color="auto" w:fill="auto"/>
            <w:vAlign w:val="center"/>
          </w:tcPr>
          <w:p w14:paraId="44D7301A">
            <w:pPr>
              <w:keepNext w:val="0"/>
              <w:keepLines w:val="0"/>
              <w:pageBreakBefore w:val="0"/>
              <w:kinsoku/>
              <w:wordWrap/>
              <w:overflowPunct/>
              <w:topLinePunct w:val="0"/>
              <w:autoSpaceDE/>
              <w:autoSpaceDN/>
              <w:bidi w:val="0"/>
              <w:adjustRightInd w:val="0"/>
              <w:snapToGrid w:val="0"/>
              <w:spacing w:line="284" w:lineRule="auto"/>
              <w:ind w:right="0"/>
              <w:jc w:val="center"/>
              <w:rPr>
                <w:rFonts w:hint="eastAsia" w:ascii="宋体" w:hAnsi="宋体" w:eastAsia="宋体" w:cs="宋体"/>
                <w:sz w:val="24"/>
                <w:szCs w:val="24"/>
              </w:rPr>
            </w:pPr>
            <w:r>
              <w:rPr>
                <w:rFonts w:hint="eastAsia" w:ascii="宋体" w:hAnsi="宋体" w:eastAsia="宋体" w:cs="宋体"/>
                <w:sz w:val="24"/>
                <w:szCs w:val="24"/>
              </w:rPr>
              <w:t>企业实力</w:t>
            </w:r>
          </w:p>
          <w:p w14:paraId="05F2689B">
            <w:pPr>
              <w:keepNext w:val="0"/>
              <w:keepLines w:val="0"/>
              <w:pageBreakBefore w:val="0"/>
              <w:kinsoku/>
              <w:wordWrap/>
              <w:overflowPunct/>
              <w:topLinePunct w:val="0"/>
              <w:autoSpaceDE/>
              <w:autoSpaceDN/>
              <w:bidi w:val="0"/>
              <w:adjustRightInd w:val="0"/>
              <w:snapToGrid w:val="0"/>
              <w:spacing w:line="284" w:lineRule="auto"/>
              <w:ind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62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D03D3D">
            <w:pPr>
              <w:keepNext w:val="0"/>
              <w:keepLines w:val="0"/>
              <w:pageBreakBefore w:val="0"/>
              <w:kinsoku/>
              <w:wordWrap/>
              <w:overflowPunct/>
              <w:topLinePunct w:val="0"/>
              <w:autoSpaceDE/>
              <w:autoSpaceDN/>
              <w:bidi w:val="0"/>
              <w:adjustRightInd w:val="0"/>
              <w:snapToGrid w:val="0"/>
              <w:spacing w:line="284" w:lineRule="auto"/>
              <w:ind w:right="0"/>
              <w:jc w:val="left"/>
              <w:rPr>
                <w:rFonts w:hint="eastAsia" w:ascii="宋体" w:hAnsi="宋体" w:eastAsia="宋体" w:cs="宋体"/>
                <w:sz w:val="24"/>
                <w:szCs w:val="24"/>
              </w:rPr>
            </w:pPr>
            <w:r>
              <w:rPr>
                <w:rFonts w:hint="eastAsia" w:ascii="宋体" w:hAnsi="宋体" w:eastAsia="宋体" w:cs="宋体"/>
                <w:sz w:val="24"/>
                <w:szCs w:val="24"/>
              </w:rPr>
              <w:t>供应商同时具有质量管理体系认证、环境管理体系认证、职业健康安全管理体系认证的得6分，缺项不得分。</w:t>
            </w:r>
          </w:p>
          <w:p w14:paraId="0EDB966B">
            <w:pPr>
              <w:keepNext w:val="0"/>
              <w:keepLines w:val="0"/>
              <w:pageBreakBefore w:val="0"/>
              <w:kinsoku/>
              <w:wordWrap/>
              <w:overflowPunct/>
              <w:topLinePunct w:val="0"/>
              <w:autoSpaceDE/>
              <w:autoSpaceDN/>
              <w:bidi w:val="0"/>
              <w:adjustRightInd w:val="0"/>
              <w:snapToGrid w:val="0"/>
              <w:spacing w:line="284" w:lineRule="auto"/>
              <w:ind w:right="0" w:righ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rPr>
              <w:t>注：应附证书的复印件或扫描件</w:t>
            </w:r>
            <w:r>
              <w:rPr>
                <w:rFonts w:hint="eastAsia" w:ascii="宋体" w:hAnsi="宋体" w:eastAsia="宋体" w:cs="宋体"/>
                <w:sz w:val="24"/>
                <w:szCs w:val="24"/>
                <w:lang w:eastAsia="zh-CN"/>
              </w:rPr>
              <w:t>。</w:t>
            </w:r>
          </w:p>
        </w:tc>
      </w:tr>
      <w:bookmarkEnd w:id="4"/>
    </w:tbl>
    <w:p w14:paraId="52F422B7">
      <w:pPr>
        <w:pStyle w:val="27"/>
        <w:ind w:firstLine="480"/>
        <w:rPr>
          <w:rFonts w:ascii="宋体" w:hAnsi="宋体" w:eastAsia="宋体" w:cs="宋体"/>
          <w:sz w:val="24"/>
          <w:highlight w:val="none"/>
        </w:rPr>
      </w:pPr>
    </w:p>
    <w:p w14:paraId="5104CA39">
      <w:pPr>
        <w:spacing w:line="360" w:lineRule="auto"/>
        <w:rPr>
          <w:rFonts w:ascii="宋体" w:hAnsi="宋体" w:cs="宋体"/>
          <w:b/>
          <w:sz w:val="24"/>
          <w:highlight w:val="none"/>
        </w:rPr>
      </w:pPr>
      <w:r>
        <w:rPr>
          <w:rFonts w:hint="eastAsia" w:ascii="宋体" w:hAnsi="宋体" w:cs="宋体"/>
          <w:b/>
          <w:sz w:val="24"/>
          <w:highlight w:val="none"/>
        </w:rPr>
        <w:t xml:space="preserve">  最终得分为磋商小组所有成员计分的算术平均值，计算保留小数点两位，小数点后第三位四舍五入。</w:t>
      </w:r>
    </w:p>
    <w:p w14:paraId="45F9CCB5">
      <w:pPr>
        <w:spacing w:line="360" w:lineRule="auto"/>
        <w:ind w:firstLine="480" w:firstLineChars="200"/>
        <w:rPr>
          <w:rFonts w:ascii="宋体" w:hAnsi="宋体" w:cs="宋体"/>
          <w:sz w:val="24"/>
          <w:highlight w:val="none"/>
        </w:rPr>
      </w:pPr>
      <w:r>
        <w:rPr>
          <w:rFonts w:hint="eastAsia" w:ascii="宋体" w:hAnsi="宋体" w:cs="宋体"/>
          <w:sz w:val="24"/>
          <w:highlight w:val="none"/>
        </w:rPr>
        <w:t>22.3磋商小组根据综合评分情况，按照评审得分由高到低顺序推荐成交候选供应商，并编写评审报告。综合得分相同的供应商，报价较低者优先；报价也相同的，由采购人自行确定。</w:t>
      </w:r>
    </w:p>
    <w:p w14:paraId="42BB2779">
      <w:pPr>
        <w:spacing w:line="360" w:lineRule="auto"/>
        <w:ind w:firstLine="480" w:firstLineChars="200"/>
        <w:rPr>
          <w:rFonts w:ascii="宋体" w:hAnsi="宋体" w:cs="宋体"/>
          <w:sz w:val="24"/>
          <w:highlight w:val="none"/>
        </w:rPr>
      </w:pPr>
      <w:r>
        <w:rPr>
          <w:rFonts w:hint="eastAsia" w:ascii="宋体" w:hAnsi="宋体" w:cs="宋体"/>
          <w:sz w:val="24"/>
          <w:highlight w:val="none"/>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4116DFD">
      <w:pPr>
        <w:spacing w:line="360" w:lineRule="auto"/>
        <w:ind w:firstLine="480" w:firstLineChars="200"/>
        <w:rPr>
          <w:rFonts w:ascii="宋体" w:hAnsi="宋体" w:cs="宋体"/>
          <w:b/>
          <w:sz w:val="24"/>
          <w:highlight w:val="none"/>
        </w:rPr>
      </w:pPr>
      <w:r>
        <w:rPr>
          <w:rFonts w:hint="eastAsia" w:ascii="宋体" w:hAnsi="宋体" w:cs="宋体"/>
          <w:sz w:val="24"/>
          <w:highlight w:val="none"/>
        </w:rPr>
        <w:t>22.5若供应商的报价高于项目预算，磋商小组有权根据采购人意见及其实际情况，拒绝该报价。</w:t>
      </w:r>
    </w:p>
    <w:p w14:paraId="05593B72">
      <w:pPr>
        <w:spacing w:line="360" w:lineRule="auto"/>
        <w:ind w:firstLine="480" w:firstLineChars="200"/>
        <w:rPr>
          <w:rFonts w:ascii="宋体" w:hAnsi="宋体" w:cs="宋体"/>
          <w:sz w:val="24"/>
          <w:highlight w:val="none"/>
        </w:rPr>
      </w:pPr>
      <w:r>
        <w:rPr>
          <w:rFonts w:hint="eastAsia" w:ascii="宋体" w:hAnsi="宋体" w:cs="宋体"/>
          <w:sz w:val="24"/>
          <w:highlight w:val="none"/>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702B929D">
      <w:pPr>
        <w:spacing w:line="360" w:lineRule="auto"/>
        <w:ind w:firstLine="480" w:firstLineChars="200"/>
        <w:rPr>
          <w:rFonts w:ascii="宋体" w:hAnsi="宋体" w:cs="宋体"/>
          <w:color w:val="auto"/>
          <w:sz w:val="24"/>
          <w:highlight w:val="none"/>
        </w:rPr>
      </w:pPr>
      <w:r>
        <w:rPr>
          <w:rFonts w:hint="eastAsia" w:ascii="宋体" w:hAnsi="宋体" w:cs="宋体"/>
          <w:sz w:val="24"/>
          <w:highlight w:val="none"/>
        </w:rPr>
        <w:t>22.7在竞争性磋商期间，供应商不得向竞争性磋商小组成员询问其它供应商竞争性磋商情况，不得进行旨在影响成交结果的活动。</w:t>
      </w:r>
      <w:r>
        <w:rPr>
          <w:rFonts w:hint="eastAsia" w:ascii="宋体" w:hAnsi="宋体" w:cs="宋体"/>
          <w:color w:val="auto"/>
          <w:sz w:val="24"/>
          <w:highlight w:val="none"/>
        </w:rPr>
        <w:t>供应商应在响应文件中保</w:t>
      </w:r>
      <w:r>
        <w:rPr>
          <w:rFonts w:hint="eastAsia" w:ascii="宋体" w:hAnsi="宋体" w:cs="宋体"/>
          <w:color w:val="auto"/>
          <w:sz w:val="2"/>
          <w:szCs w:val="2"/>
          <w:highlight w:val="none"/>
          <w:vertAlign w:val="superscript"/>
        </w:rPr>
        <w:t xml:space="preserve">  </w:t>
      </w:r>
      <w:r>
        <w:rPr>
          <w:rFonts w:hint="eastAsia" w:ascii="宋体" w:hAnsi="宋体" w:cs="宋体"/>
          <w:color w:val="auto"/>
          <w:sz w:val="24"/>
          <w:highlight w:val="none"/>
        </w:rPr>
        <w:t>证不在任何阶段干扰项目工作。</w:t>
      </w:r>
    </w:p>
    <w:p w14:paraId="0DA682DD">
      <w:pPr>
        <w:spacing w:line="360" w:lineRule="auto"/>
        <w:ind w:firstLine="480" w:firstLineChars="200"/>
        <w:rPr>
          <w:rFonts w:ascii="宋体" w:hAnsi="宋体" w:cs="宋体"/>
          <w:sz w:val="24"/>
          <w:highlight w:val="none"/>
        </w:rPr>
      </w:pPr>
      <w:r>
        <w:rPr>
          <w:rFonts w:hint="eastAsia" w:ascii="宋体" w:hAnsi="宋体" w:cs="宋体"/>
          <w:sz w:val="24"/>
          <w:highlight w:val="none"/>
        </w:rPr>
        <w:t>22.8在竞争性磋商期间，采购人将有专门人员与供应商进行联络。</w:t>
      </w:r>
    </w:p>
    <w:p w14:paraId="46ABC815">
      <w:pPr>
        <w:spacing w:line="360" w:lineRule="auto"/>
        <w:ind w:firstLine="482" w:firstLineChars="200"/>
        <w:rPr>
          <w:rFonts w:ascii="宋体" w:hAnsi="宋体" w:cs="宋体"/>
          <w:b/>
          <w:sz w:val="24"/>
          <w:highlight w:val="none"/>
        </w:rPr>
      </w:pPr>
      <w:r>
        <w:rPr>
          <w:rFonts w:hint="eastAsia" w:ascii="宋体" w:hAnsi="宋体" w:cs="宋体"/>
          <w:b/>
          <w:sz w:val="24"/>
          <w:highlight w:val="none"/>
        </w:rPr>
        <w:t>23.竞争性磋商终止</w:t>
      </w:r>
    </w:p>
    <w:p w14:paraId="35F19972">
      <w:pPr>
        <w:spacing w:line="360" w:lineRule="auto"/>
        <w:ind w:firstLine="480" w:firstLineChars="200"/>
        <w:rPr>
          <w:rFonts w:ascii="宋体" w:hAnsi="宋体" w:cs="宋体"/>
          <w:b/>
          <w:sz w:val="24"/>
          <w:highlight w:val="none"/>
        </w:rPr>
      </w:pPr>
      <w:r>
        <w:rPr>
          <w:rFonts w:hint="eastAsia" w:ascii="宋体" w:hAnsi="宋体" w:cs="宋体"/>
          <w:bCs/>
          <w:sz w:val="24"/>
          <w:highlight w:val="none"/>
        </w:rPr>
        <w:t>23.1出现下列情形之一时，采购人有权宣布竞争性磋商终止，并将理由通知所有供应商：</w:t>
      </w:r>
    </w:p>
    <w:p w14:paraId="5248F8EC">
      <w:pPr>
        <w:spacing w:line="360" w:lineRule="auto"/>
        <w:ind w:firstLine="480" w:firstLineChars="200"/>
        <w:rPr>
          <w:rFonts w:ascii="宋体" w:hAnsi="宋体" w:cs="宋体"/>
          <w:sz w:val="24"/>
          <w:highlight w:val="none"/>
        </w:rPr>
      </w:pPr>
      <w:r>
        <w:rPr>
          <w:rFonts w:hint="eastAsia" w:ascii="宋体" w:hAnsi="宋体" w:cs="宋体"/>
          <w:sz w:val="24"/>
          <w:highlight w:val="none"/>
        </w:rPr>
        <w:t>（1）因情况变化，不再符合竞争性磋商适用情形的；</w:t>
      </w:r>
    </w:p>
    <w:p w14:paraId="3A2EDB02">
      <w:pPr>
        <w:spacing w:line="360" w:lineRule="auto"/>
        <w:ind w:firstLine="480" w:firstLineChars="200"/>
        <w:rPr>
          <w:rFonts w:ascii="宋体" w:hAnsi="宋体" w:cs="宋体"/>
          <w:sz w:val="24"/>
          <w:highlight w:val="none"/>
        </w:rPr>
      </w:pPr>
      <w:r>
        <w:rPr>
          <w:rFonts w:hint="eastAsia" w:ascii="宋体" w:hAnsi="宋体" w:cs="宋体"/>
          <w:sz w:val="24"/>
          <w:highlight w:val="none"/>
        </w:rPr>
        <w:t>（2）出现影响采购公正的违法、违规行为的；</w:t>
      </w:r>
    </w:p>
    <w:p w14:paraId="5A69585A">
      <w:pPr>
        <w:spacing w:line="360" w:lineRule="auto"/>
        <w:ind w:firstLine="480" w:firstLineChars="200"/>
        <w:rPr>
          <w:rFonts w:ascii="宋体" w:hAnsi="宋体" w:cs="宋体"/>
          <w:sz w:val="24"/>
          <w:highlight w:val="none"/>
        </w:rPr>
      </w:pPr>
      <w:r>
        <w:rPr>
          <w:rFonts w:hint="eastAsia" w:ascii="宋体" w:hAnsi="宋体" w:cs="宋体"/>
          <w:sz w:val="24"/>
          <w:highlight w:val="none"/>
        </w:rPr>
        <w:t>（3）在采购过程中符合磋商文件要求的供应商不足3家的；</w:t>
      </w:r>
    </w:p>
    <w:p w14:paraId="0F644660">
      <w:pPr>
        <w:spacing w:line="360" w:lineRule="auto"/>
        <w:ind w:firstLine="480" w:firstLineChars="200"/>
        <w:rPr>
          <w:rFonts w:ascii="宋体" w:hAnsi="宋体" w:cs="宋体"/>
          <w:b/>
          <w:sz w:val="24"/>
          <w:highlight w:val="none"/>
        </w:rPr>
      </w:pPr>
      <w:r>
        <w:rPr>
          <w:rFonts w:hint="eastAsia" w:ascii="宋体" w:hAnsi="宋体" w:cs="宋体"/>
          <w:sz w:val="24"/>
          <w:highlight w:val="none"/>
        </w:rPr>
        <w:t>（4）在采购活动中因重大变故，采购任务取消的；</w:t>
      </w:r>
    </w:p>
    <w:p w14:paraId="6307AC07">
      <w:pPr>
        <w:spacing w:line="360" w:lineRule="auto"/>
        <w:jc w:val="center"/>
        <w:rPr>
          <w:rFonts w:ascii="宋体" w:hAnsi="宋体" w:cs="宋体"/>
          <w:b/>
          <w:sz w:val="24"/>
          <w:highlight w:val="none"/>
        </w:rPr>
      </w:pPr>
      <w:r>
        <w:rPr>
          <w:rFonts w:hint="eastAsia" w:ascii="宋体" w:hAnsi="宋体" w:cs="宋体"/>
          <w:b/>
          <w:sz w:val="24"/>
          <w:highlight w:val="none"/>
        </w:rPr>
        <w:t>七、成交通知</w:t>
      </w:r>
    </w:p>
    <w:p w14:paraId="7D7993DA">
      <w:pPr>
        <w:spacing w:line="360" w:lineRule="auto"/>
        <w:ind w:firstLine="482" w:firstLineChars="200"/>
        <w:rPr>
          <w:rFonts w:ascii="宋体" w:hAnsi="宋体" w:cs="宋体"/>
          <w:b/>
          <w:sz w:val="24"/>
          <w:highlight w:val="none"/>
        </w:rPr>
      </w:pPr>
      <w:r>
        <w:rPr>
          <w:rFonts w:hint="eastAsia" w:ascii="宋体" w:hAnsi="宋体" w:cs="宋体"/>
          <w:b/>
          <w:sz w:val="24"/>
          <w:highlight w:val="none"/>
        </w:rPr>
        <w:t>24.成交通知</w:t>
      </w:r>
    </w:p>
    <w:p w14:paraId="4D35D2BA">
      <w:pPr>
        <w:pStyle w:val="37"/>
        <w:spacing w:line="360" w:lineRule="auto"/>
        <w:ind w:firstLine="480" w:firstLineChars="200"/>
        <w:rPr>
          <w:rFonts w:ascii="宋体" w:hAnsi="宋体" w:cs="宋体"/>
          <w:sz w:val="24"/>
          <w:highlight w:val="none"/>
        </w:rPr>
      </w:pPr>
      <w:r>
        <w:rPr>
          <w:rFonts w:hint="eastAsia" w:ascii="宋体" w:hAnsi="宋体" w:cs="宋体"/>
          <w:sz w:val="24"/>
          <w:highlight w:val="none"/>
        </w:rPr>
        <w:t>24.1采购人应当自收到评审报告之日起5个工作日内在评审报告推荐的中标或者成交候选人中按顺序确定中标或者成交供应商。</w:t>
      </w:r>
    </w:p>
    <w:p w14:paraId="03150CA4">
      <w:pPr>
        <w:tabs>
          <w:tab w:val="left" w:pos="1800"/>
        </w:tabs>
        <w:spacing w:line="360" w:lineRule="auto"/>
        <w:ind w:firstLine="480" w:firstLineChars="200"/>
        <w:rPr>
          <w:rFonts w:ascii="宋体" w:hAnsi="宋体" w:cs="宋体"/>
          <w:sz w:val="24"/>
          <w:highlight w:val="none"/>
        </w:rPr>
      </w:pPr>
      <w:r>
        <w:rPr>
          <w:rFonts w:hint="eastAsia" w:ascii="宋体" w:hAnsi="宋体" w:cs="宋体"/>
          <w:sz w:val="24"/>
          <w:highlight w:val="none"/>
        </w:rPr>
        <w:t>24.2</w:t>
      </w:r>
      <w:r>
        <w:rPr>
          <w:rFonts w:hint="eastAsia" w:ascii="宋体" w:hAnsi="宋体" w:cs="宋体"/>
          <w:sz w:val="24"/>
          <w:highlight w:val="none"/>
          <w:lang w:val="en-US" w:eastAsia="zh-CN"/>
        </w:rPr>
        <w:t>在发出成交公告后</w:t>
      </w:r>
      <w:r>
        <w:rPr>
          <w:rFonts w:hint="eastAsia" w:ascii="宋体" w:hAnsi="宋体" w:eastAsia="宋体" w:cs="宋体"/>
          <w:sz w:val="24"/>
          <w:highlight w:val="none"/>
          <w:lang w:val="en-US" w:eastAsia="zh-CN"/>
        </w:rPr>
        <w:t>请采购人、中标人登录</w:t>
      </w:r>
      <w:r>
        <w:rPr>
          <w:rFonts w:hint="eastAsia" w:ascii="宋体" w:hAnsi="宋体" w:eastAsia="宋体" w:cs="宋体"/>
          <w:sz w:val="24"/>
          <w:highlight w:val="none"/>
        </w:rPr>
        <w:t>周口市公共资源</w:t>
      </w:r>
      <w:r>
        <w:rPr>
          <w:rFonts w:hint="eastAsia" w:ascii="宋体" w:hAnsi="宋体" w:eastAsia="宋体" w:cs="宋体"/>
          <w:sz w:val="24"/>
          <w:szCs w:val="24"/>
          <w:highlight w:val="none"/>
        </w:rPr>
        <w:t>交易</w:t>
      </w:r>
      <w:r>
        <w:rPr>
          <w:rFonts w:hint="eastAsia" w:ascii="宋体" w:hAnsi="宋体" w:eastAsia="宋体" w:cs="宋体"/>
          <w:sz w:val="24"/>
          <w:highlight w:val="none"/>
          <w:lang w:eastAsia="zh-CN"/>
        </w:rPr>
        <w:t>中心网</w:t>
      </w:r>
      <w:r>
        <w:rPr>
          <w:rFonts w:hint="eastAsia" w:ascii="宋体" w:hAnsi="宋体" w:eastAsia="宋体" w:cs="宋体"/>
          <w:sz w:val="24"/>
          <w:szCs w:val="24"/>
          <w:highlight w:val="none"/>
        </w:rPr>
        <w:t>（http://jyzx.zhoukou.gov.cn）</w:t>
      </w:r>
      <w:r>
        <w:rPr>
          <w:rFonts w:hint="eastAsia" w:ascii="宋体" w:hAnsi="宋体" w:eastAsia="宋体" w:cs="宋体"/>
          <w:sz w:val="24"/>
          <w:szCs w:val="24"/>
          <w:highlight w:val="none"/>
          <w:lang w:val="en-US" w:eastAsia="zh-CN"/>
        </w:rPr>
        <w:t>自行下载</w:t>
      </w:r>
      <w:r>
        <w:rPr>
          <w:rFonts w:hint="eastAsia" w:cs="宋体"/>
          <w:sz w:val="24"/>
          <w:highlight w:val="none"/>
          <w:lang w:val="en-US" w:eastAsia="zh-CN"/>
        </w:rPr>
        <w:t>成交</w:t>
      </w:r>
      <w:r>
        <w:rPr>
          <w:rFonts w:hint="eastAsia" w:ascii="宋体" w:hAnsi="宋体" w:eastAsia="宋体" w:cs="宋体"/>
          <w:sz w:val="24"/>
          <w:highlight w:val="none"/>
        </w:rPr>
        <w:t>通知书。</w:t>
      </w:r>
    </w:p>
    <w:p w14:paraId="366BC4F6">
      <w:pPr>
        <w:tabs>
          <w:tab w:val="left" w:pos="1800"/>
        </w:tabs>
        <w:spacing w:line="360" w:lineRule="auto"/>
        <w:ind w:firstLine="480" w:firstLineChars="200"/>
        <w:rPr>
          <w:rFonts w:ascii="宋体" w:hAnsi="宋体" w:cs="宋体"/>
          <w:sz w:val="24"/>
          <w:highlight w:val="none"/>
        </w:rPr>
      </w:pPr>
      <w:r>
        <w:rPr>
          <w:rFonts w:hint="eastAsia" w:ascii="宋体" w:hAnsi="宋体" w:cs="宋体"/>
          <w:sz w:val="24"/>
          <w:highlight w:val="none"/>
        </w:rPr>
        <w:t>24.3成交通知书对采购人和成交供应商具有同等法律效力。成交通知书发出后，采购人改变成交结果，或者成交供应商放弃成交，应当承担相应的法律责任。</w:t>
      </w:r>
    </w:p>
    <w:p w14:paraId="7D18188E">
      <w:pPr>
        <w:spacing w:line="360" w:lineRule="auto"/>
        <w:jc w:val="center"/>
        <w:rPr>
          <w:rFonts w:ascii="宋体" w:hAnsi="宋体" w:cs="宋体"/>
          <w:sz w:val="24"/>
          <w:highlight w:val="none"/>
        </w:rPr>
      </w:pPr>
      <w:r>
        <w:rPr>
          <w:rFonts w:hint="eastAsia" w:ascii="宋体" w:hAnsi="宋体" w:cs="宋体"/>
          <w:b/>
          <w:sz w:val="24"/>
          <w:highlight w:val="none"/>
        </w:rPr>
        <w:t>八、合同授予</w:t>
      </w:r>
    </w:p>
    <w:p w14:paraId="617BE3F0">
      <w:pPr>
        <w:tabs>
          <w:tab w:val="left" w:pos="1620"/>
        </w:tabs>
        <w:spacing w:line="360" w:lineRule="auto"/>
        <w:ind w:firstLine="482" w:firstLineChars="200"/>
        <w:rPr>
          <w:rFonts w:ascii="宋体" w:hAnsi="宋体" w:cs="宋体"/>
          <w:b/>
          <w:sz w:val="24"/>
          <w:highlight w:val="none"/>
        </w:rPr>
      </w:pPr>
      <w:r>
        <w:rPr>
          <w:rFonts w:hint="eastAsia" w:ascii="宋体" w:hAnsi="宋体" w:cs="宋体"/>
          <w:b/>
          <w:sz w:val="24"/>
          <w:highlight w:val="none"/>
        </w:rPr>
        <w:t>25.签订合同及合同的执行</w:t>
      </w:r>
    </w:p>
    <w:p w14:paraId="21171B29">
      <w:pPr>
        <w:spacing w:line="560" w:lineRule="exact"/>
        <w:ind w:firstLine="480" w:firstLineChars="200"/>
        <w:rPr>
          <w:rFonts w:ascii="宋体" w:hAnsi="宋体" w:cs="宋体"/>
          <w:sz w:val="24"/>
          <w:highlight w:val="none"/>
        </w:rPr>
      </w:pPr>
      <w:r>
        <w:rPr>
          <w:rFonts w:hint="eastAsia" w:ascii="宋体" w:hAnsi="宋体" w:cs="宋体"/>
          <w:sz w:val="24"/>
          <w:highlight w:val="none"/>
        </w:rPr>
        <w:t>25.1采购人、成交供应商按照竞争性磋商文件确定的合同文本签订政府采购合同。签订合同后，成交供应商不得将本项目及其他相关服务进行转包。未经采购人同意，成交供应商不得采用分包的形式履行合同。否则采购人有权终止合同。转包或分包造成采购人损失的，成交供应商还应承担相应赔偿责任，本项供应商需提供书面承诺，未提供承诺的供应商将拒绝其参与本次政府采购活动。</w:t>
      </w:r>
    </w:p>
    <w:p w14:paraId="12D81072">
      <w:pPr>
        <w:spacing w:line="360" w:lineRule="auto"/>
        <w:ind w:firstLine="480" w:firstLineChars="200"/>
        <w:rPr>
          <w:rFonts w:ascii="宋体" w:hAnsi="宋体" w:cs="宋体"/>
          <w:sz w:val="24"/>
          <w:highlight w:val="none"/>
        </w:rPr>
      </w:pPr>
      <w:r>
        <w:rPr>
          <w:rFonts w:hint="eastAsia" w:ascii="宋体" w:hAnsi="宋体" w:cs="宋体"/>
          <w:sz w:val="24"/>
          <w:highlight w:val="none"/>
        </w:rPr>
        <w:t>25.2采购人不得向成交供应商提出超过竞争性磋商文件以外的任何要求作为签订合同的条件，不得与成交供应商订立背离竞争性磋商文件确定的合同文本协议。</w:t>
      </w:r>
    </w:p>
    <w:p w14:paraId="5B8D6653">
      <w:pPr>
        <w:spacing w:line="360" w:lineRule="auto"/>
        <w:ind w:firstLine="480" w:firstLineChars="200"/>
        <w:rPr>
          <w:rFonts w:ascii="宋体" w:hAnsi="宋体" w:cs="宋体"/>
          <w:sz w:val="24"/>
          <w:highlight w:val="none"/>
        </w:rPr>
      </w:pPr>
      <w:r>
        <w:rPr>
          <w:rFonts w:hint="eastAsia" w:ascii="宋体" w:hAnsi="宋体" w:cs="宋体"/>
          <w:sz w:val="24"/>
          <w:highlight w:val="none"/>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5D2402D3">
      <w:pPr>
        <w:spacing w:line="360" w:lineRule="auto"/>
        <w:jc w:val="center"/>
        <w:rPr>
          <w:rFonts w:ascii="宋体" w:hAnsi="宋体" w:cs="宋体"/>
          <w:b/>
          <w:sz w:val="24"/>
          <w:highlight w:val="none"/>
        </w:rPr>
      </w:pPr>
      <w:r>
        <w:rPr>
          <w:rFonts w:hint="eastAsia" w:ascii="宋体" w:hAnsi="宋体" w:cs="宋体"/>
          <w:b/>
          <w:sz w:val="24"/>
          <w:highlight w:val="none"/>
        </w:rPr>
        <w:t>九、质疑处理</w:t>
      </w:r>
    </w:p>
    <w:p w14:paraId="38198C52">
      <w:pPr>
        <w:bidi w:val="0"/>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26.质疑程序及处理</w:t>
      </w:r>
    </w:p>
    <w:p w14:paraId="13AA3E57">
      <w:pPr>
        <w:spacing w:line="360" w:lineRule="auto"/>
        <w:ind w:firstLine="480" w:firstLineChars="200"/>
        <w:rPr>
          <w:rFonts w:ascii="宋体" w:hAnsi="宋体" w:cs="宋体"/>
          <w:color w:val="auto"/>
          <w:sz w:val="24"/>
          <w:highlight w:val="none"/>
        </w:rPr>
      </w:pPr>
      <w:r>
        <w:rPr>
          <w:rFonts w:hint="eastAsia" w:ascii="宋体" w:hAnsi="宋体" w:cs="宋体"/>
          <w:sz w:val="24"/>
          <w:highlight w:val="none"/>
        </w:rPr>
        <w:t>26.1</w:t>
      </w:r>
      <w:r>
        <w:rPr>
          <w:rFonts w:hint="eastAsia" w:ascii="宋体" w:hAnsi="宋体" w:cs="宋体"/>
          <w:bCs/>
          <w:sz w:val="24"/>
          <w:highlight w:val="none"/>
          <w:lang w:val="en-US" w:eastAsia="zh-CN"/>
        </w:rPr>
        <w:t>投标人认为采购过程、成交结果使自己的合法权益受到损害的，可以在知道或应当知道自己的权益受到损害之日起7个工作日内，由投标人授权代表（或法人代表）按照相关规定，向采购人提出质疑，逾期不予受理。</w:t>
      </w:r>
      <w:r>
        <w:rPr>
          <w:rFonts w:hint="eastAsia" w:ascii="宋体" w:hAnsi="宋体" w:cs="宋体"/>
          <w:bCs/>
          <w:color w:val="auto"/>
          <w:sz w:val="24"/>
          <w:highlight w:val="none"/>
          <w:lang w:val="en-US" w:eastAsia="zh-CN"/>
        </w:rPr>
        <w:t>如果对竞争性磋商文件没有异议，需在响应性文件中出具对竞争性磋商文件无异议承诺书，无此承诺将被视为无效。</w:t>
      </w:r>
    </w:p>
    <w:p w14:paraId="12428E15">
      <w:pPr>
        <w:spacing w:line="360" w:lineRule="auto"/>
        <w:ind w:firstLine="480" w:firstLineChars="200"/>
        <w:rPr>
          <w:rFonts w:ascii="宋体" w:hAnsi="宋体" w:cs="宋体"/>
          <w:sz w:val="24"/>
          <w:highlight w:val="none"/>
        </w:rPr>
      </w:pPr>
      <w:r>
        <w:rPr>
          <w:rFonts w:hint="eastAsia" w:ascii="宋体" w:hAnsi="宋体" w:cs="宋体"/>
          <w:sz w:val="24"/>
          <w:highlight w:val="none"/>
        </w:rPr>
        <w:t>26.2采购人在收到供应商的书面质疑后七个工作日内做出答复，并以书面形式通知质疑供应商和其他供应商，但答复内容不得涉及商业秘密。</w:t>
      </w:r>
    </w:p>
    <w:p w14:paraId="0F80F8FC">
      <w:pPr>
        <w:spacing w:line="360" w:lineRule="auto"/>
        <w:ind w:firstLine="480" w:firstLineChars="200"/>
        <w:rPr>
          <w:rFonts w:ascii="宋体" w:hAnsi="宋体" w:cs="宋体"/>
          <w:bCs/>
          <w:sz w:val="24"/>
          <w:highlight w:val="none"/>
        </w:rPr>
      </w:pPr>
      <w:r>
        <w:rPr>
          <w:rFonts w:hint="eastAsia" w:ascii="宋体" w:hAnsi="宋体" w:cs="宋体"/>
          <w:sz w:val="24"/>
          <w:highlight w:val="none"/>
        </w:rPr>
        <w:t>26.3</w:t>
      </w:r>
      <w:r>
        <w:rPr>
          <w:rFonts w:hint="eastAsia" w:ascii="宋体" w:hAnsi="宋体" w:cs="宋体"/>
          <w:bCs/>
          <w:sz w:val="24"/>
          <w:highlight w:val="none"/>
        </w:rPr>
        <w:t>质疑供应商行使质疑权时，必须遵守“实事求是”和“谨慎性”原则，承担使用虚假材料或恶意方式质疑的法律责任，</w:t>
      </w:r>
      <w:r>
        <w:rPr>
          <w:rFonts w:hint="eastAsia" w:ascii="宋体" w:hAnsi="宋体" w:cs="宋体"/>
          <w:sz w:val="24"/>
          <w:highlight w:val="none"/>
        </w:rPr>
        <w:t>采购人</w:t>
      </w:r>
      <w:r>
        <w:rPr>
          <w:rFonts w:hint="eastAsia" w:ascii="宋体" w:hAnsi="宋体" w:cs="宋体"/>
          <w:bCs/>
          <w:sz w:val="24"/>
          <w:highlight w:val="none"/>
        </w:rPr>
        <w:t>将遵循“谁过错谁负担”的原则，由过错方提交相关的调查论证费用。</w:t>
      </w:r>
    </w:p>
    <w:p w14:paraId="42B696D6">
      <w:pPr>
        <w:spacing w:line="360" w:lineRule="auto"/>
        <w:ind w:firstLine="480" w:firstLineChars="200"/>
        <w:rPr>
          <w:rFonts w:ascii="宋体" w:hAnsi="宋体" w:cs="宋体"/>
          <w:sz w:val="24"/>
          <w:highlight w:val="none"/>
        </w:rPr>
      </w:pPr>
      <w:r>
        <w:rPr>
          <w:rFonts w:hint="eastAsia" w:ascii="宋体" w:hAnsi="宋体" w:cs="宋体"/>
          <w:sz w:val="24"/>
          <w:highlight w:val="none"/>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5A8174E3">
      <w:pPr>
        <w:spacing w:line="360" w:lineRule="auto"/>
        <w:rPr>
          <w:rFonts w:ascii="宋体" w:hAnsi="宋体" w:cs="宋体"/>
          <w:sz w:val="24"/>
          <w:highlight w:val="none"/>
        </w:rPr>
        <w:sectPr>
          <w:headerReference r:id="rId3" w:type="default"/>
          <w:footerReference r:id="rId4" w:type="default"/>
          <w:pgSz w:w="11907" w:h="16840"/>
          <w:pgMar w:top="2098" w:right="1474" w:bottom="1985" w:left="1588" w:header="851" w:footer="992" w:gutter="0"/>
          <w:cols w:space="720" w:num="1"/>
          <w:docGrid w:type="lines" w:linePitch="312" w:charSpace="0"/>
        </w:sectPr>
      </w:pPr>
    </w:p>
    <w:p w14:paraId="17B3B122">
      <w:pPr>
        <w:pStyle w:val="3"/>
        <w:pageBreakBefore w:val="0"/>
        <w:widowControl w:val="0"/>
        <w:numPr>
          <w:ilvl w:val="0"/>
          <w:numId w:val="3"/>
        </w:numPr>
        <w:kinsoku/>
        <w:wordWrap/>
        <w:overflowPunct/>
        <w:topLinePunct w:val="0"/>
        <w:autoSpaceDE/>
        <w:autoSpaceDN/>
        <w:bidi w:val="0"/>
        <w:adjustRightInd/>
        <w:snapToGrid/>
        <w:spacing w:line="520" w:lineRule="exact"/>
        <w:textAlignment w:val="auto"/>
        <w:rPr>
          <w:rFonts w:hint="eastAsia"/>
          <w:highlight w:val="none"/>
        </w:rPr>
      </w:pPr>
      <w:r>
        <w:rPr>
          <w:rFonts w:hint="eastAsia"/>
          <w:highlight w:val="none"/>
          <w:lang w:val="en-US" w:eastAsia="zh-CN"/>
        </w:rPr>
        <w:t xml:space="preserve"> </w:t>
      </w:r>
      <w:r>
        <w:rPr>
          <w:rFonts w:hint="eastAsia"/>
          <w:highlight w:val="none"/>
        </w:rPr>
        <w:t>采购项目内容及要求</w:t>
      </w:r>
    </w:p>
    <w:p w14:paraId="35020212">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rPr>
        <w:t>要求</w:t>
      </w:r>
    </w:p>
    <w:p w14:paraId="481B7DF0">
      <w:pPr>
        <w:spacing w:after="160" w:line="360" w:lineRule="auto"/>
        <w:rPr>
          <w:rFonts w:hint="eastAsia" w:ascii="宋体" w:hAnsi="宋体"/>
          <w:sz w:val="24"/>
          <w:highlight w:val="none"/>
        </w:rPr>
      </w:pPr>
      <w:r>
        <w:rPr>
          <w:rFonts w:hint="eastAsia" w:ascii="宋体" w:hAnsi="宋体"/>
          <w:sz w:val="24"/>
          <w:highlight w:val="none"/>
        </w:rPr>
        <w:t>一、具体要求</w:t>
      </w:r>
    </w:p>
    <w:p w14:paraId="61BB38C0">
      <w:pPr>
        <w:spacing w:line="360" w:lineRule="auto"/>
        <w:ind w:firstLine="480" w:firstLineChars="200"/>
        <w:rPr>
          <w:rFonts w:hint="eastAsia" w:ascii="宋体" w:hAnsi="宋体"/>
          <w:sz w:val="24"/>
          <w:highlight w:val="none"/>
        </w:rPr>
      </w:pPr>
      <w:r>
        <w:rPr>
          <w:rFonts w:hint="eastAsia" w:ascii="宋体" w:hAnsi="宋体"/>
          <w:sz w:val="24"/>
          <w:highlight w:val="none"/>
        </w:rPr>
        <w:t>（1）负责我院污水处理系统的正常运营维护。包括污水的处理、 水质分析化验、设备的维护保养、药剂投加、PH日检测、格栅渠及池内漂浮物及污泥清掏、污水处理台账登记及现场卫生保洁及向相关部门提供各类所需要的环保处理数据等。</w:t>
      </w:r>
    </w:p>
    <w:p w14:paraId="667D1269">
      <w:pPr>
        <w:spacing w:line="360" w:lineRule="auto"/>
        <w:ind w:firstLine="480" w:firstLineChars="200"/>
        <w:rPr>
          <w:rFonts w:hint="eastAsia" w:ascii="宋体" w:hAnsi="宋体"/>
          <w:sz w:val="24"/>
          <w:highlight w:val="none"/>
        </w:rPr>
      </w:pPr>
      <w:r>
        <w:rPr>
          <w:rFonts w:hint="eastAsia" w:ascii="宋体" w:hAnsi="宋体"/>
          <w:sz w:val="24"/>
          <w:highlight w:val="none"/>
        </w:rPr>
        <w:t>（2）负责污水处理站全部设备的管理和操作工作。</w:t>
      </w:r>
    </w:p>
    <w:p w14:paraId="67383F3A">
      <w:pPr>
        <w:spacing w:line="360" w:lineRule="auto"/>
        <w:ind w:firstLine="480" w:firstLineChars="200"/>
        <w:rPr>
          <w:rFonts w:hint="eastAsia" w:ascii="宋体" w:hAnsi="宋体"/>
          <w:sz w:val="24"/>
          <w:highlight w:val="none"/>
        </w:rPr>
      </w:pPr>
      <w:r>
        <w:rPr>
          <w:rFonts w:hint="eastAsia" w:ascii="宋体" w:hAnsi="宋体"/>
          <w:sz w:val="24"/>
          <w:highlight w:val="none"/>
        </w:rPr>
        <w:t>（3）配备专职操作人员负责污水处理设备的 24 小时正常运转，保证污水站系统设备运行正常，出水达标排放。</w:t>
      </w:r>
    </w:p>
    <w:p w14:paraId="73DE8249">
      <w:pPr>
        <w:spacing w:line="360" w:lineRule="auto"/>
        <w:ind w:firstLine="480" w:firstLineChars="200"/>
        <w:rPr>
          <w:rFonts w:hint="eastAsia" w:ascii="宋体" w:hAnsi="宋体"/>
          <w:sz w:val="24"/>
          <w:highlight w:val="none"/>
        </w:rPr>
      </w:pPr>
      <w:r>
        <w:rPr>
          <w:rFonts w:hint="eastAsia" w:ascii="宋体" w:hAnsi="宋体"/>
          <w:sz w:val="24"/>
          <w:highlight w:val="none"/>
        </w:rPr>
        <w:t>（4）负责污水处理站全部设备和相关管道、辅助设施的日常保养和维护工作， 形成的日台账需满足排污许可证台账记录标准并定期归档。</w:t>
      </w:r>
    </w:p>
    <w:p w14:paraId="3A393224">
      <w:pPr>
        <w:spacing w:line="360" w:lineRule="auto"/>
        <w:ind w:firstLine="480" w:firstLineChars="200"/>
        <w:rPr>
          <w:rFonts w:hint="eastAsia" w:ascii="宋体" w:hAnsi="宋体"/>
          <w:sz w:val="24"/>
          <w:highlight w:val="none"/>
        </w:rPr>
      </w:pPr>
      <w:r>
        <w:rPr>
          <w:rFonts w:hint="eastAsia" w:ascii="宋体" w:hAnsi="宋体"/>
          <w:sz w:val="24"/>
          <w:highlight w:val="none"/>
        </w:rPr>
        <w:t>（5）定期安排专业技术人员对污水处理设备进行有计划的检查和例行保养， 按国家行业标准和保养规范进行全面维保，确保污水处理设备正常稳定运行，确保设备使用寿命；</w:t>
      </w:r>
    </w:p>
    <w:p w14:paraId="3F45603A">
      <w:pPr>
        <w:spacing w:line="360" w:lineRule="auto"/>
        <w:ind w:firstLine="480" w:firstLineChars="200"/>
        <w:rPr>
          <w:rFonts w:hint="eastAsia" w:ascii="宋体" w:hAnsi="宋体"/>
          <w:sz w:val="24"/>
          <w:highlight w:val="none"/>
        </w:rPr>
      </w:pPr>
      <w:r>
        <w:rPr>
          <w:rFonts w:hint="eastAsia" w:ascii="宋体" w:hAnsi="宋体"/>
          <w:sz w:val="24"/>
          <w:highlight w:val="none"/>
        </w:rPr>
        <w:t>（6）在接到现场设备问题报修后，12小时内到达现场进行维修；</w:t>
      </w:r>
    </w:p>
    <w:p w14:paraId="6389600B">
      <w:pPr>
        <w:spacing w:line="360" w:lineRule="auto"/>
        <w:ind w:firstLine="480" w:firstLineChars="200"/>
        <w:rPr>
          <w:rFonts w:hint="eastAsia" w:ascii="宋体" w:hAnsi="宋体"/>
          <w:sz w:val="24"/>
          <w:highlight w:val="none"/>
        </w:rPr>
      </w:pPr>
      <w:r>
        <w:rPr>
          <w:rFonts w:hint="eastAsia" w:ascii="宋体" w:hAnsi="宋体"/>
          <w:sz w:val="24"/>
          <w:highlight w:val="none"/>
        </w:rPr>
        <w:t>（7）出水水质稳定达到《医疗机构水污染物排放标准》（GB18466-2005）中“预处理标准”及省市县环保、卫生等部门要求。如果因污水处理站运行不正常或出水水质不达标导致生态环境或其他有关行政管理部门处罚，其罚款全部由中标人承担，同时我院有权立即终止合同。</w:t>
      </w:r>
    </w:p>
    <w:p w14:paraId="28367112">
      <w:pPr>
        <w:spacing w:line="360" w:lineRule="auto"/>
        <w:ind w:firstLine="480" w:firstLineChars="200"/>
        <w:rPr>
          <w:rFonts w:hint="eastAsia" w:ascii="宋体" w:hAnsi="宋体"/>
          <w:sz w:val="24"/>
          <w:highlight w:val="none"/>
        </w:rPr>
      </w:pPr>
      <w:r>
        <w:rPr>
          <w:rFonts w:hint="eastAsia" w:ascii="宋体" w:hAnsi="宋体"/>
          <w:sz w:val="24"/>
          <w:highlight w:val="none"/>
        </w:rPr>
        <w:t>（8）承担污水处理站运行所产生的一切费用，包含且不限于人工费；消毒药剂费；设备维护保养费；项目管理费、税金等一切费用。污水处理站运行产生的水电费由医院承担。</w:t>
      </w:r>
    </w:p>
    <w:p w14:paraId="4B9C88AB">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ascii="宋体" w:hAnsi="宋体"/>
          <w:sz w:val="24"/>
          <w:highlight w:val="none"/>
        </w:rPr>
        <w:t>9</w:t>
      </w:r>
      <w:r>
        <w:rPr>
          <w:rFonts w:hint="eastAsia" w:ascii="宋体" w:hAnsi="宋体"/>
          <w:sz w:val="24"/>
          <w:highlight w:val="none"/>
        </w:rPr>
        <w:t>）负责我院在排污单位自行监测信息发布平台手工监测方案的编制、手工监测信息填报与发布工作，确保我院自行监测完成率超过90%。如果因有关信息填报、上传不及时、不完整导致生态环境部门问责，我院有权终止合同，拒付运维费用。</w:t>
      </w:r>
    </w:p>
    <w:p w14:paraId="4F33ECC0">
      <w:pPr>
        <w:spacing w:line="360" w:lineRule="auto"/>
        <w:ind w:firstLine="480" w:firstLineChars="200"/>
        <w:rPr>
          <w:rFonts w:hint="eastAsia" w:ascii="宋体" w:hAnsi="宋体"/>
          <w:sz w:val="24"/>
          <w:highlight w:val="none"/>
        </w:rPr>
      </w:pPr>
      <w:r>
        <w:rPr>
          <w:rFonts w:hint="eastAsia" w:ascii="宋体" w:hAnsi="宋体"/>
          <w:sz w:val="24"/>
          <w:highlight w:val="none"/>
        </w:rPr>
        <w:t>（1</w:t>
      </w:r>
      <w:r>
        <w:rPr>
          <w:rFonts w:ascii="宋体" w:hAnsi="宋体"/>
          <w:sz w:val="24"/>
          <w:highlight w:val="none"/>
        </w:rPr>
        <w:t>0</w:t>
      </w:r>
      <w:r>
        <w:rPr>
          <w:rFonts w:hint="eastAsia" w:ascii="宋体" w:hAnsi="宋体"/>
          <w:sz w:val="24"/>
          <w:highlight w:val="none"/>
        </w:rPr>
        <w:t>）负责按照排污许可管理要求为我院编制排污许可季度和年度执行报告，并及时上传至全国排污许可证管理信息平台，确保有关信息填报完整，如果因有关信息填报、上传不及时、不完整导致生态环境部门问责，我院有权终止合同，拒付运维费用。</w:t>
      </w:r>
    </w:p>
    <w:p w14:paraId="160E596B">
      <w:pPr>
        <w:spacing w:after="160" w:line="360" w:lineRule="auto"/>
        <w:ind w:firstLine="480" w:firstLineChars="200"/>
        <w:rPr>
          <w:rFonts w:hint="eastAsia" w:ascii="宋体" w:hAnsi="宋体"/>
          <w:sz w:val="24"/>
          <w:highlight w:val="none"/>
        </w:rPr>
      </w:pPr>
      <w:r>
        <w:rPr>
          <w:rFonts w:hint="eastAsia" w:ascii="宋体" w:hAnsi="宋体"/>
          <w:sz w:val="24"/>
          <w:highlight w:val="none"/>
        </w:rPr>
        <w:t>二、托管服务内容</w:t>
      </w:r>
    </w:p>
    <w:p w14:paraId="3F892547">
      <w:pPr>
        <w:spacing w:after="160" w:line="360" w:lineRule="auto"/>
        <w:ind w:firstLine="480" w:firstLineChars="200"/>
        <w:rPr>
          <w:rFonts w:hint="eastAsia" w:ascii="宋体" w:hAnsi="宋体"/>
          <w:sz w:val="24"/>
          <w:highlight w:val="none"/>
        </w:rPr>
      </w:pPr>
      <w:r>
        <w:rPr>
          <w:rFonts w:hint="eastAsia" w:ascii="宋体" w:hAnsi="宋体"/>
          <w:sz w:val="24"/>
          <w:highlight w:val="none"/>
        </w:rPr>
        <w:t>1、污水站进出水要求</w:t>
      </w:r>
    </w:p>
    <w:p w14:paraId="0B67F29B">
      <w:pPr>
        <w:spacing w:after="160" w:line="360" w:lineRule="auto"/>
        <w:rPr>
          <w:rFonts w:hint="eastAsia" w:ascii="宋体" w:hAnsi="宋体"/>
          <w:sz w:val="24"/>
          <w:highlight w:val="none"/>
        </w:rPr>
      </w:pPr>
      <w:r>
        <w:rPr>
          <w:rFonts w:hint="eastAsia" w:ascii="宋体" w:hAnsi="宋体"/>
          <w:sz w:val="24"/>
          <w:highlight w:val="none"/>
        </w:rPr>
        <w:t xml:space="preserve">进水水质见下表：                                             </w:t>
      </w:r>
      <w:r>
        <w:rPr>
          <w:rFonts w:hint="eastAsia" w:ascii="宋体" w:hAnsi="宋体"/>
          <w:spacing w:val="-27"/>
          <w:sz w:val="24"/>
          <w:highlight w:val="none"/>
        </w:rPr>
        <w:t>单位：mg/l</w:t>
      </w:r>
    </w:p>
    <w:tbl>
      <w:tblPr>
        <w:tblStyle w:val="85"/>
        <w:tblW w:w="8619" w:type="dxa"/>
        <w:tblInd w:w="1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3"/>
        <w:gridCol w:w="1079"/>
        <w:gridCol w:w="1006"/>
        <w:gridCol w:w="1278"/>
        <w:gridCol w:w="851"/>
        <w:gridCol w:w="1276"/>
        <w:gridCol w:w="2126"/>
      </w:tblGrid>
      <w:tr w14:paraId="59948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003" w:type="dxa"/>
            <w:tcBorders>
              <w:top w:val="single" w:color="000000" w:sz="2" w:space="0"/>
              <w:left w:val="single" w:color="000000" w:sz="2" w:space="0"/>
              <w:bottom w:val="single" w:color="000000" w:sz="2" w:space="0"/>
              <w:right w:val="single" w:color="000000" w:sz="2" w:space="0"/>
            </w:tcBorders>
          </w:tcPr>
          <w:p w14:paraId="2DD2E7AC">
            <w:pPr>
              <w:spacing w:after="160" w:line="360" w:lineRule="auto"/>
              <w:rPr>
                <w:rFonts w:hint="eastAsia" w:ascii="宋体" w:hAnsi="宋体"/>
                <w:sz w:val="24"/>
                <w:highlight w:val="none"/>
              </w:rPr>
            </w:pPr>
            <w:r>
              <w:rPr>
                <w:rFonts w:hint="eastAsia" w:ascii="宋体" w:hAnsi="宋体"/>
                <w:sz w:val="24"/>
                <w:highlight w:val="none"/>
              </w:rPr>
              <w:t>指标</w:t>
            </w:r>
          </w:p>
        </w:tc>
        <w:tc>
          <w:tcPr>
            <w:tcW w:w="1079" w:type="dxa"/>
            <w:tcBorders>
              <w:top w:val="single" w:color="000000" w:sz="2" w:space="0"/>
              <w:left w:val="single" w:color="000000" w:sz="2" w:space="0"/>
              <w:bottom w:val="single" w:color="000000" w:sz="2" w:space="0"/>
              <w:right w:val="single" w:color="000000" w:sz="2" w:space="0"/>
            </w:tcBorders>
          </w:tcPr>
          <w:p w14:paraId="0F0E7047">
            <w:pPr>
              <w:spacing w:after="160" w:line="360" w:lineRule="auto"/>
              <w:rPr>
                <w:rFonts w:hint="eastAsia" w:ascii="宋体" w:hAnsi="宋体"/>
                <w:sz w:val="24"/>
                <w:highlight w:val="none"/>
              </w:rPr>
            </w:pPr>
            <w:r>
              <w:rPr>
                <w:rFonts w:hint="eastAsia" w:ascii="宋体" w:hAnsi="宋体"/>
                <w:sz w:val="24"/>
                <w:highlight w:val="none"/>
              </w:rPr>
              <w:t>CODcr</w:t>
            </w:r>
          </w:p>
        </w:tc>
        <w:tc>
          <w:tcPr>
            <w:tcW w:w="1006" w:type="dxa"/>
            <w:tcBorders>
              <w:top w:val="single" w:color="000000" w:sz="2" w:space="0"/>
              <w:left w:val="single" w:color="000000" w:sz="2" w:space="0"/>
              <w:bottom w:val="single" w:color="000000" w:sz="2" w:space="0"/>
              <w:right w:val="single" w:color="000000" w:sz="2" w:space="0"/>
            </w:tcBorders>
          </w:tcPr>
          <w:p w14:paraId="37F60F83">
            <w:pPr>
              <w:spacing w:after="160" w:line="360" w:lineRule="auto"/>
              <w:rPr>
                <w:rFonts w:hint="eastAsia" w:ascii="宋体" w:hAnsi="宋体"/>
                <w:sz w:val="24"/>
                <w:highlight w:val="none"/>
              </w:rPr>
            </w:pPr>
            <w:r>
              <w:rPr>
                <w:rFonts w:hint="eastAsia" w:ascii="宋体" w:hAnsi="宋体"/>
                <w:sz w:val="24"/>
                <w:highlight w:val="none"/>
              </w:rPr>
              <w:t>BOD</w:t>
            </w:r>
            <w:r>
              <w:rPr>
                <w:rFonts w:hint="eastAsia" w:ascii="宋体" w:hAnsi="宋体"/>
                <w:position w:val="-1"/>
                <w:sz w:val="24"/>
                <w:highlight w:val="none"/>
              </w:rPr>
              <w:t>5</w:t>
            </w:r>
          </w:p>
        </w:tc>
        <w:tc>
          <w:tcPr>
            <w:tcW w:w="1278" w:type="dxa"/>
            <w:tcBorders>
              <w:top w:val="single" w:color="000000" w:sz="2" w:space="0"/>
              <w:left w:val="single" w:color="000000" w:sz="2" w:space="0"/>
              <w:bottom w:val="single" w:color="000000" w:sz="2" w:space="0"/>
              <w:right w:val="single" w:color="000000" w:sz="2" w:space="0"/>
            </w:tcBorders>
          </w:tcPr>
          <w:p w14:paraId="75BDE582">
            <w:pPr>
              <w:spacing w:after="160" w:line="360" w:lineRule="auto"/>
              <w:rPr>
                <w:rFonts w:hint="eastAsia" w:ascii="宋体" w:hAnsi="宋体"/>
                <w:sz w:val="24"/>
                <w:highlight w:val="none"/>
              </w:rPr>
            </w:pPr>
            <w:r>
              <w:rPr>
                <w:rFonts w:hint="eastAsia" w:ascii="宋体" w:hAnsi="宋体"/>
                <w:sz w:val="24"/>
                <w:highlight w:val="none"/>
              </w:rPr>
              <w:t>NH</w:t>
            </w:r>
            <w:r>
              <w:rPr>
                <w:rFonts w:hint="eastAsia" w:ascii="宋体" w:hAnsi="宋体"/>
                <w:position w:val="-3"/>
                <w:sz w:val="24"/>
                <w:highlight w:val="none"/>
              </w:rPr>
              <w:t>4</w:t>
            </w:r>
            <w:r>
              <w:rPr>
                <w:rFonts w:hint="eastAsia" w:ascii="宋体" w:hAnsi="宋体"/>
                <w:position w:val="10"/>
                <w:sz w:val="24"/>
                <w:highlight w:val="none"/>
              </w:rPr>
              <w:t>+</w:t>
            </w:r>
            <w:r>
              <w:rPr>
                <w:rFonts w:hint="eastAsia" w:ascii="宋体" w:hAnsi="宋体"/>
                <w:sz w:val="24"/>
                <w:highlight w:val="none"/>
              </w:rPr>
              <w:t>-N</w:t>
            </w:r>
          </w:p>
        </w:tc>
        <w:tc>
          <w:tcPr>
            <w:tcW w:w="851" w:type="dxa"/>
            <w:tcBorders>
              <w:top w:val="single" w:color="000000" w:sz="2" w:space="0"/>
              <w:left w:val="single" w:color="000000" w:sz="2" w:space="0"/>
              <w:bottom w:val="single" w:color="000000" w:sz="2" w:space="0"/>
              <w:right w:val="single" w:color="000000" w:sz="2" w:space="0"/>
            </w:tcBorders>
          </w:tcPr>
          <w:p w14:paraId="111AB307">
            <w:pPr>
              <w:spacing w:after="160" w:line="360" w:lineRule="auto"/>
              <w:rPr>
                <w:rFonts w:hint="eastAsia" w:ascii="宋体" w:hAnsi="宋体"/>
                <w:sz w:val="24"/>
                <w:highlight w:val="none"/>
              </w:rPr>
            </w:pPr>
            <w:r>
              <w:rPr>
                <w:rFonts w:hint="eastAsia" w:ascii="宋体" w:hAnsi="宋体"/>
                <w:sz w:val="24"/>
                <w:highlight w:val="none"/>
              </w:rPr>
              <w:t>SS</w:t>
            </w:r>
          </w:p>
        </w:tc>
        <w:tc>
          <w:tcPr>
            <w:tcW w:w="1276" w:type="dxa"/>
            <w:tcBorders>
              <w:top w:val="single" w:color="000000" w:sz="2" w:space="0"/>
              <w:left w:val="single" w:color="000000" w:sz="2" w:space="0"/>
              <w:bottom w:val="single" w:color="000000" w:sz="2" w:space="0"/>
              <w:right w:val="single" w:color="000000" w:sz="2" w:space="0"/>
            </w:tcBorders>
          </w:tcPr>
          <w:p w14:paraId="4852BE54">
            <w:pPr>
              <w:spacing w:after="160" w:line="360" w:lineRule="auto"/>
              <w:rPr>
                <w:rFonts w:hint="eastAsia" w:ascii="宋体" w:hAnsi="宋体"/>
                <w:sz w:val="24"/>
                <w:highlight w:val="none"/>
              </w:rPr>
            </w:pPr>
            <w:r>
              <w:rPr>
                <w:rFonts w:hint="eastAsia" w:ascii="宋体" w:hAnsi="宋体"/>
                <w:sz w:val="24"/>
                <w:highlight w:val="none"/>
              </w:rPr>
              <w:t>pH（无量纲）</w:t>
            </w:r>
          </w:p>
        </w:tc>
        <w:tc>
          <w:tcPr>
            <w:tcW w:w="2126" w:type="dxa"/>
            <w:tcBorders>
              <w:top w:val="single" w:color="000000" w:sz="2" w:space="0"/>
              <w:left w:val="single" w:color="000000" w:sz="2" w:space="0"/>
              <w:bottom w:val="single" w:color="000000" w:sz="2" w:space="0"/>
              <w:right w:val="single" w:color="000000" w:sz="2" w:space="0"/>
            </w:tcBorders>
          </w:tcPr>
          <w:p w14:paraId="295C6B7E">
            <w:pPr>
              <w:spacing w:after="160" w:line="360" w:lineRule="auto"/>
              <w:rPr>
                <w:rFonts w:hint="eastAsia" w:ascii="宋体" w:hAnsi="宋体"/>
                <w:sz w:val="24"/>
                <w:highlight w:val="none"/>
              </w:rPr>
            </w:pPr>
            <w:r>
              <w:rPr>
                <w:rFonts w:hint="eastAsia" w:ascii="宋体" w:hAnsi="宋体"/>
                <w:sz w:val="24"/>
                <w:highlight w:val="none"/>
              </w:rPr>
              <w:t>粪大肠杆菌（个/L）</w:t>
            </w:r>
          </w:p>
        </w:tc>
      </w:tr>
      <w:tr w14:paraId="14345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003" w:type="dxa"/>
            <w:tcBorders>
              <w:top w:val="single" w:color="000000" w:sz="2" w:space="0"/>
              <w:left w:val="single" w:color="000000" w:sz="2" w:space="0"/>
              <w:bottom w:val="single" w:color="000000" w:sz="2" w:space="0"/>
              <w:right w:val="single" w:color="000000" w:sz="2" w:space="0"/>
            </w:tcBorders>
          </w:tcPr>
          <w:p w14:paraId="31D1AF2E">
            <w:pPr>
              <w:spacing w:after="160" w:line="360" w:lineRule="auto"/>
              <w:rPr>
                <w:rFonts w:hint="eastAsia" w:ascii="宋体" w:hAnsi="宋体"/>
                <w:sz w:val="24"/>
                <w:highlight w:val="none"/>
              </w:rPr>
            </w:pPr>
            <w:r>
              <w:rPr>
                <w:rFonts w:hint="eastAsia" w:ascii="宋体" w:hAnsi="宋体"/>
                <w:sz w:val="24"/>
                <w:highlight w:val="none"/>
              </w:rPr>
              <w:t>进水</w:t>
            </w:r>
          </w:p>
        </w:tc>
        <w:tc>
          <w:tcPr>
            <w:tcW w:w="1079" w:type="dxa"/>
            <w:tcBorders>
              <w:top w:val="single" w:color="000000" w:sz="2" w:space="0"/>
              <w:left w:val="single" w:color="000000" w:sz="2" w:space="0"/>
              <w:bottom w:val="single" w:color="000000" w:sz="2" w:space="0"/>
              <w:right w:val="single" w:color="000000" w:sz="2" w:space="0"/>
            </w:tcBorders>
          </w:tcPr>
          <w:p w14:paraId="543A35FA">
            <w:pPr>
              <w:spacing w:after="160" w:line="360" w:lineRule="auto"/>
              <w:rPr>
                <w:rFonts w:hint="eastAsia" w:ascii="宋体" w:hAnsi="宋体"/>
                <w:sz w:val="24"/>
                <w:highlight w:val="none"/>
              </w:rPr>
            </w:pPr>
            <w:r>
              <w:rPr>
                <w:rFonts w:hint="eastAsia" w:ascii="宋体" w:hAnsi="宋体"/>
                <w:sz w:val="24"/>
                <w:highlight w:val="none"/>
              </w:rPr>
              <w:t>≤400</w:t>
            </w:r>
          </w:p>
        </w:tc>
        <w:tc>
          <w:tcPr>
            <w:tcW w:w="1006" w:type="dxa"/>
            <w:tcBorders>
              <w:top w:val="single" w:color="000000" w:sz="2" w:space="0"/>
              <w:left w:val="single" w:color="000000" w:sz="2" w:space="0"/>
              <w:bottom w:val="single" w:color="000000" w:sz="2" w:space="0"/>
              <w:right w:val="single" w:color="000000" w:sz="2" w:space="0"/>
            </w:tcBorders>
          </w:tcPr>
          <w:p w14:paraId="58358F7C">
            <w:pPr>
              <w:spacing w:after="160" w:line="360" w:lineRule="auto"/>
              <w:rPr>
                <w:rFonts w:hint="eastAsia" w:ascii="宋体" w:hAnsi="宋体"/>
                <w:sz w:val="24"/>
                <w:highlight w:val="none"/>
              </w:rPr>
            </w:pPr>
            <w:r>
              <w:rPr>
                <w:rFonts w:hint="eastAsia" w:ascii="宋体" w:hAnsi="宋体"/>
                <w:sz w:val="24"/>
                <w:highlight w:val="none"/>
              </w:rPr>
              <w:t>≤120</w:t>
            </w:r>
          </w:p>
        </w:tc>
        <w:tc>
          <w:tcPr>
            <w:tcW w:w="1278" w:type="dxa"/>
            <w:tcBorders>
              <w:top w:val="single" w:color="000000" w:sz="2" w:space="0"/>
              <w:left w:val="single" w:color="000000" w:sz="2" w:space="0"/>
              <w:bottom w:val="single" w:color="000000" w:sz="2" w:space="0"/>
              <w:right w:val="single" w:color="000000" w:sz="2" w:space="0"/>
            </w:tcBorders>
          </w:tcPr>
          <w:p w14:paraId="19CE75D2">
            <w:pPr>
              <w:spacing w:after="160" w:line="360" w:lineRule="auto"/>
              <w:rPr>
                <w:rFonts w:hint="eastAsia" w:ascii="宋体" w:hAnsi="宋体"/>
                <w:sz w:val="24"/>
                <w:highlight w:val="none"/>
              </w:rPr>
            </w:pPr>
            <w:r>
              <w:rPr>
                <w:rFonts w:hint="eastAsia" w:ascii="宋体" w:hAnsi="宋体"/>
                <w:sz w:val="24"/>
                <w:highlight w:val="none"/>
              </w:rPr>
              <w:t>≤50</w:t>
            </w:r>
          </w:p>
        </w:tc>
        <w:tc>
          <w:tcPr>
            <w:tcW w:w="851" w:type="dxa"/>
            <w:tcBorders>
              <w:top w:val="single" w:color="000000" w:sz="2" w:space="0"/>
              <w:left w:val="single" w:color="000000" w:sz="2" w:space="0"/>
              <w:bottom w:val="single" w:color="000000" w:sz="2" w:space="0"/>
              <w:right w:val="single" w:color="000000" w:sz="2" w:space="0"/>
            </w:tcBorders>
          </w:tcPr>
          <w:p w14:paraId="208AB0BD">
            <w:pPr>
              <w:spacing w:after="160" w:line="360" w:lineRule="auto"/>
              <w:rPr>
                <w:rFonts w:hint="eastAsia" w:ascii="宋体" w:hAnsi="宋体"/>
                <w:sz w:val="24"/>
                <w:highlight w:val="none"/>
              </w:rPr>
            </w:pPr>
            <w:r>
              <w:rPr>
                <w:rFonts w:hint="eastAsia" w:ascii="宋体" w:hAnsi="宋体"/>
                <w:sz w:val="24"/>
                <w:highlight w:val="none"/>
              </w:rPr>
              <w:t>≤150</w:t>
            </w:r>
          </w:p>
        </w:tc>
        <w:tc>
          <w:tcPr>
            <w:tcW w:w="1276" w:type="dxa"/>
            <w:tcBorders>
              <w:top w:val="single" w:color="000000" w:sz="2" w:space="0"/>
              <w:left w:val="single" w:color="000000" w:sz="2" w:space="0"/>
              <w:bottom w:val="single" w:color="000000" w:sz="2" w:space="0"/>
              <w:right w:val="single" w:color="000000" w:sz="2" w:space="0"/>
            </w:tcBorders>
          </w:tcPr>
          <w:p w14:paraId="03AB0606">
            <w:pPr>
              <w:spacing w:after="160" w:line="360" w:lineRule="auto"/>
              <w:rPr>
                <w:rFonts w:hint="eastAsia" w:ascii="宋体" w:hAnsi="宋体"/>
                <w:sz w:val="24"/>
                <w:highlight w:val="none"/>
              </w:rPr>
            </w:pPr>
            <w:r>
              <w:rPr>
                <w:rFonts w:hint="eastAsia" w:ascii="宋体" w:hAnsi="宋体"/>
                <w:sz w:val="24"/>
                <w:highlight w:val="none"/>
              </w:rPr>
              <w:t>6-9</w:t>
            </w:r>
          </w:p>
        </w:tc>
        <w:tc>
          <w:tcPr>
            <w:tcW w:w="2126" w:type="dxa"/>
            <w:tcBorders>
              <w:top w:val="single" w:color="000000" w:sz="2" w:space="0"/>
              <w:left w:val="single" w:color="000000" w:sz="2" w:space="0"/>
              <w:bottom w:val="single" w:color="000000" w:sz="2" w:space="0"/>
              <w:right w:val="single" w:color="000000" w:sz="2" w:space="0"/>
            </w:tcBorders>
          </w:tcPr>
          <w:p w14:paraId="5312D2F8">
            <w:pPr>
              <w:spacing w:after="160" w:line="360" w:lineRule="auto"/>
              <w:rPr>
                <w:rFonts w:hint="eastAsia" w:ascii="宋体" w:hAnsi="宋体"/>
                <w:sz w:val="24"/>
                <w:highlight w:val="none"/>
              </w:rPr>
            </w:pPr>
            <w:r>
              <w:rPr>
                <w:rFonts w:hint="eastAsia" w:ascii="宋体" w:hAnsi="宋体"/>
                <w:sz w:val="24"/>
                <w:highlight w:val="none"/>
              </w:rPr>
              <w:t>/</w:t>
            </w:r>
          </w:p>
        </w:tc>
      </w:tr>
    </w:tbl>
    <w:p w14:paraId="65886158">
      <w:pPr>
        <w:spacing w:after="160" w:line="360" w:lineRule="auto"/>
        <w:rPr>
          <w:rFonts w:hint="eastAsia" w:ascii="宋体" w:hAnsi="宋体"/>
          <w:sz w:val="24"/>
          <w:highlight w:val="none"/>
        </w:rPr>
      </w:pPr>
      <w:r>
        <w:rPr>
          <w:rFonts w:hint="eastAsia" w:ascii="宋体" w:hAnsi="宋体"/>
          <w:spacing w:val="-8"/>
          <w:sz w:val="24"/>
          <w:highlight w:val="none"/>
        </w:rPr>
        <w:t>出水水质依据《医疗机构水污染物排放标准》（GB18466-2005）</w:t>
      </w:r>
      <w:r>
        <w:rPr>
          <w:rFonts w:hint="eastAsia" w:ascii="宋体" w:hAnsi="宋体"/>
          <w:sz w:val="24"/>
          <w:highlight w:val="none"/>
        </w:rPr>
        <w:t>表2预处理标准（处理后排入市政污水管网</w:t>
      </w:r>
      <w:r>
        <w:rPr>
          <w:rFonts w:hint="eastAsia" w:ascii="宋体" w:hAnsi="宋体"/>
          <w:spacing w:val="-30"/>
          <w:sz w:val="24"/>
          <w:highlight w:val="none"/>
        </w:rPr>
        <w:t>），</w:t>
      </w:r>
      <w:r>
        <w:rPr>
          <w:rFonts w:hint="eastAsia" w:ascii="宋体" w:hAnsi="宋体"/>
          <w:sz w:val="24"/>
          <w:highlight w:val="none"/>
        </w:rPr>
        <w:t xml:space="preserve">相关数据见下表：                           </w:t>
      </w:r>
    </w:p>
    <w:p w14:paraId="36DACD45">
      <w:pPr>
        <w:spacing w:after="160" w:line="360" w:lineRule="auto"/>
        <w:jc w:val="right"/>
        <w:rPr>
          <w:rFonts w:hint="eastAsia" w:ascii="宋体" w:hAnsi="宋体"/>
          <w:sz w:val="24"/>
          <w:highlight w:val="none"/>
        </w:rPr>
      </w:pPr>
      <w:r>
        <w:rPr>
          <w:rFonts w:hint="eastAsia" w:ascii="宋体" w:hAnsi="宋体"/>
          <w:spacing w:val="-27"/>
          <w:sz w:val="24"/>
          <w:highlight w:val="none"/>
        </w:rPr>
        <w:t>单位：mg/l</w:t>
      </w:r>
    </w:p>
    <w:tbl>
      <w:tblPr>
        <w:tblStyle w:val="85"/>
        <w:tblW w:w="9277"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6"/>
        <w:gridCol w:w="906"/>
        <w:gridCol w:w="922"/>
        <w:gridCol w:w="919"/>
        <w:gridCol w:w="894"/>
        <w:gridCol w:w="1318"/>
        <w:gridCol w:w="2125"/>
        <w:gridCol w:w="1357"/>
      </w:tblGrid>
      <w:tr w14:paraId="696A2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836" w:type="dxa"/>
            <w:tcBorders>
              <w:top w:val="single" w:color="000000" w:sz="2" w:space="0"/>
              <w:left w:val="single" w:color="000000" w:sz="2" w:space="0"/>
              <w:bottom w:val="single" w:color="000000" w:sz="2" w:space="0"/>
              <w:right w:val="single" w:color="000000" w:sz="2" w:space="0"/>
            </w:tcBorders>
          </w:tcPr>
          <w:p w14:paraId="72DCEF92">
            <w:pPr>
              <w:spacing w:after="160" w:line="360" w:lineRule="auto"/>
              <w:rPr>
                <w:rFonts w:hint="eastAsia" w:ascii="宋体" w:hAnsi="宋体"/>
                <w:sz w:val="24"/>
                <w:highlight w:val="none"/>
              </w:rPr>
            </w:pPr>
            <w:r>
              <w:rPr>
                <w:rFonts w:hint="eastAsia" w:ascii="宋体" w:hAnsi="宋体"/>
                <w:sz w:val="24"/>
                <w:highlight w:val="none"/>
              </w:rPr>
              <w:t>指标</w:t>
            </w:r>
          </w:p>
        </w:tc>
        <w:tc>
          <w:tcPr>
            <w:tcW w:w="906" w:type="dxa"/>
            <w:tcBorders>
              <w:top w:val="single" w:color="000000" w:sz="2" w:space="0"/>
              <w:left w:val="single" w:color="000000" w:sz="2" w:space="0"/>
              <w:bottom w:val="single" w:color="000000" w:sz="2" w:space="0"/>
              <w:right w:val="single" w:color="000000" w:sz="2" w:space="0"/>
            </w:tcBorders>
          </w:tcPr>
          <w:p w14:paraId="3E6675FA">
            <w:pPr>
              <w:spacing w:after="160" w:line="360" w:lineRule="auto"/>
              <w:rPr>
                <w:rFonts w:hint="eastAsia" w:ascii="宋体" w:hAnsi="宋体"/>
                <w:sz w:val="24"/>
                <w:highlight w:val="none"/>
              </w:rPr>
            </w:pPr>
            <w:r>
              <w:rPr>
                <w:rFonts w:hint="eastAsia" w:ascii="宋体" w:hAnsi="宋体"/>
                <w:sz w:val="24"/>
                <w:highlight w:val="none"/>
              </w:rPr>
              <w:t>CODcr</w:t>
            </w:r>
          </w:p>
        </w:tc>
        <w:tc>
          <w:tcPr>
            <w:tcW w:w="922" w:type="dxa"/>
            <w:tcBorders>
              <w:top w:val="single" w:color="000000" w:sz="2" w:space="0"/>
              <w:left w:val="single" w:color="000000" w:sz="2" w:space="0"/>
              <w:bottom w:val="single" w:color="000000" w:sz="2" w:space="0"/>
              <w:right w:val="single" w:color="000000" w:sz="2" w:space="0"/>
            </w:tcBorders>
          </w:tcPr>
          <w:p w14:paraId="63F49CFC">
            <w:pPr>
              <w:spacing w:after="160" w:line="360" w:lineRule="auto"/>
              <w:rPr>
                <w:rFonts w:hint="eastAsia" w:ascii="宋体" w:hAnsi="宋体"/>
                <w:sz w:val="24"/>
                <w:highlight w:val="none"/>
              </w:rPr>
            </w:pPr>
            <w:r>
              <w:rPr>
                <w:rFonts w:hint="eastAsia" w:ascii="宋体" w:hAnsi="宋体"/>
                <w:sz w:val="24"/>
                <w:highlight w:val="none"/>
              </w:rPr>
              <w:t>BOD</w:t>
            </w:r>
            <w:r>
              <w:rPr>
                <w:rFonts w:hint="eastAsia" w:ascii="宋体" w:hAnsi="宋体"/>
                <w:position w:val="-1"/>
                <w:sz w:val="24"/>
                <w:highlight w:val="none"/>
              </w:rPr>
              <w:t>5</w:t>
            </w:r>
          </w:p>
        </w:tc>
        <w:tc>
          <w:tcPr>
            <w:tcW w:w="919" w:type="dxa"/>
            <w:tcBorders>
              <w:top w:val="single" w:color="000000" w:sz="2" w:space="0"/>
              <w:left w:val="single" w:color="000000" w:sz="2" w:space="0"/>
              <w:bottom w:val="single" w:color="000000" w:sz="2" w:space="0"/>
              <w:right w:val="single" w:color="000000" w:sz="2" w:space="0"/>
            </w:tcBorders>
          </w:tcPr>
          <w:p w14:paraId="3A375BD2">
            <w:pPr>
              <w:spacing w:after="160" w:line="360" w:lineRule="auto"/>
              <w:rPr>
                <w:rFonts w:hint="eastAsia" w:ascii="宋体" w:hAnsi="宋体"/>
                <w:sz w:val="24"/>
                <w:highlight w:val="none"/>
              </w:rPr>
            </w:pPr>
            <w:r>
              <w:rPr>
                <w:rFonts w:hint="eastAsia" w:ascii="宋体" w:hAnsi="宋体"/>
                <w:sz w:val="24"/>
                <w:highlight w:val="none"/>
              </w:rPr>
              <w:t>NH</w:t>
            </w:r>
            <w:r>
              <w:rPr>
                <w:rFonts w:hint="eastAsia" w:ascii="宋体" w:hAnsi="宋体"/>
                <w:position w:val="-3"/>
                <w:sz w:val="24"/>
                <w:highlight w:val="none"/>
              </w:rPr>
              <w:t>4</w:t>
            </w:r>
            <w:r>
              <w:rPr>
                <w:rFonts w:hint="eastAsia" w:ascii="宋体" w:hAnsi="宋体"/>
                <w:position w:val="10"/>
                <w:sz w:val="24"/>
                <w:highlight w:val="none"/>
              </w:rPr>
              <w:t>+</w:t>
            </w:r>
            <w:r>
              <w:rPr>
                <w:rFonts w:hint="eastAsia" w:ascii="宋体" w:hAnsi="宋体"/>
                <w:sz w:val="24"/>
                <w:highlight w:val="none"/>
              </w:rPr>
              <w:t>-N</w:t>
            </w:r>
          </w:p>
        </w:tc>
        <w:tc>
          <w:tcPr>
            <w:tcW w:w="894" w:type="dxa"/>
            <w:tcBorders>
              <w:top w:val="single" w:color="000000" w:sz="2" w:space="0"/>
              <w:left w:val="single" w:color="000000" w:sz="2" w:space="0"/>
              <w:bottom w:val="single" w:color="000000" w:sz="2" w:space="0"/>
              <w:right w:val="single" w:color="000000" w:sz="2" w:space="0"/>
            </w:tcBorders>
          </w:tcPr>
          <w:p w14:paraId="03F203B6">
            <w:pPr>
              <w:spacing w:after="160" w:line="360" w:lineRule="auto"/>
              <w:rPr>
                <w:rFonts w:hint="eastAsia" w:ascii="宋体" w:hAnsi="宋体"/>
                <w:sz w:val="24"/>
                <w:highlight w:val="none"/>
              </w:rPr>
            </w:pPr>
            <w:r>
              <w:rPr>
                <w:rFonts w:hint="eastAsia" w:ascii="宋体" w:hAnsi="宋体"/>
                <w:sz w:val="24"/>
                <w:highlight w:val="none"/>
              </w:rPr>
              <w:t>SS</w:t>
            </w:r>
          </w:p>
        </w:tc>
        <w:tc>
          <w:tcPr>
            <w:tcW w:w="1318" w:type="dxa"/>
            <w:tcBorders>
              <w:top w:val="single" w:color="000000" w:sz="2" w:space="0"/>
              <w:left w:val="single" w:color="000000" w:sz="2" w:space="0"/>
              <w:bottom w:val="single" w:color="000000" w:sz="2" w:space="0"/>
              <w:right w:val="single" w:color="000000" w:sz="2" w:space="0"/>
            </w:tcBorders>
          </w:tcPr>
          <w:p w14:paraId="6A6FE22A">
            <w:pPr>
              <w:spacing w:after="160" w:line="360" w:lineRule="auto"/>
              <w:rPr>
                <w:rFonts w:hint="eastAsia" w:ascii="宋体" w:hAnsi="宋体"/>
                <w:sz w:val="24"/>
                <w:highlight w:val="none"/>
              </w:rPr>
            </w:pPr>
            <w:r>
              <w:rPr>
                <w:rFonts w:hint="eastAsia" w:ascii="宋体" w:hAnsi="宋体"/>
                <w:sz w:val="24"/>
                <w:highlight w:val="none"/>
              </w:rPr>
              <w:t>pH（无量纲）</w:t>
            </w:r>
          </w:p>
        </w:tc>
        <w:tc>
          <w:tcPr>
            <w:tcW w:w="2125" w:type="dxa"/>
            <w:tcBorders>
              <w:top w:val="single" w:color="000000" w:sz="2" w:space="0"/>
              <w:left w:val="single" w:color="000000" w:sz="2" w:space="0"/>
              <w:bottom w:val="single" w:color="000000" w:sz="2" w:space="0"/>
              <w:right w:val="single" w:color="000000" w:sz="2" w:space="0"/>
            </w:tcBorders>
          </w:tcPr>
          <w:p w14:paraId="61444EAE">
            <w:pPr>
              <w:spacing w:after="160" w:line="360" w:lineRule="auto"/>
              <w:rPr>
                <w:rFonts w:hint="eastAsia" w:ascii="宋体" w:hAnsi="宋体"/>
                <w:sz w:val="24"/>
                <w:highlight w:val="none"/>
              </w:rPr>
            </w:pPr>
            <w:r>
              <w:rPr>
                <w:rFonts w:hint="eastAsia" w:ascii="宋体" w:hAnsi="宋体"/>
                <w:spacing w:val="-5"/>
                <w:sz w:val="24"/>
                <w:highlight w:val="none"/>
              </w:rPr>
              <w:t>粪大肠杆菌</w:t>
            </w:r>
            <w:r>
              <w:rPr>
                <w:rFonts w:hint="eastAsia" w:ascii="宋体" w:hAnsi="宋体"/>
                <w:sz w:val="24"/>
                <w:highlight w:val="none"/>
              </w:rPr>
              <w:t>（MPN/L）</w:t>
            </w:r>
          </w:p>
        </w:tc>
        <w:tc>
          <w:tcPr>
            <w:tcW w:w="1357" w:type="dxa"/>
            <w:tcBorders>
              <w:top w:val="single" w:color="000000" w:sz="2" w:space="0"/>
              <w:left w:val="single" w:color="000000" w:sz="2" w:space="0"/>
              <w:bottom w:val="single" w:color="000000" w:sz="2" w:space="0"/>
              <w:right w:val="single" w:color="000000" w:sz="2" w:space="0"/>
            </w:tcBorders>
          </w:tcPr>
          <w:p w14:paraId="40DC95C3">
            <w:pPr>
              <w:spacing w:after="160" w:line="360" w:lineRule="auto"/>
              <w:rPr>
                <w:rFonts w:hint="eastAsia" w:ascii="宋体" w:hAnsi="宋体"/>
                <w:sz w:val="24"/>
                <w:highlight w:val="none"/>
              </w:rPr>
            </w:pPr>
            <w:r>
              <w:rPr>
                <w:rFonts w:hint="eastAsia" w:ascii="宋体" w:hAnsi="宋体"/>
                <w:sz w:val="24"/>
                <w:highlight w:val="none"/>
              </w:rPr>
              <w:t>总余氯</w:t>
            </w:r>
          </w:p>
        </w:tc>
      </w:tr>
      <w:tr w14:paraId="67E07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36" w:type="dxa"/>
            <w:tcBorders>
              <w:top w:val="single" w:color="000000" w:sz="2" w:space="0"/>
              <w:left w:val="single" w:color="000000" w:sz="2" w:space="0"/>
              <w:bottom w:val="single" w:color="000000" w:sz="2" w:space="0"/>
              <w:right w:val="single" w:color="000000" w:sz="2" w:space="0"/>
            </w:tcBorders>
          </w:tcPr>
          <w:p w14:paraId="28BDDDDC">
            <w:pPr>
              <w:spacing w:after="160" w:line="360" w:lineRule="auto"/>
              <w:rPr>
                <w:rFonts w:hint="eastAsia" w:ascii="宋体" w:hAnsi="宋体"/>
                <w:sz w:val="24"/>
                <w:highlight w:val="none"/>
              </w:rPr>
            </w:pPr>
            <w:r>
              <w:rPr>
                <w:rFonts w:hint="eastAsia" w:ascii="宋体" w:hAnsi="宋体"/>
                <w:sz w:val="24"/>
                <w:highlight w:val="none"/>
              </w:rPr>
              <w:t>出水</w:t>
            </w:r>
          </w:p>
        </w:tc>
        <w:tc>
          <w:tcPr>
            <w:tcW w:w="906" w:type="dxa"/>
            <w:tcBorders>
              <w:top w:val="single" w:color="000000" w:sz="2" w:space="0"/>
              <w:left w:val="single" w:color="000000" w:sz="2" w:space="0"/>
              <w:bottom w:val="single" w:color="000000" w:sz="2" w:space="0"/>
              <w:right w:val="single" w:color="000000" w:sz="2" w:space="0"/>
            </w:tcBorders>
          </w:tcPr>
          <w:p w14:paraId="16F517B1">
            <w:pPr>
              <w:spacing w:after="160" w:line="360" w:lineRule="auto"/>
              <w:rPr>
                <w:rFonts w:hint="eastAsia" w:ascii="宋体" w:hAnsi="宋体"/>
                <w:sz w:val="24"/>
                <w:highlight w:val="none"/>
              </w:rPr>
            </w:pPr>
            <w:r>
              <w:rPr>
                <w:rFonts w:hint="eastAsia" w:ascii="宋体" w:hAnsi="宋体"/>
                <w:sz w:val="24"/>
                <w:highlight w:val="none"/>
              </w:rPr>
              <w:t>≤250</w:t>
            </w:r>
          </w:p>
        </w:tc>
        <w:tc>
          <w:tcPr>
            <w:tcW w:w="922" w:type="dxa"/>
            <w:tcBorders>
              <w:top w:val="single" w:color="000000" w:sz="2" w:space="0"/>
              <w:left w:val="single" w:color="000000" w:sz="2" w:space="0"/>
              <w:bottom w:val="single" w:color="000000" w:sz="2" w:space="0"/>
              <w:right w:val="single" w:color="000000" w:sz="2" w:space="0"/>
            </w:tcBorders>
          </w:tcPr>
          <w:p w14:paraId="539AA1D0">
            <w:pPr>
              <w:spacing w:after="160" w:line="360" w:lineRule="auto"/>
              <w:rPr>
                <w:rFonts w:hint="eastAsia" w:ascii="宋体" w:hAnsi="宋体"/>
                <w:sz w:val="24"/>
                <w:highlight w:val="none"/>
              </w:rPr>
            </w:pPr>
            <w:r>
              <w:rPr>
                <w:rFonts w:hint="eastAsia" w:ascii="宋体" w:hAnsi="宋体"/>
                <w:sz w:val="24"/>
                <w:highlight w:val="none"/>
              </w:rPr>
              <w:t>≤100</w:t>
            </w:r>
          </w:p>
        </w:tc>
        <w:tc>
          <w:tcPr>
            <w:tcW w:w="919" w:type="dxa"/>
            <w:tcBorders>
              <w:top w:val="single" w:color="000000" w:sz="2" w:space="0"/>
              <w:left w:val="single" w:color="000000" w:sz="2" w:space="0"/>
              <w:bottom w:val="single" w:color="000000" w:sz="2" w:space="0"/>
              <w:right w:val="single" w:color="000000" w:sz="2" w:space="0"/>
            </w:tcBorders>
          </w:tcPr>
          <w:p w14:paraId="6E3E9176">
            <w:pPr>
              <w:spacing w:after="160" w:line="360" w:lineRule="auto"/>
              <w:rPr>
                <w:rFonts w:hint="eastAsia" w:ascii="宋体" w:hAnsi="宋体"/>
                <w:sz w:val="24"/>
                <w:highlight w:val="none"/>
              </w:rPr>
            </w:pPr>
            <w:r>
              <w:rPr>
                <w:rFonts w:hint="eastAsia" w:ascii="宋体" w:hAnsi="宋体"/>
                <w:sz w:val="24"/>
                <w:highlight w:val="none"/>
              </w:rPr>
              <w:t>≤35</w:t>
            </w:r>
          </w:p>
        </w:tc>
        <w:tc>
          <w:tcPr>
            <w:tcW w:w="894" w:type="dxa"/>
            <w:tcBorders>
              <w:top w:val="single" w:color="000000" w:sz="2" w:space="0"/>
              <w:left w:val="single" w:color="000000" w:sz="2" w:space="0"/>
              <w:bottom w:val="single" w:color="000000" w:sz="2" w:space="0"/>
              <w:right w:val="single" w:color="000000" w:sz="2" w:space="0"/>
            </w:tcBorders>
          </w:tcPr>
          <w:p w14:paraId="715F4118">
            <w:pPr>
              <w:spacing w:after="160" w:line="360" w:lineRule="auto"/>
              <w:rPr>
                <w:rFonts w:hint="eastAsia" w:ascii="宋体" w:hAnsi="宋体"/>
                <w:sz w:val="24"/>
                <w:highlight w:val="none"/>
              </w:rPr>
            </w:pPr>
            <w:r>
              <w:rPr>
                <w:rFonts w:hint="eastAsia" w:ascii="宋体" w:hAnsi="宋体"/>
                <w:sz w:val="24"/>
                <w:highlight w:val="none"/>
              </w:rPr>
              <w:t>≤60</w:t>
            </w:r>
          </w:p>
        </w:tc>
        <w:tc>
          <w:tcPr>
            <w:tcW w:w="1318" w:type="dxa"/>
            <w:tcBorders>
              <w:top w:val="single" w:color="000000" w:sz="2" w:space="0"/>
              <w:left w:val="single" w:color="000000" w:sz="2" w:space="0"/>
              <w:bottom w:val="single" w:color="000000" w:sz="2" w:space="0"/>
              <w:right w:val="single" w:color="000000" w:sz="2" w:space="0"/>
            </w:tcBorders>
          </w:tcPr>
          <w:p w14:paraId="6E511ED7">
            <w:pPr>
              <w:spacing w:after="160" w:line="360" w:lineRule="auto"/>
              <w:rPr>
                <w:rFonts w:hint="eastAsia" w:ascii="宋体" w:hAnsi="宋体"/>
                <w:sz w:val="24"/>
                <w:highlight w:val="none"/>
              </w:rPr>
            </w:pPr>
            <w:r>
              <w:rPr>
                <w:rFonts w:hint="eastAsia" w:ascii="宋体" w:hAnsi="宋体"/>
                <w:sz w:val="24"/>
                <w:highlight w:val="none"/>
              </w:rPr>
              <w:t>6-9</w:t>
            </w:r>
          </w:p>
        </w:tc>
        <w:tc>
          <w:tcPr>
            <w:tcW w:w="2125" w:type="dxa"/>
            <w:tcBorders>
              <w:top w:val="single" w:color="000000" w:sz="2" w:space="0"/>
              <w:left w:val="single" w:color="000000" w:sz="2" w:space="0"/>
              <w:bottom w:val="single" w:color="000000" w:sz="2" w:space="0"/>
              <w:right w:val="single" w:color="000000" w:sz="2" w:space="0"/>
            </w:tcBorders>
          </w:tcPr>
          <w:p w14:paraId="39191850">
            <w:pPr>
              <w:spacing w:after="160" w:line="360" w:lineRule="auto"/>
              <w:rPr>
                <w:rFonts w:hint="eastAsia" w:ascii="宋体" w:hAnsi="宋体"/>
                <w:sz w:val="24"/>
                <w:highlight w:val="none"/>
              </w:rPr>
            </w:pPr>
            <w:r>
              <w:rPr>
                <w:rFonts w:hint="eastAsia" w:ascii="宋体" w:hAnsi="宋体"/>
                <w:sz w:val="24"/>
                <w:highlight w:val="none"/>
              </w:rPr>
              <w:t>≤5000</w:t>
            </w:r>
          </w:p>
        </w:tc>
        <w:tc>
          <w:tcPr>
            <w:tcW w:w="1357" w:type="dxa"/>
            <w:tcBorders>
              <w:top w:val="single" w:color="000000" w:sz="2" w:space="0"/>
              <w:left w:val="single" w:color="000000" w:sz="2" w:space="0"/>
              <w:bottom w:val="single" w:color="000000" w:sz="2" w:space="0"/>
              <w:right w:val="single" w:color="000000" w:sz="2" w:space="0"/>
            </w:tcBorders>
          </w:tcPr>
          <w:p w14:paraId="12C698CC">
            <w:pPr>
              <w:spacing w:after="160" w:line="360" w:lineRule="auto"/>
              <w:rPr>
                <w:rFonts w:hint="eastAsia" w:ascii="宋体" w:hAnsi="宋体"/>
                <w:sz w:val="24"/>
                <w:highlight w:val="none"/>
              </w:rPr>
            </w:pPr>
            <w:r>
              <w:rPr>
                <w:rFonts w:hint="eastAsia" w:ascii="宋体" w:hAnsi="宋体"/>
                <w:sz w:val="24"/>
                <w:highlight w:val="none"/>
              </w:rPr>
              <w:t>2-8</w:t>
            </w:r>
          </w:p>
        </w:tc>
      </w:tr>
    </w:tbl>
    <w:p w14:paraId="28E2E4D0">
      <w:pPr>
        <w:spacing w:after="160" w:line="360" w:lineRule="auto"/>
        <w:rPr>
          <w:rFonts w:hint="eastAsia" w:ascii="宋体" w:hAnsi="宋体"/>
          <w:sz w:val="24"/>
          <w:highlight w:val="none"/>
        </w:rPr>
      </w:pPr>
      <w:r>
        <w:rPr>
          <w:rFonts w:hint="eastAsia" w:ascii="宋体" w:hAnsi="宋体"/>
          <w:sz w:val="24"/>
          <w:highlight w:val="none"/>
        </w:rPr>
        <w:t>备注：</w:t>
      </w:r>
    </w:p>
    <w:p w14:paraId="2370D8E1">
      <w:pPr>
        <w:spacing w:after="160" w:line="360" w:lineRule="auto"/>
        <w:rPr>
          <w:rFonts w:hint="eastAsia" w:ascii="宋体" w:hAnsi="宋体"/>
          <w:sz w:val="24"/>
          <w:highlight w:val="none"/>
        </w:rPr>
      </w:pPr>
      <w:r>
        <w:rPr>
          <w:rFonts w:hint="eastAsia" w:ascii="宋体" w:hAnsi="宋体"/>
          <w:sz w:val="24"/>
          <w:highlight w:val="none"/>
        </w:rPr>
        <w:t>(1)、该污水站处理后直接排入市政管网进入下游污水站进行再次处理，即《医疗机构水污染物排放标准》（GB18466-2005）表2中采用含氯消毒剂对总余氯控制要求2-8mg/L。</w:t>
      </w:r>
    </w:p>
    <w:p w14:paraId="3B3CF6FF">
      <w:pPr>
        <w:spacing w:after="160" w:line="360" w:lineRule="auto"/>
        <w:rPr>
          <w:rFonts w:hint="eastAsia" w:ascii="宋体" w:hAnsi="宋体"/>
          <w:sz w:val="24"/>
          <w:highlight w:val="none"/>
        </w:rPr>
      </w:pPr>
      <w:r>
        <w:rPr>
          <w:rFonts w:hint="eastAsia" w:ascii="宋体" w:hAnsi="宋体"/>
          <w:sz w:val="24"/>
          <w:highlight w:val="none"/>
        </w:rPr>
        <w:t>(2)、《医疗机构水污染物排放标准》（GB18466-2005）表2中预处理标准对NH</w:t>
      </w:r>
      <w:r>
        <w:rPr>
          <w:rFonts w:hint="eastAsia" w:ascii="宋体" w:hAnsi="宋体"/>
          <w:sz w:val="24"/>
          <w:highlight w:val="none"/>
          <w:vertAlign w:val="subscript"/>
        </w:rPr>
        <w:t>4</w:t>
      </w:r>
      <w:r>
        <w:rPr>
          <w:rFonts w:hint="eastAsia" w:ascii="宋体" w:hAnsi="宋体"/>
          <w:sz w:val="24"/>
          <w:highlight w:val="none"/>
          <w:vertAlign w:val="superscript"/>
        </w:rPr>
        <w:t>+</w:t>
      </w:r>
      <w:r>
        <w:rPr>
          <w:rFonts w:hint="eastAsia" w:ascii="宋体" w:hAnsi="宋体"/>
          <w:sz w:val="24"/>
          <w:highlight w:val="none"/>
        </w:rPr>
        <w:t>-N不做要求，但市政污水厂接收标准对NH</w:t>
      </w:r>
      <w:r>
        <w:rPr>
          <w:rFonts w:hint="eastAsia" w:ascii="宋体" w:hAnsi="宋体"/>
          <w:sz w:val="24"/>
          <w:highlight w:val="none"/>
          <w:vertAlign w:val="subscript"/>
        </w:rPr>
        <w:t>4</w:t>
      </w:r>
      <w:r>
        <w:rPr>
          <w:rFonts w:hint="eastAsia" w:ascii="宋体" w:hAnsi="宋体"/>
          <w:sz w:val="24"/>
          <w:highlight w:val="none"/>
          <w:vertAlign w:val="superscript"/>
        </w:rPr>
        <w:t>+</w:t>
      </w:r>
      <w:r>
        <w:rPr>
          <w:rFonts w:hint="eastAsia" w:ascii="宋体" w:hAnsi="宋体"/>
          <w:sz w:val="24"/>
          <w:highlight w:val="none"/>
        </w:rPr>
        <w:t>-N做要求，故接标准暂定小于35mg/l。</w:t>
      </w:r>
    </w:p>
    <w:p w14:paraId="2CDC6483">
      <w:pPr>
        <w:spacing w:after="160" w:line="360" w:lineRule="auto"/>
        <w:rPr>
          <w:rFonts w:hint="eastAsia" w:ascii="宋体" w:hAnsi="宋体"/>
          <w:sz w:val="24"/>
          <w:highlight w:val="none"/>
        </w:rPr>
      </w:pPr>
      <w:r>
        <w:rPr>
          <w:rFonts w:hint="eastAsia" w:ascii="宋体" w:hAnsi="宋体"/>
          <w:sz w:val="24"/>
          <w:highlight w:val="none"/>
        </w:rPr>
        <w:t>2、设备托管维护清单</w:t>
      </w:r>
    </w:p>
    <w:tbl>
      <w:tblPr>
        <w:tblStyle w:val="28"/>
        <w:tblW w:w="9323" w:type="dxa"/>
        <w:tblInd w:w="0" w:type="dxa"/>
        <w:tblLayout w:type="fixed"/>
        <w:tblCellMar>
          <w:top w:w="0" w:type="dxa"/>
          <w:left w:w="108" w:type="dxa"/>
          <w:bottom w:w="0" w:type="dxa"/>
          <w:right w:w="108" w:type="dxa"/>
        </w:tblCellMar>
      </w:tblPr>
      <w:tblGrid>
        <w:gridCol w:w="1061"/>
        <w:gridCol w:w="2355"/>
        <w:gridCol w:w="3923"/>
        <w:gridCol w:w="850"/>
        <w:gridCol w:w="567"/>
        <w:gridCol w:w="567"/>
      </w:tblGrid>
      <w:tr w14:paraId="3287C04B">
        <w:tblPrEx>
          <w:tblCellMar>
            <w:top w:w="0" w:type="dxa"/>
            <w:left w:w="108" w:type="dxa"/>
            <w:bottom w:w="0" w:type="dxa"/>
            <w:right w:w="108" w:type="dxa"/>
          </w:tblCellMar>
        </w:tblPrEx>
        <w:trPr>
          <w:trHeight w:val="593" w:hRule="atLeast"/>
        </w:trPr>
        <w:tc>
          <w:tcPr>
            <w:tcW w:w="1061" w:type="dxa"/>
            <w:tcBorders>
              <w:top w:val="single" w:color="000000" w:sz="4" w:space="0"/>
              <w:left w:val="single" w:color="000000" w:sz="4" w:space="0"/>
              <w:bottom w:val="single" w:color="000000" w:sz="4" w:space="0"/>
              <w:right w:val="single" w:color="000000" w:sz="4" w:space="0"/>
            </w:tcBorders>
            <w:vAlign w:val="center"/>
          </w:tcPr>
          <w:p w14:paraId="1E08C132">
            <w:pPr>
              <w:spacing w:after="160" w:line="360" w:lineRule="auto"/>
              <w:rPr>
                <w:rFonts w:hint="eastAsia" w:ascii="宋体" w:hAnsi="宋体"/>
                <w:sz w:val="24"/>
                <w:highlight w:val="none"/>
              </w:rPr>
            </w:pPr>
            <w:r>
              <w:rPr>
                <w:rFonts w:hint="eastAsia" w:ascii="宋体" w:hAnsi="宋体"/>
                <w:sz w:val="24"/>
                <w:highlight w:val="none"/>
              </w:rPr>
              <w:t>序号</w:t>
            </w:r>
          </w:p>
        </w:tc>
        <w:tc>
          <w:tcPr>
            <w:tcW w:w="2355" w:type="dxa"/>
            <w:tcBorders>
              <w:top w:val="single" w:color="000000" w:sz="4" w:space="0"/>
              <w:left w:val="nil"/>
              <w:bottom w:val="single" w:color="000000" w:sz="4" w:space="0"/>
              <w:right w:val="single" w:color="000000" w:sz="4" w:space="0"/>
            </w:tcBorders>
            <w:vAlign w:val="center"/>
          </w:tcPr>
          <w:p w14:paraId="50E85934">
            <w:pPr>
              <w:spacing w:after="160" w:line="360" w:lineRule="auto"/>
              <w:rPr>
                <w:rFonts w:hint="eastAsia" w:ascii="宋体" w:hAnsi="宋体"/>
                <w:sz w:val="24"/>
                <w:highlight w:val="none"/>
              </w:rPr>
            </w:pPr>
            <w:r>
              <w:rPr>
                <w:rFonts w:hint="eastAsia" w:ascii="宋体" w:hAnsi="宋体"/>
                <w:sz w:val="24"/>
                <w:highlight w:val="none"/>
              </w:rPr>
              <w:t>设备名称</w:t>
            </w:r>
          </w:p>
        </w:tc>
        <w:tc>
          <w:tcPr>
            <w:tcW w:w="3923" w:type="dxa"/>
            <w:tcBorders>
              <w:top w:val="single" w:color="000000" w:sz="4" w:space="0"/>
              <w:left w:val="nil"/>
              <w:bottom w:val="single" w:color="000000" w:sz="4" w:space="0"/>
              <w:right w:val="single" w:color="000000" w:sz="4" w:space="0"/>
            </w:tcBorders>
            <w:vAlign w:val="center"/>
          </w:tcPr>
          <w:p w14:paraId="7CB30903">
            <w:pPr>
              <w:spacing w:after="160" w:line="360" w:lineRule="auto"/>
              <w:rPr>
                <w:rFonts w:hint="eastAsia" w:ascii="宋体" w:hAnsi="宋体"/>
                <w:sz w:val="24"/>
                <w:highlight w:val="none"/>
              </w:rPr>
            </w:pPr>
            <w:r>
              <w:rPr>
                <w:rFonts w:hint="eastAsia" w:ascii="宋体" w:hAnsi="宋体"/>
                <w:sz w:val="24"/>
                <w:highlight w:val="none"/>
              </w:rPr>
              <w:t>型号规格</w:t>
            </w:r>
          </w:p>
        </w:tc>
        <w:tc>
          <w:tcPr>
            <w:tcW w:w="850" w:type="dxa"/>
            <w:tcBorders>
              <w:top w:val="single" w:color="000000" w:sz="4" w:space="0"/>
              <w:left w:val="nil"/>
              <w:bottom w:val="single" w:color="000000" w:sz="4" w:space="0"/>
              <w:right w:val="single" w:color="000000" w:sz="4" w:space="0"/>
            </w:tcBorders>
            <w:vAlign w:val="center"/>
          </w:tcPr>
          <w:p w14:paraId="7B6DB238">
            <w:pPr>
              <w:spacing w:after="160" w:line="360" w:lineRule="auto"/>
              <w:rPr>
                <w:rFonts w:hint="eastAsia" w:ascii="宋体" w:hAnsi="宋体"/>
                <w:sz w:val="24"/>
                <w:highlight w:val="none"/>
              </w:rPr>
            </w:pPr>
            <w:r>
              <w:rPr>
                <w:rFonts w:hint="eastAsia" w:ascii="宋体" w:hAnsi="宋体"/>
                <w:sz w:val="24"/>
                <w:highlight w:val="none"/>
              </w:rPr>
              <w:t>单位</w:t>
            </w:r>
          </w:p>
        </w:tc>
        <w:tc>
          <w:tcPr>
            <w:tcW w:w="567" w:type="dxa"/>
            <w:tcBorders>
              <w:top w:val="single" w:color="000000" w:sz="4" w:space="0"/>
              <w:left w:val="nil"/>
              <w:bottom w:val="single" w:color="000000" w:sz="4" w:space="0"/>
              <w:right w:val="single" w:color="000000" w:sz="4" w:space="0"/>
            </w:tcBorders>
            <w:vAlign w:val="center"/>
          </w:tcPr>
          <w:p w14:paraId="3A5B118B">
            <w:pPr>
              <w:spacing w:after="160" w:line="360" w:lineRule="auto"/>
              <w:rPr>
                <w:rFonts w:hint="eastAsia" w:ascii="宋体" w:hAnsi="宋体"/>
                <w:sz w:val="24"/>
                <w:highlight w:val="none"/>
              </w:rPr>
            </w:pPr>
          </w:p>
        </w:tc>
        <w:tc>
          <w:tcPr>
            <w:tcW w:w="567" w:type="dxa"/>
            <w:tcBorders>
              <w:top w:val="single" w:color="000000" w:sz="4" w:space="0"/>
              <w:left w:val="nil"/>
              <w:bottom w:val="single" w:color="000000" w:sz="4" w:space="0"/>
              <w:right w:val="single" w:color="000000" w:sz="4" w:space="0"/>
            </w:tcBorders>
            <w:vAlign w:val="center"/>
          </w:tcPr>
          <w:p w14:paraId="52BCDD6F">
            <w:pPr>
              <w:spacing w:after="160" w:line="360" w:lineRule="auto"/>
              <w:rPr>
                <w:rFonts w:hint="eastAsia" w:ascii="宋体" w:hAnsi="宋体"/>
                <w:sz w:val="24"/>
                <w:highlight w:val="none"/>
              </w:rPr>
            </w:pPr>
            <w:r>
              <w:rPr>
                <w:rFonts w:hint="eastAsia" w:ascii="宋体" w:hAnsi="宋体"/>
                <w:sz w:val="24"/>
                <w:highlight w:val="none"/>
              </w:rPr>
              <w:t>数量</w:t>
            </w:r>
          </w:p>
        </w:tc>
      </w:tr>
      <w:tr w14:paraId="24F347B9">
        <w:tblPrEx>
          <w:tblCellMar>
            <w:top w:w="0" w:type="dxa"/>
            <w:left w:w="108" w:type="dxa"/>
            <w:bottom w:w="0" w:type="dxa"/>
            <w:right w:w="108" w:type="dxa"/>
          </w:tblCellMar>
        </w:tblPrEx>
        <w:trPr>
          <w:trHeight w:val="285" w:hRule="atLeast"/>
        </w:trPr>
        <w:tc>
          <w:tcPr>
            <w:tcW w:w="1061" w:type="dxa"/>
            <w:tcBorders>
              <w:top w:val="single" w:color="000000" w:sz="4" w:space="0"/>
              <w:left w:val="single" w:color="000000" w:sz="4" w:space="0"/>
              <w:bottom w:val="single" w:color="000000" w:sz="4" w:space="0"/>
              <w:right w:val="single" w:color="000000" w:sz="4" w:space="0"/>
            </w:tcBorders>
            <w:noWrap/>
            <w:vAlign w:val="center"/>
          </w:tcPr>
          <w:p w14:paraId="1CE8D657">
            <w:pPr>
              <w:spacing w:after="160" w:line="360" w:lineRule="auto"/>
              <w:rPr>
                <w:rFonts w:hint="eastAsia" w:ascii="宋体" w:hAnsi="宋体"/>
                <w:sz w:val="24"/>
                <w:highlight w:val="none"/>
              </w:rPr>
            </w:pPr>
            <w:r>
              <w:rPr>
                <w:rFonts w:hint="eastAsia" w:ascii="宋体" w:hAnsi="宋体"/>
                <w:sz w:val="24"/>
                <w:highlight w:val="none"/>
              </w:rPr>
              <w:t>1</w:t>
            </w:r>
          </w:p>
        </w:tc>
        <w:tc>
          <w:tcPr>
            <w:tcW w:w="2355" w:type="dxa"/>
            <w:tcBorders>
              <w:top w:val="single" w:color="000000" w:sz="4" w:space="0"/>
              <w:left w:val="nil"/>
              <w:bottom w:val="single" w:color="000000" w:sz="4" w:space="0"/>
              <w:right w:val="single" w:color="000000" w:sz="4" w:space="0"/>
            </w:tcBorders>
            <w:noWrap/>
            <w:vAlign w:val="center"/>
          </w:tcPr>
          <w:p w14:paraId="2B7379F5">
            <w:pPr>
              <w:spacing w:after="160" w:line="360" w:lineRule="auto"/>
              <w:rPr>
                <w:rFonts w:hint="eastAsia" w:ascii="宋体" w:hAnsi="宋体"/>
                <w:sz w:val="24"/>
                <w:highlight w:val="none"/>
              </w:rPr>
            </w:pPr>
            <w:r>
              <w:rPr>
                <w:rFonts w:hint="eastAsia" w:ascii="宋体" w:hAnsi="宋体"/>
                <w:sz w:val="24"/>
                <w:highlight w:val="none"/>
              </w:rPr>
              <w:t>化粪池提升泵</w:t>
            </w:r>
          </w:p>
        </w:tc>
        <w:tc>
          <w:tcPr>
            <w:tcW w:w="3923" w:type="dxa"/>
            <w:tcBorders>
              <w:top w:val="single" w:color="000000" w:sz="4" w:space="0"/>
              <w:left w:val="nil"/>
              <w:bottom w:val="single" w:color="000000" w:sz="4" w:space="0"/>
              <w:right w:val="single" w:color="000000" w:sz="4" w:space="0"/>
            </w:tcBorders>
            <w:noWrap/>
            <w:vAlign w:val="center"/>
          </w:tcPr>
          <w:p w14:paraId="081A883F">
            <w:pPr>
              <w:spacing w:after="160" w:line="360" w:lineRule="auto"/>
              <w:rPr>
                <w:rFonts w:hint="eastAsia" w:ascii="宋体" w:hAnsi="宋体"/>
                <w:sz w:val="24"/>
                <w:highlight w:val="none"/>
              </w:rPr>
            </w:pPr>
            <w:r>
              <w:rPr>
                <w:rFonts w:hint="eastAsia" w:ascii="宋体" w:hAnsi="宋体"/>
                <w:sz w:val="24"/>
                <w:highlight w:val="none"/>
              </w:rPr>
              <w:t>Q=20m³/h，H=15m</w:t>
            </w:r>
          </w:p>
        </w:tc>
        <w:tc>
          <w:tcPr>
            <w:tcW w:w="850" w:type="dxa"/>
            <w:tcBorders>
              <w:top w:val="single" w:color="000000" w:sz="4" w:space="0"/>
              <w:left w:val="nil"/>
              <w:bottom w:val="single" w:color="000000" w:sz="4" w:space="0"/>
              <w:right w:val="single" w:color="000000" w:sz="4" w:space="0"/>
            </w:tcBorders>
            <w:noWrap/>
            <w:vAlign w:val="center"/>
          </w:tcPr>
          <w:p w14:paraId="7CE97D00">
            <w:pPr>
              <w:spacing w:after="160" w:line="360" w:lineRule="auto"/>
              <w:rPr>
                <w:rFonts w:hint="eastAsia" w:ascii="宋体" w:hAnsi="宋体"/>
                <w:sz w:val="24"/>
                <w:highlight w:val="none"/>
              </w:rPr>
            </w:pPr>
            <w:r>
              <w:rPr>
                <w:rFonts w:hint="eastAsia" w:ascii="宋体" w:hAnsi="宋体"/>
                <w:sz w:val="24"/>
                <w:highlight w:val="none"/>
              </w:rPr>
              <w:t>台</w:t>
            </w:r>
          </w:p>
        </w:tc>
        <w:tc>
          <w:tcPr>
            <w:tcW w:w="567" w:type="dxa"/>
            <w:tcBorders>
              <w:top w:val="single" w:color="000000" w:sz="4" w:space="0"/>
              <w:left w:val="nil"/>
              <w:bottom w:val="single" w:color="000000" w:sz="4" w:space="0"/>
              <w:right w:val="single" w:color="000000" w:sz="4" w:space="0"/>
            </w:tcBorders>
            <w:noWrap/>
            <w:vAlign w:val="center"/>
          </w:tcPr>
          <w:p w14:paraId="246D57F9">
            <w:pPr>
              <w:spacing w:after="160" w:line="360" w:lineRule="auto"/>
              <w:rPr>
                <w:rFonts w:hint="eastAsia" w:ascii="宋体" w:hAnsi="宋体"/>
                <w:sz w:val="24"/>
                <w:highlight w:val="none"/>
              </w:rPr>
            </w:pPr>
          </w:p>
        </w:tc>
        <w:tc>
          <w:tcPr>
            <w:tcW w:w="567" w:type="dxa"/>
            <w:tcBorders>
              <w:top w:val="single" w:color="000000" w:sz="4" w:space="0"/>
              <w:left w:val="nil"/>
              <w:bottom w:val="single" w:color="000000" w:sz="4" w:space="0"/>
              <w:right w:val="single" w:color="000000" w:sz="4" w:space="0"/>
            </w:tcBorders>
            <w:noWrap/>
            <w:vAlign w:val="center"/>
          </w:tcPr>
          <w:p w14:paraId="11D49F63">
            <w:pPr>
              <w:spacing w:after="160" w:line="360" w:lineRule="auto"/>
              <w:rPr>
                <w:rFonts w:hint="eastAsia" w:ascii="宋体" w:hAnsi="宋体"/>
                <w:sz w:val="24"/>
                <w:highlight w:val="none"/>
              </w:rPr>
            </w:pPr>
            <w:r>
              <w:rPr>
                <w:rFonts w:hint="eastAsia" w:ascii="宋体" w:hAnsi="宋体"/>
                <w:sz w:val="24"/>
                <w:highlight w:val="none"/>
              </w:rPr>
              <w:t>2</w:t>
            </w:r>
          </w:p>
        </w:tc>
      </w:tr>
      <w:tr w14:paraId="4F23A364">
        <w:tblPrEx>
          <w:tblCellMar>
            <w:top w:w="0" w:type="dxa"/>
            <w:left w:w="108" w:type="dxa"/>
            <w:bottom w:w="0" w:type="dxa"/>
            <w:right w:w="108" w:type="dxa"/>
          </w:tblCellMar>
        </w:tblPrEx>
        <w:trPr>
          <w:trHeight w:val="855" w:hRule="atLeast"/>
        </w:trPr>
        <w:tc>
          <w:tcPr>
            <w:tcW w:w="1061" w:type="dxa"/>
            <w:tcBorders>
              <w:top w:val="single" w:color="000000" w:sz="4" w:space="0"/>
              <w:left w:val="single" w:color="000000" w:sz="4" w:space="0"/>
              <w:bottom w:val="single" w:color="000000" w:sz="4" w:space="0"/>
              <w:right w:val="single" w:color="000000" w:sz="4" w:space="0"/>
            </w:tcBorders>
            <w:noWrap/>
            <w:vAlign w:val="center"/>
          </w:tcPr>
          <w:p w14:paraId="241344DF">
            <w:pPr>
              <w:spacing w:after="160" w:line="360" w:lineRule="auto"/>
              <w:rPr>
                <w:rFonts w:hint="eastAsia" w:ascii="宋体" w:hAnsi="宋体"/>
                <w:sz w:val="24"/>
                <w:highlight w:val="none"/>
              </w:rPr>
            </w:pPr>
            <w:r>
              <w:rPr>
                <w:rFonts w:hint="eastAsia" w:ascii="宋体" w:hAnsi="宋体"/>
                <w:sz w:val="24"/>
                <w:highlight w:val="none"/>
              </w:rPr>
              <w:t>2</w:t>
            </w:r>
          </w:p>
        </w:tc>
        <w:tc>
          <w:tcPr>
            <w:tcW w:w="2355" w:type="dxa"/>
            <w:tcBorders>
              <w:top w:val="single" w:color="000000" w:sz="4" w:space="0"/>
              <w:left w:val="nil"/>
              <w:bottom w:val="single" w:color="000000" w:sz="4" w:space="0"/>
              <w:right w:val="single" w:color="000000" w:sz="4" w:space="0"/>
            </w:tcBorders>
            <w:noWrap/>
            <w:vAlign w:val="center"/>
          </w:tcPr>
          <w:p w14:paraId="1245EF7D">
            <w:pPr>
              <w:spacing w:after="160" w:line="360" w:lineRule="auto"/>
              <w:rPr>
                <w:rFonts w:hint="eastAsia" w:ascii="宋体" w:hAnsi="宋体"/>
                <w:sz w:val="24"/>
                <w:highlight w:val="none"/>
              </w:rPr>
            </w:pPr>
            <w:r>
              <w:rPr>
                <w:rFonts w:hint="eastAsia" w:ascii="宋体" w:hAnsi="宋体"/>
                <w:sz w:val="24"/>
                <w:highlight w:val="none"/>
              </w:rPr>
              <w:t>调节池提升泵</w:t>
            </w:r>
          </w:p>
        </w:tc>
        <w:tc>
          <w:tcPr>
            <w:tcW w:w="3923" w:type="dxa"/>
            <w:tcBorders>
              <w:top w:val="single" w:color="000000" w:sz="4" w:space="0"/>
              <w:left w:val="nil"/>
              <w:bottom w:val="single" w:color="000000" w:sz="4" w:space="0"/>
              <w:right w:val="single" w:color="000000" w:sz="4" w:space="0"/>
            </w:tcBorders>
            <w:noWrap/>
            <w:vAlign w:val="center"/>
          </w:tcPr>
          <w:p w14:paraId="20014509">
            <w:pPr>
              <w:spacing w:after="160" w:line="360" w:lineRule="auto"/>
              <w:rPr>
                <w:rFonts w:hint="eastAsia" w:ascii="宋体" w:hAnsi="宋体"/>
                <w:sz w:val="24"/>
                <w:highlight w:val="none"/>
              </w:rPr>
            </w:pPr>
            <w:r>
              <w:rPr>
                <w:rFonts w:hint="eastAsia" w:ascii="宋体" w:hAnsi="宋体"/>
                <w:sz w:val="24"/>
                <w:highlight w:val="none"/>
              </w:rPr>
              <w:t>Q=20m³/h，H=10m</w:t>
            </w:r>
          </w:p>
        </w:tc>
        <w:tc>
          <w:tcPr>
            <w:tcW w:w="850" w:type="dxa"/>
            <w:tcBorders>
              <w:top w:val="single" w:color="000000" w:sz="4" w:space="0"/>
              <w:left w:val="nil"/>
              <w:bottom w:val="single" w:color="000000" w:sz="4" w:space="0"/>
              <w:right w:val="single" w:color="000000" w:sz="4" w:space="0"/>
            </w:tcBorders>
            <w:noWrap/>
            <w:vAlign w:val="center"/>
          </w:tcPr>
          <w:p w14:paraId="6BC22DB4">
            <w:pPr>
              <w:spacing w:after="160" w:line="360" w:lineRule="auto"/>
              <w:rPr>
                <w:rFonts w:hint="eastAsia" w:ascii="宋体" w:hAnsi="宋体"/>
                <w:sz w:val="24"/>
                <w:highlight w:val="none"/>
              </w:rPr>
            </w:pPr>
            <w:r>
              <w:rPr>
                <w:rFonts w:hint="eastAsia" w:ascii="宋体" w:hAnsi="宋体"/>
                <w:sz w:val="24"/>
                <w:highlight w:val="none"/>
              </w:rPr>
              <w:t>台</w:t>
            </w:r>
          </w:p>
        </w:tc>
        <w:tc>
          <w:tcPr>
            <w:tcW w:w="567" w:type="dxa"/>
            <w:tcBorders>
              <w:top w:val="single" w:color="000000" w:sz="4" w:space="0"/>
              <w:left w:val="nil"/>
              <w:bottom w:val="single" w:color="000000" w:sz="4" w:space="0"/>
              <w:right w:val="single" w:color="000000" w:sz="4" w:space="0"/>
            </w:tcBorders>
            <w:noWrap/>
            <w:vAlign w:val="center"/>
          </w:tcPr>
          <w:p w14:paraId="13603E84">
            <w:pPr>
              <w:spacing w:after="160" w:line="360" w:lineRule="auto"/>
              <w:rPr>
                <w:rFonts w:hint="eastAsia" w:ascii="宋体" w:hAnsi="宋体"/>
                <w:sz w:val="24"/>
                <w:highlight w:val="none"/>
              </w:rPr>
            </w:pPr>
          </w:p>
        </w:tc>
        <w:tc>
          <w:tcPr>
            <w:tcW w:w="567" w:type="dxa"/>
            <w:tcBorders>
              <w:top w:val="single" w:color="000000" w:sz="4" w:space="0"/>
              <w:left w:val="nil"/>
              <w:bottom w:val="single" w:color="000000" w:sz="4" w:space="0"/>
              <w:right w:val="single" w:color="000000" w:sz="4" w:space="0"/>
            </w:tcBorders>
            <w:noWrap/>
            <w:vAlign w:val="center"/>
          </w:tcPr>
          <w:p w14:paraId="6E4B059F">
            <w:pPr>
              <w:spacing w:after="160" w:line="360" w:lineRule="auto"/>
              <w:rPr>
                <w:rFonts w:hint="eastAsia" w:ascii="宋体" w:hAnsi="宋体"/>
                <w:sz w:val="24"/>
                <w:highlight w:val="none"/>
              </w:rPr>
            </w:pPr>
            <w:r>
              <w:rPr>
                <w:rFonts w:hint="eastAsia" w:ascii="宋体" w:hAnsi="宋体"/>
                <w:sz w:val="24"/>
                <w:highlight w:val="none"/>
              </w:rPr>
              <w:t>2</w:t>
            </w:r>
          </w:p>
        </w:tc>
      </w:tr>
      <w:tr w14:paraId="20056BDC">
        <w:tblPrEx>
          <w:tblCellMar>
            <w:top w:w="0" w:type="dxa"/>
            <w:left w:w="108" w:type="dxa"/>
            <w:bottom w:w="0" w:type="dxa"/>
            <w:right w:w="108" w:type="dxa"/>
          </w:tblCellMar>
        </w:tblPrEx>
        <w:trPr>
          <w:trHeight w:val="695" w:hRule="atLeast"/>
        </w:trPr>
        <w:tc>
          <w:tcPr>
            <w:tcW w:w="1061" w:type="dxa"/>
            <w:tcBorders>
              <w:top w:val="single" w:color="000000" w:sz="4" w:space="0"/>
              <w:left w:val="single" w:color="000000" w:sz="4" w:space="0"/>
              <w:bottom w:val="single" w:color="000000" w:sz="4" w:space="0"/>
              <w:right w:val="single" w:color="000000" w:sz="4" w:space="0"/>
            </w:tcBorders>
            <w:noWrap/>
            <w:vAlign w:val="center"/>
          </w:tcPr>
          <w:p w14:paraId="25400C45">
            <w:pPr>
              <w:spacing w:after="160" w:line="360" w:lineRule="auto"/>
              <w:rPr>
                <w:rFonts w:hint="eastAsia" w:ascii="宋体" w:hAnsi="宋体"/>
                <w:sz w:val="24"/>
                <w:highlight w:val="none"/>
              </w:rPr>
            </w:pPr>
            <w:r>
              <w:rPr>
                <w:rFonts w:hint="eastAsia" w:ascii="宋体" w:hAnsi="宋体"/>
                <w:sz w:val="24"/>
                <w:highlight w:val="none"/>
              </w:rPr>
              <w:t>3</w:t>
            </w:r>
          </w:p>
        </w:tc>
        <w:tc>
          <w:tcPr>
            <w:tcW w:w="2355" w:type="dxa"/>
            <w:tcBorders>
              <w:top w:val="single" w:color="000000" w:sz="4" w:space="0"/>
              <w:left w:val="nil"/>
              <w:bottom w:val="single" w:color="000000" w:sz="4" w:space="0"/>
              <w:right w:val="single" w:color="000000" w:sz="4" w:space="0"/>
            </w:tcBorders>
            <w:noWrap/>
            <w:vAlign w:val="center"/>
          </w:tcPr>
          <w:p w14:paraId="25237DD9">
            <w:pPr>
              <w:spacing w:after="160" w:line="360" w:lineRule="auto"/>
              <w:rPr>
                <w:rFonts w:hint="eastAsia" w:ascii="宋体" w:hAnsi="宋体"/>
                <w:sz w:val="24"/>
                <w:highlight w:val="none"/>
              </w:rPr>
            </w:pPr>
            <w:r>
              <w:rPr>
                <w:rFonts w:hint="eastAsia" w:ascii="宋体" w:hAnsi="宋体"/>
                <w:sz w:val="24"/>
                <w:highlight w:val="none"/>
              </w:rPr>
              <w:t>鼓风机</w:t>
            </w:r>
          </w:p>
        </w:tc>
        <w:tc>
          <w:tcPr>
            <w:tcW w:w="3923" w:type="dxa"/>
            <w:tcBorders>
              <w:top w:val="single" w:color="000000" w:sz="4" w:space="0"/>
              <w:left w:val="nil"/>
              <w:bottom w:val="single" w:color="000000" w:sz="4" w:space="0"/>
              <w:right w:val="single" w:color="000000" w:sz="4" w:space="0"/>
            </w:tcBorders>
            <w:noWrap/>
            <w:vAlign w:val="center"/>
          </w:tcPr>
          <w:p w14:paraId="5D9FABF2">
            <w:pPr>
              <w:spacing w:line="360" w:lineRule="auto"/>
              <w:rPr>
                <w:rFonts w:hint="eastAsia" w:ascii="宋体" w:hAnsi="宋体"/>
                <w:sz w:val="24"/>
                <w:highlight w:val="none"/>
              </w:rPr>
            </w:pPr>
            <w:r>
              <w:rPr>
                <w:rFonts w:hint="eastAsia" w:ascii="宋体" w:hAnsi="宋体"/>
                <w:sz w:val="24"/>
                <w:highlight w:val="none"/>
              </w:rPr>
              <w:t>Q=2.87m³/min，P=44.1kpa,</w:t>
            </w:r>
          </w:p>
          <w:p w14:paraId="51945302">
            <w:pPr>
              <w:spacing w:line="360" w:lineRule="auto"/>
              <w:rPr>
                <w:rFonts w:hint="eastAsia" w:ascii="宋体" w:hAnsi="宋体"/>
                <w:sz w:val="24"/>
                <w:highlight w:val="none"/>
              </w:rPr>
            </w:pPr>
            <w:r>
              <w:rPr>
                <w:rFonts w:ascii="宋体" w:hAnsi="宋体"/>
                <w:sz w:val="24"/>
                <w:highlight w:val="none"/>
              </w:rPr>
              <w:t>N=18.5kw</w:t>
            </w:r>
          </w:p>
        </w:tc>
        <w:tc>
          <w:tcPr>
            <w:tcW w:w="850" w:type="dxa"/>
            <w:tcBorders>
              <w:top w:val="single" w:color="000000" w:sz="4" w:space="0"/>
              <w:left w:val="nil"/>
              <w:bottom w:val="single" w:color="000000" w:sz="4" w:space="0"/>
              <w:right w:val="single" w:color="000000" w:sz="4" w:space="0"/>
            </w:tcBorders>
            <w:noWrap/>
            <w:vAlign w:val="center"/>
          </w:tcPr>
          <w:p w14:paraId="42414360">
            <w:pPr>
              <w:spacing w:after="160" w:line="360" w:lineRule="auto"/>
              <w:rPr>
                <w:rFonts w:hint="eastAsia" w:ascii="宋体" w:hAnsi="宋体"/>
                <w:sz w:val="24"/>
                <w:highlight w:val="none"/>
              </w:rPr>
            </w:pPr>
            <w:r>
              <w:rPr>
                <w:rFonts w:hint="eastAsia" w:ascii="宋体" w:hAnsi="宋体"/>
                <w:sz w:val="24"/>
                <w:highlight w:val="none"/>
              </w:rPr>
              <w:t>台</w:t>
            </w:r>
          </w:p>
        </w:tc>
        <w:tc>
          <w:tcPr>
            <w:tcW w:w="567" w:type="dxa"/>
            <w:tcBorders>
              <w:top w:val="single" w:color="000000" w:sz="4" w:space="0"/>
              <w:left w:val="nil"/>
              <w:bottom w:val="single" w:color="000000" w:sz="4" w:space="0"/>
              <w:right w:val="single" w:color="000000" w:sz="4" w:space="0"/>
            </w:tcBorders>
            <w:noWrap/>
            <w:vAlign w:val="center"/>
          </w:tcPr>
          <w:p w14:paraId="5CC296EF">
            <w:pPr>
              <w:spacing w:after="160" w:line="360" w:lineRule="auto"/>
              <w:rPr>
                <w:rFonts w:hint="eastAsia" w:ascii="宋体" w:hAnsi="宋体"/>
                <w:sz w:val="24"/>
                <w:highlight w:val="none"/>
              </w:rPr>
            </w:pPr>
          </w:p>
        </w:tc>
        <w:tc>
          <w:tcPr>
            <w:tcW w:w="567" w:type="dxa"/>
            <w:tcBorders>
              <w:top w:val="single" w:color="000000" w:sz="4" w:space="0"/>
              <w:left w:val="nil"/>
              <w:bottom w:val="single" w:color="000000" w:sz="4" w:space="0"/>
              <w:right w:val="single" w:color="000000" w:sz="4" w:space="0"/>
            </w:tcBorders>
            <w:noWrap/>
            <w:vAlign w:val="center"/>
          </w:tcPr>
          <w:p w14:paraId="30253F98">
            <w:pPr>
              <w:spacing w:after="160" w:line="360" w:lineRule="auto"/>
              <w:rPr>
                <w:rFonts w:hint="eastAsia" w:ascii="宋体" w:hAnsi="宋体"/>
                <w:sz w:val="24"/>
                <w:highlight w:val="none"/>
              </w:rPr>
            </w:pPr>
            <w:r>
              <w:rPr>
                <w:rFonts w:hint="eastAsia" w:ascii="宋体" w:hAnsi="宋体"/>
                <w:sz w:val="24"/>
                <w:highlight w:val="none"/>
              </w:rPr>
              <w:t>2</w:t>
            </w:r>
          </w:p>
        </w:tc>
      </w:tr>
      <w:tr w14:paraId="67DD7579">
        <w:tblPrEx>
          <w:tblCellMar>
            <w:top w:w="0" w:type="dxa"/>
            <w:left w:w="108" w:type="dxa"/>
            <w:bottom w:w="0" w:type="dxa"/>
            <w:right w:w="108" w:type="dxa"/>
          </w:tblCellMar>
        </w:tblPrEx>
        <w:trPr>
          <w:trHeight w:val="285" w:hRule="atLeast"/>
        </w:trPr>
        <w:tc>
          <w:tcPr>
            <w:tcW w:w="1061" w:type="dxa"/>
            <w:tcBorders>
              <w:top w:val="single" w:color="000000" w:sz="4" w:space="0"/>
              <w:left w:val="single" w:color="000000" w:sz="4" w:space="0"/>
              <w:bottom w:val="single" w:color="000000" w:sz="4" w:space="0"/>
              <w:right w:val="single" w:color="000000" w:sz="4" w:space="0"/>
            </w:tcBorders>
            <w:noWrap/>
            <w:vAlign w:val="center"/>
          </w:tcPr>
          <w:p w14:paraId="0B078EE6">
            <w:pPr>
              <w:spacing w:after="160" w:line="360" w:lineRule="auto"/>
              <w:rPr>
                <w:rFonts w:hint="eastAsia" w:ascii="宋体" w:hAnsi="宋体"/>
                <w:sz w:val="24"/>
                <w:highlight w:val="none"/>
              </w:rPr>
            </w:pPr>
            <w:r>
              <w:rPr>
                <w:rFonts w:hint="eastAsia" w:ascii="宋体" w:hAnsi="宋体"/>
                <w:sz w:val="24"/>
                <w:highlight w:val="none"/>
              </w:rPr>
              <w:t>4</w:t>
            </w:r>
          </w:p>
        </w:tc>
        <w:tc>
          <w:tcPr>
            <w:tcW w:w="2355" w:type="dxa"/>
            <w:tcBorders>
              <w:top w:val="single" w:color="000000" w:sz="4" w:space="0"/>
              <w:left w:val="nil"/>
              <w:bottom w:val="single" w:color="000000" w:sz="4" w:space="0"/>
              <w:right w:val="single" w:color="000000" w:sz="4" w:space="0"/>
            </w:tcBorders>
            <w:noWrap/>
            <w:vAlign w:val="center"/>
          </w:tcPr>
          <w:p w14:paraId="3C01B4F8">
            <w:pPr>
              <w:spacing w:after="160" w:line="360" w:lineRule="auto"/>
              <w:rPr>
                <w:rFonts w:hint="eastAsia" w:ascii="宋体" w:hAnsi="宋体"/>
                <w:sz w:val="24"/>
                <w:highlight w:val="none"/>
              </w:rPr>
            </w:pPr>
            <w:r>
              <w:rPr>
                <w:rFonts w:hint="eastAsia" w:ascii="宋体" w:hAnsi="宋体"/>
                <w:sz w:val="24"/>
                <w:highlight w:val="none"/>
              </w:rPr>
              <w:t>污泥回流泵</w:t>
            </w:r>
          </w:p>
        </w:tc>
        <w:tc>
          <w:tcPr>
            <w:tcW w:w="3923" w:type="dxa"/>
            <w:tcBorders>
              <w:top w:val="single" w:color="000000" w:sz="4" w:space="0"/>
              <w:left w:val="nil"/>
              <w:bottom w:val="single" w:color="000000" w:sz="4" w:space="0"/>
              <w:right w:val="single" w:color="000000" w:sz="4" w:space="0"/>
            </w:tcBorders>
            <w:noWrap/>
            <w:vAlign w:val="center"/>
          </w:tcPr>
          <w:p w14:paraId="28885667">
            <w:pPr>
              <w:spacing w:after="160" w:line="360" w:lineRule="auto"/>
              <w:rPr>
                <w:rFonts w:hint="eastAsia" w:ascii="宋体" w:hAnsi="宋体"/>
                <w:sz w:val="24"/>
                <w:highlight w:val="none"/>
              </w:rPr>
            </w:pPr>
            <w:r>
              <w:rPr>
                <w:rFonts w:hint="eastAsia" w:ascii="宋体" w:hAnsi="宋体"/>
                <w:sz w:val="24"/>
                <w:highlight w:val="none"/>
              </w:rPr>
              <w:t>Q=20m³/h，H=10m</w:t>
            </w:r>
          </w:p>
        </w:tc>
        <w:tc>
          <w:tcPr>
            <w:tcW w:w="850" w:type="dxa"/>
            <w:tcBorders>
              <w:top w:val="single" w:color="000000" w:sz="4" w:space="0"/>
              <w:left w:val="nil"/>
              <w:bottom w:val="single" w:color="000000" w:sz="4" w:space="0"/>
              <w:right w:val="single" w:color="000000" w:sz="4" w:space="0"/>
            </w:tcBorders>
            <w:noWrap/>
            <w:vAlign w:val="center"/>
          </w:tcPr>
          <w:p w14:paraId="11676BC3">
            <w:pPr>
              <w:spacing w:after="160" w:line="360" w:lineRule="auto"/>
              <w:rPr>
                <w:rFonts w:hint="eastAsia" w:ascii="宋体" w:hAnsi="宋体"/>
                <w:sz w:val="24"/>
                <w:highlight w:val="none"/>
              </w:rPr>
            </w:pPr>
            <w:r>
              <w:rPr>
                <w:rFonts w:hint="eastAsia" w:ascii="宋体" w:hAnsi="宋体"/>
                <w:sz w:val="24"/>
                <w:highlight w:val="none"/>
              </w:rPr>
              <w:t>台</w:t>
            </w:r>
          </w:p>
        </w:tc>
        <w:tc>
          <w:tcPr>
            <w:tcW w:w="567" w:type="dxa"/>
            <w:tcBorders>
              <w:top w:val="single" w:color="000000" w:sz="4" w:space="0"/>
              <w:left w:val="nil"/>
              <w:bottom w:val="single" w:color="000000" w:sz="4" w:space="0"/>
              <w:right w:val="single" w:color="000000" w:sz="4" w:space="0"/>
            </w:tcBorders>
            <w:noWrap/>
            <w:vAlign w:val="center"/>
          </w:tcPr>
          <w:p w14:paraId="479DD01C">
            <w:pPr>
              <w:spacing w:after="160" w:line="360" w:lineRule="auto"/>
              <w:rPr>
                <w:rFonts w:hint="eastAsia" w:ascii="宋体" w:hAnsi="宋体"/>
                <w:sz w:val="24"/>
                <w:highlight w:val="none"/>
              </w:rPr>
            </w:pPr>
          </w:p>
        </w:tc>
        <w:tc>
          <w:tcPr>
            <w:tcW w:w="567" w:type="dxa"/>
            <w:tcBorders>
              <w:top w:val="single" w:color="000000" w:sz="4" w:space="0"/>
              <w:left w:val="nil"/>
              <w:bottom w:val="single" w:color="000000" w:sz="4" w:space="0"/>
              <w:right w:val="single" w:color="000000" w:sz="4" w:space="0"/>
            </w:tcBorders>
            <w:noWrap/>
            <w:vAlign w:val="center"/>
          </w:tcPr>
          <w:p w14:paraId="0C45ABD3">
            <w:pPr>
              <w:spacing w:after="160" w:line="360" w:lineRule="auto"/>
              <w:rPr>
                <w:rFonts w:hint="eastAsia" w:ascii="宋体" w:hAnsi="宋体"/>
                <w:sz w:val="24"/>
                <w:highlight w:val="none"/>
              </w:rPr>
            </w:pPr>
            <w:r>
              <w:rPr>
                <w:rFonts w:hint="eastAsia" w:ascii="宋体" w:hAnsi="宋体"/>
                <w:sz w:val="24"/>
                <w:highlight w:val="none"/>
              </w:rPr>
              <w:t>2</w:t>
            </w:r>
          </w:p>
        </w:tc>
      </w:tr>
      <w:tr w14:paraId="1010D1A8">
        <w:tblPrEx>
          <w:tblCellMar>
            <w:top w:w="0" w:type="dxa"/>
            <w:left w:w="108" w:type="dxa"/>
            <w:bottom w:w="0" w:type="dxa"/>
            <w:right w:w="108" w:type="dxa"/>
          </w:tblCellMar>
        </w:tblPrEx>
        <w:trPr>
          <w:trHeight w:val="855" w:hRule="atLeast"/>
        </w:trPr>
        <w:tc>
          <w:tcPr>
            <w:tcW w:w="1061" w:type="dxa"/>
            <w:tcBorders>
              <w:top w:val="single" w:color="000000" w:sz="4" w:space="0"/>
              <w:left w:val="single" w:color="000000" w:sz="4" w:space="0"/>
              <w:bottom w:val="single" w:color="000000" w:sz="4" w:space="0"/>
              <w:right w:val="single" w:color="000000" w:sz="4" w:space="0"/>
            </w:tcBorders>
            <w:noWrap/>
            <w:vAlign w:val="center"/>
          </w:tcPr>
          <w:p w14:paraId="35F08929">
            <w:pPr>
              <w:spacing w:after="160" w:line="360" w:lineRule="auto"/>
              <w:rPr>
                <w:rFonts w:hint="eastAsia" w:ascii="宋体" w:hAnsi="宋体"/>
                <w:sz w:val="24"/>
                <w:highlight w:val="none"/>
              </w:rPr>
            </w:pPr>
            <w:r>
              <w:rPr>
                <w:rFonts w:hint="eastAsia" w:ascii="宋体" w:hAnsi="宋体"/>
                <w:sz w:val="24"/>
                <w:highlight w:val="none"/>
              </w:rPr>
              <w:t>5</w:t>
            </w:r>
          </w:p>
        </w:tc>
        <w:tc>
          <w:tcPr>
            <w:tcW w:w="2355" w:type="dxa"/>
            <w:tcBorders>
              <w:top w:val="single" w:color="000000" w:sz="4" w:space="0"/>
              <w:left w:val="nil"/>
              <w:bottom w:val="single" w:color="000000" w:sz="4" w:space="0"/>
              <w:right w:val="single" w:color="000000" w:sz="4" w:space="0"/>
            </w:tcBorders>
            <w:noWrap/>
            <w:vAlign w:val="center"/>
          </w:tcPr>
          <w:p w14:paraId="67CABA71">
            <w:pPr>
              <w:spacing w:after="160" w:line="360" w:lineRule="auto"/>
              <w:rPr>
                <w:rFonts w:hint="eastAsia" w:ascii="宋体" w:hAnsi="宋体"/>
                <w:sz w:val="24"/>
                <w:highlight w:val="none"/>
              </w:rPr>
            </w:pPr>
            <w:r>
              <w:rPr>
                <w:rFonts w:hint="eastAsia" w:ascii="宋体" w:hAnsi="宋体"/>
                <w:sz w:val="24"/>
                <w:highlight w:val="none"/>
              </w:rPr>
              <w:t xml:space="preserve">反冲洗泵 </w:t>
            </w:r>
          </w:p>
        </w:tc>
        <w:tc>
          <w:tcPr>
            <w:tcW w:w="3923" w:type="dxa"/>
            <w:tcBorders>
              <w:top w:val="single" w:color="000000" w:sz="4" w:space="0"/>
              <w:left w:val="nil"/>
              <w:bottom w:val="single" w:color="000000" w:sz="4" w:space="0"/>
              <w:right w:val="single" w:color="000000" w:sz="4" w:space="0"/>
            </w:tcBorders>
            <w:noWrap/>
            <w:vAlign w:val="center"/>
          </w:tcPr>
          <w:p w14:paraId="675F6501">
            <w:pPr>
              <w:spacing w:after="160" w:line="360" w:lineRule="auto"/>
              <w:rPr>
                <w:rFonts w:hint="eastAsia" w:ascii="宋体" w:hAnsi="宋体"/>
                <w:sz w:val="24"/>
                <w:highlight w:val="none"/>
              </w:rPr>
            </w:pPr>
            <w:r>
              <w:rPr>
                <w:rFonts w:hint="eastAsia" w:ascii="宋体" w:hAnsi="宋体"/>
                <w:sz w:val="24"/>
                <w:highlight w:val="none"/>
              </w:rPr>
              <w:t>Q=20m³/h，H=10m</w:t>
            </w:r>
          </w:p>
        </w:tc>
        <w:tc>
          <w:tcPr>
            <w:tcW w:w="850" w:type="dxa"/>
            <w:tcBorders>
              <w:top w:val="single" w:color="000000" w:sz="4" w:space="0"/>
              <w:left w:val="nil"/>
              <w:bottom w:val="single" w:color="000000" w:sz="4" w:space="0"/>
              <w:right w:val="single" w:color="000000" w:sz="4" w:space="0"/>
            </w:tcBorders>
            <w:noWrap/>
            <w:vAlign w:val="center"/>
          </w:tcPr>
          <w:p w14:paraId="51B2BD0A">
            <w:pPr>
              <w:spacing w:after="160" w:line="360" w:lineRule="auto"/>
              <w:rPr>
                <w:rFonts w:hint="eastAsia" w:ascii="宋体" w:hAnsi="宋体"/>
                <w:sz w:val="24"/>
                <w:highlight w:val="none"/>
              </w:rPr>
            </w:pPr>
            <w:r>
              <w:rPr>
                <w:rFonts w:hint="eastAsia" w:ascii="宋体" w:hAnsi="宋体"/>
                <w:sz w:val="24"/>
                <w:highlight w:val="none"/>
              </w:rPr>
              <w:t>台</w:t>
            </w:r>
          </w:p>
        </w:tc>
        <w:tc>
          <w:tcPr>
            <w:tcW w:w="567" w:type="dxa"/>
            <w:tcBorders>
              <w:top w:val="single" w:color="000000" w:sz="4" w:space="0"/>
              <w:left w:val="nil"/>
              <w:bottom w:val="single" w:color="000000" w:sz="4" w:space="0"/>
              <w:right w:val="single" w:color="000000" w:sz="4" w:space="0"/>
            </w:tcBorders>
            <w:noWrap/>
            <w:vAlign w:val="center"/>
          </w:tcPr>
          <w:p w14:paraId="510B1521">
            <w:pPr>
              <w:spacing w:after="160" w:line="360" w:lineRule="auto"/>
              <w:rPr>
                <w:rFonts w:hint="eastAsia" w:ascii="宋体" w:hAnsi="宋体"/>
                <w:sz w:val="24"/>
                <w:highlight w:val="none"/>
              </w:rPr>
            </w:pPr>
          </w:p>
        </w:tc>
        <w:tc>
          <w:tcPr>
            <w:tcW w:w="567" w:type="dxa"/>
            <w:tcBorders>
              <w:top w:val="single" w:color="000000" w:sz="4" w:space="0"/>
              <w:left w:val="nil"/>
              <w:bottom w:val="single" w:color="000000" w:sz="4" w:space="0"/>
              <w:right w:val="single" w:color="000000" w:sz="4" w:space="0"/>
            </w:tcBorders>
            <w:noWrap/>
            <w:vAlign w:val="center"/>
          </w:tcPr>
          <w:p w14:paraId="31366D6E">
            <w:pPr>
              <w:spacing w:after="160" w:line="360" w:lineRule="auto"/>
              <w:rPr>
                <w:rFonts w:hint="eastAsia" w:ascii="宋体" w:hAnsi="宋体"/>
                <w:sz w:val="24"/>
                <w:highlight w:val="none"/>
              </w:rPr>
            </w:pPr>
            <w:r>
              <w:rPr>
                <w:rFonts w:hint="eastAsia" w:ascii="宋体" w:hAnsi="宋体"/>
                <w:sz w:val="24"/>
                <w:highlight w:val="none"/>
              </w:rPr>
              <w:t>1</w:t>
            </w:r>
          </w:p>
        </w:tc>
      </w:tr>
      <w:tr w14:paraId="11B62402">
        <w:tblPrEx>
          <w:tblCellMar>
            <w:top w:w="0" w:type="dxa"/>
            <w:left w:w="108" w:type="dxa"/>
            <w:bottom w:w="0" w:type="dxa"/>
            <w:right w:w="108" w:type="dxa"/>
          </w:tblCellMar>
        </w:tblPrEx>
        <w:trPr>
          <w:trHeight w:val="855" w:hRule="atLeast"/>
        </w:trPr>
        <w:tc>
          <w:tcPr>
            <w:tcW w:w="1061" w:type="dxa"/>
            <w:tcBorders>
              <w:top w:val="single" w:color="000000" w:sz="4" w:space="0"/>
              <w:left w:val="single" w:color="000000" w:sz="4" w:space="0"/>
              <w:bottom w:val="single" w:color="000000" w:sz="4" w:space="0"/>
              <w:right w:val="single" w:color="000000" w:sz="4" w:space="0"/>
            </w:tcBorders>
            <w:noWrap/>
            <w:vAlign w:val="center"/>
          </w:tcPr>
          <w:p w14:paraId="7047D273">
            <w:pPr>
              <w:spacing w:after="160" w:line="360" w:lineRule="auto"/>
              <w:rPr>
                <w:rFonts w:hint="eastAsia" w:ascii="宋体" w:hAnsi="宋体"/>
                <w:sz w:val="24"/>
                <w:highlight w:val="none"/>
              </w:rPr>
            </w:pPr>
            <w:r>
              <w:rPr>
                <w:rFonts w:hint="eastAsia" w:ascii="宋体" w:hAnsi="宋体"/>
                <w:sz w:val="24"/>
                <w:highlight w:val="none"/>
              </w:rPr>
              <w:t>6</w:t>
            </w:r>
          </w:p>
        </w:tc>
        <w:tc>
          <w:tcPr>
            <w:tcW w:w="2355" w:type="dxa"/>
            <w:tcBorders>
              <w:top w:val="single" w:color="000000" w:sz="4" w:space="0"/>
              <w:left w:val="nil"/>
              <w:bottom w:val="single" w:color="000000" w:sz="4" w:space="0"/>
              <w:right w:val="single" w:color="000000" w:sz="4" w:space="0"/>
            </w:tcBorders>
            <w:noWrap/>
            <w:vAlign w:val="center"/>
          </w:tcPr>
          <w:p w14:paraId="0E617D5E">
            <w:pPr>
              <w:spacing w:after="160" w:line="360" w:lineRule="auto"/>
              <w:rPr>
                <w:rFonts w:hint="eastAsia" w:ascii="宋体" w:hAnsi="宋体"/>
                <w:sz w:val="24"/>
                <w:highlight w:val="none"/>
              </w:rPr>
            </w:pPr>
            <w:r>
              <w:rPr>
                <w:rFonts w:hint="eastAsia" w:ascii="宋体" w:hAnsi="宋体"/>
                <w:sz w:val="24"/>
                <w:highlight w:val="none"/>
              </w:rPr>
              <w:t>污泥泵</w:t>
            </w:r>
          </w:p>
        </w:tc>
        <w:tc>
          <w:tcPr>
            <w:tcW w:w="3923" w:type="dxa"/>
            <w:tcBorders>
              <w:top w:val="single" w:color="000000" w:sz="4" w:space="0"/>
              <w:left w:val="nil"/>
              <w:bottom w:val="single" w:color="000000" w:sz="4" w:space="0"/>
              <w:right w:val="single" w:color="000000" w:sz="4" w:space="0"/>
            </w:tcBorders>
            <w:noWrap/>
            <w:vAlign w:val="center"/>
          </w:tcPr>
          <w:p w14:paraId="4D132EBA">
            <w:pPr>
              <w:spacing w:after="160" w:line="360" w:lineRule="auto"/>
              <w:rPr>
                <w:rFonts w:hint="eastAsia" w:ascii="宋体" w:hAnsi="宋体"/>
                <w:sz w:val="24"/>
                <w:highlight w:val="none"/>
              </w:rPr>
            </w:pPr>
            <w:r>
              <w:rPr>
                <w:rFonts w:hint="eastAsia" w:ascii="宋体" w:hAnsi="宋体"/>
                <w:sz w:val="24"/>
                <w:highlight w:val="none"/>
              </w:rPr>
              <w:t>Q=20m³/h，H=10m</w:t>
            </w:r>
          </w:p>
        </w:tc>
        <w:tc>
          <w:tcPr>
            <w:tcW w:w="850" w:type="dxa"/>
            <w:tcBorders>
              <w:top w:val="single" w:color="000000" w:sz="4" w:space="0"/>
              <w:left w:val="nil"/>
              <w:bottom w:val="single" w:color="000000" w:sz="4" w:space="0"/>
              <w:right w:val="single" w:color="000000" w:sz="4" w:space="0"/>
            </w:tcBorders>
            <w:noWrap/>
            <w:vAlign w:val="center"/>
          </w:tcPr>
          <w:p w14:paraId="73F47C85">
            <w:pPr>
              <w:spacing w:after="160" w:line="360" w:lineRule="auto"/>
              <w:rPr>
                <w:rFonts w:hint="eastAsia" w:ascii="宋体" w:hAnsi="宋体"/>
                <w:sz w:val="24"/>
                <w:highlight w:val="none"/>
              </w:rPr>
            </w:pPr>
            <w:r>
              <w:rPr>
                <w:rFonts w:hint="eastAsia" w:ascii="宋体" w:hAnsi="宋体"/>
                <w:sz w:val="24"/>
                <w:highlight w:val="none"/>
              </w:rPr>
              <w:t>台</w:t>
            </w:r>
          </w:p>
        </w:tc>
        <w:tc>
          <w:tcPr>
            <w:tcW w:w="567" w:type="dxa"/>
            <w:tcBorders>
              <w:top w:val="single" w:color="000000" w:sz="4" w:space="0"/>
              <w:left w:val="nil"/>
              <w:bottom w:val="single" w:color="000000" w:sz="4" w:space="0"/>
              <w:right w:val="single" w:color="000000" w:sz="4" w:space="0"/>
            </w:tcBorders>
            <w:noWrap/>
            <w:vAlign w:val="center"/>
          </w:tcPr>
          <w:p w14:paraId="0559EA30">
            <w:pPr>
              <w:spacing w:after="160" w:line="360" w:lineRule="auto"/>
              <w:rPr>
                <w:rFonts w:hint="eastAsia" w:ascii="宋体" w:hAnsi="宋体"/>
                <w:sz w:val="24"/>
                <w:highlight w:val="none"/>
              </w:rPr>
            </w:pPr>
          </w:p>
        </w:tc>
        <w:tc>
          <w:tcPr>
            <w:tcW w:w="567" w:type="dxa"/>
            <w:tcBorders>
              <w:top w:val="single" w:color="000000" w:sz="4" w:space="0"/>
              <w:left w:val="nil"/>
              <w:bottom w:val="single" w:color="000000" w:sz="4" w:space="0"/>
              <w:right w:val="single" w:color="000000" w:sz="4" w:space="0"/>
            </w:tcBorders>
            <w:noWrap/>
            <w:vAlign w:val="center"/>
          </w:tcPr>
          <w:p w14:paraId="6579EE41">
            <w:pPr>
              <w:spacing w:after="160" w:line="360" w:lineRule="auto"/>
              <w:rPr>
                <w:rFonts w:hint="eastAsia" w:ascii="宋体" w:hAnsi="宋体"/>
                <w:sz w:val="24"/>
                <w:highlight w:val="none"/>
              </w:rPr>
            </w:pPr>
            <w:r>
              <w:rPr>
                <w:rFonts w:hint="eastAsia" w:ascii="宋体" w:hAnsi="宋体"/>
                <w:sz w:val="24"/>
                <w:highlight w:val="none"/>
              </w:rPr>
              <w:t>2</w:t>
            </w:r>
          </w:p>
        </w:tc>
      </w:tr>
      <w:tr w14:paraId="0B7465C7">
        <w:tblPrEx>
          <w:tblCellMar>
            <w:top w:w="0" w:type="dxa"/>
            <w:left w:w="108" w:type="dxa"/>
            <w:bottom w:w="0" w:type="dxa"/>
            <w:right w:w="108" w:type="dxa"/>
          </w:tblCellMar>
        </w:tblPrEx>
        <w:trPr>
          <w:trHeight w:val="855" w:hRule="atLeast"/>
        </w:trPr>
        <w:tc>
          <w:tcPr>
            <w:tcW w:w="1061" w:type="dxa"/>
            <w:tcBorders>
              <w:top w:val="single" w:color="000000" w:sz="4" w:space="0"/>
              <w:left w:val="single" w:color="000000" w:sz="4" w:space="0"/>
              <w:bottom w:val="single" w:color="000000" w:sz="4" w:space="0"/>
              <w:right w:val="single" w:color="000000" w:sz="4" w:space="0"/>
            </w:tcBorders>
            <w:noWrap/>
            <w:vAlign w:val="center"/>
          </w:tcPr>
          <w:p w14:paraId="139025E3">
            <w:pPr>
              <w:spacing w:after="160" w:line="360" w:lineRule="auto"/>
              <w:rPr>
                <w:rFonts w:hint="eastAsia" w:ascii="宋体" w:hAnsi="宋体"/>
                <w:sz w:val="24"/>
                <w:highlight w:val="none"/>
              </w:rPr>
            </w:pPr>
            <w:r>
              <w:rPr>
                <w:rFonts w:hint="eastAsia" w:ascii="宋体" w:hAnsi="宋体"/>
                <w:sz w:val="24"/>
                <w:highlight w:val="none"/>
              </w:rPr>
              <w:t>7</w:t>
            </w:r>
          </w:p>
        </w:tc>
        <w:tc>
          <w:tcPr>
            <w:tcW w:w="2355" w:type="dxa"/>
            <w:tcBorders>
              <w:top w:val="single" w:color="000000" w:sz="4" w:space="0"/>
              <w:left w:val="nil"/>
              <w:bottom w:val="single" w:color="000000" w:sz="4" w:space="0"/>
              <w:right w:val="single" w:color="000000" w:sz="4" w:space="0"/>
            </w:tcBorders>
            <w:noWrap/>
            <w:vAlign w:val="center"/>
          </w:tcPr>
          <w:p w14:paraId="1C0A420B">
            <w:pPr>
              <w:spacing w:after="160" w:line="360" w:lineRule="auto"/>
              <w:rPr>
                <w:rFonts w:hint="eastAsia" w:ascii="宋体" w:hAnsi="宋体"/>
                <w:sz w:val="24"/>
                <w:highlight w:val="none"/>
              </w:rPr>
            </w:pPr>
            <w:r>
              <w:rPr>
                <w:rFonts w:hint="eastAsia" w:ascii="宋体" w:hAnsi="宋体"/>
                <w:sz w:val="24"/>
                <w:highlight w:val="none"/>
              </w:rPr>
              <w:t>搅拌机</w:t>
            </w:r>
          </w:p>
        </w:tc>
        <w:tc>
          <w:tcPr>
            <w:tcW w:w="3923" w:type="dxa"/>
            <w:tcBorders>
              <w:top w:val="single" w:color="000000" w:sz="4" w:space="0"/>
              <w:left w:val="nil"/>
              <w:bottom w:val="single" w:color="000000" w:sz="4" w:space="0"/>
              <w:right w:val="single" w:color="000000" w:sz="4" w:space="0"/>
            </w:tcBorders>
            <w:noWrap/>
            <w:vAlign w:val="center"/>
          </w:tcPr>
          <w:p w14:paraId="50946BE6">
            <w:pPr>
              <w:spacing w:after="160" w:line="360" w:lineRule="auto"/>
              <w:rPr>
                <w:rFonts w:hint="eastAsia" w:ascii="宋体" w:hAnsi="宋体"/>
                <w:sz w:val="24"/>
                <w:highlight w:val="none"/>
              </w:rPr>
            </w:pPr>
            <w:r>
              <w:rPr>
                <w:rFonts w:hint="eastAsia" w:ascii="宋体" w:hAnsi="宋体"/>
                <w:sz w:val="24"/>
                <w:highlight w:val="none"/>
              </w:rPr>
              <w:t>0</w:t>
            </w:r>
            <w:r>
              <w:rPr>
                <w:rFonts w:ascii="宋体" w:hAnsi="宋体"/>
                <w:sz w:val="24"/>
                <w:highlight w:val="none"/>
              </w:rPr>
              <w:t>.75kW/380v</w:t>
            </w:r>
          </w:p>
        </w:tc>
        <w:tc>
          <w:tcPr>
            <w:tcW w:w="850" w:type="dxa"/>
            <w:tcBorders>
              <w:top w:val="single" w:color="000000" w:sz="4" w:space="0"/>
              <w:left w:val="nil"/>
              <w:bottom w:val="single" w:color="000000" w:sz="4" w:space="0"/>
              <w:right w:val="single" w:color="000000" w:sz="4" w:space="0"/>
            </w:tcBorders>
            <w:noWrap/>
            <w:vAlign w:val="center"/>
          </w:tcPr>
          <w:p w14:paraId="68FC3077">
            <w:pPr>
              <w:spacing w:after="160" w:line="360" w:lineRule="auto"/>
              <w:rPr>
                <w:rFonts w:hint="eastAsia" w:ascii="宋体" w:hAnsi="宋体"/>
                <w:sz w:val="24"/>
                <w:highlight w:val="none"/>
              </w:rPr>
            </w:pPr>
            <w:r>
              <w:rPr>
                <w:rFonts w:hint="eastAsia" w:ascii="宋体" w:hAnsi="宋体"/>
                <w:sz w:val="24"/>
                <w:highlight w:val="none"/>
              </w:rPr>
              <w:t>台</w:t>
            </w:r>
          </w:p>
        </w:tc>
        <w:tc>
          <w:tcPr>
            <w:tcW w:w="567" w:type="dxa"/>
            <w:tcBorders>
              <w:top w:val="single" w:color="000000" w:sz="4" w:space="0"/>
              <w:left w:val="nil"/>
              <w:bottom w:val="single" w:color="000000" w:sz="4" w:space="0"/>
              <w:right w:val="single" w:color="000000" w:sz="4" w:space="0"/>
            </w:tcBorders>
            <w:noWrap/>
            <w:vAlign w:val="center"/>
          </w:tcPr>
          <w:p w14:paraId="2DDC443C">
            <w:pPr>
              <w:spacing w:after="160" w:line="360" w:lineRule="auto"/>
              <w:rPr>
                <w:rFonts w:hint="eastAsia" w:ascii="宋体" w:hAnsi="宋体"/>
                <w:sz w:val="24"/>
                <w:highlight w:val="none"/>
              </w:rPr>
            </w:pPr>
          </w:p>
        </w:tc>
        <w:tc>
          <w:tcPr>
            <w:tcW w:w="567" w:type="dxa"/>
            <w:tcBorders>
              <w:top w:val="single" w:color="000000" w:sz="4" w:space="0"/>
              <w:left w:val="nil"/>
              <w:bottom w:val="single" w:color="000000" w:sz="4" w:space="0"/>
              <w:right w:val="single" w:color="000000" w:sz="4" w:space="0"/>
            </w:tcBorders>
            <w:noWrap/>
            <w:vAlign w:val="center"/>
          </w:tcPr>
          <w:p w14:paraId="76328710">
            <w:pPr>
              <w:spacing w:after="160" w:line="360" w:lineRule="auto"/>
              <w:rPr>
                <w:rFonts w:hint="eastAsia" w:ascii="宋体" w:hAnsi="宋体"/>
                <w:sz w:val="24"/>
                <w:highlight w:val="none"/>
              </w:rPr>
            </w:pPr>
            <w:r>
              <w:rPr>
                <w:rFonts w:hint="eastAsia" w:ascii="宋体" w:hAnsi="宋体"/>
                <w:sz w:val="24"/>
                <w:highlight w:val="none"/>
              </w:rPr>
              <w:t>1</w:t>
            </w:r>
          </w:p>
        </w:tc>
      </w:tr>
      <w:tr w14:paraId="1AECA915">
        <w:tblPrEx>
          <w:tblCellMar>
            <w:top w:w="0" w:type="dxa"/>
            <w:left w:w="108" w:type="dxa"/>
            <w:bottom w:w="0" w:type="dxa"/>
            <w:right w:w="108" w:type="dxa"/>
          </w:tblCellMar>
        </w:tblPrEx>
        <w:trPr>
          <w:trHeight w:val="1261" w:hRule="atLeast"/>
        </w:trPr>
        <w:tc>
          <w:tcPr>
            <w:tcW w:w="1061" w:type="dxa"/>
            <w:tcBorders>
              <w:top w:val="single" w:color="000000" w:sz="4" w:space="0"/>
              <w:left w:val="single" w:color="000000" w:sz="4" w:space="0"/>
              <w:bottom w:val="single" w:color="000000" w:sz="4" w:space="0"/>
              <w:right w:val="single" w:color="000000" w:sz="4" w:space="0"/>
            </w:tcBorders>
            <w:noWrap/>
            <w:vAlign w:val="center"/>
          </w:tcPr>
          <w:p w14:paraId="0B714B9A">
            <w:pPr>
              <w:spacing w:after="160" w:line="360" w:lineRule="auto"/>
              <w:rPr>
                <w:rFonts w:hint="eastAsia" w:ascii="宋体" w:hAnsi="宋体"/>
                <w:sz w:val="24"/>
                <w:highlight w:val="none"/>
              </w:rPr>
            </w:pPr>
            <w:r>
              <w:rPr>
                <w:rFonts w:hint="eastAsia" w:ascii="宋体" w:hAnsi="宋体"/>
                <w:sz w:val="24"/>
                <w:highlight w:val="none"/>
              </w:rPr>
              <w:t>8</w:t>
            </w:r>
          </w:p>
        </w:tc>
        <w:tc>
          <w:tcPr>
            <w:tcW w:w="2355" w:type="dxa"/>
            <w:tcBorders>
              <w:top w:val="single" w:color="000000" w:sz="4" w:space="0"/>
              <w:left w:val="nil"/>
              <w:bottom w:val="single" w:color="000000" w:sz="4" w:space="0"/>
              <w:right w:val="single" w:color="000000" w:sz="4" w:space="0"/>
            </w:tcBorders>
            <w:noWrap/>
            <w:vAlign w:val="center"/>
          </w:tcPr>
          <w:p w14:paraId="146E114A">
            <w:pPr>
              <w:spacing w:after="160" w:line="360" w:lineRule="auto"/>
              <w:rPr>
                <w:rFonts w:hint="eastAsia" w:ascii="宋体" w:hAnsi="宋体"/>
                <w:sz w:val="24"/>
                <w:highlight w:val="none"/>
              </w:rPr>
            </w:pPr>
            <w:r>
              <w:rPr>
                <w:rFonts w:hint="eastAsia" w:ascii="宋体" w:hAnsi="宋体"/>
                <w:sz w:val="24"/>
                <w:highlight w:val="none"/>
              </w:rPr>
              <w:t>消毒加药装置</w:t>
            </w:r>
          </w:p>
        </w:tc>
        <w:tc>
          <w:tcPr>
            <w:tcW w:w="3923" w:type="dxa"/>
            <w:tcBorders>
              <w:top w:val="single" w:color="000000" w:sz="4" w:space="0"/>
              <w:left w:val="nil"/>
              <w:bottom w:val="single" w:color="000000" w:sz="4" w:space="0"/>
              <w:right w:val="single" w:color="000000" w:sz="4" w:space="0"/>
            </w:tcBorders>
            <w:noWrap/>
            <w:vAlign w:val="center"/>
          </w:tcPr>
          <w:p w14:paraId="5D99FC27">
            <w:pPr>
              <w:spacing w:line="360" w:lineRule="auto"/>
              <w:rPr>
                <w:rFonts w:hint="eastAsia" w:ascii="宋体" w:hAnsi="宋体"/>
                <w:sz w:val="24"/>
                <w:highlight w:val="none"/>
              </w:rPr>
            </w:pPr>
            <w:r>
              <w:rPr>
                <w:rFonts w:hint="eastAsia" w:ascii="宋体" w:hAnsi="宋体"/>
                <w:sz w:val="24"/>
                <w:highlight w:val="none"/>
              </w:rPr>
              <w:t>加药箱V=1m³,1个，PE；计量泵</w:t>
            </w:r>
          </w:p>
          <w:p w14:paraId="776B4DD0">
            <w:pPr>
              <w:spacing w:line="360" w:lineRule="auto"/>
              <w:rPr>
                <w:rFonts w:hint="eastAsia" w:ascii="宋体" w:hAnsi="宋体"/>
                <w:sz w:val="24"/>
                <w:highlight w:val="none"/>
              </w:rPr>
            </w:pPr>
            <w:r>
              <w:rPr>
                <w:rFonts w:hint="eastAsia" w:ascii="宋体" w:hAnsi="宋体"/>
                <w:sz w:val="24"/>
                <w:highlight w:val="none"/>
              </w:rPr>
              <w:t>Q=100L/h，2台</w:t>
            </w:r>
          </w:p>
        </w:tc>
        <w:tc>
          <w:tcPr>
            <w:tcW w:w="850" w:type="dxa"/>
            <w:tcBorders>
              <w:top w:val="single" w:color="000000" w:sz="4" w:space="0"/>
              <w:left w:val="nil"/>
              <w:bottom w:val="single" w:color="000000" w:sz="4" w:space="0"/>
              <w:right w:val="single" w:color="000000" w:sz="4" w:space="0"/>
            </w:tcBorders>
            <w:noWrap/>
            <w:vAlign w:val="center"/>
          </w:tcPr>
          <w:p w14:paraId="6A95291C">
            <w:pPr>
              <w:spacing w:after="160" w:line="360" w:lineRule="auto"/>
              <w:rPr>
                <w:rFonts w:hint="eastAsia" w:ascii="宋体" w:hAnsi="宋体"/>
                <w:sz w:val="24"/>
                <w:highlight w:val="none"/>
              </w:rPr>
            </w:pPr>
            <w:r>
              <w:rPr>
                <w:rFonts w:hint="eastAsia" w:ascii="宋体" w:hAnsi="宋体"/>
                <w:sz w:val="24"/>
                <w:highlight w:val="none"/>
              </w:rPr>
              <w:t>套</w:t>
            </w:r>
          </w:p>
        </w:tc>
        <w:tc>
          <w:tcPr>
            <w:tcW w:w="567" w:type="dxa"/>
            <w:tcBorders>
              <w:top w:val="single" w:color="000000" w:sz="4" w:space="0"/>
              <w:left w:val="nil"/>
              <w:bottom w:val="single" w:color="000000" w:sz="4" w:space="0"/>
              <w:right w:val="single" w:color="000000" w:sz="4" w:space="0"/>
            </w:tcBorders>
            <w:noWrap/>
            <w:vAlign w:val="center"/>
          </w:tcPr>
          <w:p w14:paraId="7756FD72">
            <w:pPr>
              <w:spacing w:after="160" w:line="360" w:lineRule="auto"/>
              <w:rPr>
                <w:rFonts w:hint="eastAsia" w:ascii="宋体" w:hAnsi="宋体"/>
                <w:sz w:val="24"/>
                <w:highlight w:val="none"/>
              </w:rPr>
            </w:pPr>
          </w:p>
        </w:tc>
        <w:tc>
          <w:tcPr>
            <w:tcW w:w="567" w:type="dxa"/>
            <w:tcBorders>
              <w:top w:val="single" w:color="000000" w:sz="4" w:space="0"/>
              <w:left w:val="nil"/>
              <w:bottom w:val="single" w:color="000000" w:sz="4" w:space="0"/>
              <w:right w:val="single" w:color="000000" w:sz="4" w:space="0"/>
            </w:tcBorders>
            <w:noWrap/>
            <w:vAlign w:val="center"/>
          </w:tcPr>
          <w:p w14:paraId="5F45FC4B">
            <w:pPr>
              <w:spacing w:after="160" w:line="360" w:lineRule="auto"/>
              <w:rPr>
                <w:rFonts w:hint="eastAsia" w:ascii="宋体" w:hAnsi="宋体"/>
                <w:sz w:val="24"/>
                <w:highlight w:val="none"/>
              </w:rPr>
            </w:pPr>
            <w:r>
              <w:rPr>
                <w:rFonts w:hint="eastAsia" w:ascii="宋体" w:hAnsi="宋体"/>
                <w:sz w:val="24"/>
                <w:highlight w:val="none"/>
              </w:rPr>
              <w:t>2</w:t>
            </w:r>
          </w:p>
        </w:tc>
      </w:tr>
      <w:tr w14:paraId="1B936210">
        <w:tblPrEx>
          <w:tblCellMar>
            <w:top w:w="0" w:type="dxa"/>
            <w:left w:w="108" w:type="dxa"/>
            <w:bottom w:w="0" w:type="dxa"/>
            <w:right w:w="108" w:type="dxa"/>
          </w:tblCellMar>
        </w:tblPrEx>
        <w:trPr>
          <w:trHeight w:val="655" w:hRule="atLeast"/>
        </w:trPr>
        <w:tc>
          <w:tcPr>
            <w:tcW w:w="1061" w:type="dxa"/>
            <w:tcBorders>
              <w:top w:val="single" w:color="000000" w:sz="4" w:space="0"/>
              <w:left w:val="single" w:color="000000" w:sz="4" w:space="0"/>
              <w:bottom w:val="single" w:color="000000" w:sz="4" w:space="0"/>
              <w:right w:val="single" w:color="000000" w:sz="4" w:space="0"/>
            </w:tcBorders>
            <w:noWrap/>
            <w:vAlign w:val="center"/>
          </w:tcPr>
          <w:p w14:paraId="041F4A52">
            <w:pPr>
              <w:spacing w:after="160" w:line="360" w:lineRule="auto"/>
              <w:rPr>
                <w:rFonts w:hint="eastAsia" w:ascii="宋体" w:hAnsi="宋体"/>
                <w:sz w:val="24"/>
                <w:highlight w:val="none"/>
              </w:rPr>
            </w:pPr>
            <w:r>
              <w:rPr>
                <w:rFonts w:hint="eastAsia" w:ascii="宋体" w:hAnsi="宋体"/>
                <w:sz w:val="24"/>
                <w:highlight w:val="none"/>
              </w:rPr>
              <w:t>9</w:t>
            </w:r>
          </w:p>
        </w:tc>
        <w:tc>
          <w:tcPr>
            <w:tcW w:w="2355" w:type="dxa"/>
            <w:tcBorders>
              <w:top w:val="single" w:color="000000" w:sz="4" w:space="0"/>
              <w:left w:val="nil"/>
              <w:bottom w:val="single" w:color="000000" w:sz="4" w:space="0"/>
              <w:right w:val="single" w:color="000000" w:sz="4" w:space="0"/>
            </w:tcBorders>
            <w:noWrap/>
            <w:vAlign w:val="center"/>
          </w:tcPr>
          <w:p w14:paraId="3F72EE67">
            <w:pPr>
              <w:spacing w:after="160" w:line="360" w:lineRule="auto"/>
              <w:rPr>
                <w:rFonts w:hint="eastAsia" w:ascii="宋体" w:hAnsi="宋体"/>
                <w:sz w:val="24"/>
                <w:highlight w:val="none"/>
              </w:rPr>
            </w:pPr>
            <w:r>
              <w:rPr>
                <w:rFonts w:hint="eastAsia" w:ascii="宋体" w:hAnsi="宋体"/>
                <w:sz w:val="24"/>
                <w:highlight w:val="none"/>
              </w:rPr>
              <w:t>板框压滤机</w:t>
            </w:r>
          </w:p>
        </w:tc>
        <w:tc>
          <w:tcPr>
            <w:tcW w:w="3923" w:type="dxa"/>
            <w:tcBorders>
              <w:top w:val="single" w:color="000000" w:sz="4" w:space="0"/>
              <w:left w:val="nil"/>
              <w:bottom w:val="single" w:color="000000" w:sz="4" w:space="0"/>
              <w:right w:val="single" w:color="000000" w:sz="4" w:space="0"/>
            </w:tcBorders>
            <w:noWrap/>
            <w:vAlign w:val="center"/>
          </w:tcPr>
          <w:p w14:paraId="3730AB41">
            <w:pPr>
              <w:spacing w:after="160" w:line="360" w:lineRule="auto"/>
              <w:rPr>
                <w:rFonts w:hint="eastAsia" w:ascii="宋体" w:hAnsi="宋体"/>
                <w:sz w:val="24"/>
                <w:highlight w:val="none"/>
              </w:rPr>
            </w:pPr>
            <w:r>
              <w:rPr>
                <w:rFonts w:hint="eastAsia" w:ascii="宋体" w:hAnsi="宋体"/>
                <w:sz w:val="24"/>
                <w:highlight w:val="none"/>
              </w:rPr>
              <w:t>500型</w:t>
            </w:r>
          </w:p>
        </w:tc>
        <w:tc>
          <w:tcPr>
            <w:tcW w:w="850" w:type="dxa"/>
            <w:tcBorders>
              <w:top w:val="single" w:color="000000" w:sz="4" w:space="0"/>
              <w:left w:val="nil"/>
              <w:bottom w:val="single" w:color="000000" w:sz="4" w:space="0"/>
              <w:right w:val="single" w:color="000000" w:sz="4" w:space="0"/>
            </w:tcBorders>
            <w:noWrap/>
            <w:vAlign w:val="center"/>
          </w:tcPr>
          <w:p w14:paraId="61269B2D">
            <w:pPr>
              <w:spacing w:after="160" w:line="360" w:lineRule="auto"/>
              <w:rPr>
                <w:rFonts w:hint="eastAsia" w:ascii="宋体" w:hAnsi="宋体"/>
                <w:sz w:val="24"/>
                <w:highlight w:val="none"/>
              </w:rPr>
            </w:pPr>
            <w:r>
              <w:rPr>
                <w:rFonts w:hint="eastAsia" w:ascii="宋体" w:hAnsi="宋体"/>
                <w:sz w:val="24"/>
                <w:highlight w:val="none"/>
              </w:rPr>
              <w:t>台</w:t>
            </w:r>
          </w:p>
        </w:tc>
        <w:tc>
          <w:tcPr>
            <w:tcW w:w="567" w:type="dxa"/>
            <w:tcBorders>
              <w:top w:val="single" w:color="000000" w:sz="4" w:space="0"/>
              <w:left w:val="nil"/>
              <w:bottom w:val="single" w:color="000000" w:sz="4" w:space="0"/>
              <w:right w:val="single" w:color="000000" w:sz="4" w:space="0"/>
            </w:tcBorders>
            <w:noWrap/>
            <w:vAlign w:val="center"/>
          </w:tcPr>
          <w:p w14:paraId="211C00E4">
            <w:pPr>
              <w:spacing w:after="160" w:line="360" w:lineRule="auto"/>
              <w:rPr>
                <w:rFonts w:hint="eastAsia" w:ascii="宋体" w:hAnsi="宋体"/>
                <w:sz w:val="24"/>
                <w:highlight w:val="none"/>
              </w:rPr>
            </w:pPr>
          </w:p>
        </w:tc>
        <w:tc>
          <w:tcPr>
            <w:tcW w:w="567" w:type="dxa"/>
            <w:tcBorders>
              <w:top w:val="single" w:color="000000" w:sz="4" w:space="0"/>
              <w:left w:val="nil"/>
              <w:bottom w:val="single" w:color="000000" w:sz="4" w:space="0"/>
              <w:right w:val="single" w:color="000000" w:sz="4" w:space="0"/>
            </w:tcBorders>
            <w:noWrap/>
            <w:vAlign w:val="center"/>
          </w:tcPr>
          <w:p w14:paraId="4A5AE1C0">
            <w:pPr>
              <w:spacing w:after="160" w:line="360" w:lineRule="auto"/>
              <w:rPr>
                <w:rFonts w:hint="eastAsia" w:ascii="宋体" w:hAnsi="宋体"/>
                <w:sz w:val="24"/>
                <w:highlight w:val="none"/>
              </w:rPr>
            </w:pPr>
            <w:r>
              <w:rPr>
                <w:rFonts w:hint="eastAsia" w:ascii="宋体" w:hAnsi="宋体"/>
                <w:sz w:val="24"/>
                <w:highlight w:val="none"/>
              </w:rPr>
              <w:t>1</w:t>
            </w:r>
          </w:p>
        </w:tc>
      </w:tr>
      <w:tr w14:paraId="71CDD51C">
        <w:tblPrEx>
          <w:tblCellMar>
            <w:top w:w="0" w:type="dxa"/>
            <w:left w:w="108" w:type="dxa"/>
            <w:bottom w:w="0" w:type="dxa"/>
            <w:right w:w="108" w:type="dxa"/>
          </w:tblCellMar>
        </w:tblPrEx>
        <w:trPr>
          <w:trHeight w:val="855" w:hRule="atLeast"/>
        </w:trPr>
        <w:tc>
          <w:tcPr>
            <w:tcW w:w="1061" w:type="dxa"/>
            <w:tcBorders>
              <w:top w:val="single" w:color="000000" w:sz="4" w:space="0"/>
              <w:left w:val="single" w:color="000000" w:sz="4" w:space="0"/>
              <w:bottom w:val="single" w:color="000000" w:sz="4" w:space="0"/>
              <w:right w:val="single" w:color="000000" w:sz="4" w:space="0"/>
            </w:tcBorders>
            <w:noWrap/>
            <w:vAlign w:val="center"/>
          </w:tcPr>
          <w:p w14:paraId="0025B517">
            <w:pPr>
              <w:spacing w:after="160" w:line="360" w:lineRule="auto"/>
              <w:rPr>
                <w:rFonts w:hint="eastAsia" w:ascii="宋体" w:hAnsi="宋体"/>
                <w:sz w:val="24"/>
                <w:highlight w:val="none"/>
              </w:rPr>
            </w:pPr>
            <w:r>
              <w:rPr>
                <w:rFonts w:ascii="宋体" w:hAnsi="宋体"/>
                <w:sz w:val="24"/>
                <w:highlight w:val="none"/>
              </w:rPr>
              <w:t>1</w:t>
            </w:r>
            <w:r>
              <w:rPr>
                <w:rFonts w:hint="eastAsia" w:ascii="宋体" w:hAnsi="宋体"/>
                <w:sz w:val="24"/>
                <w:highlight w:val="none"/>
              </w:rPr>
              <w:t>0</w:t>
            </w:r>
          </w:p>
        </w:tc>
        <w:tc>
          <w:tcPr>
            <w:tcW w:w="2355" w:type="dxa"/>
            <w:tcBorders>
              <w:top w:val="single" w:color="000000" w:sz="4" w:space="0"/>
              <w:left w:val="nil"/>
              <w:bottom w:val="single" w:color="000000" w:sz="4" w:space="0"/>
              <w:right w:val="single" w:color="000000" w:sz="4" w:space="0"/>
            </w:tcBorders>
            <w:noWrap/>
            <w:vAlign w:val="center"/>
          </w:tcPr>
          <w:p w14:paraId="41A0EC73">
            <w:pPr>
              <w:spacing w:after="160" w:line="360" w:lineRule="auto"/>
              <w:rPr>
                <w:rFonts w:hint="eastAsia" w:ascii="宋体" w:hAnsi="宋体"/>
                <w:sz w:val="24"/>
                <w:highlight w:val="none"/>
              </w:rPr>
            </w:pPr>
            <w:r>
              <w:rPr>
                <w:rFonts w:hint="eastAsia" w:ascii="宋体" w:hAnsi="宋体"/>
                <w:sz w:val="24"/>
                <w:highlight w:val="none"/>
              </w:rPr>
              <w:t>污泥桶</w:t>
            </w:r>
          </w:p>
        </w:tc>
        <w:tc>
          <w:tcPr>
            <w:tcW w:w="3923" w:type="dxa"/>
            <w:tcBorders>
              <w:top w:val="single" w:color="000000" w:sz="4" w:space="0"/>
              <w:left w:val="nil"/>
              <w:bottom w:val="single" w:color="000000" w:sz="4" w:space="0"/>
              <w:right w:val="single" w:color="000000" w:sz="4" w:space="0"/>
            </w:tcBorders>
            <w:noWrap/>
            <w:vAlign w:val="center"/>
          </w:tcPr>
          <w:p w14:paraId="559BE15A">
            <w:pPr>
              <w:spacing w:after="160" w:line="360" w:lineRule="auto"/>
              <w:rPr>
                <w:rFonts w:hint="eastAsia" w:ascii="宋体" w:hAnsi="宋体"/>
                <w:sz w:val="24"/>
                <w:highlight w:val="none"/>
              </w:rPr>
            </w:pPr>
            <w:r>
              <w:rPr>
                <w:rFonts w:hint="eastAsia" w:ascii="宋体" w:hAnsi="宋体"/>
                <w:sz w:val="24"/>
                <w:highlight w:val="none"/>
              </w:rPr>
              <w:t>2000L</w:t>
            </w:r>
          </w:p>
        </w:tc>
        <w:tc>
          <w:tcPr>
            <w:tcW w:w="850" w:type="dxa"/>
            <w:tcBorders>
              <w:top w:val="single" w:color="000000" w:sz="4" w:space="0"/>
              <w:left w:val="nil"/>
              <w:bottom w:val="single" w:color="000000" w:sz="4" w:space="0"/>
              <w:right w:val="single" w:color="000000" w:sz="4" w:space="0"/>
            </w:tcBorders>
            <w:noWrap/>
            <w:vAlign w:val="center"/>
          </w:tcPr>
          <w:p w14:paraId="58211F4C">
            <w:pPr>
              <w:spacing w:after="160" w:line="360" w:lineRule="auto"/>
              <w:rPr>
                <w:rFonts w:hint="eastAsia" w:ascii="宋体" w:hAnsi="宋体"/>
                <w:sz w:val="24"/>
                <w:highlight w:val="none"/>
              </w:rPr>
            </w:pPr>
            <w:r>
              <w:rPr>
                <w:rFonts w:hint="eastAsia" w:ascii="宋体" w:hAnsi="宋体"/>
                <w:sz w:val="24"/>
                <w:highlight w:val="none"/>
              </w:rPr>
              <w:t>个</w:t>
            </w:r>
          </w:p>
        </w:tc>
        <w:tc>
          <w:tcPr>
            <w:tcW w:w="567" w:type="dxa"/>
            <w:tcBorders>
              <w:top w:val="single" w:color="000000" w:sz="4" w:space="0"/>
              <w:left w:val="nil"/>
              <w:bottom w:val="single" w:color="000000" w:sz="4" w:space="0"/>
              <w:right w:val="single" w:color="000000" w:sz="4" w:space="0"/>
            </w:tcBorders>
            <w:noWrap/>
            <w:vAlign w:val="center"/>
          </w:tcPr>
          <w:p w14:paraId="09BA8C24">
            <w:pPr>
              <w:spacing w:after="160" w:line="360" w:lineRule="auto"/>
              <w:rPr>
                <w:rFonts w:hint="eastAsia" w:ascii="宋体" w:hAnsi="宋体"/>
                <w:sz w:val="24"/>
                <w:highlight w:val="none"/>
              </w:rPr>
            </w:pPr>
          </w:p>
        </w:tc>
        <w:tc>
          <w:tcPr>
            <w:tcW w:w="567" w:type="dxa"/>
            <w:tcBorders>
              <w:top w:val="single" w:color="000000" w:sz="4" w:space="0"/>
              <w:left w:val="nil"/>
              <w:bottom w:val="single" w:color="000000" w:sz="4" w:space="0"/>
              <w:right w:val="single" w:color="000000" w:sz="4" w:space="0"/>
            </w:tcBorders>
            <w:noWrap/>
            <w:vAlign w:val="center"/>
          </w:tcPr>
          <w:p w14:paraId="549EF946">
            <w:pPr>
              <w:spacing w:after="160" w:line="360" w:lineRule="auto"/>
              <w:rPr>
                <w:rFonts w:hint="eastAsia" w:ascii="宋体" w:hAnsi="宋体"/>
                <w:sz w:val="24"/>
                <w:highlight w:val="none"/>
              </w:rPr>
            </w:pPr>
            <w:r>
              <w:rPr>
                <w:rFonts w:hint="eastAsia" w:ascii="宋体" w:hAnsi="宋体"/>
                <w:sz w:val="24"/>
                <w:highlight w:val="none"/>
              </w:rPr>
              <w:t>1</w:t>
            </w:r>
          </w:p>
        </w:tc>
      </w:tr>
      <w:tr w14:paraId="7D04FB7B">
        <w:tblPrEx>
          <w:tblCellMar>
            <w:top w:w="0" w:type="dxa"/>
            <w:left w:w="108" w:type="dxa"/>
            <w:bottom w:w="0" w:type="dxa"/>
            <w:right w:w="108" w:type="dxa"/>
          </w:tblCellMar>
        </w:tblPrEx>
        <w:trPr>
          <w:trHeight w:val="285" w:hRule="atLeast"/>
        </w:trPr>
        <w:tc>
          <w:tcPr>
            <w:tcW w:w="1061" w:type="dxa"/>
            <w:tcBorders>
              <w:top w:val="single" w:color="000000" w:sz="4" w:space="0"/>
              <w:left w:val="single" w:color="000000" w:sz="4" w:space="0"/>
              <w:bottom w:val="single" w:color="000000" w:sz="4" w:space="0"/>
              <w:right w:val="single" w:color="000000" w:sz="4" w:space="0"/>
            </w:tcBorders>
            <w:noWrap/>
            <w:vAlign w:val="center"/>
          </w:tcPr>
          <w:p w14:paraId="0075757B">
            <w:pPr>
              <w:spacing w:after="160" w:line="360" w:lineRule="auto"/>
              <w:rPr>
                <w:rFonts w:hint="eastAsia" w:ascii="宋体" w:hAnsi="宋体"/>
                <w:sz w:val="24"/>
                <w:highlight w:val="none"/>
              </w:rPr>
            </w:pPr>
            <w:r>
              <w:rPr>
                <w:rFonts w:ascii="宋体" w:hAnsi="宋体"/>
                <w:sz w:val="24"/>
                <w:highlight w:val="none"/>
              </w:rPr>
              <w:t>1</w:t>
            </w:r>
            <w:r>
              <w:rPr>
                <w:rFonts w:hint="eastAsia" w:ascii="宋体" w:hAnsi="宋体"/>
                <w:sz w:val="24"/>
                <w:highlight w:val="none"/>
              </w:rPr>
              <w:t>1</w:t>
            </w:r>
          </w:p>
        </w:tc>
        <w:tc>
          <w:tcPr>
            <w:tcW w:w="2355" w:type="dxa"/>
            <w:tcBorders>
              <w:top w:val="single" w:color="000000" w:sz="4" w:space="0"/>
              <w:left w:val="nil"/>
              <w:bottom w:val="single" w:color="000000" w:sz="4" w:space="0"/>
              <w:right w:val="single" w:color="000000" w:sz="4" w:space="0"/>
            </w:tcBorders>
            <w:noWrap/>
            <w:vAlign w:val="center"/>
          </w:tcPr>
          <w:p w14:paraId="3528AF26">
            <w:pPr>
              <w:spacing w:after="160" w:line="360" w:lineRule="auto"/>
              <w:rPr>
                <w:rFonts w:hint="eastAsia" w:ascii="宋体" w:hAnsi="宋体"/>
                <w:sz w:val="24"/>
                <w:highlight w:val="none"/>
              </w:rPr>
            </w:pPr>
            <w:r>
              <w:rPr>
                <w:rFonts w:hint="eastAsia" w:ascii="宋体" w:hAnsi="宋体"/>
                <w:sz w:val="24"/>
                <w:highlight w:val="none"/>
              </w:rPr>
              <w:t>PAM加药系统</w:t>
            </w:r>
          </w:p>
        </w:tc>
        <w:tc>
          <w:tcPr>
            <w:tcW w:w="3923" w:type="dxa"/>
            <w:tcBorders>
              <w:top w:val="single" w:color="000000" w:sz="4" w:space="0"/>
              <w:left w:val="nil"/>
              <w:bottom w:val="single" w:color="000000" w:sz="4" w:space="0"/>
              <w:right w:val="single" w:color="000000" w:sz="4" w:space="0"/>
            </w:tcBorders>
            <w:noWrap/>
            <w:vAlign w:val="center"/>
          </w:tcPr>
          <w:p w14:paraId="74D418DF">
            <w:pPr>
              <w:spacing w:line="360" w:lineRule="auto"/>
              <w:rPr>
                <w:rFonts w:hint="eastAsia" w:ascii="宋体" w:hAnsi="宋体"/>
                <w:sz w:val="24"/>
                <w:highlight w:val="none"/>
              </w:rPr>
            </w:pPr>
            <w:r>
              <w:rPr>
                <w:rFonts w:hint="eastAsia" w:ascii="宋体" w:hAnsi="宋体"/>
                <w:sz w:val="24"/>
                <w:highlight w:val="none"/>
              </w:rPr>
              <w:t>加药箱V=0.5m³,1个，PE；计量泵</w:t>
            </w:r>
          </w:p>
          <w:p w14:paraId="07CB2714">
            <w:pPr>
              <w:spacing w:line="360" w:lineRule="auto"/>
              <w:rPr>
                <w:rFonts w:hint="eastAsia" w:ascii="宋体" w:hAnsi="宋体"/>
                <w:sz w:val="24"/>
                <w:highlight w:val="none"/>
              </w:rPr>
            </w:pPr>
            <w:r>
              <w:rPr>
                <w:rFonts w:hint="eastAsia" w:ascii="宋体" w:hAnsi="宋体"/>
                <w:sz w:val="24"/>
                <w:highlight w:val="none"/>
              </w:rPr>
              <w:t>Q=50L/h，2台</w:t>
            </w:r>
          </w:p>
        </w:tc>
        <w:tc>
          <w:tcPr>
            <w:tcW w:w="850" w:type="dxa"/>
            <w:tcBorders>
              <w:top w:val="single" w:color="000000" w:sz="4" w:space="0"/>
              <w:left w:val="nil"/>
              <w:bottom w:val="single" w:color="000000" w:sz="4" w:space="0"/>
              <w:right w:val="single" w:color="000000" w:sz="4" w:space="0"/>
            </w:tcBorders>
            <w:noWrap/>
            <w:vAlign w:val="center"/>
          </w:tcPr>
          <w:p w14:paraId="17A6D01B">
            <w:pPr>
              <w:spacing w:after="160" w:line="360" w:lineRule="auto"/>
              <w:rPr>
                <w:rFonts w:hint="eastAsia" w:ascii="宋体" w:hAnsi="宋体"/>
                <w:sz w:val="24"/>
                <w:highlight w:val="none"/>
              </w:rPr>
            </w:pPr>
            <w:r>
              <w:rPr>
                <w:rFonts w:hint="eastAsia" w:ascii="宋体" w:hAnsi="宋体"/>
                <w:sz w:val="24"/>
                <w:highlight w:val="none"/>
              </w:rPr>
              <w:t>套</w:t>
            </w:r>
          </w:p>
        </w:tc>
        <w:tc>
          <w:tcPr>
            <w:tcW w:w="567" w:type="dxa"/>
            <w:tcBorders>
              <w:top w:val="single" w:color="000000" w:sz="4" w:space="0"/>
              <w:left w:val="nil"/>
              <w:bottom w:val="single" w:color="000000" w:sz="4" w:space="0"/>
              <w:right w:val="single" w:color="000000" w:sz="4" w:space="0"/>
            </w:tcBorders>
            <w:noWrap/>
            <w:vAlign w:val="center"/>
          </w:tcPr>
          <w:p w14:paraId="758A6B3B">
            <w:pPr>
              <w:spacing w:after="160" w:line="360" w:lineRule="auto"/>
              <w:rPr>
                <w:rFonts w:hint="eastAsia" w:ascii="宋体" w:hAnsi="宋体"/>
                <w:sz w:val="24"/>
                <w:highlight w:val="none"/>
              </w:rPr>
            </w:pPr>
          </w:p>
        </w:tc>
        <w:tc>
          <w:tcPr>
            <w:tcW w:w="567" w:type="dxa"/>
            <w:tcBorders>
              <w:top w:val="single" w:color="000000" w:sz="4" w:space="0"/>
              <w:left w:val="nil"/>
              <w:bottom w:val="single" w:color="000000" w:sz="4" w:space="0"/>
              <w:right w:val="single" w:color="000000" w:sz="4" w:space="0"/>
            </w:tcBorders>
            <w:noWrap/>
            <w:vAlign w:val="center"/>
          </w:tcPr>
          <w:p w14:paraId="5A40A4F4">
            <w:pPr>
              <w:spacing w:after="160" w:line="360" w:lineRule="auto"/>
              <w:rPr>
                <w:rFonts w:hint="eastAsia" w:ascii="宋体" w:hAnsi="宋体"/>
                <w:sz w:val="24"/>
                <w:highlight w:val="none"/>
              </w:rPr>
            </w:pPr>
            <w:r>
              <w:rPr>
                <w:rFonts w:hint="eastAsia" w:ascii="宋体" w:hAnsi="宋体"/>
                <w:sz w:val="24"/>
                <w:highlight w:val="none"/>
              </w:rPr>
              <w:t>1</w:t>
            </w:r>
          </w:p>
        </w:tc>
      </w:tr>
      <w:tr w14:paraId="6CBA8362">
        <w:tblPrEx>
          <w:tblCellMar>
            <w:top w:w="0" w:type="dxa"/>
            <w:left w:w="108" w:type="dxa"/>
            <w:bottom w:w="0" w:type="dxa"/>
            <w:right w:w="108" w:type="dxa"/>
          </w:tblCellMar>
        </w:tblPrEx>
        <w:trPr>
          <w:trHeight w:val="855" w:hRule="atLeast"/>
        </w:trPr>
        <w:tc>
          <w:tcPr>
            <w:tcW w:w="1061" w:type="dxa"/>
            <w:tcBorders>
              <w:top w:val="single" w:color="000000" w:sz="4" w:space="0"/>
              <w:left w:val="single" w:color="000000" w:sz="4" w:space="0"/>
              <w:bottom w:val="single" w:color="000000" w:sz="4" w:space="0"/>
              <w:right w:val="single" w:color="000000" w:sz="4" w:space="0"/>
            </w:tcBorders>
            <w:noWrap/>
            <w:vAlign w:val="center"/>
          </w:tcPr>
          <w:p w14:paraId="43308B87">
            <w:pPr>
              <w:spacing w:after="160" w:line="360" w:lineRule="auto"/>
              <w:rPr>
                <w:rFonts w:hint="eastAsia" w:ascii="宋体" w:hAnsi="宋体"/>
                <w:sz w:val="24"/>
                <w:highlight w:val="none"/>
              </w:rPr>
            </w:pPr>
            <w:r>
              <w:rPr>
                <w:rFonts w:ascii="宋体" w:hAnsi="宋体"/>
                <w:sz w:val="24"/>
                <w:highlight w:val="none"/>
              </w:rPr>
              <w:t>1</w:t>
            </w:r>
            <w:r>
              <w:rPr>
                <w:rFonts w:hint="eastAsia" w:ascii="宋体" w:hAnsi="宋体"/>
                <w:sz w:val="24"/>
                <w:highlight w:val="none"/>
              </w:rPr>
              <w:t>2</w:t>
            </w:r>
          </w:p>
        </w:tc>
        <w:tc>
          <w:tcPr>
            <w:tcW w:w="2355" w:type="dxa"/>
            <w:tcBorders>
              <w:top w:val="single" w:color="000000" w:sz="4" w:space="0"/>
              <w:left w:val="nil"/>
              <w:bottom w:val="single" w:color="000000" w:sz="4" w:space="0"/>
              <w:right w:val="single" w:color="000000" w:sz="4" w:space="0"/>
            </w:tcBorders>
            <w:noWrap/>
            <w:vAlign w:val="center"/>
          </w:tcPr>
          <w:p w14:paraId="38659EF9">
            <w:pPr>
              <w:spacing w:after="160" w:line="360" w:lineRule="auto"/>
              <w:rPr>
                <w:rFonts w:hint="eastAsia" w:ascii="宋体" w:hAnsi="宋体"/>
                <w:sz w:val="24"/>
                <w:highlight w:val="none"/>
              </w:rPr>
            </w:pPr>
            <w:r>
              <w:rPr>
                <w:rFonts w:hint="eastAsia" w:ascii="宋体" w:hAnsi="宋体"/>
                <w:sz w:val="24"/>
                <w:highlight w:val="none"/>
              </w:rPr>
              <w:t>除臭风机</w:t>
            </w:r>
          </w:p>
        </w:tc>
        <w:tc>
          <w:tcPr>
            <w:tcW w:w="3923" w:type="dxa"/>
            <w:tcBorders>
              <w:top w:val="single" w:color="000000" w:sz="4" w:space="0"/>
              <w:left w:val="nil"/>
              <w:bottom w:val="single" w:color="000000" w:sz="4" w:space="0"/>
              <w:right w:val="single" w:color="000000" w:sz="4" w:space="0"/>
            </w:tcBorders>
            <w:noWrap/>
            <w:vAlign w:val="center"/>
          </w:tcPr>
          <w:p w14:paraId="2D9083A2">
            <w:pPr>
              <w:spacing w:after="160" w:line="360" w:lineRule="auto"/>
              <w:rPr>
                <w:rFonts w:hint="eastAsia" w:ascii="宋体" w:hAnsi="宋体"/>
                <w:sz w:val="24"/>
                <w:highlight w:val="none"/>
              </w:rPr>
            </w:pPr>
            <w:r>
              <w:rPr>
                <w:rFonts w:hint="eastAsia" w:ascii="宋体" w:hAnsi="宋体"/>
                <w:sz w:val="24"/>
                <w:highlight w:val="none"/>
              </w:rPr>
              <w:t>N=3kw，含雨帽</w:t>
            </w:r>
          </w:p>
        </w:tc>
        <w:tc>
          <w:tcPr>
            <w:tcW w:w="850" w:type="dxa"/>
            <w:tcBorders>
              <w:top w:val="single" w:color="000000" w:sz="4" w:space="0"/>
              <w:left w:val="nil"/>
              <w:bottom w:val="single" w:color="000000" w:sz="4" w:space="0"/>
              <w:right w:val="single" w:color="000000" w:sz="4" w:space="0"/>
            </w:tcBorders>
            <w:noWrap/>
            <w:vAlign w:val="center"/>
          </w:tcPr>
          <w:p w14:paraId="1C16BB24">
            <w:pPr>
              <w:spacing w:after="160" w:line="360" w:lineRule="auto"/>
              <w:rPr>
                <w:rFonts w:hint="eastAsia" w:ascii="宋体" w:hAnsi="宋体"/>
                <w:sz w:val="24"/>
                <w:highlight w:val="none"/>
              </w:rPr>
            </w:pPr>
            <w:r>
              <w:rPr>
                <w:rFonts w:hint="eastAsia" w:ascii="宋体" w:hAnsi="宋体"/>
                <w:sz w:val="24"/>
                <w:highlight w:val="none"/>
              </w:rPr>
              <w:t>台</w:t>
            </w:r>
          </w:p>
        </w:tc>
        <w:tc>
          <w:tcPr>
            <w:tcW w:w="567" w:type="dxa"/>
            <w:tcBorders>
              <w:top w:val="single" w:color="000000" w:sz="4" w:space="0"/>
              <w:left w:val="nil"/>
              <w:bottom w:val="single" w:color="000000" w:sz="4" w:space="0"/>
              <w:right w:val="single" w:color="000000" w:sz="4" w:space="0"/>
            </w:tcBorders>
            <w:noWrap/>
            <w:vAlign w:val="center"/>
          </w:tcPr>
          <w:p w14:paraId="2F160D06">
            <w:pPr>
              <w:spacing w:after="160" w:line="360" w:lineRule="auto"/>
              <w:rPr>
                <w:rFonts w:hint="eastAsia" w:ascii="宋体" w:hAnsi="宋体"/>
                <w:sz w:val="24"/>
                <w:highlight w:val="none"/>
              </w:rPr>
            </w:pPr>
          </w:p>
        </w:tc>
        <w:tc>
          <w:tcPr>
            <w:tcW w:w="567" w:type="dxa"/>
            <w:tcBorders>
              <w:top w:val="single" w:color="000000" w:sz="4" w:space="0"/>
              <w:left w:val="nil"/>
              <w:bottom w:val="single" w:color="000000" w:sz="4" w:space="0"/>
              <w:right w:val="single" w:color="000000" w:sz="4" w:space="0"/>
            </w:tcBorders>
            <w:noWrap/>
            <w:vAlign w:val="center"/>
          </w:tcPr>
          <w:p w14:paraId="7BFE7AD0">
            <w:pPr>
              <w:spacing w:after="160" w:line="360" w:lineRule="auto"/>
              <w:rPr>
                <w:rFonts w:hint="eastAsia" w:ascii="宋体" w:hAnsi="宋体"/>
                <w:sz w:val="24"/>
                <w:highlight w:val="none"/>
              </w:rPr>
            </w:pPr>
            <w:r>
              <w:rPr>
                <w:rFonts w:hint="eastAsia" w:ascii="宋体" w:hAnsi="宋体"/>
                <w:sz w:val="24"/>
                <w:highlight w:val="none"/>
              </w:rPr>
              <w:t>1</w:t>
            </w:r>
          </w:p>
        </w:tc>
      </w:tr>
      <w:tr w14:paraId="543366EF">
        <w:tblPrEx>
          <w:tblCellMar>
            <w:top w:w="0" w:type="dxa"/>
            <w:left w:w="108" w:type="dxa"/>
            <w:bottom w:w="0" w:type="dxa"/>
            <w:right w:w="108" w:type="dxa"/>
          </w:tblCellMar>
        </w:tblPrEx>
        <w:trPr>
          <w:trHeight w:val="285" w:hRule="atLeast"/>
        </w:trPr>
        <w:tc>
          <w:tcPr>
            <w:tcW w:w="1061" w:type="dxa"/>
            <w:tcBorders>
              <w:top w:val="single" w:color="000000" w:sz="4" w:space="0"/>
              <w:left w:val="single" w:color="000000" w:sz="4" w:space="0"/>
              <w:bottom w:val="single" w:color="000000" w:sz="4" w:space="0"/>
              <w:right w:val="single" w:color="000000" w:sz="4" w:space="0"/>
            </w:tcBorders>
            <w:noWrap/>
            <w:vAlign w:val="center"/>
          </w:tcPr>
          <w:p w14:paraId="4A4F3053">
            <w:pPr>
              <w:spacing w:after="160" w:line="360" w:lineRule="auto"/>
              <w:rPr>
                <w:rFonts w:hint="eastAsia" w:ascii="宋体" w:hAnsi="宋体"/>
                <w:sz w:val="24"/>
                <w:highlight w:val="none"/>
              </w:rPr>
            </w:pPr>
            <w:r>
              <w:rPr>
                <w:rFonts w:ascii="宋体" w:hAnsi="宋体"/>
                <w:sz w:val="24"/>
                <w:highlight w:val="none"/>
              </w:rPr>
              <w:t>1</w:t>
            </w:r>
            <w:r>
              <w:rPr>
                <w:rFonts w:hint="eastAsia" w:ascii="宋体" w:hAnsi="宋体"/>
                <w:sz w:val="24"/>
                <w:highlight w:val="none"/>
              </w:rPr>
              <w:t>3</w:t>
            </w:r>
          </w:p>
        </w:tc>
        <w:tc>
          <w:tcPr>
            <w:tcW w:w="2355" w:type="dxa"/>
            <w:tcBorders>
              <w:top w:val="single" w:color="000000" w:sz="4" w:space="0"/>
              <w:left w:val="nil"/>
              <w:bottom w:val="single" w:color="000000" w:sz="4" w:space="0"/>
              <w:right w:val="single" w:color="000000" w:sz="4" w:space="0"/>
            </w:tcBorders>
            <w:noWrap/>
            <w:vAlign w:val="center"/>
          </w:tcPr>
          <w:p w14:paraId="5AFDC561">
            <w:pPr>
              <w:spacing w:after="160" w:line="360" w:lineRule="auto"/>
              <w:rPr>
                <w:rFonts w:hint="eastAsia" w:ascii="宋体" w:hAnsi="宋体"/>
                <w:sz w:val="24"/>
                <w:highlight w:val="none"/>
              </w:rPr>
            </w:pPr>
            <w:r>
              <w:rPr>
                <w:rFonts w:hint="eastAsia" w:ascii="宋体" w:hAnsi="宋体"/>
                <w:sz w:val="24"/>
                <w:highlight w:val="none"/>
              </w:rPr>
              <w:t>除臭净化装置</w:t>
            </w:r>
          </w:p>
        </w:tc>
        <w:tc>
          <w:tcPr>
            <w:tcW w:w="3923" w:type="dxa"/>
            <w:tcBorders>
              <w:top w:val="single" w:color="000000" w:sz="4" w:space="0"/>
              <w:left w:val="nil"/>
              <w:bottom w:val="single" w:color="000000" w:sz="4" w:space="0"/>
              <w:right w:val="single" w:color="000000" w:sz="4" w:space="0"/>
            </w:tcBorders>
            <w:noWrap/>
            <w:vAlign w:val="center"/>
          </w:tcPr>
          <w:p w14:paraId="548A0349">
            <w:pPr>
              <w:spacing w:after="160" w:line="360" w:lineRule="auto"/>
              <w:rPr>
                <w:rFonts w:hint="eastAsia" w:ascii="宋体" w:hAnsi="宋体"/>
                <w:sz w:val="24"/>
                <w:highlight w:val="none"/>
              </w:rPr>
            </w:pPr>
            <w:r>
              <w:rPr>
                <w:rFonts w:hint="eastAsia" w:ascii="宋体" w:hAnsi="宋体"/>
                <w:sz w:val="24"/>
                <w:highlight w:val="none"/>
              </w:rPr>
              <w:t>Q=5000m³/h</w:t>
            </w:r>
          </w:p>
        </w:tc>
        <w:tc>
          <w:tcPr>
            <w:tcW w:w="850" w:type="dxa"/>
            <w:tcBorders>
              <w:top w:val="single" w:color="000000" w:sz="4" w:space="0"/>
              <w:left w:val="nil"/>
              <w:bottom w:val="single" w:color="000000" w:sz="4" w:space="0"/>
              <w:right w:val="single" w:color="000000" w:sz="4" w:space="0"/>
            </w:tcBorders>
            <w:noWrap/>
            <w:vAlign w:val="center"/>
          </w:tcPr>
          <w:p w14:paraId="4DACFAAF">
            <w:pPr>
              <w:spacing w:after="160" w:line="360" w:lineRule="auto"/>
              <w:rPr>
                <w:rFonts w:hint="eastAsia" w:ascii="宋体" w:hAnsi="宋体"/>
                <w:sz w:val="24"/>
                <w:highlight w:val="none"/>
              </w:rPr>
            </w:pPr>
            <w:r>
              <w:rPr>
                <w:rFonts w:hint="eastAsia" w:ascii="宋体" w:hAnsi="宋体"/>
                <w:sz w:val="24"/>
                <w:highlight w:val="none"/>
              </w:rPr>
              <w:t>套</w:t>
            </w:r>
          </w:p>
        </w:tc>
        <w:tc>
          <w:tcPr>
            <w:tcW w:w="567" w:type="dxa"/>
            <w:tcBorders>
              <w:top w:val="single" w:color="000000" w:sz="4" w:space="0"/>
              <w:left w:val="nil"/>
              <w:bottom w:val="single" w:color="000000" w:sz="4" w:space="0"/>
              <w:right w:val="single" w:color="000000" w:sz="4" w:space="0"/>
            </w:tcBorders>
            <w:noWrap/>
            <w:vAlign w:val="center"/>
          </w:tcPr>
          <w:p w14:paraId="0019EC63">
            <w:pPr>
              <w:spacing w:after="160" w:line="360" w:lineRule="auto"/>
              <w:rPr>
                <w:rFonts w:hint="eastAsia" w:ascii="宋体" w:hAnsi="宋体"/>
                <w:sz w:val="24"/>
                <w:highlight w:val="none"/>
              </w:rPr>
            </w:pPr>
          </w:p>
        </w:tc>
        <w:tc>
          <w:tcPr>
            <w:tcW w:w="567" w:type="dxa"/>
            <w:tcBorders>
              <w:top w:val="single" w:color="000000" w:sz="4" w:space="0"/>
              <w:left w:val="nil"/>
              <w:bottom w:val="single" w:color="000000" w:sz="4" w:space="0"/>
              <w:right w:val="single" w:color="000000" w:sz="4" w:space="0"/>
            </w:tcBorders>
            <w:noWrap/>
            <w:vAlign w:val="center"/>
          </w:tcPr>
          <w:p w14:paraId="7D8E3926">
            <w:pPr>
              <w:spacing w:after="160" w:line="360" w:lineRule="auto"/>
              <w:rPr>
                <w:rFonts w:hint="eastAsia" w:ascii="宋体" w:hAnsi="宋体"/>
                <w:sz w:val="24"/>
                <w:highlight w:val="none"/>
              </w:rPr>
            </w:pPr>
            <w:r>
              <w:rPr>
                <w:rFonts w:hint="eastAsia" w:ascii="宋体" w:hAnsi="宋体"/>
                <w:sz w:val="24"/>
                <w:highlight w:val="none"/>
              </w:rPr>
              <w:t>1</w:t>
            </w:r>
          </w:p>
        </w:tc>
      </w:tr>
    </w:tbl>
    <w:p w14:paraId="5300B750">
      <w:pPr>
        <w:spacing w:after="160" w:line="360" w:lineRule="auto"/>
        <w:rPr>
          <w:rFonts w:hint="eastAsia" w:ascii="宋体" w:hAnsi="宋体"/>
          <w:sz w:val="24"/>
          <w:highlight w:val="none"/>
        </w:rPr>
      </w:pPr>
      <w:r>
        <w:rPr>
          <w:rFonts w:hint="eastAsia" w:ascii="宋体" w:hAnsi="宋体"/>
          <w:sz w:val="24"/>
          <w:highlight w:val="none"/>
        </w:rPr>
        <w:t>3、设备托管维保周期</w:t>
      </w:r>
    </w:p>
    <w:tbl>
      <w:tblPr>
        <w:tblStyle w:val="28"/>
        <w:tblW w:w="8943" w:type="dxa"/>
        <w:tblInd w:w="0" w:type="dxa"/>
        <w:tblLayout w:type="fixed"/>
        <w:tblCellMar>
          <w:top w:w="0" w:type="dxa"/>
          <w:left w:w="108" w:type="dxa"/>
          <w:bottom w:w="0" w:type="dxa"/>
          <w:right w:w="108" w:type="dxa"/>
        </w:tblCellMar>
      </w:tblPr>
      <w:tblGrid>
        <w:gridCol w:w="1402"/>
        <w:gridCol w:w="4908"/>
        <w:gridCol w:w="1316"/>
        <w:gridCol w:w="1317"/>
      </w:tblGrid>
      <w:tr w14:paraId="52FF0E25">
        <w:tblPrEx>
          <w:tblCellMar>
            <w:top w:w="0" w:type="dxa"/>
            <w:left w:w="108" w:type="dxa"/>
            <w:bottom w:w="0" w:type="dxa"/>
            <w:right w:w="108" w:type="dxa"/>
          </w:tblCellMar>
        </w:tblPrEx>
        <w:trPr>
          <w:trHeight w:val="593" w:hRule="atLeast"/>
        </w:trPr>
        <w:tc>
          <w:tcPr>
            <w:tcW w:w="1402" w:type="dxa"/>
            <w:tcBorders>
              <w:top w:val="single" w:color="000000" w:sz="4" w:space="0"/>
              <w:left w:val="single" w:color="000000" w:sz="4" w:space="0"/>
              <w:bottom w:val="single" w:color="000000" w:sz="4" w:space="0"/>
              <w:right w:val="single" w:color="000000" w:sz="4" w:space="0"/>
            </w:tcBorders>
            <w:vAlign w:val="center"/>
          </w:tcPr>
          <w:p w14:paraId="5D8565C2">
            <w:pPr>
              <w:spacing w:after="160" w:line="360" w:lineRule="auto"/>
              <w:rPr>
                <w:rFonts w:hint="eastAsia" w:ascii="宋体" w:hAnsi="宋体"/>
                <w:sz w:val="24"/>
                <w:highlight w:val="none"/>
              </w:rPr>
            </w:pPr>
            <w:r>
              <w:rPr>
                <w:rFonts w:hint="eastAsia" w:ascii="宋体" w:hAnsi="宋体"/>
                <w:sz w:val="24"/>
                <w:highlight w:val="none"/>
              </w:rPr>
              <w:t>序号</w:t>
            </w:r>
          </w:p>
        </w:tc>
        <w:tc>
          <w:tcPr>
            <w:tcW w:w="4908" w:type="dxa"/>
            <w:tcBorders>
              <w:top w:val="single" w:color="000000" w:sz="4" w:space="0"/>
              <w:left w:val="nil"/>
              <w:bottom w:val="single" w:color="000000" w:sz="4" w:space="0"/>
              <w:right w:val="single" w:color="000000" w:sz="4" w:space="0"/>
            </w:tcBorders>
            <w:vAlign w:val="center"/>
          </w:tcPr>
          <w:p w14:paraId="619D9A51">
            <w:pPr>
              <w:spacing w:after="160" w:line="360" w:lineRule="auto"/>
              <w:rPr>
                <w:rFonts w:hint="eastAsia" w:ascii="宋体" w:hAnsi="宋体"/>
                <w:sz w:val="24"/>
                <w:highlight w:val="none"/>
              </w:rPr>
            </w:pPr>
            <w:r>
              <w:rPr>
                <w:rFonts w:hint="eastAsia" w:ascii="宋体" w:hAnsi="宋体"/>
                <w:sz w:val="24"/>
                <w:highlight w:val="none"/>
              </w:rPr>
              <w:t>设备名称</w:t>
            </w:r>
          </w:p>
        </w:tc>
        <w:tc>
          <w:tcPr>
            <w:tcW w:w="1316" w:type="dxa"/>
            <w:tcBorders>
              <w:top w:val="single" w:color="000000" w:sz="4" w:space="0"/>
              <w:left w:val="nil"/>
              <w:bottom w:val="single" w:color="000000" w:sz="4" w:space="0"/>
              <w:right w:val="single" w:color="000000" w:sz="4" w:space="0"/>
            </w:tcBorders>
            <w:vAlign w:val="center"/>
          </w:tcPr>
          <w:p w14:paraId="76360345">
            <w:pPr>
              <w:spacing w:after="160" w:line="360" w:lineRule="auto"/>
              <w:rPr>
                <w:rFonts w:hint="eastAsia" w:ascii="宋体" w:hAnsi="宋体"/>
                <w:sz w:val="24"/>
                <w:highlight w:val="none"/>
              </w:rPr>
            </w:pPr>
            <w:r>
              <w:rPr>
                <w:rFonts w:hint="eastAsia" w:ascii="宋体" w:hAnsi="宋体"/>
                <w:sz w:val="24"/>
                <w:highlight w:val="none"/>
              </w:rPr>
              <w:t>维保次数</w:t>
            </w:r>
          </w:p>
        </w:tc>
        <w:tc>
          <w:tcPr>
            <w:tcW w:w="1317" w:type="dxa"/>
            <w:tcBorders>
              <w:top w:val="single" w:color="000000" w:sz="4" w:space="0"/>
              <w:left w:val="nil"/>
              <w:bottom w:val="single" w:color="000000" w:sz="4" w:space="0"/>
              <w:right w:val="single" w:color="000000" w:sz="4" w:space="0"/>
            </w:tcBorders>
            <w:vAlign w:val="center"/>
          </w:tcPr>
          <w:p w14:paraId="112852D9">
            <w:pPr>
              <w:spacing w:after="160" w:line="360" w:lineRule="auto"/>
              <w:rPr>
                <w:rFonts w:hint="eastAsia" w:ascii="宋体" w:hAnsi="宋体"/>
                <w:sz w:val="24"/>
                <w:highlight w:val="none"/>
              </w:rPr>
            </w:pPr>
            <w:r>
              <w:rPr>
                <w:rFonts w:hint="eastAsia" w:ascii="宋体" w:hAnsi="宋体"/>
                <w:sz w:val="24"/>
                <w:highlight w:val="none"/>
              </w:rPr>
              <w:t>维保周期</w:t>
            </w:r>
          </w:p>
        </w:tc>
      </w:tr>
      <w:tr w14:paraId="48F2675C">
        <w:tblPrEx>
          <w:tblCellMar>
            <w:top w:w="0" w:type="dxa"/>
            <w:left w:w="108" w:type="dxa"/>
            <w:bottom w:w="0" w:type="dxa"/>
            <w:right w:w="108" w:type="dxa"/>
          </w:tblCellMar>
        </w:tblPrEx>
        <w:trPr>
          <w:trHeight w:val="285" w:hRule="atLeast"/>
        </w:trPr>
        <w:tc>
          <w:tcPr>
            <w:tcW w:w="1402" w:type="dxa"/>
            <w:tcBorders>
              <w:top w:val="single" w:color="000000" w:sz="4" w:space="0"/>
              <w:left w:val="single" w:color="000000" w:sz="4" w:space="0"/>
              <w:bottom w:val="single" w:color="000000" w:sz="4" w:space="0"/>
              <w:right w:val="single" w:color="000000" w:sz="4" w:space="0"/>
            </w:tcBorders>
            <w:noWrap/>
            <w:vAlign w:val="center"/>
          </w:tcPr>
          <w:p w14:paraId="1DCE8DF1">
            <w:pPr>
              <w:spacing w:after="160" w:line="360" w:lineRule="auto"/>
              <w:rPr>
                <w:rFonts w:hint="eastAsia" w:ascii="宋体" w:hAnsi="宋体"/>
                <w:sz w:val="24"/>
                <w:highlight w:val="none"/>
              </w:rPr>
            </w:pPr>
            <w:r>
              <w:rPr>
                <w:rFonts w:hint="eastAsia" w:ascii="宋体" w:hAnsi="宋体"/>
                <w:sz w:val="24"/>
                <w:highlight w:val="none"/>
              </w:rPr>
              <w:t>1</w:t>
            </w:r>
          </w:p>
        </w:tc>
        <w:tc>
          <w:tcPr>
            <w:tcW w:w="4908" w:type="dxa"/>
            <w:tcBorders>
              <w:top w:val="single" w:color="000000" w:sz="4" w:space="0"/>
              <w:left w:val="nil"/>
              <w:bottom w:val="single" w:color="000000" w:sz="4" w:space="0"/>
              <w:right w:val="single" w:color="000000" w:sz="4" w:space="0"/>
            </w:tcBorders>
            <w:noWrap/>
            <w:vAlign w:val="center"/>
          </w:tcPr>
          <w:p w14:paraId="18280AA1">
            <w:pPr>
              <w:spacing w:after="160" w:line="360" w:lineRule="auto"/>
              <w:rPr>
                <w:rFonts w:hint="eastAsia" w:ascii="宋体" w:hAnsi="宋体"/>
                <w:sz w:val="24"/>
                <w:highlight w:val="none"/>
              </w:rPr>
            </w:pPr>
            <w:r>
              <w:rPr>
                <w:rFonts w:hint="eastAsia" w:ascii="宋体" w:hAnsi="宋体"/>
                <w:sz w:val="24"/>
                <w:highlight w:val="none"/>
              </w:rPr>
              <w:t>提升泵</w:t>
            </w:r>
          </w:p>
        </w:tc>
        <w:tc>
          <w:tcPr>
            <w:tcW w:w="1316" w:type="dxa"/>
            <w:tcBorders>
              <w:top w:val="single" w:color="000000" w:sz="4" w:space="0"/>
              <w:left w:val="nil"/>
              <w:bottom w:val="single" w:color="000000" w:sz="4" w:space="0"/>
              <w:right w:val="single" w:color="000000" w:sz="4" w:space="0"/>
            </w:tcBorders>
            <w:noWrap/>
            <w:vAlign w:val="center"/>
          </w:tcPr>
          <w:p w14:paraId="532C7F2E">
            <w:pPr>
              <w:spacing w:after="160" w:line="360" w:lineRule="auto"/>
              <w:rPr>
                <w:rFonts w:hint="eastAsia" w:ascii="宋体" w:hAnsi="宋体"/>
                <w:sz w:val="24"/>
                <w:highlight w:val="none"/>
              </w:rPr>
            </w:pPr>
            <w:r>
              <w:rPr>
                <w:rFonts w:hint="eastAsia" w:ascii="宋体" w:hAnsi="宋体"/>
                <w:sz w:val="24"/>
                <w:highlight w:val="none"/>
              </w:rPr>
              <w:t>1</w:t>
            </w:r>
          </w:p>
        </w:tc>
        <w:tc>
          <w:tcPr>
            <w:tcW w:w="1317" w:type="dxa"/>
            <w:tcBorders>
              <w:top w:val="single" w:color="000000" w:sz="4" w:space="0"/>
              <w:left w:val="nil"/>
              <w:bottom w:val="single" w:color="000000" w:sz="4" w:space="0"/>
              <w:right w:val="single" w:color="000000" w:sz="4" w:space="0"/>
            </w:tcBorders>
            <w:noWrap/>
            <w:vAlign w:val="center"/>
          </w:tcPr>
          <w:p w14:paraId="6D17E67E">
            <w:pPr>
              <w:spacing w:after="160" w:line="360" w:lineRule="auto"/>
              <w:rPr>
                <w:rFonts w:hint="eastAsia" w:ascii="宋体" w:hAnsi="宋体"/>
                <w:sz w:val="24"/>
                <w:highlight w:val="none"/>
              </w:rPr>
            </w:pPr>
            <w:r>
              <w:rPr>
                <w:rFonts w:hint="eastAsia" w:ascii="宋体" w:hAnsi="宋体"/>
                <w:sz w:val="24"/>
                <w:highlight w:val="none"/>
              </w:rPr>
              <w:t>每周</w:t>
            </w:r>
          </w:p>
        </w:tc>
      </w:tr>
      <w:tr w14:paraId="00080916">
        <w:tblPrEx>
          <w:tblCellMar>
            <w:top w:w="0" w:type="dxa"/>
            <w:left w:w="108" w:type="dxa"/>
            <w:bottom w:w="0" w:type="dxa"/>
            <w:right w:w="108" w:type="dxa"/>
          </w:tblCellMar>
        </w:tblPrEx>
        <w:trPr>
          <w:trHeight w:val="399" w:hRule="atLeast"/>
        </w:trPr>
        <w:tc>
          <w:tcPr>
            <w:tcW w:w="1402" w:type="dxa"/>
            <w:tcBorders>
              <w:top w:val="single" w:color="000000" w:sz="4" w:space="0"/>
              <w:left w:val="single" w:color="000000" w:sz="4" w:space="0"/>
              <w:bottom w:val="single" w:color="000000" w:sz="4" w:space="0"/>
              <w:right w:val="single" w:color="000000" w:sz="4" w:space="0"/>
            </w:tcBorders>
            <w:noWrap/>
            <w:vAlign w:val="center"/>
          </w:tcPr>
          <w:p w14:paraId="16740A5E">
            <w:pPr>
              <w:spacing w:after="160" w:line="360" w:lineRule="auto"/>
              <w:rPr>
                <w:rFonts w:hint="eastAsia" w:ascii="宋体" w:hAnsi="宋体"/>
                <w:sz w:val="24"/>
                <w:highlight w:val="none"/>
              </w:rPr>
            </w:pPr>
            <w:r>
              <w:rPr>
                <w:rFonts w:hint="eastAsia" w:ascii="宋体" w:hAnsi="宋体"/>
                <w:sz w:val="24"/>
                <w:highlight w:val="none"/>
              </w:rPr>
              <w:t>2</w:t>
            </w:r>
          </w:p>
        </w:tc>
        <w:tc>
          <w:tcPr>
            <w:tcW w:w="4908" w:type="dxa"/>
            <w:tcBorders>
              <w:top w:val="single" w:color="000000" w:sz="4" w:space="0"/>
              <w:left w:val="nil"/>
              <w:bottom w:val="single" w:color="000000" w:sz="4" w:space="0"/>
              <w:right w:val="single" w:color="000000" w:sz="4" w:space="0"/>
            </w:tcBorders>
            <w:noWrap/>
            <w:vAlign w:val="center"/>
          </w:tcPr>
          <w:p w14:paraId="7CBE78BC">
            <w:pPr>
              <w:spacing w:after="160" w:line="360" w:lineRule="auto"/>
              <w:rPr>
                <w:rFonts w:hint="eastAsia" w:ascii="宋体" w:hAnsi="宋体"/>
                <w:sz w:val="24"/>
                <w:highlight w:val="none"/>
              </w:rPr>
            </w:pPr>
            <w:r>
              <w:rPr>
                <w:rFonts w:hint="eastAsia" w:ascii="宋体" w:hAnsi="宋体"/>
                <w:sz w:val="24"/>
                <w:highlight w:val="none"/>
              </w:rPr>
              <w:t>鼓风机</w:t>
            </w:r>
          </w:p>
        </w:tc>
        <w:tc>
          <w:tcPr>
            <w:tcW w:w="1316" w:type="dxa"/>
            <w:tcBorders>
              <w:top w:val="single" w:color="000000" w:sz="4" w:space="0"/>
              <w:left w:val="nil"/>
              <w:bottom w:val="single" w:color="000000" w:sz="4" w:space="0"/>
              <w:right w:val="single" w:color="000000" w:sz="4" w:space="0"/>
            </w:tcBorders>
            <w:noWrap/>
            <w:vAlign w:val="center"/>
          </w:tcPr>
          <w:p w14:paraId="322AB42A">
            <w:pPr>
              <w:spacing w:after="160" w:line="360" w:lineRule="auto"/>
              <w:rPr>
                <w:rFonts w:hint="eastAsia" w:ascii="宋体" w:hAnsi="宋体"/>
                <w:sz w:val="24"/>
                <w:highlight w:val="none"/>
              </w:rPr>
            </w:pPr>
            <w:r>
              <w:rPr>
                <w:rFonts w:hint="eastAsia" w:ascii="宋体" w:hAnsi="宋体"/>
                <w:sz w:val="24"/>
                <w:highlight w:val="none"/>
              </w:rPr>
              <w:t>1</w:t>
            </w:r>
          </w:p>
        </w:tc>
        <w:tc>
          <w:tcPr>
            <w:tcW w:w="1317" w:type="dxa"/>
            <w:tcBorders>
              <w:top w:val="single" w:color="000000" w:sz="4" w:space="0"/>
              <w:left w:val="nil"/>
              <w:bottom w:val="single" w:color="000000" w:sz="4" w:space="0"/>
              <w:right w:val="single" w:color="000000" w:sz="4" w:space="0"/>
            </w:tcBorders>
            <w:noWrap/>
            <w:vAlign w:val="center"/>
          </w:tcPr>
          <w:p w14:paraId="2B4E9071">
            <w:pPr>
              <w:spacing w:after="160" w:line="360" w:lineRule="auto"/>
              <w:rPr>
                <w:rFonts w:hint="eastAsia" w:ascii="宋体" w:hAnsi="宋体"/>
                <w:sz w:val="24"/>
                <w:highlight w:val="none"/>
              </w:rPr>
            </w:pPr>
            <w:r>
              <w:rPr>
                <w:rFonts w:hint="eastAsia" w:ascii="宋体" w:hAnsi="宋体"/>
                <w:sz w:val="24"/>
                <w:highlight w:val="none"/>
              </w:rPr>
              <w:t>每月</w:t>
            </w:r>
          </w:p>
        </w:tc>
      </w:tr>
      <w:tr w14:paraId="5FE372CB">
        <w:tblPrEx>
          <w:tblCellMar>
            <w:top w:w="0" w:type="dxa"/>
            <w:left w:w="108" w:type="dxa"/>
            <w:bottom w:w="0" w:type="dxa"/>
            <w:right w:w="108" w:type="dxa"/>
          </w:tblCellMar>
        </w:tblPrEx>
        <w:trPr>
          <w:trHeight w:val="285" w:hRule="atLeast"/>
        </w:trPr>
        <w:tc>
          <w:tcPr>
            <w:tcW w:w="1402" w:type="dxa"/>
            <w:tcBorders>
              <w:top w:val="single" w:color="000000" w:sz="4" w:space="0"/>
              <w:left w:val="single" w:color="000000" w:sz="4" w:space="0"/>
              <w:bottom w:val="single" w:color="000000" w:sz="4" w:space="0"/>
              <w:right w:val="single" w:color="000000" w:sz="4" w:space="0"/>
            </w:tcBorders>
            <w:noWrap/>
            <w:vAlign w:val="center"/>
          </w:tcPr>
          <w:p w14:paraId="4F512FCA">
            <w:pPr>
              <w:spacing w:after="160" w:line="360" w:lineRule="auto"/>
              <w:rPr>
                <w:rFonts w:hint="eastAsia" w:ascii="宋体" w:hAnsi="宋体"/>
                <w:sz w:val="24"/>
                <w:highlight w:val="none"/>
              </w:rPr>
            </w:pPr>
            <w:r>
              <w:rPr>
                <w:rFonts w:hint="eastAsia" w:ascii="宋体" w:hAnsi="宋体"/>
                <w:sz w:val="24"/>
                <w:highlight w:val="none"/>
              </w:rPr>
              <w:t>3</w:t>
            </w:r>
          </w:p>
        </w:tc>
        <w:tc>
          <w:tcPr>
            <w:tcW w:w="4908" w:type="dxa"/>
            <w:tcBorders>
              <w:top w:val="single" w:color="000000" w:sz="4" w:space="0"/>
              <w:left w:val="nil"/>
              <w:bottom w:val="single" w:color="000000" w:sz="4" w:space="0"/>
              <w:right w:val="single" w:color="000000" w:sz="4" w:space="0"/>
            </w:tcBorders>
            <w:noWrap/>
            <w:vAlign w:val="center"/>
          </w:tcPr>
          <w:p w14:paraId="78A324F5">
            <w:pPr>
              <w:spacing w:after="160" w:line="360" w:lineRule="auto"/>
              <w:rPr>
                <w:rFonts w:hint="eastAsia" w:ascii="宋体" w:hAnsi="宋体"/>
                <w:sz w:val="24"/>
                <w:highlight w:val="none"/>
              </w:rPr>
            </w:pPr>
            <w:r>
              <w:rPr>
                <w:rFonts w:hint="eastAsia" w:ascii="宋体" w:hAnsi="宋体"/>
                <w:sz w:val="24"/>
                <w:highlight w:val="none"/>
              </w:rPr>
              <w:t>消毒加药装置</w:t>
            </w:r>
          </w:p>
        </w:tc>
        <w:tc>
          <w:tcPr>
            <w:tcW w:w="1316" w:type="dxa"/>
            <w:tcBorders>
              <w:top w:val="single" w:color="000000" w:sz="4" w:space="0"/>
              <w:left w:val="nil"/>
              <w:bottom w:val="single" w:color="000000" w:sz="4" w:space="0"/>
              <w:right w:val="single" w:color="000000" w:sz="4" w:space="0"/>
            </w:tcBorders>
            <w:noWrap/>
            <w:vAlign w:val="center"/>
          </w:tcPr>
          <w:p w14:paraId="25CDCAE9">
            <w:pPr>
              <w:spacing w:after="160" w:line="360" w:lineRule="auto"/>
              <w:rPr>
                <w:rFonts w:hint="eastAsia" w:ascii="宋体" w:hAnsi="宋体"/>
                <w:sz w:val="24"/>
                <w:highlight w:val="none"/>
              </w:rPr>
            </w:pPr>
            <w:r>
              <w:rPr>
                <w:rFonts w:hint="eastAsia" w:ascii="宋体" w:hAnsi="宋体"/>
                <w:sz w:val="24"/>
                <w:highlight w:val="none"/>
              </w:rPr>
              <w:t>1</w:t>
            </w:r>
          </w:p>
        </w:tc>
        <w:tc>
          <w:tcPr>
            <w:tcW w:w="1317" w:type="dxa"/>
            <w:tcBorders>
              <w:top w:val="single" w:color="000000" w:sz="4" w:space="0"/>
              <w:left w:val="nil"/>
              <w:bottom w:val="single" w:color="000000" w:sz="4" w:space="0"/>
              <w:right w:val="single" w:color="000000" w:sz="4" w:space="0"/>
            </w:tcBorders>
            <w:noWrap/>
            <w:vAlign w:val="center"/>
          </w:tcPr>
          <w:p w14:paraId="62EE0284">
            <w:pPr>
              <w:spacing w:after="160" w:line="360" w:lineRule="auto"/>
              <w:rPr>
                <w:rFonts w:hint="eastAsia" w:ascii="宋体" w:hAnsi="宋体"/>
                <w:sz w:val="24"/>
                <w:highlight w:val="none"/>
              </w:rPr>
            </w:pPr>
            <w:r>
              <w:rPr>
                <w:rFonts w:hint="eastAsia" w:ascii="宋体" w:hAnsi="宋体"/>
                <w:sz w:val="24"/>
                <w:highlight w:val="none"/>
              </w:rPr>
              <w:t>每月</w:t>
            </w:r>
          </w:p>
        </w:tc>
      </w:tr>
      <w:tr w14:paraId="5BDD405D">
        <w:tblPrEx>
          <w:tblCellMar>
            <w:top w:w="0" w:type="dxa"/>
            <w:left w:w="108" w:type="dxa"/>
            <w:bottom w:w="0" w:type="dxa"/>
            <w:right w:w="108" w:type="dxa"/>
          </w:tblCellMar>
        </w:tblPrEx>
        <w:trPr>
          <w:trHeight w:val="285" w:hRule="atLeast"/>
        </w:trPr>
        <w:tc>
          <w:tcPr>
            <w:tcW w:w="1402" w:type="dxa"/>
            <w:tcBorders>
              <w:top w:val="single" w:color="000000" w:sz="4" w:space="0"/>
              <w:left w:val="single" w:color="000000" w:sz="4" w:space="0"/>
              <w:bottom w:val="single" w:color="000000" w:sz="4" w:space="0"/>
              <w:right w:val="single" w:color="000000" w:sz="4" w:space="0"/>
            </w:tcBorders>
            <w:noWrap/>
            <w:vAlign w:val="center"/>
          </w:tcPr>
          <w:p w14:paraId="33B7C4B7">
            <w:pPr>
              <w:spacing w:after="160" w:line="360" w:lineRule="auto"/>
              <w:rPr>
                <w:rFonts w:hint="eastAsia" w:ascii="宋体" w:hAnsi="宋体"/>
                <w:sz w:val="24"/>
                <w:highlight w:val="none"/>
              </w:rPr>
            </w:pPr>
            <w:r>
              <w:rPr>
                <w:rFonts w:hint="eastAsia" w:ascii="宋体" w:hAnsi="宋体"/>
                <w:sz w:val="24"/>
                <w:highlight w:val="none"/>
              </w:rPr>
              <w:t>4</w:t>
            </w:r>
          </w:p>
        </w:tc>
        <w:tc>
          <w:tcPr>
            <w:tcW w:w="4908" w:type="dxa"/>
            <w:tcBorders>
              <w:top w:val="single" w:color="000000" w:sz="4" w:space="0"/>
              <w:left w:val="nil"/>
              <w:bottom w:val="single" w:color="000000" w:sz="4" w:space="0"/>
              <w:right w:val="single" w:color="000000" w:sz="4" w:space="0"/>
            </w:tcBorders>
            <w:noWrap/>
            <w:vAlign w:val="center"/>
          </w:tcPr>
          <w:p w14:paraId="2C027AB2">
            <w:pPr>
              <w:spacing w:after="160" w:line="360" w:lineRule="auto"/>
              <w:rPr>
                <w:rFonts w:hint="eastAsia" w:ascii="宋体" w:hAnsi="宋体"/>
                <w:sz w:val="24"/>
                <w:highlight w:val="none"/>
              </w:rPr>
            </w:pPr>
            <w:r>
              <w:rPr>
                <w:rFonts w:hint="eastAsia" w:ascii="宋体" w:hAnsi="宋体"/>
                <w:sz w:val="24"/>
                <w:highlight w:val="none"/>
              </w:rPr>
              <w:t>搅拌机</w:t>
            </w:r>
          </w:p>
        </w:tc>
        <w:tc>
          <w:tcPr>
            <w:tcW w:w="1316" w:type="dxa"/>
            <w:tcBorders>
              <w:top w:val="single" w:color="000000" w:sz="4" w:space="0"/>
              <w:left w:val="nil"/>
              <w:bottom w:val="single" w:color="000000" w:sz="4" w:space="0"/>
              <w:right w:val="single" w:color="000000" w:sz="4" w:space="0"/>
            </w:tcBorders>
            <w:noWrap/>
            <w:vAlign w:val="center"/>
          </w:tcPr>
          <w:p w14:paraId="7629CCD0">
            <w:pPr>
              <w:spacing w:after="160" w:line="360" w:lineRule="auto"/>
              <w:rPr>
                <w:rFonts w:hint="eastAsia" w:ascii="宋体" w:hAnsi="宋体"/>
                <w:sz w:val="24"/>
                <w:highlight w:val="none"/>
              </w:rPr>
            </w:pPr>
            <w:r>
              <w:rPr>
                <w:rFonts w:hint="eastAsia" w:ascii="宋体" w:hAnsi="宋体"/>
                <w:sz w:val="24"/>
                <w:highlight w:val="none"/>
              </w:rPr>
              <w:t>1</w:t>
            </w:r>
          </w:p>
        </w:tc>
        <w:tc>
          <w:tcPr>
            <w:tcW w:w="1317" w:type="dxa"/>
            <w:tcBorders>
              <w:top w:val="single" w:color="000000" w:sz="4" w:space="0"/>
              <w:left w:val="nil"/>
              <w:bottom w:val="single" w:color="000000" w:sz="4" w:space="0"/>
              <w:right w:val="single" w:color="000000" w:sz="4" w:space="0"/>
            </w:tcBorders>
            <w:noWrap/>
            <w:vAlign w:val="center"/>
          </w:tcPr>
          <w:p w14:paraId="3CA332B6">
            <w:pPr>
              <w:spacing w:after="160" w:line="360" w:lineRule="auto"/>
              <w:rPr>
                <w:rFonts w:hint="eastAsia" w:ascii="宋体" w:hAnsi="宋体"/>
                <w:sz w:val="24"/>
                <w:highlight w:val="none"/>
              </w:rPr>
            </w:pPr>
            <w:r>
              <w:rPr>
                <w:rFonts w:hint="eastAsia" w:ascii="宋体" w:hAnsi="宋体"/>
                <w:sz w:val="24"/>
                <w:highlight w:val="none"/>
              </w:rPr>
              <w:t>每日</w:t>
            </w:r>
          </w:p>
        </w:tc>
      </w:tr>
      <w:tr w14:paraId="31EDE4CC">
        <w:tblPrEx>
          <w:tblCellMar>
            <w:top w:w="0" w:type="dxa"/>
            <w:left w:w="108" w:type="dxa"/>
            <w:bottom w:w="0" w:type="dxa"/>
            <w:right w:w="108" w:type="dxa"/>
          </w:tblCellMar>
        </w:tblPrEx>
        <w:trPr>
          <w:trHeight w:val="285" w:hRule="atLeast"/>
        </w:trPr>
        <w:tc>
          <w:tcPr>
            <w:tcW w:w="1402" w:type="dxa"/>
            <w:tcBorders>
              <w:top w:val="single" w:color="000000" w:sz="4" w:space="0"/>
              <w:left w:val="single" w:color="000000" w:sz="4" w:space="0"/>
              <w:bottom w:val="single" w:color="000000" w:sz="4" w:space="0"/>
              <w:right w:val="single" w:color="000000" w:sz="4" w:space="0"/>
            </w:tcBorders>
            <w:noWrap/>
            <w:vAlign w:val="center"/>
          </w:tcPr>
          <w:p w14:paraId="51FB1E3B">
            <w:pPr>
              <w:spacing w:after="160" w:line="360" w:lineRule="auto"/>
              <w:rPr>
                <w:rFonts w:hint="eastAsia" w:ascii="宋体" w:hAnsi="宋体"/>
                <w:sz w:val="24"/>
                <w:highlight w:val="none"/>
              </w:rPr>
            </w:pPr>
            <w:r>
              <w:rPr>
                <w:rFonts w:ascii="宋体" w:hAnsi="宋体"/>
                <w:sz w:val="24"/>
                <w:highlight w:val="none"/>
              </w:rPr>
              <w:t>5</w:t>
            </w:r>
          </w:p>
        </w:tc>
        <w:tc>
          <w:tcPr>
            <w:tcW w:w="4908" w:type="dxa"/>
            <w:tcBorders>
              <w:top w:val="single" w:color="000000" w:sz="4" w:space="0"/>
              <w:left w:val="nil"/>
              <w:bottom w:val="single" w:color="000000" w:sz="4" w:space="0"/>
              <w:right w:val="single" w:color="000000" w:sz="4" w:space="0"/>
            </w:tcBorders>
            <w:noWrap/>
            <w:vAlign w:val="center"/>
          </w:tcPr>
          <w:p w14:paraId="29C38D3C">
            <w:pPr>
              <w:spacing w:after="160" w:line="360" w:lineRule="auto"/>
              <w:rPr>
                <w:rFonts w:hint="eastAsia" w:ascii="宋体" w:hAnsi="宋体"/>
                <w:sz w:val="24"/>
                <w:highlight w:val="none"/>
              </w:rPr>
            </w:pPr>
            <w:r>
              <w:rPr>
                <w:rFonts w:hint="eastAsia" w:ascii="宋体" w:hAnsi="宋体"/>
                <w:sz w:val="24"/>
                <w:highlight w:val="none"/>
              </w:rPr>
              <w:t>板框压滤机</w:t>
            </w:r>
          </w:p>
        </w:tc>
        <w:tc>
          <w:tcPr>
            <w:tcW w:w="1316" w:type="dxa"/>
            <w:tcBorders>
              <w:top w:val="single" w:color="000000" w:sz="4" w:space="0"/>
              <w:left w:val="nil"/>
              <w:bottom w:val="single" w:color="000000" w:sz="4" w:space="0"/>
              <w:right w:val="single" w:color="000000" w:sz="4" w:space="0"/>
            </w:tcBorders>
            <w:noWrap/>
            <w:vAlign w:val="center"/>
          </w:tcPr>
          <w:p w14:paraId="4E0DFB6E">
            <w:pPr>
              <w:spacing w:after="160" w:line="360" w:lineRule="auto"/>
              <w:rPr>
                <w:rFonts w:hint="eastAsia" w:ascii="宋体" w:hAnsi="宋体"/>
                <w:sz w:val="24"/>
                <w:highlight w:val="none"/>
              </w:rPr>
            </w:pPr>
            <w:r>
              <w:rPr>
                <w:rFonts w:hint="eastAsia" w:ascii="宋体" w:hAnsi="宋体"/>
                <w:sz w:val="24"/>
                <w:highlight w:val="none"/>
              </w:rPr>
              <w:t>1</w:t>
            </w:r>
          </w:p>
        </w:tc>
        <w:tc>
          <w:tcPr>
            <w:tcW w:w="1317" w:type="dxa"/>
            <w:tcBorders>
              <w:top w:val="single" w:color="000000" w:sz="4" w:space="0"/>
              <w:left w:val="nil"/>
              <w:bottom w:val="single" w:color="000000" w:sz="4" w:space="0"/>
              <w:right w:val="single" w:color="000000" w:sz="4" w:space="0"/>
            </w:tcBorders>
            <w:noWrap/>
            <w:vAlign w:val="center"/>
          </w:tcPr>
          <w:p w14:paraId="0973937D">
            <w:pPr>
              <w:spacing w:after="160" w:line="360" w:lineRule="auto"/>
              <w:rPr>
                <w:rFonts w:hint="eastAsia" w:ascii="宋体" w:hAnsi="宋体"/>
                <w:sz w:val="24"/>
                <w:highlight w:val="none"/>
              </w:rPr>
            </w:pPr>
            <w:r>
              <w:rPr>
                <w:rFonts w:hint="eastAsia" w:ascii="宋体" w:hAnsi="宋体"/>
                <w:sz w:val="24"/>
                <w:highlight w:val="none"/>
              </w:rPr>
              <w:t>每月</w:t>
            </w:r>
          </w:p>
        </w:tc>
      </w:tr>
      <w:tr w14:paraId="0A65AE8B">
        <w:tblPrEx>
          <w:tblCellMar>
            <w:top w:w="0" w:type="dxa"/>
            <w:left w:w="108" w:type="dxa"/>
            <w:bottom w:w="0" w:type="dxa"/>
            <w:right w:w="108" w:type="dxa"/>
          </w:tblCellMar>
        </w:tblPrEx>
        <w:trPr>
          <w:trHeight w:val="477" w:hRule="atLeast"/>
        </w:trPr>
        <w:tc>
          <w:tcPr>
            <w:tcW w:w="1402" w:type="dxa"/>
            <w:tcBorders>
              <w:top w:val="single" w:color="000000" w:sz="4" w:space="0"/>
              <w:left w:val="single" w:color="000000" w:sz="4" w:space="0"/>
              <w:bottom w:val="single" w:color="000000" w:sz="4" w:space="0"/>
              <w:right w:val="single" w:color="000000" w:sz="4" w:space="0"/>
            </w:tcBorders>
            <w:noWrap/>
            <w:vAlign w:val="center"/>
          </w:tcPr>
          <w:p w14:paraId="0E6F3D67">
            <w:pPr>
              <w:spacing w:after="160" w:line="360" w:lineRule="auto"/>
              <w:rPr>
                <w:rFonts w:hint="eastAsia" w:ascii="宋体" w:hAnsi="宋体"/>
                <w:sz w:val="24"/>
                <w:highlight w:val="none"/>
              </w:rPr>
            </w:pPr>
            <w:r>
              <w:rPr>
                <w:rFonts w:hint="eastAsia" w:ascii="宋体" w:hAnsi="宋体"/>
                <w:sz w:val="24"/>
                <w:highlight w:val="none"/>
              </w:rPr>
              <w:t>6</w:t>
            </w:r>
          </w:p>
        </w:tc>
        <w:tc>
          <w:tcPr>
            <w:tcW w:w="4908" w:type="dxa"/>
            <w:tcBorders>
              <w:top w:val="single" w:color="000000" w:sz="4" w:space="0"/>
              <w:left w:val="nil"/>
              <w:bottom w:val="single" w:color="000000" w:sz="4" w:space="0"/>
              <w:right w:val="single" w:color="000000" w:sz="4" w:space="0"/>
            </w:tcBorders>
            <w:noWrap/>
            <w:vAlign w:val="center"/>
          </w:tcPr>
          <w:p w14:paraId="5C936358">
            <w:pPr>
              <w:spacing w:after="160" w:line="360" w:lineRule="auto"/>
              <w:rPr>
                <w:rFonts w:hint="eastAsia" w:ascii="宋体" w:hAnsi="宋体"/>
                <w:sz w:val="24"/>
                <w:highlight w:val="none"/>
              </w:rPr>
            </w:pPr>
            <w:r>
              <w:rPr>
                <w:rFonts w:hint="eastAsia" w:ascii="宋体" w:hAnsi="宋体"/>
                <w:sz w:val="24"/>
                <w:highlight w:val="none"/>
              </w:rPr>
              <w:t>PAM加药系统</w:t>
            </w:r>
          </w:p>
        </w:tc>
        <w:tc>
          <w:tcPr>
            <w:tcW w:w="1316" w:type="dxa"/>
            <w:tcBorders>
              <w:top w:val="single" w:color="000000" w:sz="4" w:space="0"/>
              <w:left w:val="nil"/>
              <w:bottom w:val="single" w:color="000000" w:sz="4" w:space="0"/>
              <w:right w:val="single" w:color="000000" w:sz="4" w:space="0"/>
            </w:tcBorders>
            <w:noWrap/>
            <w:vAlign w:val="center"/>
          </w:tcPr>
          <w:p w14:paraId="1D571963">
            <w:pPr>
              <w:spacing w:after="160" w:line="360" w:lineRule="auto"/>
              <w:rPr>
                <w:rFonts w:hint="eastAsia" w:ascii="宋体" w:hAnsi="宋体"/>
                <w:sz w:val="24"/>
                <w:highlight w:val="none"/>
              </w:rPr>
            </w:pPr>
            <w:r>
              <w:rPr>
                <w:rFonts w:hint="eastAsia" w:ascii="宋体" w:hAnsi="宋体"/>
                <w:sz w:val="24"/>
                <w:highlight w:val="none"/>
              </w:rPr>
              <w:t>1</w:t>
            </w:r>
          </w:p>
        </w:tc>
        <w:tc>
          <w:tcPr>
            <w:tcW w:w="1317" w:type="dxa"/>
            <w:tcBorders>
              <w:top w:val="single" w:color="000000" w:sz="4" w:space="0"/>
              <w:left w:val="nil"/>
              <w:bottom w:val="single" w:color="000000" w:sz="4" w:space="0"/>
              <w:right w:val="single" w:color="000000" w:sz="4" w:space="0"/>
            </w:tcBorders>
            <w:noWrap/>
            <w:vAlign w:val="center"/>
          </w:tcPr>
          <w:p w14:paraId="3175AC74">
            <w:pPr>
              <w:spacing w:after="160" w:line="360" w:lineRule="auto"/>
              <w:rPr>
                <w:rFonts w:hint="eastAsia" w:ascii="宋体" w:hAnsi="宋体"/>
                <w:sz w:val="24"/>
                <w:highlight w:val="none"/>
              </w:rPr>
            </w:pPr>
            <w:r>
              <w:rPr>
                <w:rFonts w:hint="eastAsia" w:ascii="宋体" w:hAnsi="宋体"/>
                <w:sz w:val="24"/>
                <w:highlight w:val="none"/>
              </w:rPr>
              <w:t>每周</w:t>
            </w:r>
          </w:p>
        </w:tc>
      </w:tr>
      <w:tr w14:paraId="4431F7ED">
        <w:tblPrEx>
          <w:tblCellMar>
            <w:top w:w="0" w:type="dxa"/>
            <w:left w:w="108" w:type="dxa"/>
            <w:bottom w:w="0" w:type="dxa"/>
            <w:right w:w="108" w:type="dxa"/>
          </w:tblCellMar>
        </w:tblPrEx>
        <w:trPr>
          <w:trHeight w:val="285" w:hRule="atLeast"/>
        </w:trPr>
        <w:tc>
          <w:tcPr>
            <w:tcW w:w="1402" w:type="dxa"/>
            <w:tcBorders>
              <w:top w:val="single" w:color="000000" w:sz="4" w:space="0"/>
              <w:left w:val="single" w:color="000000" w:sz="4" w:space="0"/>
              <w:bottom w:val="single" w:color="000000" w:sz="4" w:space="0"/>
              <w:right w:val="single" w:color="000000" w:sz="4" w:space="0"/>
            </w:tcBorders>
            <w:noWrap/>
            <w:vAlign w:val="center"/>
          </w:tcPr>
          <w:p w14:paraId="79E5BA26">
            <w:pPr>
              <w:spacing w:after="160" w:line="360" w:lineRule="auto"/>
              <w:rPr>
                <w:rFonts w:hint="eastAsia" w:ascii="宋体" w:hAnsi="宋体"/>
                <w:sz w:val="24"/>
                <w:highlight w:val="none"/>
              </w:rPr>
            </w:pPr>
            <w:r>
              <w:rPr>
                <w:rFonts w:hint="eastAsia" w:ascii="宋体" w:hAnsi="宋体"/>
                <w:sz w:val="24"/>
                <w:highlight w:val="none"/>
              </w:rPr>
              <w:t>7</w:t>
            </w:r>
          </w:p>
        </w:tc>
        <w:tc>
          <w:tcPr>
            <w:tcW w:w="4908" w:type="dxa"/>
            <w:tcBorders>
              <w:top w:val="single" w:color="000000" w:sz="4" w:space="0"/>
              <w:left w:val="nil"/>
              <w:bottom w:val="single" w:color="000000" w:sz="4" w:space="0"/>
              <w:right w:val="single" w:color="000000" w:sz="4" w:space="0"/>
            </w:tcBorders>
            <w:noWrap/>
            <w:vAlign w:val="center"/>
          </w:tcPr>
          <w:p w14:paraId="7D2331B9">
            <w:pPr>
              <w:spacing w:after="160" w:line="360" w:lineRule="auto"/>
              <w:rPr>
                <w:rFonts w:hint="eastAsia" w:ascii="宋体" w:hAnsi="宋体"/>
                <w:sz w:val="24"/>
                <w:highlight w:val="none"/>
              </w:rPr>
            </w:pPr>
            <w:r>
              <w:rPr>
                <w:rFonts w:hint="eastAsia" w:ascii="宋体" w:hAnsi="宋体"/>
                <w:sz w:val="24"/>
                <w:highlight w:val="none"/>
              </w:rPr>
              <w:t>除臭装置</w:t>
            </w:r>
          </w:p>
        </w:tc>
        <w:tc>
          <w:tcPr>
            <w:tcW w:w="1316" w:type="dxa"/>
            <w:tcBorders>
              <w:top w:val="single" w:color="000000" w:sz="4" w:space="0"/>
              <w:left w:val="nil"/>
              <w:bottom w:val="single" w:color="000000" w:sz="4" w:space="0"/>
              <w:right w:val="single" w:color="000000" w:sz="4" w:space="0"/>
            </w:tcBorders>
            <w:noWrap/>
            <w:vAlign w:val="center"/>
          </w:tcPr>
          <w:p w14:paraId="4A377207">
            <w:pPr>
              <w:spacing w:after="160" w:line="360" w:lineRule="auto"/>
              <w:rPr>
                <w:rFonts w:hint="eastAsia" w:ascii="宋体" w:hAnsi="宋体"/>
                <w:sz w:val="24"/>
                <w:highlight w:val="none"/>
              </w:rPr>
            </w:pPr>
            <w:r>
              <w:rPr>
                <w:rFonts w:hint="eastAsia" w:ascii="宋体" w:hAnsi="宋体"/>
                <w:sz w:val="24"/>
                <w:highlight w:val="none"/>
              </w:rPr>
              <w:t>1</w:t>
            </w:r>
          </w:p>
        </w:tc>
        <w:tc>
          <w:tcPr>
            <w:tcW w:w="1317" w:type="dxa"/>
            <w:tcBorders>
              <w:top w:val="single" w:color="000000" w:sz="4" w:space="0"/>
              <w:left w:val="nil"/>
              <w:bottom w:val="single" w:color="000000" w:sz="4" w:space="0"/>
              <w:right w:val="single" w:color="000000" w:sz="4" w:space="0"/>
            </w:tcBorders>
            <w:noWrap/>
            <w:vAlign w:val="center"/>
          </w:tcPr>
          <w:p w14:paraId="4C1E5F11">
            <w:pPr>
              <w:spacing w:after="160" w:line="360" w:lineRule="auto"/>
              <w:rPr>
                <w:rFonts w:hint="eastAsia" w:ascii="宋体" w:hAnsi="宋体"/>
                <w:sz w:val="24"/>
                <w:highlight w:val="none"/>
              </w:rPr>
            </w:pPr>
            <w:r>
              <w:rPr>
                <w:rFonts w:hint="eastAsia" w:ascii="宋体" w:hAnsi="宋体"/>
                <w:sz w:val="24"/>
                <w:highlight w:val="none"/>
              </w:rPr>
              <w:t>每年</w:t>
            </w:r>
          </w:p>
        </w:tc>
      </w:tr>
      <w:tr w14:paraId="52E5A03D">
        <w:tblPrEx>
          <w:tblCellMar>
            <w:top w:w="0" w:type="dxa"/>
            <w:left w:w="108" w:type="dxa"/>
            <w:bottom w:w="0" w:type="dxa"/>
            <w:right w:w="108" w:type="dxa"/>
          </w:tblCellMar>
        </w:tblPrEx>
        <w:trPr>
          <w:trHeight w:val="285" w:hRule="atLeast"/>
        </w:trPr>
        <w:tc>
          <w:tcPr>
            <w:tcW w:w="1402" w:type="dxa"/>
            <w:tcBorders>
              <w:top w:val="single" w:color="000000" w:sz="4" w:space="0"/>
              <w:left w:val="single" w:color="000000" w:sz="4" w:space="0"/>
              <w:bottom w:val="single" w:color="000000" w:sz="4" w:space="0"/>
              <w:right w:val="single" w:color="000000" w:sz="4" w:space="0"/>
            </w:tcBorders>
            <w:noWrap/>
            <w:vAlign w:val="center"/>
          </w:tcPr>
          <w:p w14:paraId="4C011664">
            <w:pPr>
              <w:spacing w:after="160" w:line="360" w:lineRule="auto"/>
              <w:rPr>
                <w:rFonts w:hint="eastAsia" w:ascii="宋体" w:hAnsi="宋体"/>
                <w:sz w:val="24"/>
                <w:highlight w:val="none"/>
              </w:rPr>
            </w:pPr>
            <w:r>
              <w:rPr>
                <w:rFonts w:hint="eastAsia" w:ascii="宋体" w:hAnsi="宋体"/>
                <w:sz w:val="24"/>
                <w:highlight w:val="none"/>
              </w:rPr>
              <w:t>8</w:t>
            </w:r>
          </w:p>
        </w:tc>
        <w:tc>
          <w:tcPr>
            <w:tcW w:w="4908" w:type="dxa"/>
            <w:tcBorders>
              <w:top w:val="single" w:color="000000" w:sz="4" w:space="0"/>
              <w:left w:val="nil"/>
              <w:bottom w:val="single" w:color="000000" w:sz="4" w:space="0"/>
              <w:right w:val="single" w:color="000000" w:sz="4" w:space="0"/>
            </w:tcBorders>
            <w:noWrap/>
            <w:vAlign w:val="center"/>
          </w:tcPr>
          <w:p w14:paraId="60C4C541">
            <w:pPr>
              <w:spacing w:after="160" w:line="360" w:lineRule="auto"/>
              <w:rPr>
                <w:rFonts w:hint="eastAsia" w:ascii="宋体" w:hAnsi="宋体"/>
                <w:sz w:val="24"/>
                <w:highlight w:val="none"/>
              </w:rPr>
            </w:pPr>
            <w:r>
              <w:rPr>
                <w:rFonts w:hint="eastAsia" w:ascii="宋体" w:hAnsi="宋体"/>
                <w:sz w:val="24"/>
                <w:highlight w:val="none"/>
              </w:rPr>
              <w:t>日常化验</w:t>
            </w:r>
          </w:p>
        </w:tc>
        <w:tc>
          <w:tcPr>
            <w:tcW w:w="1316" w:type="dxa"/>
            <w:tcBorders>
              <w:top w:val="single" w:color="000000" w:sz="4" w:space="0"/>
              <w:left w:val="nil"/>
              <w:bottom w:val="single" w:color="000000" w:sz="4" w:space="0"/>
              <w:right w:val="single" w:color="000000" w:sz="4" w:space="0"/>
            </w:tcBorders>
            <w:noWrap/>
            <w:vAlign w:val="center"/>
          </w:tcPr>
          <w:p w14:paraId="77D04107">
            <w:pPr>
              <w:spacing w:after="160" w:line="360" w:lineRule="auto"/>
              <w:rPr>
                <w:rFonts w:hint="eastAsia" w:ascii="宋体" w:hAnsi="宋体"/>
                <w:sz w:val="24"/>
                <w:highlight w:val="none"/>
              </w:rPr>
            </w:pPr>
            <w:r>
              <w:rPr>
                <w:rFonts w:hint="eastAsia" w:ascii="宋体" w:hAnsi="宋体"/>
                <w:sz w:val="24"/>
                <w:highlight w:val="none"/>
              </w:rPr>
              <w:t>1</w:t>
            </w:r>
          </w:p>
        </w:tc>
        <w:tc>
          <w:tcPr>
            <w:tcW w:w="1317" w:type="dxa"/>
            <w:tcBorders>
              <w:top w:val="single" w:color="000000" w:sz="4" w:space="0"/>
              <w:left w:val="nil"/>
              <w:bottom w:val="single" w:color="000000" w:sz="4" w:space="0"/>
              <w:right w:val="single" w:color="000000" w:sz="4" w:space="0"/>
            </w:tcBorders>
            <w:noWrap/>
            <w:vAlign w:val="center"/>
          </w:tcPr>
          <w:p w14:paraId="0B5B9166">
            <w:pPr>
              <w:spacing w:after="160" w:line="360" w:lineRule="auto"/>
              <w:rPr>
                <w:rFonts w:hint="eastAsia" w:ascii="宋体" w:hAnsi="宋体"/>
                <w:sz w:val="24"/>
                <w:highlight w:val="none"/>
              </w:rPr>
            </w:pPr>
            <w:r>
              <w:rPr>
                <w:rFonts w:hint="eastAsia" w:ascii="宋体" w:hAnsi="宋体"/>
                <w:sz w:val="24"/>
                <w:highlight w:val="none"/>
              </w:rPr>
              <w:t>每日</w:t>
            </w:r>
          </w:p>
        </w:tc>
      </w:tr>
      <w:tr w14:paraId="75615F82">
        <w:tblPrEx>
          <w:tblCellMar>
            <w:top w:w="0" w:type="dxa"/>
            <w:left w:w="108" w:type="dxa"/>
            <w:bottom w:w="0" w:type="dxa"/>
            <w:right w:w="108" w:type="dxa"/>
          </w:tblCellMar>
        </w:tblPrEx>
        <w:trPr>
          <w:trHeight w:val="285" w:hRule="atLeast"/>
        </w:trPr>
        <w:tc>
          <w:tcPr>
            <w:tcW w:w="1402" w:type="dxa"/>
            <w:tcBorders>
              <w:top w:val="single" w:color="000000" w:sz="4" w:space="0"/>
              <w:left w:val="single" w:color="000000" w:sz="4" w:space="0"/>
              <w:bottom w:val="single" w:color="000000" w:sz="4" w:space="0"/>
              <w:right w:val="single" w:color="000000" w:sz="4" w:space="0"/>
            </w:tcBorders>
            <w:noWrap/>
            <w:vAlign w:val="center"/>
          </w:tcPr>
          <w:p w14:paraId="4E41281D">
            <w:pPr>
              <w:spacing w:after="160" w:line="360" w:lineRule="auto"/>
              <w:rPr>
                <w:rFonts w:hint="eastAsia" w:ascii="宋体" w:hAnsi="宋体"/>
                <w:sz w:val="24"/>
                <w:highlight w:val="none"/>
              </w:rPr>
            </w:pPr>
            <w:r>
              <w:rPr>
                <w:rFonts w:hint="eastAsia" w:ascii="宋体" w:hAnsi="宋体"/>
                <w:sz w:val="24"/>
                <w:highlight w:val="none"/>
              </w:rPr>
              <w:t>9</w:t>
            </w:r>
          </w:p>
        </w:tc>
        <w:tc>
          <w:tcPr>
            <w:tcW w:w="4908" w:type="dxa"/>
            <w:tcBorders>
              <w:top w:val="single" w:color="000000" w:sz="4" w:space="0"/>
              <w:left w:val="nil"/>
              <w:bottom w:val="single" w:color="000000" w:sz="4" w:space="0"/>
              <w:right w:val="single" w:color="000000" w:sz="4" w:space="0"/>
            </w:tcBorders>
            <w:noWrap/>
            <w:vAlign w:val="center"/>
          </w:tcPr>
          <w:p w14:paraId="34ACC637">
            <w:pPr>
              <w:spacing w:after="160" w:line="360" w:lineRule="auto"/>
              <w:rPr>
                <w:rFonts w:hint="eastAsia" w:ascii="宋体" w:hAnsi="宋体"/>
                <w:sz w:val="24"/>
                <w:highlight w:val="none"/>
              </w:rPr>
            </w:pPr>
            <w:r>
              <w:rPr>
                <w:rFonts w:hint="eastAsia" w:ascii="宋体" w:hAnsi="宋体"/>
                <w:sz w:val="24"/>
                <w:highlight w:val="none"/>
              </w:rPr>
              <w:t>卫生清扫</w:t>
            </w:r>
          </w:p>
        </w:tc>
        <w:tc>
          <w:tcPr>
            <w:tcW w:w="1316" w:type="dxa"/>
            <w:tcBorders>
              <w:top w:val="single" w:color="000000" w:sz="4" w:space="0"/>
              <w:left w:val="nil"/>
              <w:bottom w:val="single" w:color="000000" w:sz="4" w:space="0"/>
              <w:right w:val="single" w:color="000000" w:sz="4" w:space="0"/>
            </w:tcBorders>
            <w:noWrap/>
            <w:vAlign w:val="center"/>
          </w:tcPr>
          <w:p w14:paraId="633CF21D">
            <w:pPr>
              <w:spacing w:after="160" w:line="360" w:lineRule="auto"/>
              <w:rPr>
                <w:rFonts w:hint="eastAsia" w:ascii="宋体" w:hAnsi="宋体"/>
                <w:sz w:val="24"/>
                <w:highlight w:val="none"/>
              </w:rPr>
            </w:pPr>
            <w:r>
              <w:rPr>
                <w:rFonts w:hint="eastAsia" w:ascii="宋体" w:hAnsi="宋体"/>
                <w:sz w:val="24"/>
                <w:highlight w:val="none"/>
              </w:rPr>
              <w:t>1</w:t>
            </w:r>
          </w:p>
        </w:tc>
        <w:tc>
          <w:tcPr>
            <w:tcW w:w="1317" w:type="dxa"/>
            <w:tcBorders>
              <w:top w:val="single" w:color="000000" w:sz="4" w:space="0"/>
              <w:left w:val="nil"/>
              <w:bottom w:val="single" w:color="000000" w:sz="4" w:space="0"/>
              <w:right w:val="single" w:color="000000" w:sz="4" w:space="0"/>
            </w:tcBorders>
            <w:noWrap/>
            <w:vAlign w:val="center"/>
          </w:tcPr>
          <w:p w14:paraId="34211CFA">
            <w:pPr>
              <w:spacing w:after="160" w:line="360" w:lineRule="auto"/>
              <w:rPr>
                <w:rFonts w:hint="eastAsia" w:ascii="宋体" w:hAnsi="宋体"/>
                <w:sz w:val="24"/>
                <w:highlight w:val="none"/>
              </w:rPr>
            </w:pPr>
            <w:r>
              <w:rPr>
                <w:rFonts w:hint="eastAsia" w:ascii="宋体" w:hAnsi="宋体"/>
                <w:sz w:val="24"/>
                <w:highlight w:val="none"/>
              </w:rPr>
              <w:t>每日</w:t>
            </w:r>
          </w:p>
        </w:tc>
      </w:tr>
    </w:tbl>
    <w:p w14:paraId="52404B30">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（2）商务要求</w:t>
      </w:r>
    </w:p>
    <w:p w14:paraId="6554739A">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服务期限：自合同签订之日起1年</w:t>
      </w:r>
    </w:p>
    <w:p w14:paraId="2E540E27">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质量要求：合格，符合现行国家和行业规范标准</w:t>
      </w:r>
    </w:p>
    <w:p w14:paraId="43B3CF2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服务地点：采购单位指定地点。 </w:t>
      </w:r>
    </w:p>
    <w:p w14:paraId="696274A1">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付款方式：按季度付款，每季度结束验收合格后，支付上季度费用。</w:t>
      </w:r>
    </w:p>
    <w:p w14:paraId="01010082">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验收：由最终用户组织验收。</w:t>
      </w:r>
    </w:p>
    <w:p w14:paraId="4AEABFD7">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color w:val="auto"/>
          <w:sz w:val="24"/>
          <w:szCs w:val="24"/>
          <w:highlight w:val="none"/>
          <w:lang w:val="en-US" w:eastAsia="zh-CN"/>
        </w:rPr>
        <w:t>对其提供的产品出具《关于符合本国产品标准的声明函》或财政部会同有关部门规定的有关证明文件。</w:t>
      </w:r>
    </w:p>
    <w:p w14:paraId="2614D949">
      <w:pPr>
        <w:pStyle w:val="10"/>
        <w:rPr>
          <w:rFonts w:hint="eastAsia"/>
          <w:highlight w:val="none"/>
          <w:lang w:val="en-US" w:eastAsia="zh-CN"/>
        </w:rPr>
      </w:pPr>
    </w:p>
    <w:p w14:paraId="7FE88D8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highlight w:val="none"/>
        </w:rPr>
      </w:pPr>
    </w:p>
    <w:p w14:paraId="645E704A">
      <w:pPr>
        <w:keepNext w:val="0"/>
        <w:keepLines w:val="0"/>
        <w:widowControl/>
        <w:suppressLineNumbers w:val="0"/>
        <w:spacing w:line="360" w:lineRule="auto"/>
        <w:ind w:firstLine="620" w:firstLineChars="200"/>
        <w:jc w:val="left"/>
        <w:rPr>
          <w:rFonts w:hint="eastAsia" w:ascii="宋体" w:hAnsi="宋体" w:eastAsia="宋体" w:cs="宋体"/>
          <w:color w:val="000000"/>
          <w:kern w:val="0"/>
          <w:sz w:val="31"/>
          <w:szCs w:val="31"/>
          <w:highlight w:val="none"/>
          <w:lang w:val="en-US" w:eastAsia="zh-CN" w:bidi="ar"/>
        </w:rPr>
      </w:pPr>
    </w:p>
    <w:p w14:paraId="4F92E4FF">
      <w:pPr>
        <w:keepNext w:val="0"/>
        <w:keepLines w:val="0"/>
        <w:widowControl/>
        <w:suppressLineNumbers w:val="0"/>
        <w:spacing w:line="360" w:lineRule="auto"/>
        <w:ind w:firstLine="620" w:firstLineChars="200"/>
        <w:jc w:val="left"/>
        <w:rPr>
          <w:rFonts w:hint="eastAsia" w:ascii="宋体" w:hAnsi="宋体" w:eastAsia="宋体" w:cs="宋体"/>
          <w:color w:val="000000"/>
          <w:kern w:val="0"/>
          <w:sz w:val="31"/>
          <w:szCs w:val="31"/>
          <w:highlight w:val="none"/>
          <w:lang w:val="en-US" w:eastAsia="zh-CN" w:bidi="ar"/>
        </w:rPr>
      </w:pPr>
    </w:p>
    <w:p w14:paraId="7FC49D2F">
      <w:pPr>
        <w:rPr>
          <w:rFonts w:hint="eastAsia"/>
          <w:highlight w:val="none"/>
        </w:rPr>
      </w:pPr>
      <w:r>
        <w:rPr>
          <w:rFonts w:hint="eastAsia"/>
          <w:highlight w:val="none"/>
        </w:rPr>
        <w:br w:type="page"/>
      </w:r>
    </w:p>
    <w:p w14:paraId="19417535">
      <w:pPr>
        <w:pStyle w:val="3"/>
        <w:bidi w:val="0"/>
        <w:rPr>
          <w:highlight w:val="none"/>
        </w:rPr>
      </w:pPr>
      <w:r>
        <w:rPr>
          <w:rFonts w:hint="eastAsia"/>
          <w:highlight w:val="none"/>
        </w:rPr>
        <w:t>第四章  响应性文件内容及格式</w:t>
      </w:r>
    </w:p>
    <w:p w14:paraId="1805F5C1">
      <w:pPr>
        <w:widowControl/>
        <w:spacing w:line="520" w:lineRule="exact"/>
        <w:ind w:firstLine="480" w:firstLineChars="200"/>
        <w:jc w:val="center"/>
        <w:rPr>
          <w:rFonts w:ascii="宋体" w:hAnsi="宋体" w:cs="宋体"/>
          <w:sz w:val="24"/>
          <w:highlight w:val="none"/>
        </w:rPr>
      </w:pPr>
    </w:p>
    <w:p w14:paraId="3757D7B7">
      <w:pPr>
        <w:spacing w:line="560" w:lineRule="exact"/>
        <w:ind w:firstLine="480" w:firstLineChars="200"/>
        <w:rPr>
          <w:rFonts w:ascii="宋体" w:hAnsi="宋体" w:cs="宋体"/>
          <w:sz w:val="24"/>
          <w:highlight w:val="none"/>
        </w:rPr>
      </w:pPr>
      <w:r>
        <w:rPr>
          <w:rFonts w:hint="eastAsia" w:ascii="宋体" w:hAnsi="宋体" w:cs="宋体"/>
          <w:sz w:val="24"/>
          <w:highlight w:val="none"/>
        </w:rPr>
        <w:t>注：请供应商按照以下文件的要求格式、内容，顺序制作响应性文件，并编制目录及页码</w:t>
      </w:r>
      <w:r>
        <w:rPr>
          <w:rFonts w:hint="eastAsia" w:ascii="宋体" w:hAnsi="宋体" w:cs="宋体"/>
          <w:sz w:val="24"/>
          <w:highlight w:val="none"/>
          <w:lang w:val="en-US" w:eastAsia="zh-CN"/>
        </w:rPr>
        <w:t>和总页码</w:t>
      </w:r>
      <w:r>
        <w:rPr>
          <w:rFonts w:hint="eastAsia" w:ascii="宋体" w:hAnsi="宋体" w:cs="宋体"/>
          <w:sz w:val="24"/>
          <w:highlight w:val="none"/>
        </w:rPr>
        <w:t xml:space="preserve">，否则可能将影响对响应性文件的评价。 </w:t>
      </w:r>
    </w:p>
    <w:p w14:paraId="27F70FCF">
      <w:pPr>
        <w:spacing w:line="560" w:lineRule="exact"/>
        <w:ind w:firstLine="482" w:firstLineChars="200"/>
        <w:rPr>
          <w:rFonts w:ascii="宋体" w:hAnsi="宋体" w:cs="宋体"/>
          <w:b/>
          <w:sz w:val="24"/>
          <w:highlight w:val="none"/>
        </w:rPr>
      </w:pPr>
      <w:r>
        <w:rPr>
          <w:rFonts w:hint="eastAsia" w:ascii="宋体" w:hAnsi="宋体" w:cs="宋体"/>
          <w:b/>
          <w:sz w:val="24"/>
          <w:highlight w:val="none"/>
        </w:rPr>
        <w:t>重要提示：</w:t>
      </w:r>
    </w:p>
    <w:p w14:paraId="2F998912">
      <w:pPr>
        <w:snapToGrid w:val="0"/>
        <w:spacing w:line="560" w:lineRule="exact"/>
        <w:ind w:firstLine="480" w:firstLineChars="200"/>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．供应商在编制响应性文件时，对于给定格式的文件内容，必须按照给定的标准格式进行填报；对于没有给定标准格式的文件内容，可以由供应商自行设计。</w:t>
      </w:r>
    </w:p>
    <w:p w14:paraId="665B5FB9">
      <w:pPr>
        <w:snapToGrid w:val="0"/>
        <w:spacing w:line="560" w:lineRule="exact"/>
        <w:ind w:firstLine="480" w:firstLineChars="200"/>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.法定代表人本人参加竞争性磋商的，不需提供授权委托书。</w:t>
      </w:r>
    </w:p>
    <w:p w14:paraId="1F3A56DA">
      <w:pPr>
        <w:snapToGrid w:val="0"/>
        <w:jc w:val="left"/>
        <w:rPr>
          <w:rFonts w:ascii="宋体" w:hAnsi="宋体" w:cs="宋体"/>
          <w:sz w:val="24"/>
          <w:highlight w:val="none"/>
        </w:rPr>
      </w:pPr>
    </w:p>
    <w:p w14:paraId="7D6A71D8">
      <w:pPr>
        <w:snapToGrid w:val="0"/>
        <w:jc w:val="left"/>
        <w:rPr>
          <w:rFonts w:ascii="宋体" w:hAnsi="宋体" w:cs="宋体"/>
          <w:sz w:val="24"/>
          <w:highlight w:val="none"/>
        </w:rPr>
      </w:pPr>
    </w:p>
    <w:p w14:paraId="30DB7174">
      <w:pPr>
        <w:snapToGrid w:val="0"/>
        <w:jc w:val="left"/>
        <w:rPr>
          <w:rFonts w:ascii="宋体" w:hAnsi="宋体" w:cs="宋体"/>
          <w:sz w:val="24"/>
          <w:highlight w:val="none"/>
        </w:rPr>
      </w:pPr>
    </w:p>
    <w:p w14:paraId="06262673">
      <w:pPr>
        <w:snapToGrid w:val="0"/>
        <w:jc w:val="left"/>
        <w:rPr>
          <w:rFonts w:ascii="宋体" w:hAnsi="宋体" w:cs="宋体"/>
          <w:sz w:val="24"/>
          <w:highlight w:val="none"/>
        </w:rPr>
      </w:pPr>
    </w:p>
    <w:p w14:paraId="1204B461">
      <w:pPr>
        <w:snapToGrid w:val="0"/>
        <w:jc w:val="left"/>
        <w:rPr>
          <w:rFonts w:ascii="宋体" w:hAnsi="宋体" w:cs="宋体"/>
          <w:sz w:val="24"/>
          <w:highlight w:val="none"/>
        </w:rPr>
      </w:pPr>
    </w:p>
    <w:p w14:paraId="4CAC04BE">
      <w:pPr>
        <w:snapToGrid w:val="0"/>
        <w:jc w:val="left"/>
        <w:rPr>
          <w:rFonts w:ascii="宋体" w:hAnsi="宋体" w:cs="宋体"/>
          <w:sz w:val="24"/>
          <w:highlight w:val="none"/>
        </w:rPr>
      </w:pPr>
    </w:p>
    <w:p w14:paraId="1FDCAC14">
      <w:pPr>
        <w:snapToGrid w:val="0"/>
        <w:jc w:val="left"/>
        <w:rPr>
          <w:rFonts w:ascii="宋体" w:hAnsi="宋体" w:cs="宋体"/>
          <w:sz w:val="24"/>
          <w:highlight w:val="none"/>
        </w:rPr>
      </w:pPr>
    </w:p>
    <w:p w14:paraId="0ED4B4B0">
      <w:pPr>
        <w:snapToGrid w:val="0"/>
        <w:jc w:val="left"/>
        <w:rPr>
          <w:rFonts w:ascii="宋体" w:hAnsi="宋体" w:cs="宋体"/>
          <w:sz w:val="24"/>
          <w:highlight w:val="none"/>
        </w:rPr>
      </w:pPr>
    </w:p>
    <w:p w14:paraId="3D41AF9D">
      <w:pPr>
        <w:snapToGrid w:val="0"/>
        <w:jc w:val="left"/>
        <w:rPr>
          <w:rFonts w:ascii="宋体" w:hAnsi="宋体" w:cs="宋体"/>
          <w:sz w:val="24"/>
          <w:highlight w:val="none"/>
        </w:rPr>
      </w:pPr>
    </w:p>
    <w:p w14:paraId="4637A842">
      <w:pPr>
        <w:snapToGrid w:val="0"/>
        <w:jc w:val="left"/>
        <w:rPr>
          <w:rFonts w:ascii="宋体" w:hAnsi="宋体" w:cs="宋体"/>
          <w:sz w:val="24"/>
          <w:highlight w:val="none"/>
        </w:rPr>
      </w:pPr>
    </w:p>
    <w:p w14:paraId="4473FD7D">
      <w:pPr>
        <w:snapToGrid w:val="0"/>
        <w:jc w:val="left"/>
        <w:rPr>
          <w:rFonts w:ascii="宋体" w:hAnsi="宋体" w:cs="宋体"/>
          <w:sz w:val="24"/>
          <w:highlight w:val="none"/>
        </w:rPr>
      </w:pPr>
    </w:p>
    <w:p w14:paraId="6AA8095A">
      <w:pPr>
        <w:snapToGrid w:val="0"/>
        <w:jc w:val="left"/>
        <w:rPr>
          <w:rFonts w:ascii="宋体" w:hAnsi="宋体" w:cs="宋体"/>
          <w:sz w:val="24"/>
          <w:highlight w:val="none"/>
        </w:rPr>
      </w:pPr>
    </w:p>
    <w:p w14:paraId="3A26215B">
      <w:pPr>
        <w:snapToGrid w:val="0"/>
        <w:jc w:val="left"/>
        <w:rPr>
          <w:rFonts w:ascii="宋体" w:hAnsi="宋体" w:cs="宋体"/>
          <w:sz w:val="24"/>
          <w:highlight w:val="none"/>
        </w:rPr>
      </w:pPr>
    </w:p>
    <w:p w14:paraId="2D3F4017">
      <w:pPr>
        <w:snapToGrid w:val="0"/>
        <w:jc w:val="left"/>
        <w:rPr>
          <w:rFonts w:ascii="宋体" w:hAnsi="宋体" w:cs="宋体"/>
          <w:sz w:val="24"/>
          <w:highlight w:val="none"/>
        </w:rPr>
      </w:pPr>
    </w:p>
    <w:p w14:paraId="25AD6C1E">
      <w:pPr>
        <w:pStyle w:val="27"/>
        <w:ind w:firstLine="480"/>
        <w:rPr>
          <w:rFonts w:ascii="宋体" w:hAnsi="宋体" w:eastAsia="宋体" w:cs="宋体"/>
          <w:sz w:val="24"/>
          <w:highlight w:val="none"/>
        </w:rPr>
      </w:pPr>
    </w:p>
    <w:p w14:paraId="2EF1BB95">
      <w:pPr>
        <w:pStyle w:val="27"/>
        <w:ind w:firstLine="480"/>
        <w:rPr>
          <w:rFonts w:ascii="宋体" w:hAnsi="宋体" w:eastAsia="宋体" w:cs="宋体"/>
          <w:sz w:val="24"/>
          <w:highlight w:val="none"/>
        </w:rPr>
      </w:pPr>
    </w:p>
    <w:p w14:paraId="75DA0F5C">
      <w:pPr>
        <w:pStyle w:val="27"/>
        <w:ind w:firstLine="480"/>
        <w:rPr>
          <w:rFonts w:ascii="宋体" w:hAnsi="宋体" w:eastAsia="宋体" w:cs="宋体"/>
          <w:sz w:val="24"/>
          <w:highlight w:val="none"/>
        </w:rPr>
      </w:pPr>
    </w:p>
    <w:p w14:paraId="6F1F88AB">
      <w:pPr>
        <w:pStyle w:val="27"/>
        <w:ind w:firstLine="480"/>
        <w:rPr>
          <w:rFonts w:ascii="宋体" w:hAnsi="宋体" w:eastAsia="宋体" w:cs="宋体"/>
          <w:sz w:val="24"/>
          <w:highlight w:val="none"/>
        </w:rPr>
      </w:pPr>
    </w:p>
    <w:p w14:paraId="6FB5EE9A">
      <w:pPr>
        <w:snapToGrid w:val="0"/>
        <w:jc w:val="left"/>
        <w:rPr>
          <w:rFonts w:ascii="宋体" w:hAnsi="宋体" w:cs="宋体"/>
          <w:sz w:val="24"/>
          <w:highlight w:val="none"/>
        </w:rPr>
      </w:pPr>
    </w:p>
    <w:p w14:paraId="38F5A287">
      <w:pPr>
        <w:snapToGrid w:val="0"/>
        <w:jc w:val="left"/>
        <w:rPr>
          <w:rFonts w:ascii="宋体" w:hAnsi="宋体" w:cs="宋体"/>
          <w:sz w:val="24"/>
          <w:highlight w:val="none"/>
        </w:rPr>
      </w:pPr>
    </w:p>
    <w:p w14:paraId="27143AFE">
      <w:pPr>
        <w:snapToGrid w:val="0"/>
        <w:jc w:val="left"/>
        <w:rPr>
          <w:rFonts w:ascii="宋体" w:hAnsi="宋体" w:cs="宋体"/>
          <w:sz w:val="24"/>
          <w:highlight w:val="none"/>
        </w:rPr>
      </w:pPr>
    </w:p>
    <w:p w14:paraId="73D180D6">
      <w:pPr>
        <w:snapToGrid w:val="0"/>
        <w:jc w:val="left"/>
        <w:rPr>
          <w:rFonts w:ascii="宋体" w:hAnsi="宋体" w:cs="宋体"/>
          <w:sz w:val="24"/>
          <w:highlight w:val="none"/>
        </w:rPr>
      </w:pPr>
    </w:p>
    <w:p w14:paraId="40A004DC">
      <w:pPr>
        <w:snapToGrid w:val="0"/>
        <w:jc w:val="left"/>
        <w:rPr>
          <w:rFonts w:ascii="宋体" w:hAnsi="宋体" w:cs="宋体"/>
          <w:sz w:val="24"/>
          <w:highlight w:val="none"/>
        </w:rPr>
      </w:pPr>
    </w:p>
    <w:p w14:paraId="46DFD5FF">
      <w:pPr>
        <w:rPr>
          <w:rFonts w:hint="eastAsia" w:ascii="宋体" w:hAnsi="宋体" w:cs="宋体"/>
          <w:sz w:val="24"/>
          <w:highlight w:val="none"/>
        </w:rPr>
      </w:pPr>
      <w:r>
        <w:rPr>
          <w:rFonts w:hint="eastAsia" w:ascii="宋体" w:hAnsi="宋体" w:cs="宋体"/>
          <w:sz w:val="24"/>
          <w:highlight w:val="none"/>
        </w:rPr>
        <w:br w:type="page"/>
      </w:r>
    </w:p>
    <w:p w14:paraId="1AE1D6B1">
      <w:pPr>
        <w:spacing w:line="360" w:lineRule="auto"/>
        <w:jc w:val="left"/>
        <w:rPr>
          <w:rFonts w:hint="eastAsia" w:ascii="宋体" w:hAnsi="宋体" w:eastAsia="宋体" w:cs="宋体"/>
          <w:sz w:val="24"/>
          <w:highlight w:val="none"/>
          <w:lang w:eastAsia="zh-CN"/>
        </w:rPr>
      </w:pPr>
      <w:r>
        <w:rPr>
          <w:rFonts w:hint="eastAsia" w:ascii="宋体" w:hAnsi="宋体" w:cs="宋体"/>
          <w:sz w:val="24"/>
          <w:highlight w:val="none"/>
        </w:rPr>
        <w:t>格式</w:t>
      </w:r>
      <w:r>
        <w:rPr>
          <w:rFonts w:hint="eastAsia" w:ascii="宋体" w:hAnsi="宋体" w:cs="宋体"/>
          <w:sz w:val="24"/>
          <w:highlight w:val="none"/>
          <w:lang w:val="en-US" w:eastAsia="zh-CN"/>
        </w:rPr>
        <w:t>1</w:t>
      </w:r>
    </w:p>
    <w:p w14:paraId="218FC9E6">
      <w:pPr>
        <w:pStyle w:val="37"/>
        <w:rPr>
          <w:rFonts w:hint="eastAsia"/>
          <w:highlight w:val="none"/>
          <w:lang w:eastAsia="zh-CN"/>
        </w:rPr>
      </w:pPr>
    </w:p>
    <w:p w14:paraId="7A006035">
      <w:pPr>
        <w:spacing w:line="360" w:lineRule="auto"/>
        <w:jc w:val="center"/>
        <w:rPr>
          <w:rFonts w:ascii="宋体" w:hAnsi="宋体" w:cs="宋体"/>
          <w:sz w:val="24"/>
          <w:highlight w:val="none"/>
        </w:rPr>
      </w:pPr>
      <w:r>
        <w:rPr>
          <w:rFonts w:hint="eastAsia" w:ascii="宋体" w:hAnsi="宋体" w:cs="宋体"/>
          <w:sz w:val="24"/>
          <w:highlight w:val="none"/>
        </w:rPr>
        <w:t>法定代表人身份证明书</w:t>
      </w:r>
    </w:p>
    <w:p w14:paraId="074DE9A0">
      <w:pPr>
        <w:spacing w:line="360" w:lineRule="auto"/>
        <w:jc w:val="center"/>
        <w:rPr>
          <w:rFonts w:ascii="宋体" w:hAnsi="宋体" w:cs="宋体"/>
          <w:sz w:val="24"/>
          <w:highlight w:val="none"/>
        </w:rPr>
      </w:pPr>
      <w:r>
        <w:rPr>
          <w:rFonts w:hint="eastAsia" w:ascii="宋体" w:hAnsi="宋体" w:cs="宋体"/>
          <w:sz w:val="24"/>
          <w:highlight w:val="none"/>
        </w:rPr>
        <w:t>（法定代表人参加竞争性磋商的，出具此证明书）</w:t>
      </w:r>
    </w:p>
    <w:p w14:paraId="498B44EC">
      <w:pPr>
        <w:spacing w:line="360" w:lineRule="auto"/>
        <w:ind w:firstLine="480" w:firstLineChars="200"/>
        <w:rPr>
          <w:rFonts w:ascii="宋体" w:hAnsi="宋体" w:cs="宋体"/>
          <w:sz w:val="24"/>
          <w:highlight w:val="none"/>
        </w:rPr>
      </w:pPr>
    </w:p>
    <w:p w14:paraId="76321875">
      <w:pPr>
        <w:spacing w:line="360" w:lineRule="auto"/>
        <w:ind w:firstLine="480" w:firstLineChars="200"/>
        <w:rPr>
          <w:rFonts w:ascii="宋体" w:hAnsi="宋体" w:cs="宋体"/>
          <w:sz w:val="24"/>
          <w:highlight w:val="none"/>
        </w:rPr>
      </w:pPr>
      <w:r>
        <w:rPr>
          <w:rFonts w:hint="eastAsia" w:ascii="宋体" w:hAnsi="宋体" w:cs="宋体"/>
          <w:sz w:val="24"/>
          <w:highlight w:val="none"/>
        </w:rPr>
        <w:t>同志，系我单位法定代表人，任职务。</w:t>
      </w:r>
    </w:p>
    <w:p w14:paraId="292542F0">
      <w:pPr>
        <w:spacing w:line="360" w:lineRule="auto"/>
        <w:ind w:firstLine="480" w:firstLineChars="200"/>
        <w:rPr>
          <w:rFonts w:ascii="宋体" w:hAnsi="宋体" w:cs="宋体"/>
          <w:sz w:val="24"/>
          <w:highlight w:val="none"/>
        </w:rPr>
      </w:pPr>
      <w:r>
        <w:rPr>
          <w:rFonts w:hint="eastAsia" w:ascii="宋体" w:hAnsi="宋体" w:cs="宋体"/>
          <w:sz w:val="24"/>
          <w:highlight w:val="none"/>
        </w:rPr>
        <w:t>特此证明。</w:t>
      </w:r>
    </w:p>
    <w:p w14:paraId="438991B7">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附：联系地址：               </w:t>
      </w:r>
    </w:p>
    <w:p w14:paraId="2CCEE8D9">
      <w:pPr>
        <w:spacing w:line="360" w:lineRule="auto"/>
        <w:ind w:firstLine="960" w:firstLineChars="400"/>
        <w:rPr>
          <w:rFonts w:ascii="宋体" w:hAnsi="宋体" w:cs="宋体"/>
          <w:b/>
          <w:sz w:val="24"/>
          <w:highlight w:val="none"/>
        </w:rPr>
      </w:pPr>
      <w:r>
        <w:rPr>
          <w:rFonts w:hint="eastAsia" w:ascii="宋体" w:hAnsi="宋体" w:cs="宋体"/>
          <w:sz w:val="24"/>
          <w:highlight w:val="none"/>
        </w:rPr>
        <w:t>联系电话：</w:t>
      </w:r>
    </w:p>
    <w:tbl>
      <w:tblPr>
        <w:tblStyle w:val="28"/>
        <w:tblpPr w:leftFromText="180" w:rightFromText="180" w:vertAnchor="text" w:horzAnchor="page" w:tblpX="1975" w:tblpY="469"/>
        <w:tblOverlap w:val="never"/>
        <w:tblW w:w="84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6"/>
        <w:gridCol w:w="3828"/>
      </w:tblGrid>
      <w:tr w14:paraId="2E81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trPr>
        <w:tc>
          <w:tcPr>
            <w:tcW w:w="4586" w:type="dxa"/>
          </w:tcPr>
          <w:p w14:paraId="7658E81B">
            <w:pPr>
              <w:pStyle w:val="26"/>
              <w:ind w:right="-21" w:firstLine="540"/>
              <w:jc w:val="center"/>
              <w:rPr>
                <w:rFonts w:ascii="宋体" w:hAnsi="宋体" w:eastAsia="宋体" w:cs="宋体"/>
                <w:sz w:val="24"/>
                <w:szCs w:val="24"/>
                <w:highlight w:val="none"/>
              </w:rPr>
            </w:pPr>
            <w:r>
              <w:rPr>
                <w:rFonts w:hint="eastAsia" w:ascii="宋体" w:hAnsi="宋体" w:eastAsia="宋体" w:cs="宋体"/>
                <w:sz w:val="24"/>
                <w:szCs w:val="24"/>
                <w:highlight w:val="none"/>
              </w:rPr>
              <w:t>身份证正面</w:t>
            </w:r>
          </w:p>
        </w:tc>
        <w:tc>
          <w:tcPr>
            <w:tcW w:w="3828" w:type="dxa"/>
          </w:tcPr>
          <w:p w14:paraId="184EBD37">
            <w:pPr>
              <w:pStyle w:val="26"/>
              <w:ind w:right="-21" w:firstLine="540"/>
              <w:jc w:val="center"/>
              <w:rPr>
                <w:rFonts w:ascii="宋体" w:hAnsi="宋体" w:eastAsia="宋体" w:cs="宋体"/>
                <w:sz w:val="24"/>
                <w:szCs w:val="24"/>
                <w:highlight w:val="none"/>
              </w:rPr>
            </w:pPr>
            <w:r>
              <w:rPr>
                <w:rFonts w:hint="eastAsia" w:ascii="宋体" w:hAnsi="宋体" w:eastAsia="宋体" w:cs="宋体"/>
                <w:sz w:val="24"/>
                <w:szCs w:val="24"/>
                <w:highlight w:val="none"/>
              </w:rPr>
              <w:t>身份证反面</w:t>
            </w:r>
          </w:p>
        </w:tc>
      </w:tr>
    </w:tbl>
    <w:p w14:paraId="7DD2F965">
      <w:pPr>
        <w:spacing w:line="360" w:lineRule="auto"/>
        <w:ind w:firstLine="960" w:firstLineChars="400"/>
        <w:rPr>
          <w:rFonts w:ascii="宋体" w:hAnsi="宋体" w:cs="宋体"/>
          <w:sz w:val="24"/>
          <w:highlight w:val="none"/>
        </w:rPr>
      </w:pPr>
    </w:p>
    <w:p w14:paraId="56768244">
      <w:pPr>
        <w:spacing w:line="360" w:lineRule="auto"/>
        <w:ind w:firstLine="3840" w:firstLineChars="1600"/>
        <w:rPr>
          <w:rFonts w:ascii="宋体" w:hAnsi="宋体" w:cs="宋体"/>
          <w:sz w:val="24"/>
          <w:highlight w:val="none"/>
        </w:rPr>
      </w:pPr>
    </w:p>
    <w:p w14:paraId="697C05A9">
      <w:pPr>
        <w:spacing w:line="360" w:lineRule="auto"/>
        <w:ind w:firstLine="3840" w:firstLineChars="1600"/>
        <w:rPr>
          <w:rFonts w:ascii="宋体" w:hAnsi="宋体" w:cs="宋体"/>
          <w:sz w:val="24"/>
          <w:highlight w:val="none"/>
        </w:rPr>
      </w:pPr>
    </w:p>
    <w:p w14:paraId="2546E825">
      <w:pPr>
        <w:spacing w:line="360" w:lineRule="auto"/>
        <w:jc w:val="center"/>
        <w:rPr>
          <w:rFonts w:ascii="宋体" w:hAnsi="宋体" w:cs="宋体"/>
          <w:sz w:val="24"/>
          <w:highlight w:val="none"/>
        </w:rPr>
      </w:pPr>
    </w:p>
    <w:p w14:paraId="21A0387C">
      <w:pPr>
        <w:spacing w:line="360" w:lineRule="auto"/>
        <w:jc w:val="center"/>
        <w:rPr>
          <w:rFonts w:ascii="宋体" w:hAnsi="宋体" w:cs="宋体"/>
          <w:sz w:val="24"/>
          <w:highlight w:val="none"/>
        </w:rPr>
      </w:pPr>
    </w:p>
    <w:p w14:paraId="3B64FDC5">
      <w:pPr>
        <w:spacing w:line="360" w:lineRule="auto"/>
        <w:ind w:firstLine="3840" w:firstLineChars="1600"/>
        <w:rPr>
          <w:rFonts w:ascii="宋体" w:hAnsi="宋体" w:cs="宋体"/>
          <w:sz w:val="24"/>
          <w:highlight w:val="none"/>
        </w:rPr>
      </w:pPr>
      <w:r>
        <w:rPr>
          <w:rFonts w:hint="eastAsia" w:ascii="宋体" w:hAnsi="宋体" w:cs="宋体"/>
          <w:sz w:val="24"/>
          <w:highlight w:val="none"/>
          <w:lang w:val="en-US" w:eastAsia="zh-CN"/>
        </w:rPr>
        <w:t>供应商</w:t>
      </w:r>
      <w:r>
        <w:rPr>
          <w:rFonts w:hint="eastAsia" w:ascii="宋体" w:hAnsi="宋体" w:cs="宋体"/>
          <w:sz w:val="24"/>
          <w:highlight w:val="none"/>
        </w:rPr>
        <w:t>电子</w:t>
      </w:r>
      <w:r>
        <w:rPr>
          <w:rFonts w:hint="eastAsia" w:ascii="宋体" w:hAnsi="宋体" w:cs="宋体"/>
          <w:sz w:val="24"/>
          <w:highlight w:val="none"/>
          <w:lang w:val="en-US" w:eastAsia="zh-CN"/>
        </w:rPr>
        <w:t>公</w:t>
      </w:r>
      <w:r>
        <w:rPr>
          <w:rFonts w:hint="eastAsia" w:ascii="宋体" w:hAnsi="宋体" w:cs="宋体"/>
          <w:sz w:val="24"/>
          <w:highlight w:val="none"/>
        </w:rPr>
        <w:t xml:space="preserve">章： </w:t>
      </w:r>
    </w:p>
    <w:p w14:paraId="4EBFB105">
      <w:pPr>
        <w:spacing w:line="360" w:lineRule="auto"/>
        <w:jc w:val="center"/>
        <w:rPr>
          <w:rFonts w:ascii="宋体" w:hAnsi="宋体" w:cs="宋体"/>
          <w:sz w:val="24"/>
          <w:highlight w:val="none"/>
        </w:rPr>
      </w:pPr>
      <w:r>
        <w:rPr>
          <w:rFonts w:hint="eastAsia" w:ascii="宋体" w:hAnsi="宋体" w:cs="宋体"/>
          <w:sz w:val="24"/>
          <w:highlight w:val="none"/>
        </w:rPr>
        <w:t xml:space="preserve">                年   月  日</w:t>
      </w:r>
    </w:p>
    <w:p w14:paraId="03916D53">
      <w:pPr>
        <w:spacing w:line="360" w:lineRule="auto"/>
        <w:jc w:val="center"/>
        <w:rPr>
          <w:rFonts w:ascii="宋体" w:hAnsi="宋体" w:cs="宋体"/>
          <w:sz w:val="24"/>
          <w:highlight w:val="none"/>
        </w:rPr>
      </w:pPr>
    </w:p>
    <w:p w14:paraId="24E167D2">
      <w:pPr>
        <w:spacing w:line="360" w:lineRule="auto"/>
        <w:jc w:val="center"/>
        <w:rPr>
          <w:rFonts w:ascii="宋体" w:hAnsi="宋体" w:cs="宋体"/>
          <w:sz w:val="24"/>
          <w:highlight w:val="none"/>
        </w:rPr>
      </w:pPr>
    </w:p>
    <w:p w14:paraId="1A8142A5">
      <w:pPr>
        <w:spacing w:line="360" w:lineRule="auto"/>
        <w:jc w:val="center"/>
        <w:rPr>
          <w:rFonts w:ascii="宋体" w:hAnsi="宋体" w:cs="宋体"/>
          <w:sz w:val="24"/>
          <w:highlight w:val="none"/>
        </w:rPr>
      </w:pPr>
    </w:p>
    <w:p w14:paraId="345A8231">
      <w:pPr>
        <w:pStyle w:val="37"/>
        <w:ind w:firstLine="240"/>
        <w:rPr>
          <w:rFonts w:ascii="宋体" w:hAnsi="宋体" w:cs="宋体"/>
          <w:sz w:val="24"/>
          <w:highlight w:val="none"/>
        </w:rPr>
      </w:pPr>
    </w:p>
    <w:p w14:paraId="09C44E2C">
      <w:pPr>
        <w:pStyle w:val="37"/>
        <w:ind w:firstLine="240"/>
        <w:rPr>
          <w:rFonts w:ascii="宋体" w:hAnsi="宋体" w:cs="宋体"/>
          <w:sz w:val="24"/>
          <w:highlight w:val="none"/>
        </w:rPr>
      </w:pPr>
    </w:p>
    <w:p w14:paraId="24D4244C">
      <w:pPr>
        <w:pStyle w:val="37"/>
        <w:ind w:firstLine="240"/>
        <w:rPr>
          <w:rFonts w:ascii="宋体" w:hAnsi="宋体" w:cs="宋体"/>
          <w:sz w:val="24"/>
          <w:highlight w:val="none"/>
        </w:rPr>
      </w:pPr>
    </w:p>
    <w:p w14:paraId="306EAE71">
      <w:pPr>
        <w:pStyle w:val="37"/>
        <w:ind w:firstLine="240"/>
        <w:rPr>
          <w:rFonts w:ascii="宋体" w:hAnsi="宋体" w:cs="宋体"/>
          <w:sz w:val="24"/>
          <w:highlight w:val="none"/>
        </w:rPr>
      </w:pPr>
    </w:p>
    <w:p w14:paraId="258FCF87">
      <w:pPr>
        <w:pStyle w:val="37"/>
        <w:ind w:firstLine="240"/>
        <w:rPr>
          <w:rFonts w:ascii="宋体" w:hAnsi="宋体" w:cs="宋体"/>
          <w:sz w:val="24"/>
          <w:highlight w:val="none"/>
        </w:rPr>
      </w:pPr>
    </w:p>
    <w:p w14:paraId="291BEE5C">
      <w:pPr>
        <w:pStyle w:val="37"/>
        <w:ind w:firstLine="240"/>
        <w:rPr>
          <w:rFonts w:ascii="宋体" w:hAnsi="宋体" w:cs="宋体"/>
          <w:sz w:val="24"/>
          <w:highlight w:val="none"/>
        </w:rPr>
      </w:pPr>
    </w:p>
    <w:p w14:paraId="1A516089">
      <w:pPr>
        <w:spacing w:line="360" w:lineRule="auto"/>
        <w:jc w:val="left"/>
        <w:rPr>
          <w:rFonts w:hint="eastAsia" w:ascii="宋体" w:hAnsi="宋体" w:eastAsia="宋体" w:cs="宋体"/>
          <w:sz w:val="24"/>
          <w:highlight w:val="none"/>
          <w:lang w:eastAsia="zh-CN"/>
        </w:rPr>
      </w:pPr>
      <w:r>
        <w:rPr>
          <w:rFonts w:hint="eastAsia" w:ascii="宋体" w:hAnsi="宋体" w:cs="宋体"/>
          <w:sz w:val="24"/>
          <w:highlight w:val="none"/>
        </w:rPr>
        <w:t>格式2</w:t>
      </w:r>
    </w:p>
    <w:p w14:paraId="4CABA4AD">
      <w:pPr>
        <w:spacing w:line="360" w:lineRule="auto"/>
        <w:ind w:firstLine="480" w:firstLineChars="200"/>
        <w:jc w:val="center"/>
        <w:rPr>
          <w:rFonts w:ascii="宋体" w:hAnsi="宋体" w:cs="宋体"/>
          <w:sz w:val="24"/>
          <w:highlight w:val="none"/>
        </w:rPr>
      </w:pPr>
      <w:r>
        <w:rPr>
          <w:rFonts w:hint="eastAsia" w:ascii="宋体" w:hAnsi="宋体" w:cs="宋体"/>
          <w:sz w:val="24"/>
          <w:highlight w:val="none"/>
        </w:rPr>
        <w:t>授权委托书</w:t>
      </w:r>
    </w:p>
    <w:p w14:paraId="2F2252D4">
      <w:pPr>
        <w:spacing w:line="360" w:lineRule="auto"/>
        <w:jc w:val="center"/>
        <w:rPr>
          <w:rFonts w:ascii="宋体" w:hAnsi="宋体" w:cs="宋体"/>
          <w:sz w:val="24"/>
          <w:highlight w:val="none"/>
        </w:rPr>
      </w:pPr>
      <w:r>
        <w:rPr>
          <w:rFonts w:hint="eastAsia" w:ascii="宋体" w:hAnsi="宋体" w:cs="宋体"/>
          <w:sz w:val="24"/>
          <w:highlight w:val="none"/>
        </w:rPr>
        <w:t>（委托代理人参加竞争性磋商的，出具此证明书）</w:t>
      </w:r>
    </w:p>
    <w:p w14:paraId="33E002AD">
      <w:pPr>
        <w:spacing w:line="360" w:lineRule="auto"/>
        <w:ind w:firstLine="480" w:firstLineChars="200"/>
        <w:rPr>
          <w:rFonts w:ascii="宋体" w:hAnsi="宋体" w:cs="宋体"/>
          <w:sz w:val="24"/>
          <w:highlight w:val="none"/>
        </w:rPr>
      </w:pPr>
    </w:p>
    <w:p w14:paraId="7BF3BC04">
      <w:pPr>
        <w:spacing w:line="360" w:lineRule="auto"/>
        <w:ind w:firstLine="480" w:firstLineChars="200"/>
        <w:rPr>
          <w:rFonts w:ascii="宋体" w:hAnsi="宋体" w:cs="宋体"/>
          <w:sz w:val="24"/>
          <w:highlight w:val="none"/>
        </w:rPr>
      </w:pPr>
      <w:r>
        <w:rPr>
          <w:rFonts w:hint="eastAsia" w:ascii="宋体" w:hAnsi="宋体" w:cs="宋体"/>
          <w:sz w:val="24"/>
          <w:highlight w:val="none"/>
        </w:rPr>
        <w:t>委托人授权（被委托人的姓名、职务）为委托人的委托代理人，就项目编号为的项目及合同的执行，以本单位名义处理一切与之有关的事务。</w:t>
      </w:r>
    </w:p>
    <w:p w14:paraId="77A0A450">
      <w:pPr>
        <w:spacing w:line="360" w:lineRule="auto"/>
        <w:ind w:firstLine="480" w:firstLineChars="200"/>
        <w:rPr>
          <w:rFonts w:ascii="宋体" w:hAnsi="宋体" w:cs="宋体"/>
          <w:sz w:val="24"/>
          <w:highlight w:val="none"/>
        </w:rPr>
      </w:pPr>
      <w:r>
        <w:rPr>
          <w:rFonts w:hint="eastAsia" w:ascii="宋体" w:hAnsi="宋体" w:cs="宋体"/>
          <w:sz w:val="24"/>
          <w:highlight w:val="none"/>
        </w:rPr>
        <w:t>本授权书于年月日签字生效，特此声明。</w:t>
      </w:r>
    </w:p>
    <w:p w14:paraId="1E3DBEAD">
      <w:pPr>
        <w:spacing w:line="360" w:lineRule="auto"/>
        <w:rPr>
          <w:rFonts w:ascii="宋体" w:hAnsi="宋体" w:cs="宋体"/>
          <w:sz w:val="24"/>
          <w:highlight w:val="none"/>
        </w:rPr>
      </w:pPr>
    </w:p>
    <w:p w14:paraId="36A1452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委托人：</w:t>
      </w:r>
    </w:p>
    <w:p w14:paraId="6A37D62A">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供应商</w:t>
      </w:r>
      <w:r>
        <w:rPr>
          <w:rFonts w:hint="eastAsia" w:ascii="宋体" w:hAnsi="宋体" w:cs="宋体"/>
          <w:sz w:val="24"/>
          <w:highlight w:val="none"/>
        </w:rPr>
        <w:t xml:space="preserve">电子签章：       </w:t>
      </w:r>
    </w:p>
    <w:p w14:paraId="3596805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被委托人：</w:t>
      </w:r>
    </w:p>
    <w:p w14:paraId="02916B9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法定代表人：</w:t>
      </w:r>
    </w:p>
    <w:tbl>
      <w:tblPr>
        <w:tblStyle w:val="28"/>
        <w:tblpPr w:leftFromText="180" w:rightFromText="180" w:vertAnchor="text" w:horzAnchor="page" w:tblpX="1975" w:tblpY="469"/>
        <w:tblOverlap w:val="never"/>
        <w:tblW w:w="84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9"/>
        <w:gridCol w:w="4465"/>
      </w:tblGrid>
      <w:tr w14:paraId="5E7E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trPr>
        <w:tc>
          <w:tcPr>
            <w:tcW w:w="3949" w:type="dxa"/>
          </w:tcPr>
          <w:p w14:paraId="005251E4">
            <w:pPr>
              <w:pStyle w:val="26"/>
              <w:ind w:right="-21" w:firstLine="540"/>
              <w:jc w:val="both"/>
              <w:rPr>
                <w:rFonts w:ascii="宋体" w:hAnsi="宋体" w:eastAsia="宋体" w:cs="宋体"/>
                <w:sz w:val="24"/>
                <w:szCs w:val="24"/>
                <w:highlight w:val="none"/>
              </w:rPr>
            </w:pPr>
            <w:r>
              <w:rPr>
                <w:rFonts w:hint="eastAsia" w:ascii="宋体" w:hAnsi="宋体" w:eastAsia="宋体" w:cs="宋体"/>
                <w:sz w:val="24"/>
                <w:szCs w:val="24"/>
                <w:highlight w:val="none"/>
              </w:rPr>
              <w:t>身份证正面</w:t>
            </w:r>
          </w:p>
        </w:tc>
        <w:tc>
          <w:tcPr>
            <w:tcW w:w="4465" w:type="dxa"/>
          </w:tcPr>
          <w:p w14:paraId="1C483CD0">
            <w:pPr>
              <w:pStyle w:val="26"/>
              <w:ind w:right="-21" w:firstLine="540"/>
              <w:jc w:val="both"/>
              <w:rPr>
                <w:rFonts w:ascii="宋体" w:hAnsi="宋体" w:eastAsia="宋体" w:cs="宋体"/>
                <w:sz w:val="24"/>
                <w:szCs w:val="24"/>
                <w:highlight w:val="none"/>
              </w:rPr>
            </w:pPr>
            <w:r>
              <w:rPr>
                <w:rFonts w:hint="eastAsia" w:ascii="宋体" w:hAnsi="宋体" w:eastAsia="宋体" w:cs="宋体"/>
                <w:sz w:val="24"/>
                <w:szCs w:val="24"/>
                <w:highlight w:val="none"/>
              </w:rPr>
              <w:t>身份证反面</w:t>
            </w:r>
          </w:p>
        </w:tc>
      </w:tr>
    </w:tbl>
    <w:p w14:paraId="071CEC2B">
      <w:pPr>
        <w:spacing w:line="360" w:lineRule="auto"/>
        <w:ind w:firstLine="480" w:firstLineChars="200"/>
        <w:rPr>
          <w:rFonts w:ascii="宋体" w:hAnsi="宋体" w:cs="宋体"/>
          <w:sz w:val="24"/>
          <w:highlight w:val="none"/>
        </w:rPr>
      </w:pPr>
    </w:p>
    <w:p w14:paraId="2D77960E">
      <w:pPr>
        <w:spacing w:line="360" w:lineRule="auto"/>
        <w:ind w:firstLine="480" w:firstLineChars="200"/>
        <w:rPr>
          <w:rFonts w:ascii="宋体" w:hAnsi="宋体" w:cs="宋体"/>
          <w:sz w:val="24"/>
          <w:highlight w:val="none"/>
        </w:rPr>
      </w:pPr>
    </w:p>
    <w:p w14:paraId="5412C16E">
      <w:pPr>
        <w:spacing w:line="360" w:lineRule="auto"/>
        <w:jc w:val="center"/>
        <w:rPr>
          <w:rFonts w:hint="eastAsia" w:ascii="宋体" w:hAnsi="宋体" w:cs="宋体"/>
          <w:sz w:val="24"/>
          <w:highlight w:val="none"/>
        </w:rPr>
      </w:pPr>
    </w:p>
    <w:p w14:paraId="6C67A3CE">
      <w:pPr>
        <w:spacing w:line="360" w:lineRule="auto"/>
        <w:jc w:val="center"/>
        <w:rPr>
          <w:rFonts w:hint="eastAsia" w:ascii="宋体" w:hAnsi="宋体" w:cs="宋体"/>
          <w:sz w:val="24"/>
          <w:highlight w:val="none"/>
        </w:rPr>
      </w:pPr>
    </w:p>
    <w:p w14:paraId="07DB8A88">
      <w:pPr>
        <w:spacing w:line="360" w:lineRule="auto"/>
        <w:ind w:firstLine="3840" w:firstLineChars="1600"/>
        <w:rPr>
          <w:rFonts w:ascii="宋体" w:hAnsi="宋体" w:cs="宋体"/>
          <w:sz w:val="24"/>
          <w:highlight w:val="none"/>
        </w:rPr>
      </w:pPr>
      <w:r>
        <w:rPr>
          <w:rFonts w:hint="eastAsia" w:ascii="宋体" w:hAnsi="宋体" w:cs="宋体"/>
          <w:sz w:val="24"/>
          <w:highlight w:val="none"/>
          <w:lang w:val="en-US" w:eastAsia="zh-CN"/>
        </w:rPr>
        <w:t>供应商</w:t>
      </w:r>
      <w:r>
        <w:rPr>
          <w:rFonts w:hint="eastAsia" w:ascii="宋体" w:hAnsi="宋体" w:cs="宋体"/>
          <w:sz w:val="24"/>
          <w:highlight w:val="none"/>
        </w:rPr>
        <w:t>电子</w:t>
      </w:r>
      <w:r>
        <w:rPr>
          <w:rFonts w:hint="eastAsia" w:ascii="宋体" w:hAnsi="宋体" w:cs="宋体"/>
          <w:sz w:val="24"/>
          <w:highlight w:val="none"/>
          <w:lang w:val="en-US" w:eastAsia="zh-CN"/>
        </w:rPr>
        <w:t>公</w:t>
      </w:r>
      <w:r>
        <w:rPr>
          <w:rFonts w:hint="eastAsia" w:ascii="宋体" w:hAnsi="宋体" w:cs="宋体"/>
          <w:sz w:val="24"/>
          <w:highlight w:val="none"/>
        </w:rPr>
        <w:t xml:space="preserve">章： </w:t>
      </w:r>
    </w:p>
    <w:p w14:paraId="6B798A2B">
      <w:pPr>
        <w:spacing w:line="360" w:lineRule="auto"/>
        <w:jc w:val="center"/>
        <w:rPr>
          <w:rFonts w:ascii="宋体" w:hAnsi="宋体" w:cs="宋体"/>
          <w:sz w:val="24"/>
          <w:highlight w:val="none"/>
        </w:rPr>
      </w:pPr>
      <w:r>
        <w:rPr>
          <w:rFonts w:hint="eastAsia" w:ascii="宋体" w:hAnsi="宋体" w:cs="宋体"/>
          <w:sz w:val="24"/>
          <w:highlight w:val="none"/>
        </w:rPr>
        <w:t xml:space="preserve">                                      </w:t>
      </w:r>
    </w:p>
    <w:p w14:paraId="1A9EACEC">
      <w:pPr>
        <w:spacing w:line="360" w:lineRule="auto"/>
        <w:jc w:val="center"/>
        <w:rPr>
          <w:rFonts w:hint="eastAsia" w:ascii="宋体" w:hAnsi="宋体" w:cs="宋体"/>
          <w:sz w:val="24"/>
          <w:highlight w:val="none"/>
        </w:rPr>
      </w:pPr>
      <w:r>
        <w:rPr>
          <w:rFonts w:hint="eastAsia" w:ascii="宋体" w:hAnsi="宋体" w:cs="宋体"/>
          <w:sz w:val="24"/>
          <w:highlight w:val="none"/>
        </w:rPr>
        <w:t xml:space="preserve"> 年   月   日</w:t>
      </w:r>
    </w:p>
    <w:p w14:paraId="1BC04CDF">
      <w:pPr>
        <w:pStyle w:val="37"/>
        <w:rPr>
          <w:highlight w:val="none"/>
        </w:rPr>
      </w:pPr>
    </w:p>
    <w:p w14:paraId="23519B5F">
      <w:pPr>
        <w:pStyle w:val="37"/>
        <w:rPr>
          <w:highlight w:val="none"/>
        </w:rPr>
      </w:pPr>
    </w:p>
    <w:p w14:paraId="6985B6B0">
      <w:pPr>
        <w:pStyle w:val="37"/>
        <w:rPr>
          <w:highlight w:val="none"/>
        </w:rPr>
      </w:pPr>
    </w:p>
    <w:p w14:paraId="76F83A47">
      <w:pPr>
        <w:pStyle w:val="37"/>
        <w:rPr>
          <w:highlight w:val="none"/>
        </w:rPr>
      </w:pPr>
    </w:p>
    <w:p w14:paraId="02DB1DB7">
      <w:pPr>
        <w:widowControl/>
        <w:jc w:val="left"/>
        <w:rPr>
          <w:rFonts w:hint="eastAsia" w:ascii="宋体" w:hAnsi="宋体" w:cs="宋体"/>
          <w:sz w:val="24"/>
          <w:highlight w:val="none"/>
        </w:rPr>
      </w:pPr>
      <w:r>
        <w:rPr>
          <w:rFonts w:hint="eastAsia" w:ascii="宋体" w:hAnsi="宋体" w:cs="宋体"/>
          <w:sz w:val="24"/>
          <w:highlight w:val="none"/>
        </w:rPr>
        <w:t>格式3</w:t>
      </w:r>
    </w:p>
    <w:p w14:paraId="58518327">
      <w:pPr>
        <w:widowControl/>
        <w:jc w:val="center"/>
        <w:rPr>
          <w:rFonts w:hint="eastAsia" w:ascii="宋体" w:hAnsi="宋体" w:eastAsia="宋体" w:cs="宋体"/>
          <w:kern w:val="0"/>
          <w:sz w:val="24"/>
          <w:highlight w:val="none"/>
          <w:lang w:eastAsia="zh-CN"/>
        </w:rPr>
      </w:pPr>
      <w:r>
        <w:rPr>
          <w:rFonts w:hint="eastAsia" w:ascii="宋体" w:hAnsi="宋体" w:cs="宋体"/>
          <w:sz w:val="24"/>
          <w:highlight w:val="none"/>
        </w:rPr>
        <w:t>企业营业执照副本</w:t>
      </w:r>
      <w:r>
        <w:rPr>
          <w:rFonts w:hint="eastAsia" w:ascii="宋体" w:hAnsi="宋体" w:cs="宋体"/>
          <w:sz w:val="24"/>
          <w:highlight w:val="none"/>
          <w:lang w:val="en-US" w:eastAsia="zh-CN"/>
        </w:rPr>
        <w:t>及</w:t>
      </w:r>
      <w:r>
        <w:rPr>
          <w:rFonts w:hint="eastAsia" w:ascii="宋体" w:hAnsi="宋体" w:cs="宋体"/>
          <w:kern w:val="0"/>
          <w:sz w:val="24"/>
          <w:highlight w:val="none"/>
        </w:rPr>
        <w:t>资格性证明材料</w:t>
      </w:r>
    </w:p>
    <w:p w14:paraId="36696419">
      <w:pPr>
        <w:spacing w:line="360" w:lineRule="auto"/>
        <w:jc w:val="left"/>
        <w:rPr>
          <w:rFonts w:ascii="宋体" w:hAnsi="宋体" w:cs="宋体"/>
          <w:sz w:val="24"/>
          <w:highlight w:val="none"/>
        </w:rPr>
      </w:pPr>
    </w:p>
    <w:p w14:paraId="318C20A4">
      <w:pPr>
        <w:spacing w:line="360" w:lineRule="auto"/>
        <w:jc w:val="left"/>
        <w:rPr>
          <w:rFonts w:hint="eastAsia" w:ascii="宋体" w:hAnsi="宋体" w:cs="宋体"/>
          <w:sz w:val="24"/>
          <w:highlight w:val="none"/>
        </w:rPr>
        <w:sectPr>
          <w:pgSz w:w="11907" w:h="16840"/>
          <w:pgMar w:top="1440" w:right="1588" w:bottom="1440" w:left="1588" w:header="851" w:footer="992" w:gutter="0"/>
          <w:cols w:space="720" w:num="1"/>
          <w:docGrid w:type="lines" w:linePitch="312" w:charSpace="0"/>
        </w:sectPr>
      </w:pPr>
    </w:p>
    <w:p w14:paraId="533346D2">
      <w:pPr>
        <w:spacing w:line="360" w:lineRule="auto"/>
        <w:jc w:val="left"/>
        <w:rPr>
          <w:rFonts w:hint="eastAsia" w:ascii="宋体" w:hAnsi="宋体" w:eastAsia="宋体" w:cs="宋体"/>
          <w:sz w:val="24"/>
          <w:highlight w:val="none"/>
          <w:lang w:eastAsia="zh-CN"/>
        </w:rPr>
      </w:pPr>
      <w:r>
        <w:rPr>
          <w:rFonts w:hint="eastAsia" w:ascii="宋体" w:hAnsi="宋体" w:cs="宋体"/>
          <w:sz w:val="24"/>
          <w:highlight w:val="none"/>
        </w:rPr>
        <w:t>格式</w:t>
      </w:r>
      <w:r>
        <w:rPr>
          <w:rFonts w:hint="eastAsia" w:ascii="宋体" w:hAnsi="宋体" w:cs="宋体"/>
          <w:sz w:val="24"/>
          <w:highlight w:val="none"/>
          <w:lang w:val="en-US" w:eastAsia="zh-CN"/>
        </w:rPr>
        <w:t>4</w:t>
      </w:r>
    </w:p>
    <w:p w14:paraId="4801A044">
      <w:pPr>
        <w:spacing w:line="560" w:lineRule="exact"/>
        <w:jc w:val="center"/>
        <w:rPr>
          <w:rFonts w:ascii="宋体" w:hAnsi="宋体" w:cs="宋体"/>
          <w:sz w:val="24"/>
          <w:highlight w:val="none"/>
        </w:rPr>
      </w:pPr>
      <w:r>
        <w:rPr>
          <w:rFonts w:hint="eastAsia" w:ascii="宋体" w:hAnsi="宋体" w:cs="宋体"/>
          <w:sz w:val="24"/>
          <w:highlight w:val="none"/>
        </w:rPr>
        <w:t>投标函</w:t>
      </w:r>
    </w:p>
    <w:p w14:paraId="6EB34079">
      <w:pPr>
        <w:pStyle w:val="25"/>
        <w:shd w:val="clear" w:color="auto" w:fill="FFFFFF"/>
        <w:adjustRightInd w:val="0"/>
        <w:snapToGrid w:val="0"/>
        <w:spacing w:before="0" w:beforeAutospacing="0" w:after="0" w:afterAutospacing="0" w:line="360" w:lineRule="auto"/>
        <w:rPr>
          <w:rFonts w:ascii="宋体" w:hAnsi="宋体" w:cs="宋体"/>
          <w:kern w:val="0"/>
          <w:sz w:val="24"/>
          <w:highlight w:val="none"/>
        </w:rPr>
      </w:pPr>
      <w:r>
        <w:rPr>
          <w:rFonts w:hint="eastAsia" w:cs="宋体"/>
          <w:szCs w:val="24"/>
          <w:highlight w:val="none"/>
        </w:rPr>
        <w:t>致：</w:t>
      </w:r>
      <w:r>
        <w:rPr>
          <w:rFonts w:hint="eastAsia" w:ascii="宋体" w:hAnsi="宋体" w:eastAsia="宋体" w:cs="宋体"/>
          <w:b w:val="0"/>
          <w:kern w:val="2"/>
          <w:sz w:val="24"/>
          <w:highlight w:val="none"/>
          <w:lang w:val="en-US" w:eastAsia="zh-CN" w:bidi="ar-SA"/>
        </w:rPr>
        <w:t>（采购人或采购代理机构）</w:t>
      </w:r>
    </w:p>
    <w:p w14:paraId="70401264">
      <w:pPr>
        <w:pStyle w:val="57"/>
        <w:ind w:firstLine="600" w:firstLineChars="250"/>
        <w:rPr>
          <w:rFonts w:ascii="宋体" w:hAnsi="宋体"/>
          <w:sz w:val="24"/>
          <w:szCs w:val="24"/>
          <w:highlight w:val="none"/>
        </w:rPr>
      </w:pPr>
      <w:r>
        <w:rPr>
          <w:rFonts w:hint="eastAsia" w:ascii="宋体" w:hAnsi="宋体"/>
          <w:sz w:val="24"/>
          <w:szCs w:val="24"/>
          <w:highlight w:val="none"/>
        </w:rPr>
        <w:t>根据贵方</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（本项目名称）</w:t>
      </w:r>
      <w:r>
        <w:rPr>
          <w:rFonts w:hint="eastAsia" w:ascii="宋体" w:hAnsi="宋体"/>
          <w:sz w:val="24"/>
          <w:szCs w:val="24"/>
          <w:highlight w:val="none"/>
        </w:rPr>
        <w:t>项目的竞争性磋商邀请（项目编号</w:t>
      </w:r>
      <w:r>
        <w:rPr>
          <w:rFonts w:hint="eastAsia" w:ascii="宋体" w:hAnsi="宋体"/>
          <w:sz w:val="24"/>
          <w:szCs w:val="24"/>
          <w:highlight w:val="none"/>
          <w:u w:val="single"/>
        </w:rPr>
        <w:t xml:space="preserve">：          </w:t>
      </w:r>
      <w:r>
        <w:rPr>
          <w:rFonts w:hint="eastAsia" w:ascii="宋体" w:hAnsi="宋体"/>
          <w:sz w:val="24"/>
          <w:szCs w:val="24"/>
          <w:highlight w:val="none"/>
        </w:rPr>
        <w:t>），委托代理人</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(全名、职务)</w:t>
      </w:r>
      <w:r>
        <w:rPr>
          <w:rFonts w:hint="eastAsia" w:ascii="宋体" w:hAnsi="宋体"/>
          <w:sz w:val="24"/>
          <w:szCs w:val="24"/>
          <w:highlight w:val="none"/>
        </w:rPr>
        <w:t>代表</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lang w:eastAsia="zh-CN"/>
        </w:rPr>
        <w:t>（</w:t>
      </w:r>
      <w:r>
        <w:rPr>
          <w:rFonts w:hint="eastAsia" w:ascii="宋体" w:hAnsi="宋体"/>
          <w:sz w:val="24"/>
          <w:szCs w:val="24"/>
          <w:highlight w:val="none"/>
          <w:u w:val="single"/>
        </w:rPr>
        <w:t>供应商名称、地址)</w:t>
      </w:r>
      <w:r>
        <w:rPr>
          <w:rFonts w:hint="eastAsia" w:ascii="宋体" w:hAnsi="宋体"/>
          <w:sz w:val="24"/>
          <w:szCs w:val="24"/>
          <w:highlight w:val="none"/>
        </w:rPr>
        <w:t>提交投标文件，报价为</w:t>
      </w:r>
      <w:r>
        <w:rPr>
          <w:rFonts w:hint="eastAsia" w:ascii="宋体" w:hAnsi="宋体"/>
          <w:sz w:val="24"/>
          <w:szCs w:val="24"/>
          <w:highlight w:val="none"/>
          <w:u w:val="single"/>
        </w:rPr>
        <w:t>：    元，</w:t>
      </w:r>
      <w:r>
        <w:rPr>
          <w:rFonts w:hint="eastAsia" w:ascii="宋体" w:hAnsi="宋体"/>
          <w:sz w:val="24"/>
          <w:szCs w:val="24"/>
          <w:highlight w:val="none"/>
        </w:rPr>
        <w:t>并对之负法律责任。</w:t>
      </w:r>
    </w:p>
    <w:p w14:paraId="4D5928FC">
      <w:pPr>
        <w:ind w:firstLine="568" w:firstLineChars="237"/>
        <w:rPr>
          <w:rFonts w:ascii="宋体" w:hAnsi="宋体" w:cs="宋体"/>
          <w:sz w:val="24"/>
          <w:highlight w:val="none"/>
        </w:rPr>
      </w:pPr>
      <w:r>
        <w:rPr>
          <w:rFonts w:hint="eastAsia" w:ascii="宋体" w:hAnsi="宋体" w:cs="宋体"/>
          <w:sz w:val="24"/>
          <w:highlight w:val="none"/>
        </w:rPr>
        <w:t>据此函，宣布同意如下：</w:t>
      </w:r>
    </w:p>
    <w:p w14:paraId="7AFB5E17">
      <w:pPr>
        <w:ind w:firstLine="480" w:firstLineChars="200"/>
        <w:rPr>
          <w:rFonts w:ascii="宋体" w:hAnsi="宋体" w:cs="宋体"/>
          <w:sz w:val="24"/>
          <w:highlight w:val="none"/>
        </w:rPr>
      </w:pPr>
      <w:r>
        <w:rPr>
          <w:rFonts w:hint="eastAsia" w:ascii="宋体" w:hAnsi="宋体" w:cs="宋体"/>
          <w:sz w:val="24"/>
          <w:highlight w:val="none"/>
        </w:rPr>
        <w:t>(1)我们完全理解贵方不一定要接受最低报价，并同意本文件规定的响应性文件有效期。</w:t>
      </w:r>
    </w:p>
    <w:p w14:paraId="4C8CE582">
      <w:pPr>
        <w:ind w:firstLine="480" w:firstLineChars="200"/>
        <w:rPr>
          <w:rFonts w:ascii="宋体" w:hAnsi="宋体" w:cs="宋体"/>
          <w:sz w:val="24"/>
          <w:highlight w:val="none"/>
        </w:rPr>
      </w:pPr>
      <w:r>
        <w:rPr>
          <w:rFonts w:hint="eastAsia" w:ascii="宋体" w:hAnsi="宋体" w:cs="宋体"/>
          <w:sz w:val="24"/>
          <w:highlight w:val="none"/>
        </w:rPr>
        <w:t>(2)我们已详细审核全部竞争性磋商文件，我们知道必须放弃提出含糊不清或误解的问题的权利。</w:t>
      </w:r>
    </w:p>
    <w:p w14:paraId="717215C2">
      <w:pPr>
        <w:numPr>
          <w:ilvl w:val="0"/>
          <w:numId w:val="4"/>
        </w:numPr>
        <w:ind w:firstLine="480" w:firstLineChars="200"/>
        <w:rPr>
          <w:rFonts w:ascii="宋体" w:hAnsi="宋体" w:cs="宋体"/>
          <w:sz w:val="24"/>
          <w:highlight w:val="none"/>
        </w:rPr>
      </w:pPr>
      <w:r>
        <w:rPr>
          <w:rFonts w:hint="eastAsia" w:ascii="宋体" w:hAnsi="宋体" w:cs="宋体"/>
          <w:sz w:val="24"/>
          <w:highlight w:val="none"/>
        </w:rPr>
        <w:t>同意向贵方提供贵方可能另外要求的与其竞争性磋商有关的任何证据和资料。投标函按统一格式填写，由</w:t>
      </w:r>
      <w:r>
        <w:rPr>
          <w:rFonts w:hint="eastAsia" w:ascii="宋体" w:hAnsi="宋体" w:cs="宋体"/>
          <w:sz w:val="24"/>
          <w:highlight w:val="none"/>
          <w:lang w:val="en-US" w:eastAsia="zh-CN"/>
        </w:rPr>
        <w:t>供应商</w:t>
      </w:r>
      <w:r>
        <w:rPr>
          <w:rFonts w:hint="eastAsia" w:ascii="宋体" w:hAnsi="宋体" w:cs="宋体"/>
          <w:sz w:val="24"/>
          <w:highlight w:val="none"/>
        </w:rPr>
        <w:t>加盖公章，并由</w:t>
      </w:r>
      <w:r>
        <w:rPr>
          <w:rFonts w:hint="eastAsia" w:ascii="宋体" w:hAnsi="宋体" w:cs="宋体"/>
          <w:sz w:val="24"/>
          <w:highlight w:val="none"/>
          <w:lang w:val="en-US" w:eastAsia="zh-CN"/>
        </w:rPr>
        <w:t>供应商</w:t>
      </w:r>
      <w:r>
        <w:rPr>
          <w:rFonts w:hint="eastAsia" w:ascii="宋体" w:hAnsi="宋体" w:cs="宋体"/>
          <w:sz w:val="24"/>
          <w:highlight w:val="none"/>
        </w:rPr>
        <w:t>法定代表人或其授权代表人签</w:t>
      </w:r>
      <w:r>
        <w:rPr>
          <w:rFonts w:hint="eastAsia" w:ascii="宋体" w:hAnsi="宋体" w:cs="宋体"/>
          <w:spacing w:val="-20"/>
          <w:w w:val="50"/>
          <w:sz w:val="24"/>
          <w:highlight w:val="none"/>
          <w:lang w:val="en-US" w:eastAsia="zh-CN"/>
        </w:rPr>
        <w:t xml:space="preserve"> </w:t>
      </w:r>
      <w:r>
        <w:rPr>
          <w:rFonts w:hint="eastAsia" w:ascii="宋体" w:hAnsi="宋体" w:cs="宋体"/>
          <w:sz w:val="24"/>
          <w:highlight w:val="none"/>
        </w:rPr>
        <w:t>字和盖</w:t>
      </w:r>
      <w:r>
        <w:rPr>
          <w:rFonts w:hint="eastAsia" w:ascii="宋体" w:hAnsi="宋体" w:cs="宋体"/>
          <w:spacing w:val="-20"/>
          <w:w w:val="50"/>
          <w:sz w:val="24"/>
          <w:highlight w:val="none"/>
          <w:lang w:val="en-US" w:eastAsia="zh-CN"/>
        </w:rPr>
        <w:t xml:space="preserve"> </w:t>
      </w:r>
      <w:r>
        <w:rPr>
          <w:rFonts w:hint="eastAsia" w:ascii="宋体" w:hAnsi="宋体" w:cs="宋体"/>
          <w:sz w:val="24"/>
          <w:highlight w:val="none"/>
        </w:rPr>
        <w:t>章。</w:t>
      </w:r>
    </w:p>
    <w:p w14:paraId="072F577F">
      <w:pPr>
        <w:ind w:firstLine="480" w:firstLineChars="200"/>
        <w:rPr>
          <w:rFonts w:ascii="宋体" w:hAnsi="宋体" w:cs="宋体"/>
          <w:sz w:val="24"/>
          <w:highlight w:val="none"/>
        </w:rPr>
      </w:pPr>
      <w:r>
        <w:rPr>
          <w:rFonts w:hint="eastAsia" w:ascii="宋体" w:hAnsi="宋体" w:cs="宋体"/>
          <w:sz w:val="24"/>
          <w:highlight w:val="none"/>
        </w:rPr>
        <w:t>(4)一旦我们成交，我们将严格履行合同责任和义务。</w:t>
      </w:r>
    </w:p>
    <w:p w14:paraId="266B724E">
      <w:pPr>
        <w:ind w:firstLine="480" w:firstLineChars="200"/>
        <w:rPr>
          <w:rFonts w:ascii="宋体" w:hAnsi="宋体" w:cs="宋体"/>
          <w:sz w:val="24"/>
          <w:highlight w:val="none"/>
        </w:rPr>
      </w:pPr>
      <w:r>
        <w:rPr>
          <w:rFonts w:hint="eastAsia" w:ascii="宋体" w:hAnsi="宋体" w:cs="宋体"/>
          <w:sz w:val="24"/>
          <w:highlight w:val="none"/>
        </w:rPr>
        <w:t>(5)我们完全理解不向未成交人解释未成交理由的义务。</w:t>
      </w:r>
    </w:p>
    <w:p w14:paraId="3875A555">
      <w:pPr>
        <w:ind w:firstLine="480" w:firstLineChars="200"/>
        <w:rPr>
          <w:rFonts w:ascii="宋体" w:hAnsi="宋体" w:cs="宋体"/>
          <w:sz w:val="24"/>
          <w:highlight w:val="none"/>
          <w:lang w:val="zh-CN"/>
        </w:rPr>
      </w:pPr>
      <w:r>
        <w:rPr>
          <w:rFonts w:hint="eastAsia" w:ascii="宋体" w:hAnsi="宋体" w:cs="宋体"/>
          <w:sz w:val="24"/>
          <w:highlight w:val="none"/>
        </w:rPr>
        <w:t>(6)</w:t>
      </w:r>
      <w:r>
        <w:rPr>
          <w:rFonts w:hint="eastAsia" w:ascii="宋体" w:hAnsi="宋体" w:cs="宋体"/>
          <w:sz w:val="24"/>
          <w:highlight w:val="none"/>
          <w:lang w:val="zh-CN"/>
        </w:rPr>
        <w:t>如果我们的谈判响应文件被接受，我们将履行谈判文件中规定的每一项要求，按期、按质、按量履行合同。</w:t>
      </w:r>
    </w:p>
    <w:p w14:paraId="55B4813B">
      <w:pPr>
        <w:ind w:firstLine="480" w:firstLineChars="200"/>
        <w:rPr>
          <w:rFonts w:ascii="宋体" w:hAnsi="宋体" w:cs="宋体"/>
          <w:sz w:val="24"/>
          <w:highlight w:val="none"/>
        </w:rPr>
      </w:pPr>
      <w:r>
        <w:rPr>
          <w:rFonts w:hint="eastAsia" w:ascii="宋体" w:hAnsi="宋体" w:cs="宋体"/>
          <w:sz w:val="24"/>
          <w:highlight w:val="none"/>
        </w:rPr>
        <w:t>(7)</w:t>
      </w:r>
      <w:r>
        <w:rPr>
          <w:rFonts w:hint="eastAsia" w:ascii="宋体" w:hAnsi="宋体" w:cs="宋体"/>
          <w:sz w:val="24"/>
          <w:highlight w:val="none"/>
          <w:lang w:val="zh-CN"/>
        </w:rPr>
        <w:t>我方愿按《中华人民共和国合同法》履行我方的全部责任。</w:t>
      </w:r>
    </w:p>
    <w:p w14:paraId="2A1D38DF">
      <w:pPr>
        <w:ind w:firstLine="480" w:firstLineChars="200"/>
        <w:rPr>
          <w:rFonts w:ascii="宋体" w:hAnsi="宋体" w:cs="宋体"/>
          <w:sz w:val="24"/>
          <w:highlight w:val="none"/>
        </w:rPr>
      </w:pPr>
      <w:r>
        <w:rPr>
          <w:rFonts w:hint="eastAsia" w:ascii="宋体" w:hAnsi="宋体" w:cs="宋体"/>
          <w:sz w:val="24"/>
          <w:highlight w:val="none"/>
        </w:rPr>
        <w:t>(8)与本次竞争性磋商有关的正式通讯地址为：</w:t>
      </w:r>
    </w:p>
    <w:p w14:paraId="3F171629">
      <w:pPr>
        <w:ind w:firstLine="480" w:firstLineChars="200"/>
        <w:rPr>
          <w:rFonts w:ascii="宋体" w:hAnsi="宋体" w:cs="宋体"/>
          <w:sz w:val="24"/>
          <w:highlight w:val="none"/>
        </w:rPr>
      </w:pPr>
      <w:r>
        <w:rPr>
          <w:rFonts w:hint="eastAsia" w:ascii="宋体" w:hAnsi="宋体" w:cs="宋体"/>
          <w:sz w:val="24"/>
          <w:highlight w:val="none"/>
        </w:rPr>
        <w:t>地 址：                  邮 编：</w:t>
      </w:r>
    </w:p>
    <w:p w14:paraId="5133A2C3">
      <w:pPr>
        <w:ind w:firstLine="480" w:firstLineChars="200"/>
        <w:rPr>
          <w:rFonts w:ascii="宋体" w:hAnsi="宋体" w:cs="宋体"/>
          <w:sz w:val="24"/>
          <w:highlight w:val="none"/>
        </w:rPr>
      </w:pPr>
      <w:r>
        <w:rPr>
          <w:rFonts w:hint="eastAsia" w:ascii="宋体" w:hAnsi="宋体" w:cs="宋体"/>
          <w:sz w:val="24"/>
          <w:highlight w:val="none"/>
        </w:rPr>
        <w:t>电 话：                  电子信箱：</w:t>
      </w:r>
    </w:p>
    <w:p w14:paraId="515EA7D1">
      <w:pPr>
        <w:ind w:firstLine="480" w:firstLineChars="200"/>
        <w:jc w:val="left"/>
        <w:rPr>
          <w:rFonts w:ascii="宋体" w:hAnsi="宋体" w:cs="宋体"/>
          <w:sz w:val="24"/>
          <w:highlight w:val="none"/>
        </w:rPr>
      </w:pPr>
      <w:r>
        <w:rPr>
          <w:rFonts w:hint="eastAsia" w:ascii="宋体" w:hAnsi="宋体" w:cs="宋体"/>
          <w:sz w:val="24"/>
          <w:highlight w:val="none"/>
        </w:rPr>
        <w:t>我们保证：</w:t>
      </w:r>
    </w:p>
    <w:p w14:paraId="6A8DA532">
      <w:pPr>
        <w:ind w:firstLine="480" w:firstLineChars="200"/>
        <w:jc w:val="left"/>
        <w:rPr>
          <w:rFonts w:ascii="宋体" w:hAnsi="宋体" w:cs="宋体"/>
          <w:sz w:val="24"/>
          <w:highlight w:val="none"/>
        </w:rPr>
      </w:pPr>
      <w:r>
        <w:rPr>
          <w:rFonts w:hint="eastAsia" w:ascii="宋体" w:hAnsi="宋体" w:cs="宋体"/>
          <w:sz w:val="24"/>
          <w:highlight w:val="none"/>
        </w:rPr>
        <w:t>(1)不提供虚假材料谋取成交；</w:t>
      </w:r>
    </w:p>
    <w:p w14:paraId="63D8B197">
      <w:pPr>
        <w:ind w:firstLine="480" w:firstLineChars="200"/>
        <w:jc w:val="left"/>
        <w:rPr>
          <w:rFonts w:ascii="宋体" w:hAnsi="宋体" w:cs="宋体"/>
          <w:sz w:val="24"/>
          <w:highlight w:val="none"/>
        </w:rPr>
      </w:pPr>
      <w:r>
        <w:rPr>
          <w:rFonts w:hint="eastAsia" w:ascii="宋体" w:hAnsi="宋体" w:cs="宋体"/>
          <w:sz w:val="24"/>
          <w:highlight w:val="none"/>
        </w:rPr>
        <w:t>(2)不以不正当手段抵毁、排挤其他供应商；</w:t>
      </w:r>
    </w:p>
    <w:p w14:paraId="1BE91717">
      <w:pPr>
        <w:ind w:firstLine="480" w:firstLineChars="200"/>
        <w:jc w:val="left"/>
        <w:rPr>
          <w:rFonts w:ascii="宋体" w:hAnsi="宋体" w:cs="宋体"/>
          <w:sz w:val="24"/>
          <w:highlight w:val="none"/>
        </w:rPr>
      </w:pPr>
      <w:r>
        <w:rPr>
          <w:rFonts w:hint="eastAsia" w:ascii="宋体" w:hAnsi="宋体" w:cs="宋体"/>
          <w:sz w:val="24"/>
          <w:highlight w:val="none"/>
        </w:rPr>
        <w:t>(3)不与采购人和其它供应商恶意串通；</w:t>
      </w:r>
    </w:p>
    <w:p w14:paraId="5FF2D8E1">
      <w:pPr>
        <w:ind w:firstLine="480" w:firstLineChars="200"/>
        <w:jc w:val="left"/>
        <w:rPr>
          <w:rFonts w:ascii="宋体" w:hAnsi="宋体" w:cs="宋体"/>
          <w:sz w:val="24"/>
          <w:highlight w:val="none"/>
        </w:rPr>
      </w:pPr>
      <w:r>
        <w:rPr>
          <w:rFonts w:hint="eastAsia" w:ascii="宋体" w:hAnsi="宋体" w:cs="宋体"/>
          <w:sz w:val="24"/>
          <w:highlight w:val="none"/>
        </w:rPr>
        <w:t>(4)不向采购人和采购代理机构提供不正当利益；</w:t>
      </w:r>
    </w:p>
    <w:p w14:paraId="55D36057">
      <w:pPr>
        <w:ind w:firstLine="480" w:firstLineChars="200"/>
        <w:jc w:val="left"/>
        <w:rPr>
          <w:rFonts w:ascii="宋体" w:hAnsi="宋体" w:cs="宋体"/>
          <w:sz w:val="24"/>
          <w:highlight w:val="none"/>
        </w:rPr>
      </w:pPr>
      <w:r>
        <w:rPr>
          <w:rFonts w:hint="eastAsia" w:ascii="宋体" w:hAnsi="宋体" w:cs="宋体"/>
          <w:sz w:val="24"/>
          <w:highlight w:val="none"/>
        </w:rPr>
        <w:t>(5)不拒绝有关部门监督检查或提供虚假情况。</w:t>
      </w:r>
    </w:p>
    <w:p w14:paraId="2DA40EA5">
      <w:pPr>
        <w:spacing w:line="560" w:lineRule="exact"/>
        <w:jc w:val="left"/>
        <w:rPr>
          <w:rFonts w:ascii="宋体" w:hAnsi="宋体" w:cs="宋体"/>
          <w:sz w:val="24"/>
          <w:highlight w:val="none"/>
        </w:rPr>
      </w:pPr>
    </w:p>
    <w:p w14:paraId="45EE6951">
      <w:pPr>
        <w:spacing w:line="560" w:lineRule="exact"/>
        <w:jc w:val="left"/>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 xml:space="preserve">     联系人：              联系电话：</w:t>
      </w:r>
    </w:p>
    <w:p w14:paraId="6F216446">
      <w:pPr>
        <w:spacing w:line="360" w:lineRule="auto"/>
        <w:jc w:val="left"/>
        <w:rPr>
          <w:rFonts w:ascii="宋体" w:hAnsi="宋体" w:cs="宋体"/>
          <w:sz w:val="24"/>
          <w:highlight w:val="none"/>
        </w:rPr>
      </w:pPr>
    </w:p>
    <w:p w14:paraId="3DEA00B6">
      <w:pPr>
        <w:spacing w:line="360" w:lineRule="auto"/>
        <w:jc w:val="left"/>
        <w:rPr>
          <w:rFonts w:ascii="宋体" w:hAnsi="宋体" w:cs="宋体"/>
          <w:sz w:val="24"/>
          <w:highlight w:val="none"/>
        </w:rPr>
      </w:pPr>
    </w:p>
    <w:p w14:paraId="57CCD3DC">
      <w:pPr>
        <w:spacing w:line="360" w:lineRule="auto"/>
        <w:jc w:val="left"/>
        <w:rPr>
          <w:rFonts w:ascii="宋体" w:hAnsi="宋体" w:cs="宋体"/>
          <w:sz w:val="24"/>
          <w:highlight w:val="none"/>
        </w:rPr>
      </w:pPr>
    </w:p>
    <w:p w14:paraId="68002F7C">
      <w:pPr>
        <w:spacing w:line="360" w:lineRule="auto"/>
        <w:ind w:firstLine="3840" w:firstLineChars="1600"/>
        <w:rPr>
          <w:rFonts w:ascii="宋体" w:hAnsi="宋体" w:cs="宋体"/>
          <w:sz w:val="24"/>
          <w:highlight w:val="none"/>
        </w:rPr>
      </w:pPr>
      <w:r>
        <w:rPr>
          <w:rFonts w:hint="eastAsia" w:ascii="宋体" w:hAnsi="宋体" w:cs="宋体"/>
          <w:sz w:val="24"/>
          <w:highlight w:val="none"/>
          <w:lang w:val="en-US" w:eastAsia="zh-CN"/>
        </w:rPr>
        <w:t>供应商</w:t>
      </w:r>
      <w:r>
        <w:rPr>
          <w:rFonts w:hint="eastAsia" w:ascii="宋体" w:hAnsi="宋体" w:cs="宋体"/>
          <w:sz w:val="24"/>
          <w:highlight w:val="none"/>
        </w:rPr>
        <w:t>电子</w:t>
      </w:r>
      <w:r>
        <w:rPr>
          <w:rFonts w:hint="eastAsia" w:ascii="宋体" w:hAnsi="宋体" w:cs="宋体"/>
          <w:sz w:val="24"/>
          <w:highlight w:val="none"/>
          <w:lang w:val="en-US" w:eastAsia="zh-CN"/>
        </w:rPr>
        <w:t>公</w:t>
      </w:r>
      <w:r>
        <w:rPr>
          <w:rFonts w:hint="eastAsia" w:ascii="宋体" w:hAnsi="宋体" w:cs="宋体"/>
          <w:sz w:val="24"/>
          <w:highlight w:val="none"/>
        </w:rPr>
        <w:t xml:space="preserve">章： </w:t>
      </w:r>
    </w:p>
    <w:p w14:paraId="503C701E">
      <w:pPr>
        <w:spacing w:line="360" w:lineRule="auto"/>
        <w:jc w:val="center"/>
        <w:rPr>
          <w:rFonts w:ascii="宋体" w:hAnsi="宋体" w:cs="宋体"/>
          <w:sz w:val="24"/>
          <w:highlight w:val="none"/>
        </w:rPr>
      </w:pPr>
      <w:r>
        <w:rPr>
          <w:rFonts w:hint="eastAsia" w:ascii="宋体" w:hAnsi="宋体" w:cs="宋体"/>
          <w:sz w:val="24"/>
          <w:highlight w:val="none"/>
        </w:rPr>
        <w:t xml:space="preserve">      年   月   日</w:t>
      </w:r>
    </w:p>
    <w:p w14:paraId="2E5DBC8C">
      <w:pPr>
        <w:spacing w:line="360" w:lineRule="auto"/>
        <w:jc w:val="left"/>
        <w:rPr>
          <w:rFonts w:hint="eastAsia" w:ascii="宋体" w:hAnsi="宋体" w:cs="宋体"/>
          <w:sz w:val="24"/>
          <w:highlight w:val="none"/>
        </w:rPr>
        <w:sectPr>
          <w:pgSz w:w="11907" w:h="16840"/>
          <w:pgMar w:top="1440" w:right="1588" w:bottom="1440" w:left="1588" w:header="851" w:footer="992" w:gutter="0"/>
          <w:cols w:space="720" w:num="1"/>
          <w:docGrid w:type="lines" w:linePitch="312" w:charSpace="0"/>
        </w:sectPr>
      </w:pPr>
    </w:p>
    <w:p w14:paraId="4F0380DC">
      <w:pPr>
        <w:spacing w:line="360" w:lineRule="auto"/>
        <w:jc w:val="left"/>
        <w:rPr>
          <w:rFonts w:hint="eastAsia" w:ascii="宋体" w:hAnsi="宋体" w:eastAsia="宋体" w:cs="宋体"/>
          <w:sz w:val="24"/>
          <w:highlight w:val="none"/>
          <w:lang w:val="en-US" w:eastAsia="zh-CN"/>
        </w:rPr>
      </w:pPr>
      <w:r>
        <w:rPr>
          <w:rFonts w:hint="eastAsia" w:ascii="宋体" w:hAnsi="宋体" w:cs="宋体"/>
          <w:sz w:val="24"/>
          <w:highlight w:val="none"/>
        </w:rPr>
        <w:t>格式</w:t>
      </w:r>
      <w:r>
        <w:rPr>
          <w:rFonts w:hint="eastAsia" w:ascii="宋体" w:hAnsi="宋体" w:cs="宋体"/>
          <w:sz w:val="24"/>
          <w:highlight w:val="none"/>
          <w:lang w:val="en-US" w:eastAsia="zh-CN"/>
        </w:rPr>
        <w:t>5</w:t>
      </w:r>
    </w:p>
    <w:p w14:paraId="5B29DB43">
      <w:pPr>
        <w:bidi w:val="0"/>
        <w:jc w:val="center"/>
        <w:rPr>
          <w:sz w:val="24"/>
          <w:szCs w:val="24"/>
          <w:highlight w:val="none"/>
        </w:rPr>
      </w:pPr>
      <w:bookmarkStart w:id="5" w:name="_Toc197934561"/>
      <w:bookmarkStart w:id="6" w:name="_Toc495414231"/>
      <w:r>
        <w:rPr>
          <w:rFonts w:hint="eastAsia"/>
          <w:sz w:val="24"/>
          <w:szCs w:val="24"/>
          <w:highlight w:val="none"/>
        </w:rPr>
        <w:t>报价一览表</w:t>
      </w:r>
      <w:bookmarkEnd w:id="5"/>
      <w:bookmarkEnd w:id="6"/>
    </w:p>
    <w:tbl>
      <w:tblPr>
        <w:tblStyle w:val="28"/>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2968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74D56123">
            <w:pPr>
              <w:widowControl/>
              <w:spacing w:line="360" w:lineRule="exact"/>
              <w:jc w:val="center"/>
              <w:rPr>
                <w:rFonts w:ascii="宋体" w:hAnsi="宋体" w:cs="宋体"/>
                <w:sz w:val="24"/>
                <w:highlight w:val="none"/>
              </w:rPr>
            </w:pPr>
            <w:r>
              <w:rPr>
                <w:rFonts w:hint="eastAsia" w:ascii="宋体" w:hAnsi="宋体" w:cs="宋体"/>
                <w:sz w:val="24"/>
                <w:highlight w:val="none"/>
              </w:rPr>
              <w:t>项目名称</w:t>
            </w:r>
          </w:p>
        </w:tc>
        <w:tc>
          <w:tcPr>
            <w:tcW w:w="6667" w:type="dxa"/>
            <w:tcBorders>
              <w:top w:val="single" w:color="auto" w:sz="4" w:space="0"/>
              <w:bottom w:val="single" w:color="auto" w:sz="4" w:space="0"/>
              <w:right w:val="single" w:color="auto" w:sz="4" w:space="0"/>
            </w:tcBorders>
            <w:vAlign w:val="center"/>
          </w:tcPr>
          <w:p w14:paraId="66118D99">
            <w:pPr>
              <w:spacing w:line="360" w:lineRule="exact"/>
              <w:jc w:val="center"/>
              <w:rPr>
                <w:rFonts w:ascii="宋体" w:hAnsi="宋体" w:cs="宋体"/>
                <w:sz w:val="24"/>
                <w:highlight w:val="none"/>
              </w:rPr>
            </w:pPr>
          </w:p>
        </w:tc>
      </w:tr>
      <w:tr w14:paraId="01A1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4093BCC7">
            <w:pPr>
              <w:spacing w:line="360" w:lineRule="exact"/>
              <w:jc w:val="center"/>
              <w:rPr>
                <w:rFonts w:ascii="宋体" w:hAnsi="宋体" w:cs="宋体"/>
                <w:sz w:val="24"/>
                <w:highlight w:val="none"/>
              </w:rPr>
            </w:pPr>
            <w:r>
              <w:rPr>
                <w:rFonts w:hint="eastAsia" w:ascii="宋体" w:hAnsi="宋体" w:cs="宋体"/>
                <w:sz w:val="24"/>
                <w:highlight w:val="none"/>
              </w:rPr>
              <w:t>投标人全称</w:t>
            </w:r>
          </w:p>
        </w:tc>
        <w:tc>
          <w:tcPr>
            <w:tcW w:w="6667" w:type="dxa"/>
            <w:tcBorders>
              <w:top w:val="nil"/>
            </w:tcBorders>
            <w:vAlign w:val="center"/>
          </w:tcPr>
          <w:p w14:paraId="65247A71">
            <w:pPr>
              <w:spacing w:line="360" w:lineRule="auto"/>
              <w:rPr>
                <w:rFonts w:ascii="宋体" w:hAnsi="宋体" w:cs="宋体"/>
                <w:sz w:val="24"/>
                <w:highlight w:val="none"/>
              </w:rPr>
            </w:pPr>
          </w:p>
        </w:tc>
      </w:tr>
      <w:tr w14:paraId="094E5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031016E6">
            <w:pPr>
              <w:spacing w:line="360" w:lineRule="exact"/>
              <w:jc w:val="center"/>
              <w:rPr>
                <w:rFonts w:ascii="宋体" w:hAnsi="宋体" w:cs="宋体"/>
                <w:sz w:val="24"/>
                <w:highlight w:val="none"/>
              </w:rPr>
            </w:pPr>
            <w:r>
              <w:rPr>
                <w:rFonts w:hint="eastAsia" w:ascii="宋体" w:hAnsi="宋体" w:cs="宋体"/>
                <w:sz w:val="24"/>
                <w:highlight w:val="none"/>
              </w:rPr>
              <w:t>最终投标报价（包：）</w:t>
            </w:r>
          </w:p>
          <w:p w14:paraId="4434288E">
            <w:pPr>
              <w:spacing w:line="360" w:lineRule="exact"/>
              <w:jc w:val="center"/>
              <w:rPr>
                <w:rFonts w:ascii="宋体" w:hAnsi="宋体" w:cs="宋体"/>
                <w:sz w:val="24"/>
                <w:highlight w:val="none"/>
              </w:rPr>
            </w:pPr>
            <w:r>
              <w:rPr>
                <w:rFonts w:hint="eastAsia" w:ascii="宋体" w:hAnsi="宋体" w:cs="宋体"/>
                <w:sz w:val="24"/>
                <w:highlight w:val="none"/>
              </w:rPr>
              <w:t>（人民币）</w:t>
            </w:r>
          </w:p>
        </w:tc>
        <w:tc>
          <w:tcPr>
            <w:tcW w:w="6667" w:type="dxa"/>
            <w:tcBorders>
              <w:top w:val="nil"/>
            </w:tcBorders>
            <w:vAlign w:val="center"/>
          </w:tcPr>
          <w:p w14:paraId="5A0378AD">
            <w:pPr>
              <w:spacing w:line="360" w:lineRule="auto"/>
              <w:ind w:right="-670"/>
              <w:rPr>
                <w:rFonts w:ascii="宋体" w:hAnsi="宋体" w:cs="宋体"/>
                <w:sz w:val="24"/>
                <w:highlight w:val="none"/>
              </w:rPr>
            </w:pPr>
            <w:r>
              <w:rPr>
                <w:rFonts w:hint="eastAsia" w:ascii="宋体" w:hAnsi="宋体" w:cs="宋体"/>
                <w:sz w:val="24"/>
                <w:highlight w:val="none"/>
              </w:rPr>
              <w:t xml:space="preserve">投标总价：       大写：           </w:t>
            </w:r>
          </w:p>
        </w:tc>
      </w:tr>
      <w:tr w14:paraId="19FC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14:paraId="439DA23E">
            <w:pPr>
              <w:spacing w:line="360" w:lineRule="auto"/>
              <w:jc w:val="center"/>
              <w:rPr>
                <w:rFonts w:ascii="宋体" w:hAnsi="宋体" w:cs="宋体"/>
                <w:sz w:val="24"/>
                <w:highlight w:val="none"/>
              </w:rPr>
            </w:pPr>
            <w:r>
              <w:rPr>
                <w:rFonts w:hint="eastAsia" w:ascii="宋体" w:hAnsi="宋体" w:cs="宋体"/>
                <w:sz w:val="24"/>
                <w:highlight w:val="none"/>
              </w:rPr>
              <w:t>备注</w:t>
            </w:r>
          </w:p>
        </w:tc>
        <w:tc>
          <w:tcPr>
            <w:tcW w:w="6667" w:type="dxa"/>
            <w:tcBorders>
              <w:top w:val="nil"/>
            </w:tcBorders>
            <w:vAlign w:val="center"/>
          </w:tcPr>
          <w:p w14:paraId="794A0F71">
            <w:pPr>
              <w:spacing w:line="360" w:lineRule="auto"/>
              <w:jc w:val="left"/>
              <w:rPr>
                <w:rFonts w:ascii="宋体" w:hAnsi="宋体" w:cs="宋体"/>
                <w:sz w:val="24"/>
                <w:highlight w:val="none"/>
              </w:rPr>
            </w:pPr>
          </w:p>
        </w:tc>
      </w:tr>
    </w:tbl>
    <w:p w14:paraId="3B2079A2">
      <w:pPr>
        <w:spacing w:line="360" w:lineRule="auto"/>
        <w:ind w:firstLine="3840" w:firstLineChars="1600"/>
        <w:rPr>
          <w:rFonts w:ascii="宋体" w:hAnsi="宋体" w:cs="宋体"/>
          <w:sz w:val="24"/>
          <w:highlight w:val="none"/>
        </w:rPr>
      </w:pPr>
      <w:r>
        <w:rPr>
          <w:rFonts w:hint="eastAsia" w:ascii="宋体" w:hAnsi="宋体" w:cs="宋体"/>
          <w:sz w:val="24"/>
          <w:highlight w:val="none"/>
          <w:lang w:val="en-US" w:eastAsia="zh-CN"/>
        </w:rPr>
        <w:t>供应商</w:t>
      </w:r>
      <w:r>
        <w:rPr>
          <w:rFonts w:hint="eastAsia" w:ascii="宋体" w:hAnsi="宋体" w:cs="宋体"/>
          <w:sz w:val="24"/>
          <w:highlight w:val="none"/>
        </w:rPr>
        <w:t>电子</w:t>
      </w:r>
      <w:r>
        <w:rPr>
          <w:rFonts w:hint="eastAsia" w:ascii="宋体" w:hAnsi="宋体" w:cs="宋体"/>
          <w:sz w:val="24"/>
          <w:highlight w:val="none"/>
          <w:lang w:val="en-US" w:eastAsia="zh-CN"/>
        </w:rPr>
        <w:t>公</w:t>
      </w:r>
      <w:r>
        <w:rPr>
          <w:rFonts w:hint="eastAsia" w:ascii="宋体" w:hAnsi="宋体" w:cs="宋体"/>
          <w:sz w:val="24"/>
          <w:highlight w:val="none"/>
        </w:rPr>
        <w:t xml:space="preserve">章： </w:t>
      </w:r>
    </w:p>
    <w:p w14:paraId="3C2D1B76">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备注：</w:t>
      </w:r>
    </w:p>
    <w:p w14:paraId="29EE0B21">
      <w:pPr>
        <w:spacing w:line="360" w:lineRule="auto"/>
        <w:rPr>
          <w:rFonts w:ascii="宋体" w:hAnsi="宋体" w:cs="宋体"/>
          <w:sz w:val="24"/>
          <w:highlight w:val="none"/>
        </w:rPr>
      </w:pPr>
      <w:r>
        <w:rPr>
          <w:rFonts w:hint="eastAsia" w:ascii="宋体" w:hAnsi="宋体" w:cs="宋体"/>
          <w:sz w:val="24"/>
          <w:highlight w:val="none"/>
        </w:rPr>
        <w:t>1、此表用于开标会唱标之用。</w:t>
      </w:r>
    </w:p>
    <w:p w14:paraId="10158D3D">
      <w:pPr>
        <w:spacing w:line="360" w:lineRule="auto"/>
        <w:rPr>
          <w:rFonts w:ascii="宋体" w:hAnsi="宋体" w:cs="宋体"/>
          <w:sz w:val="24"/>
          <w:highlight w:val="none"/>
        </w:rPr>
      </w:pPr>
      <w:r>
        <w:rPr>
          <w:rFonts w:hint="eastAsia" w:ascii="宋体" w:hAnsi="宋体" w:cs="宋体"/>
          <w:sz w:val="24"/>
          <w:highlight w:val="none"/>
        </w:rPr>
        <w:t>2、表中最终投标报价即为优惠后报价，并作为评审及定标依据。任何有选择或有条件的最终投标报价，或者表中某一包填写多个报价，均为无效报价。</w:t>
      </w:r>
    </w:p>
    <w:p w14:paraId="7B3FA9FD">
      <w:pPr>
        <w:spacing w:line="360" w:lineRule="auto"/>
        <w:jc w:val="left"/>
        <w:rPr>
          <w:rFonts w:ascii="宋体" w:hAnsi="宋体" w:cs="宋体"/>
          <w:sz w:val="24"/>
          <w:highlight w:val="none"/>
        </w:rPr>
      </w:pPr>
      <w:bookmarkStart w:id="7" w:name="_Toc495414234"/>
      <w:bookmarkStart w:id="8" w:name="_Toc220232409"/>
    </w:p>
    <w:p w14:paraId="18868715">
      <w:pPr>
        <w:pStyle w:val="37"/>
        <w:ind w:firstLine="240"/>
        <w:rPr>
          <w:rFonts w:ascii="宋体" w:hAnsi="宋体" w:cs="宋体"/>
          <w:sz w:val="24"/>
          <w:highlight w:val="none"/>
        </w:rPr>
      </w:pPr>
    </w:p>
    <w:p w14:paraId="4A15F94C">
      <w:pPr>
        <w:pStyle w:val="37"/>
        <w:ind w:firstLine="240"/>
        <w:rPr>
          <w:rFonts w:ascii="宋体" w:hAnsi="宋体" w:cs="宋体"/>
          <w:sz w:val="24"/>
          <w:highlight w:val="none"/>
        </w:rPr>
      </w:pPr>
    </w:p>
    <w:p w14:paraId="1F75DA03">
      <w:pPr>
        <w:pStyle w:val="37"/>
        <w:ind w:firstLine="240"/>
        <w:rPr>
          <w:rFonts w:ascii="宋体" w:hAnsi="宋体" w:cs="宋体"/>
          <w:sz w:val="24"/>
          <w:highlight w:val="none"/>
        </w:rPr>
      </w:pPr>
    </w:p>
    <w:p w14:paraId="7AA1890F">
      <w:pPr>
        <w:pStyle w:val="37"/>
        <w:ind w:firstLine="240"/>
        <w:rPr>
          <w:rFonts w:ascii="宋体" w:hAnsi="宋体" w:cs="宋体"/>
          <w:sz w:val="24"/>
          <w:highlight w:val="none"/>
        </w:rPr>
      </w:pPr>
    </w:p>
    <w:p w14:paraId="646B0C4D">
      <w:pPr>
        <w:pStyle w:val="37"/>
        <w:ind w:firstLine="240"/>
        <w:rPr>
          <w:rFonts w:ascii="宋体" w:hAnsi="宋体" w:cs="宋体"/>
          <w:sz w:val="24"/>
          <w:highlight w:val="none"/>
        </w:rPr>
      </w:pPr>
    </w:p>
    <w:p w14:paraId="31BB1D82">
      <w:pPr>
        <w:spacing w:line="360" w:lineRule="auto"/>
        <w:jc w:val="left"/>
        <w:rPr>
          <w:rFonts w:hint="eastAsia" w:ascii="宋体" w:hAnsi="宋体" w:cs="宋体"/>
          <w:sz w:val="24"/>
          <w:highlight w:val="none"/>
        </w:rPr>
      </w:pPr>
    </w:p>
    <w:p w14:paraId="3D4ABF33">
      <w:pPr>
        <w:spacing w:line="360" w:lineRule="auto"/>
        <w:jc w:val="left"/>
        <w:rPr>
          <w:rFonts w:hint="eastAsia" w:ascii="宋体" w:hAnsi="宋体" w:cs="宋体"/>
          <w:sz w:val="24"/>
          <w:highlight w:val="none"/>
        </w:rPr>
        <w:sectPr>
          <w:pgSz w:w="11907" w:h="16840"/>
          <w:pgMar w:top="1440" w:right="1588" w:bottom="1440" w:left="1588" w:header="851" w:footer="992" w:gutter="0"/>
          <w:cols w:space="720" w:num="1"/>
          <w:docGrid w:type="lines" w:linePitch="312" w:charSpace="0"/>
        </w:sectPr>
      </w:pPr>
    </w:p>
    <w:p w14:paraId="6943401D">
      <w:pPr>
        <w:spacing w:line="360" w:lineRule="auto"/>
        <w:jc w:val="left"/>
        <w:rPr>
          <w:rFonts w:hint="eastAsia" w:ascii="宋体" w:hAnsi="宋体" w:eastAsia="宋体" w:cs="宋体"/>
          <w:sz w:val="24"/>
          <w:highlight w:val="none"/>
          <w:lang w:eastAsia="zh-CN"/>
        </w:rPr>
      </w:pPr>
      <w:r>
        <w:rPr>
          <w:rFonts w:hint="eastAsia" w:ascii="宋体" w:hAnsi="宋体" w:cs="宋体"/>
          <w:sz w:val="24"/>
          <w:highlight w:val="none"/>
        </w:rPr>
        <w:t>格式</w:t>
      </w:r>
      <w:r>
        <w:rPr>
          <w:rFonts w:hint="eastAsia" w:ascii="宋体" w:hAnsi="宋体" w:cs="宋体"/>
          <w:sz w:val="24"/>
          <w:highlight w:val="none"/>
          <w:lang w:val="en-US" w:eastAsia="zh-CN"/>
        </w:rPr>
        <w:t>6</w:t>
      </w:r>
    </w:p>
    <w:p w14:paraId="19545A1C">
      <w:pPr>
        <w:bidi w:val="0"/>
        <w:jc w:val="center"/>
        <w:rPr>
          <w:sz w:val="24"/>
          <w:szCs w:val="24"/>
          <w:highlight w:val="none"/>
        </w:rPr>
      </w:pPr>
      <w:r>
        <w:rPr>
          <w:rFonts w:hint="eastAsia"/>
          <w:sz w:val="24"/>
          <w:szCs w:val="24"/>
          <w:highlight w:val="none"/>
        </w:rPr>
        <w:t>投标分项报价表</w:t>
      </w:r>
      <w:bookmarkEnd w:id="7"/>
      <w:bookmarkEnd w:id="8"/>
    </w:p>
    <w:tbl>
      <w:tblPr>
        <w:tblStyle w:val="28"/>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1347"/>
      </w:tblGrid>
      <w:tr w14:paraId="55A87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trPr>
        <w:tc>
          <w:tcPr>
            <w:tcW w:w="840" w:type="dxa"/>
            <w:vAlign w:val="center"/>
          </w:tcPr>
          <w:p w14:paraId="18C1B098">
            <w:pPr>
              <w:pStyle w:val="61"/>
              <w:widowControl w:val="0"/>
              <w:spacing w:before="0" w:beforeAutospacing="0" w:after="0" w:afterAutospacing="0" w:line="340" w:lineRule="exact"/>
              <w:rPr>
                <w:rFonts w:cs="宋体"/>
                <w:b w:val="0"/>
                <w:bCs w:val="0"/>
                <w:kern w:val="2"/>
                <w:sz w:val="24"/>
                <w:szCs w:val="24"/>
                <w:highlight w:val="none"/>
              </w:rPr>
            </w:pPr>
            <w:r>
              <w:rPr>
                <w:rFonts w:hint="eastAsia" w:cs="宋体"/>
                <w:b w:val="0"/>
                <w:bCs w:val="0"/>
                <w:kern w:val="2"/>
                <w:sz w:val="24"/>
                <w:szCs w:val="24"/>
                <w:highlight w:val="none"/>
              </w:rPr>
              <w:t>序号</w:t>
            </w:r>
          </w:p>
        </w:tc>
        <w:tc>
          <w:tcPr>
            <w:tcW w:w="2205" w:type="dxa"/>
            <w:vAlign w:val="center"/>
          </w:tcPr>
          <w:p w14:paraId="788613AF">
            <w:pPr>
              <w:spacing w:line="340" w:lineRule="exact"/>
              <w:jc w:val="center"/>
              <w:rPr>
                <w:rFonts w:ascii="宋体" w:hAnsi="宋体" w:cs="宋体"/>
                <w:sz w:val="24"/>
                <w:highlight w:val="none"/>
              </w:rPr>
            </w:pPr>
            <w:r>
              <w:rPr>
                <w:rFonts w:hint="eastAsia" w:ascii="宋体" w:hAnsi="宋体" w:cs="宋体"/>
                <w:sz w:val="24"/>
                <w:highlight w:val="none"/>
              </w:rPr>
              <w:t>服务项目名称</w:t>
            </w:r>
          </w:p>
        </w:tc>
        <w:tc>
          <w:tcPr>
            <w:tcW w:w="957" w:type="dxa"/>
            <w:vAlign w:val="center"/>
          </w:tcPr>
          <w:p w14:paraId="29D758FE">
            <w:pPr>
              <w:spacing w:line="340" w:lineRule="exact"/>
              <w:jc w:val="center"/>
              <w:rPr>
                <w:rFonts w:ascii="宋体" w:hAnsi="宋体" w:cs="宋体"/>
                <w:sz w:val="24"/>
                <w:highlight w:val="none"/>
              </w:rPr>
            </w:pPr>
            <w:r>
              <w:rPr>
                <w:rFonts w:hint="eastAsia" w:ascii="宋体" w:hAnsi="宋体" w:cs="宋体"/>
                <w:sz w:val="24"/>
                <w:highlight w:val="none"/>
              </w:rPr>
              <w:t>单位</w:t>
            </w:r>
          </w:p>
        </w:tc>
        <w:tc>
          <w:tcPr>
            <w:tcW w:w="840" w:type="dxa"/>
            <w:vAlign w:val="center"/>
          </w:tcPr>
          <w:p w14:paraId="18EA7E00">
            <w:pPr>
              <w:spacing w:line="340" w:lineRule="exact"/>
              <w:jc w:val="center"/>
              <w:rPr>
                <w:rFonts w:ascii="宋体" w:hAnsi="宋体" w:cs="宋体"/>
                <w:sz w:val="24"/>
                <w:highlight w:val="none"/>
              </w:rPr>
            </w:pPr>
            <w:r>
              <w:rPr>
                <w:rFonts w:hint="eastAsia" w:ascii="宋体" w:hAnsi="宋体" w:cs="宋体"/>
                <w:sz w:val="24"/>
                <w:highlight w:val="none"/>
              </w:rPr>
              <w:t>数量</w:t>
            </w:r>
          </w:p>
        </w:tc>
        <w:tc>
          <w:tcPr>
            <w:tcW w:w="1260" w:type="dxa"/>
            <w:vAlign w:val="center"/>
          </w:tcPr>
          <w:p w14:paraId="38A7E89E">
            <w:pPr>
              <w:spacing w:line="340" w:lineRule="exact"/>
              <w:jc w:val="center"/>
              <w:rPr>
                <w:rFonts w:ascii="宋体" w:hAnsi="宋体" w:cs="宋体"/>
                <w:sz w:val="24"/>
                <w:highlight w:val="none"/>
              </w:rPr>
            </w:pPr>
            <w:r>
              <w:rPr>
                <w:rFonts w:hint="eastAsia" w:ascii="宋体" w:hAnsi="宋体" w:cs="宋体"/>
                <w:sz w:val="24"/>
                <w:highlight w:val="none"/>
              </w:rPr>
              <w:t>单价</w:t>
            </w:r>
          </w:p>
        </w:tc>
        <w:tc>
          <w:tcPr>
            <w:tcW w:w="1340" w:type="dxa"/>
            <w:vAlign w:val="center"/>
          </w:tcPr>
          <w:p w14:paraId="45D1D53B">
            <w:pPr>
              <w:spacing w:line="340" w:lineRule="exact"/>
              <w:jc w:val="center"/>
              <w:rPr>
                <w:rFonts w:ascii="宋体" w:hAnsi="宋体" w:cs="宋体"/>
                <w:sz w:val="24"/>
                <w:highlight w:val="none"/>
              </w:rPr>
            </w:pPr>
            <w:r>
              <w:rPr>
                <w:rFonts w:hint="eastAsia" w:ascii="宋体" w:hAnsi="宋体" w:cs="宋体"/>
                <w:bCs/>
                <w:sz w:val="24"/>
                <w:highlight w:val="none"/>
              </w:rPr>
              <w:t>小计</w:t>
            </w:r>
          </w:p>
        </w:tc>
        <w:tc>
          <w:tcPr>
            <w:tcW w:w="1347" w:type="dxa"/>
            <w:vAlign w:val="center"/>
          </w:tcPr>
          <w:p w14:paraId="2074815C">
            <w:pPr>
              <w:spacing w:line="340" w:lineRule="exact"/>
              <w:jc w:val="center"/>
              <w:rPr>
                <w:rFonts w:ascii="宋体" w:hAnsi="宋体" w:cs="宋体"/>
                <w:sz w:val="24"/>
                <w:highlight w:val="none"/>
              </w:rPr>
            </w:pPr>
            <w:r>
              <w:rPr>
                <w:rFonts w:hint="eastAsia" w:ascii="宋体" w:hAnsi="宋体" w:cs="宋体"/>
                <w:sz w:val="24"/>
                <w:highlight w:val="none"/>
              </w:rPr>
              <w:t>备注</w:t>
            </w:r>
          </w:p>
        </w:tc>
      </w:tr>
      <w:tr w14:paraId="3CB3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14:paraId="158CA397">
            <w:pPr>
              <w:spacing w:line="340" w:lineRule="exact"/>
              <w:jc w:val="center"/>
              <w:rPr>
                <w:rFonts w:ascii="宋体" w:hAnsi="宋体" w:cs="宋体"/>
                <w:sz w:val="24"/>
                <w:highlight w:val="none"/>
              </w:rPr>
            </w:pPr>
            <w:r>
              <w:rPr>
                <w:rFonts w:hint="eastAsia" w:ascii="宋体" w:hAnsi="宋体" w:cs="宋体"/>
                <w:sz w:val="24"/>
                <w:highlight w:val="none"/>
              </w:rPr>
              <w:t>1</w:t>
            </w:r>
          </w:p>
        </w:tc>
        <w:tc>
          <w:tcPr>
            <w:tcW w:w="2205" w:type="dxa"/>
          </w:tcPr>
          <w:p w14:paraId="0A52B956">
            <w:pPr>
              <w:spacing w:line="340" w:lineRule="exact"/>
              <w:rPr>
                <w:rFonts w:ascii="宋体" w:hAnsi="宋体" w:cs="宋体"/>
                <w:sz w:val="24"/>
                <w:highlight w:val="none"/>
              </w:rPr>
            </w:pPr>
          </w:p>
        </w:tc>
        <w:tc>
          <w:tcPr>
            <w:tcW w:w="957" w:type="dxa"/>
          </w:tcPr>
          <w:p w14:paraId="6790B7D6">
            <w:pPr>
              <w:spacing w:line="340" w:lineRule="exact"/>
              <w:rPr>
                <w:rFonts w:ascii="宋体" w:hAnsi="宋体" w:cs="宋体"/>
                <w:sz w:val="24"/>
                <w:highlight w:val="none"/>
              </w:rPr>
            </w:pPr>
          </w:p>
        </w:tc>
        <w:tc>
          <w:tcPr>
            <w:tcW w:w="840" w:type="dxa"/>
          </w:tcPr>
          <w:p w14:paraId="161B38A4">
            <w:pPr>
              <w:spacing w:line="340" w:lineRule="exact"/>
              <w:rPr>
                <w:rFonts w:ascii="宋体" w:hAnsi="宋体" w:cs="宋体"/>
                <w:sz w:val="24"/>
                <w:highlight w:val="none"/>
              </w:rPr>
            </w:pPr>
          </w:p>
        </w:tc>
        <w:tc>
          <w:tcPr>
            <w:tcW w:w="1260" w:type="dxa"/>
          </w:tcPr>
          <w:p w14:paraId="3A991284">
            <w:pPr>
              <w:spacing w:line="340" w:lineRule="exact"/>
              <w:rPr>
                <w:rFonts w:ascii="宋体" w:hAnsi="宋体" w:cs="宋体"/>
                <w:sz w:val="24"/>
                <w:highlight w:val="none"/>
              </w:rPr>
            </w:pPr>
          </w:p>
        </w:tc>
        <w:tc>
          <w:tcPr>
            <w:tcW w:w="1340" w:type="dxa"/>
          </w:tcPr>
          <w:p w14:paraId="2CF0B4F0">
            <w:pPr>
              <w:spacing w:line="340" w:lineRule="exact"/>
              <w:rPr>
                <w:rFonts w:ascii="宋体" w:hAnsi="宋体" w:cs="宋体"/>
                <w:sz w:val="24"/>
                <w:highlight w:val="none"/>
              </w:rPr>
            </w:pPr>
          </w:p>
        </w:tc>
        <w:tc>
          <w:tcPr>
            <w:tcW w:w="1347" w:type="dxa"/>
          </w:tcPr>
          <w:p w14:paraId="6CE39D1B">
            <w:pPr>
              <w:spacing w:line="340" w:lineRule="exact"/>
              <w:rPr>
                <w:rFonts w:ascii="宋体" w:hAnsi="宋体" w:cs="宋体"/>
                <w:sz w:val="24"/>
                <w:highlight w:val="none"/>
              </w:rPr>
            </w:pPr>
          </w:p>
        </w:tc>
      </w:tr>
      <w:tr w14:paraId="6EB3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27469AF2">
            <w:pPr>
              <w:spacing w:line="340" w:lineRule="exact"/>
              <w:jc w:val="center"/>
              <w:rPr>
                <w:rFonts w:ascii="宋体" w:hAnsi="宋体" w:cs="宋体"/>
                <w:sz w:val="24"/>
                <w:highlight w:val="none"/>
              </w:rPr>
            </w:pPr>
            <w:r>
              <w:rPr>
                <w:rFonts w:hint="eastAsia" w:ascii="宋体" w:hAnsi="宋体" w:cs="宋体"/>
                <w:sz w:val="24"/>
                <w:highlight w:val="none"/>
              </w:rPr>
              <w:t>2</w:t>
            </w:r>
          </w:p>
        </w:tc>
        <w:tc>
          <w:tcPr>
            <w:tcW w:w="2205" w:type="dxa"/>
          </w:tcPr>
          <w:p w14:paraId="70E54B01">
            <w:pPr>
              <w:spacing w:line="340" w:lineRule="exact"/>
              <w:rPr>
                <w:rFonts w:ascii="宋体" w:hAnsi="宋体" w:cs="宋体"/>
                <w:sz w:val="24"/>
                <w:highlight w:val="none"/>
              </w:rPr>
            </w:pPr>
          </w:p>
        </w:tc>
        <w:tc>
          <w:tcPr>
            <w:tcW w:w="957" w:type="dxa"/>
          </w:tcPr>
          <w:p w14:paraId="1139A282">
            <w:pPr>
              <w:spacing w:line="340" w:lineRule="exact"/>
              <w:rPr>
                <w:rFonts w:ascii="宋体" w:hAnsi="宋体" w:cs="宋体"/>
                <w:sz w:val="24"/>
                <w:highlight w:val="none"/>
              </w:rPr>
            </w:pPr>
          </w:p>
        </w:tc>
        <w:tc>
          <w:tcPr>
            <w:tcW w:w="840" w:type="dxa"/>
          </w:tcPr>
          <w:p w14:paraId="40D3F871">
            <w:pPr>
              <w:spacing w:line="340" w:lineRule="exact"/>
              <w:rPr>
                <w:rFonts w:ascii="宋体" w:hAnsi="宋体" w:cs="宋体"/>
                <w:sz w:val="24"/>
                <w:highlight w:val="none"/>
              </w:rPr>
            </w:pPr>
          </w:p>
        </w:tc>
        <w:tc>
          <w:tcPr>
            <w:tcW w:w="1260" w:type="dxa"/>
          </w:tcPr>
          <w:p w14:paraId="5C71A11B">
            <w:pPr>
              <w:spacing w:line="340" w:lineRule="exact"/>
              <w:rPr>
                <w:rFonts w:ascii="宋体" w:hAnsi="宋体" w:cs="宋体"/>
                <w:sz w:val="24"/>
                <w:highlight w:val="none"/>
              </w:rPr>
            </w:pPr>
          </w:p>
        </w:tc>
        <w:tc>
          <w:tcPr>
            <w:tcW w:w="1340" w:type="dxa"/>
          </w:tcPr>
          <w:p w14:paraId="3B55747D">
            <w:pPr>
              <w:spacing w:line="340" w:lineRule="exact"/>
              <w:rPr>
                <w:rFonts w:ascii="宋体" w:hAnsi="宋体" w:cs="宋体"/>
                <w:sz w:val="24"/>
                <w:highlight w:val="none"/>
              </w:rPr>
            </w:pPr>
          </w:p>
        </w:tc>
        <w:tc>
          <w:tcPr>
            <w:tcW w:w="1347" w:type="dxa"/>
          </w:tcPr>
          <w:p w14:paraId="364346EB">
            <w:pPr>
              <w:spacing w:line="340" w:lineRule="exact"/>
              <w:rPr>
                <w:rFonts w:ascii="宋体" w:hAnsi="宋体" w:cs="宋体"/>
                <w:sz w:val="24"/>
                <w:highlight w:val="none"/>
              </w:rPr>
            </w:pPr>
          </w:p>
        </w:tc>
      </w:tr>
      <w:tr w14:paraId="5107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873C9D6">
            <w:pPr>
              <w:spacing w:line="340" w:lineRule="exact"/>
              <w:jc w:val="center"/>
              <w:rPr>
                <w:rFonts w:ascii="宋体" w:hAnsi="宋体" w:cs="宋体"/>
                <w:sz w:val="24"/>
                <w:highlight w:val="none"/>
              </w:rPr>
            </w:pPr>
            <w:r>
              <w:rPr>
                <w:rFonts w:hint="eastAsia" w:ascii="宋体" w:hAnsi="宋体" w:cs="宋体"/>
                <w:sz w:val="24"/>
                <w:highlight w:val="none"/>
              </w:rPr>
              <w:t>3</w:t>
            </w:r>
          </w:p>
        </w:tc>
        <w:tc>
          <w:tcPr>
            <w:tcW w:w="2205" w:type="dxa"/>
          </w:tcPr>
          <w:p w14:paraId="6C0BF0BC">
            <w:pPr>
              <w:spacing w:line="340" w:lineRule="exact"/>
              <w:rPr>
                <w:rFonts w:ascii="宋体" w:hAnsi="宋体" w:cs="宋体"/>
                <w:sz w:val="24"/>
                <w:highlight w:val="none"/>
              </w:rPr>
            </w:pPr>
          </w:p>
        </w:tc>
        <w:tc>
          <w:tcPr>
            <w:tcW w:w="957" w:type="dxa"/>
          </w:tcPr>
          <w:p w14:paraId="6BA431F2">
            <w:pPr>
              <w:spacing w:line="340" w:lineRule="exact"/>
              <w:rPr>
                <w:rFonts w:ascii="宋体" w:hAnsi="宋体" w:cs="宋体"/>
                <w:sz w:val="24"/>
                <w:highlight w:val="none"/>
              </w:rPr>
            </w:pPr>
          </w:p>
        </w:tc>
        <w:tc>
          <w:tcPr>
            <w:tcW w:w="840" w:type="dxa"/>
          </w:tcPr>
          <w:p w14:paraId="0A13AFC1">
            <w:pPr>
              <w:spacing w:line="340" w:lineRule="exact"/>
              <w:rPr>
                <w:rFonts w:ascii="宋体" w:hAnsi="宋体" w:cs="宋体"/>
                <w:sz w:val="24"/>
                <w:highlight w:val="none"/>
              </w:rPr>
            </w:pPr>
          </w:p>
        </w:tc>
        <w:tc>
          <w:tcPr>
            <w:tcW w:w="1260" w:type="dxa"/>
          </w:tcPr>
          <w:p w14:paraId="6734A49E">
            <w:pPr>
              <w:spacing w:line="340" w:lineRule="exact"/>
              <w:rPr>
                <w:rFonts w:ascii="宋体" w:hAnsi="宋体" w:cs="宋体"/>
                <w:sz w:val="24"/>
                <w:highlight w:val="none"/>
              </w:rPr>
            </w:pPr>
          </w:p>
        </w:tc>
        <w:tc>
          <w:tcPr>
            <w:tcW w:w="1340" w:type="dxa"/>
          </w:tcPr>
          <w:p w14:paraId="2D08159F">
            <w:pPr>
              <w:spacing w:line="340" w:lineRule="exact"/>
              <w:rPr>
                <w:rFonts w:ascii="宋体" w:hAnsi="宋体" w:cs="宋体"/>
                <w:sz w:val="24"/>
                <w:highlight w:val="none"/>
              </w:rPr>
            </w:pPr>
          </w:p>
        </w:tc>
        <w:tc>
          <w:tcPr>
            <w:tcW w:w="1347" w:type="dxa"/>
          </w:tcPr>
          <w:p w14:paraId="56E0524C">
            <w:pPr>
              <w:spacing w:line="340" w:lineRule="exact"/>
              <w:rPr>
                <w:rFonts w:ascii="宋体" w:hAnsi="宋体" w:cs="宋体"/>
                <w:sz w:val="24"/>
                <w:highlight w:val="none"/>
              </w:rPr>
            </w:pPr>
          </w:p>
        </w:tc>
      </w:tr>
      <w:tr w14:paraId="39569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0A16B22D">
            <w:pPr>
              <w:spacing w:line="340" w:lineRule="exact"/>
              <w:jc w:val="center"/>
              <w:rPr>
                <w:rFonts w:ascii="宋体" w:hAnsi="宋体" w:cs="宋体"/>
                <w:sz w:val="24"/>
                <w:highlight w:val="none"/>
              </w:rPr>
            </w:pPr>
            <w:r>
              <w:rPr>
                <w:rFonts w:hint="eastAsia" w:ascii="宋体" w:hAnsi="宋体" w:cs="宋体"/>
                <w:sz w:val="24"/>
                <w:highlight w:val="none"/>
              </w:rPr>
              <w:t>4</w:t>
            </w:r>
          </w:p>
        </w:tc>
        <w:tc>
          <w:tcPr>
            <w:tcW w:w="2205" w:type="dxa"/>
          </w:tcPr>
          <w:p w14:paraId="61D3325F">
            <w:pPr>
              <w:spacing w:line="340" w:lineRule="exact"/>
              <w:rPr>
                <w:rFonts w:ascii="宋体" w:hAnsi="宋体" w:cs="宋体"/>
                <w:sz w:val="24"/>
                <w:highlight w:val="none"/>
              </w:rPr>
            </w:pPr>
          </w:p>
        </w:tc>
        <w:tc>
          <w:tcPr>
            <w:tcW w:w="957" w:type="dxa"/>
          </w:tcPr>
          <w:p w14:paraId="5B0404C1">
            <w:pPr>
              <w:spacing w:line="340" w:lineRule="exact"/>
              <w:rPr>
                <w:rFonts w:ascii="宋体" w:hAnsi="宋体" w:cs="宋体"/>
                <w:sz w:val="24"/>
                <w:highlight w:val="none"/>
              </w:rPr>
            </w:pPr>
          </w:p>
        </w:tc>
        <w:tc>
          <w:tcPr>
            <w:tcW w:w="840" w:type="dxa"/>
          </w:tcPr>
          <w:p w14:paraId="359ECA93">
            <w:pPr>
              <w:spacing w:line="340" w:lineRule="exact"/>
              <w:rPr>
                <w:rFonts w:ascii="宋体" w:hAnsi="宋体" w:cs="宋体"/>
                <w:sz w:val="24"/>
                <w:highlight w:val="none"/>
              </w:rPr>
            </w:pPr>
          </w:p>
        </w:tc>
        <w:tc>
          <w:tcPr>
            <w:tcW w:w="1260" w:type="dxa"/>
          </w:tcPr>
          <w:p w14:paraId="01D89DE5">
            <w:pPr>
              <w:spacing w:line="340" w:lineRule="exact"/>
              <w:rPr>
                <w:rFonts w:ascii="宋体" w:hAnsi="宋体" w:cs="宋体"/>
                <w:sz w:val="24"/>
                <w:highlight w:val="none"/>
              </w:rPr>
            </w:pPr>
          </w:p>
        </w:tc>
        <w:tc>
          <w:tcPr>
            <w:tcW w:w="1340" w:type="dxa"/>
          </w:tcPr>
          <w:p w14:paraId="17A6AF9B">
            <w:pPr>
              <w:spacing w:line="340" w:lineRule="exact"/>
              <w:rPr>
                <w:rFonts w:ascii="宋体" w:hAnsi="宋体" w:cs="宋体"/>
                <w:sz w:val="24"/>
                <w:highlight w:val="none"/>
              </w:rPr>
            </w:pPr>
          </w:p>
        </w:tc>
        <w:tc>
          <w:tcPr>
            <w:tcW w:w="1347" w:type="dxa"/>
          </w:tcPr>
          <w:p w14:paraId="26A76044">
            <w:pPr>
              <w:spacing w:line="340" w:lineRule="exact"/>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 xml:space="preserve">                                                                                                 </w:t>
            </w:r>
          </w:p>
        </w:tc>
      </w:tr>
      <w:tr w14:paraId="572DF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0EB4887">
            <w:pPr>
              <w:spacing w:line="340" w:lineRule="exact"/>
              <w:jc w:val="center"/>
              <w:rPr>
                <w:rFonts w:ascii="宋体" w:hAnsi="宋体" w:cs="宋体"/>
                <w:sz w:val="24"/>
                <w:highlight w:val="none"/>
              </w:rPr>
            </w:pPr>
            <w:r>
              <w:rPr>
                <w:rFonts w:hint="eastAsia" w:ascii="宋体" w:hAnsi="宋体" w:cs="宋体"/>
                <w:sz w:val="24"/>
                <w:highlight w:val="none"/>
              </w:rPr>
              <w:t>5</w:t>
            </w:r>
          </w:p>
        </w:tc>
        <w:tc>
          <w:tcPr>
            <w:tcW w:w="2205" w:type="dxa"/>
          </w:tcPr>
          <w:p w14:paraId="0509F7B9">
            <w:pPr>
              <w:spacing w:line="340" w:lineRule="exact"/>
              <w:rPr>
                <w:rFonts w:ascii="宋体" w:hAnsi="宋体" w:cs="宋体"/>
                <w:sz w:val="24"/>
                <w:highlight w:val="none"/>
              </w:rPr>
            </w:pPr>
          </w:p>
        </w:tc>
        <w:tc>
          <w:tcPr>
            <w:tcW w:w="957" w:type="dxa"/>
          </w:tcPr>
          <w:p w14:paraId="55B46C3C">
            <w:pPr>
              <w:spacing w:line="340" w:lineRule="exact"/>
              <w:rPr>
                <w:rFonts w:ascii="宋体" w:hAnsi="宋体" w:cs="宋体"/>
                <w:sz w:val="24"/>
                <w:highlight w:val="none"/>
              </w:rPr>
            </w:pPr>
          </w:p>
        </w:tc>
        <w:tc>
          <w:tcPr>
            <w:tcW w:w="840" w:type="dxa"/>
          </w:tcPr>
          <w:p w14:paraId="2ABF4361">
            <w:pPr>
              <w:spacing w:line="340" w:lineRule="exact"/>
              <w:rPr>
                <w:rFonts w:ascii="宋体" w:hAnsi="宋体" w:cs="宋体"/>
                <w:sz w:val="24"/>
                <w:highlight w:val="none"/>
              </w:rPr>
            </w:pPr>
          </w:p>
        </w:tc>
        <w:tc>
          <w:tcPr>
            <w:tcW w:w="1260" w:type="dxa"/>
          </w:tcPr>
          <w:p w14:paraId="003C5F47">
            <w:pPr>
              <w:spacing w:line="340" w:lineRule="exact"/>
              <w:rPr>
                <w:rFonts w:ascii="宋体" w:hAnsi="宋体" w:cs="宋体"/>
                <w:sz w:val="24"/>
                <w:highlight w:val="none"/>
              </w:rPr>
            </w:pPr>
          </w:p>
        </w:tc>
        <w:tc>
          <w:tcPr>
            <w:tcW w:w="1340" w:type="dxa"/>
          </w:tcPr>
          <w:p w14:paraId="0B4CC6AB">
            <w:pPr>
              <w:spacing w:line="340" w:lineRule="exact"/>
              <w:rPr>
                <w:rFonts w:ascii="宋体" w:hAnsi="宋体" w:cs="宋体"/>
                <w:sz w:val="24"/>
                <w:highlight w:val="none"/>
              </w:rPr>
            </w:pPr>
          </w:p>
        </w:tc>
        <w:tc>
          <w:tcPr>
            <w:tcW w:w="1347" w:type="dxa"/>
          </w:tcPr>
          <w:p w14:paraId="62D8157A">
            <w:pPr>
              <w:spacing w:line="340" w:lineRule="exact"/>
              <w:rPr>
                <w:rFonts w:ascii="宋体" w:hAnsi="宋体" w:cs="宋体"/>
                <w:sz w:val="24"/>
                <w:highlight w:val="none"/>
              </w:rPr>
            </w:pPr>
          </w:p>
        </w:tc>
      </w:tr>
      <w:tr w14:paraId="1082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148330A4">
            <w:pPr>
              <w:spacing w:line="340" w:lineRule="exact"/>
              <w:jc w:val="center"/>
              <w:rPr>
                <w:rFonts w:ascii="宋体" w:hAnsi="宋体" w:cs="宋体"/>
                <w:sz w:val="24"/>
                <w:highlight w:val="none"/>
              </w:rPr>
            </w:pPr>
            <w:r>
              <w:rPr>
                <w:rFonts w:hint="eastAsia" w:ascii="宋体" w:hAnsi="宋体" w:cs="宋体"/>
                <w:sz w:val="24"/>
                <w:highlight w:val="none"/>
              </w:rPr>
              <w:t>6</w:t>
            </w:r>
          </w:p>
        </w:tc>
        <w:tc>
          <w:tcPr>
            <w:tcW w:w="2205" w:type="dxa"/>
          </w:tcPr>
          <w:p w14:paraId="56185623">
            <w:pPr>
              <w:spacing w:line="340" w:lineRule="exact"/>
              <w:rPr>
                <w:rFonts w:ascii="宋体" w:hAnsi="宋体" w:cs="宋体"/>
                <w:sz w:val="24"/>
                <w:highlight w:val="none"/>
              </w:rPr>
            </w:pPr>
          </w:p>
        </w:tc>
        <w:tc>
          <w:tcPr>
            <w:tcW w:w="957" w:type="dxa"/>
          </w:tcPr>
          <w:p w14:paraId="4E2A1CC7">
            <w:pPr>
              <w:spacing w:line="340" w:lineRule="exact"/>
              <w:rPr>
                <w:rFonts w:ascii="宋体" w:hAnsi="宋体" w:cs="宋体"/>
                <w:sz w:val="24"/>
                <w:highlight w:val="none"/>
              </w:rPr>
            </w:pPr>
          </w:p>
        </w:tc>
        <w:tc>
          <w:tcPr>
            <w:tcW w:w="840" w:type="dxa"/>
          </w:tcPr>
          <w:p w14:paraId="6E8252DD">
            <w:pPr>
              <w:spacing w:line="340" w:lineRule="exact"/>
              <w:rPr>
                <w:rFonts w:ascii="宋体" w:hAnsi="宋体" w:cs="宋体"/>
                <w:sz w:val="24"/>
                <w:highlight w:val="none"/>
              </w:rPr>
            </w:pPr>
          </w:p>
        </w:tc>
        <w:tc>
          <w:tcPr>
            <w:tcW w:w="1260" w:type="dxa"/>
          </w:tcPr>
          <w:p w14:paraId="578DCFE8">
            <w:pPr>
              <w:spacing w:line="340" w:lineRule="exact"/>
              <w:rPr>
                <w:rFonts w:ascii="宋体" w:hAnsi="宋体" w:cs="宋体"/>
                <w:sz w:val="24"/>
                <w:highlight w:val="none"/>
              </w:rPr>
            </w:pPr>
          </w:p>
        </w:tc>
        <w:tc>
          <w:tcPr>
            <w:tcW w:w="1340" w:type="dxa"/>
          </w:tcPr>
          <w:p w14:paraId="35FEB21B">
            <w:pPr>
              <w:spacing w:line="340" w:lineRule="exact"/>
              <w:rPr>
                <w:rFonts w:ascii="宋体" w:hAnsi="宋体" w:cs="宋体"/>
                <w:sz w:val="24"/>
                <w:highlight w:val="none"/>
              </w:rPr>
            </w:pPr>
          </w:p>
        </w:tc>
        <w:tc>
          <w:tcPr>
            <w:tcW w:w="1347" w:type="dxa"/>
          </w:tcPr>
          <w:p w14:paraId="248F98E1">
            <w:pPr>
              <w:spacing w:line="340" w:lineRule="exact"/>
              <w:rPr>
                <w:rFonts w:ascii="宋体" w:hAnsi="宋体" w:cs="宋体"/>
                <w:sz w:val="24"/>
                <w:highlight w:val="none"/>
              </w:rPr>
            </w:pPr>
          </w:p>
        </w:tc>
      </w:tr>
      <w:tr w14:paraId="5EF6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1B7CC45">
            <w:pPr>
              <w:spacing w:line="340" w:lineRule="exact"/>
              <w:jc w:val="center"/>
              <w:rPr>
                <w:rFonts w:ascii="宋体" w:hAnsi="宋体" w:cs="宋体"/>
                <w:sz w:val="24"/>
                <w:highlight w:val="none"/>
              </w:rPr>
            </w:pPr>
            <w:r>
              <w:rPr>
                <w:rFonts w:hint="eastAsia" w:ascii="宋体" w:hAnsi="宋体" w:cs="宋体"/>
                <w:sz w:val="24"/>
                <w:highlight w:val="none"/>
              </w:rPr>
              <w:t>7</w:t>
            </w:r>
          </w:p>
        </w:tc>
        <w:tc>
          <w:tcPr>
            <w:tcW w:w="2205" w:type="dxa"/>
          </w:tcPr>
          <w:p w14:paraId="5FA0576C">
            <w:pPr>
              <w:spacing w:line="340" w:lineRule="exact"/>
              <w:rPr>
                <w:rFonts w:ascii="宋体" w:hAnsi="宋体" w:cs="宋体"/>
                <w:sz w:val="24"/>
                <w:highlight w:val="none"/>
              </w:rPr>
            </w:pPr>
          </w:p>
        </w:tc>
        <w:tc>
          <w:tcPr>
            <w:tcW w:w="957" w:type="dxa"/>
          </w:tcPr>
          <w:p w14:paraId="503A6725">
            <w:pPr>
              <w:spacing w:line="340" w:lineRule="exact"/>
              <w:rPr>
                <w:rFonts w:ascii="宋体" w:hAnsi="宋体" w:cs="宋体"/>
                <w:sz w:val="24"/>
                <w:highlight w:val="none"/>
              </w:rPr>
            </w:pPr>
          </w:p>
        </w:tc>
        <w:tc>
          <w:tcPr>
            <w:tcW w:w="840" w:type="dxa"/>
          </w:tcPr>
          <w:p w14:paraId="44AE3529">
            <w:pPr>
              <w:spacing w:line="340" w:lineRule="exact"/>
              <w:rPr>
                <w:rFonts w:ascii="宋体" w:hAnsi="宋体" w:cs="宋体"/>
                <w:sz w:val="24"/>
                <w:highlight w:val="none"/>
              </w:rPr>
            </w:pPr>
          </w:p>
        </w:tc>
        <w:tc>
          <w:tcPr>
            <w:tcW w:w="1260" w:type="dxa"/>
          </w:tcPr>
          <w:p w14:paraId="609B2387">
            <w:pPr>
              <w:spacing w:line="340" w:lineRule="exact"/>
              <w:rPr>
                <w:rFonts w:ascii="宋体" w:hAnsi="宋体" w:cs="宋体"/>
                <w:sz w:val="24"/>
                <w:highlight w:val="none"/>
              </w:rPr>
            </w:pPr>
          </w:p>
        </w:tc>
        <w:tc>
          <w:tcPr>
            <w:tcW w:w="1340" w:type="dxa"/>
          </w:tcPr>
          <w:p w14:paraId="644F2522">
            <w:pPr>
              <w:spacing w:line="340" w:lineRule="exact"/>
              <w:rPr>
                <w:rFonts w:ascii="宋体" w:hAnsi="宋体" w:cs="宋体"/>
                <w:sz w:val="24"/>
                <w:highlight w:val="none"/>
              </w:rPr>
            </w:pPr>
          </w:p>
        </w:tc>
        <w:tc>
          <w:tcPr>
            <w:tcW w:w="1347" w:type="dxa"/>
          </w:tcPr>
          <w:p w14:paraId="2521E74D">
            <w:pPr>
              <w:spacing w:line="340" w:lineRule="exact"/>
              <w:rPr>
                <w:rFonts w:ascii="宋体" w:hAnsi="宋体" w:cs="宋体"/>
                <w:sz w:val="24"/>
                <w:highlight w:val="none"/>
              </w:rPr>
            </w:pPr>
          </w:p>
        </w:tc>
      </w:tr>
      <w:tr w14:paraId="4A82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0C830256">
            <w:pPr>
              <w:spacing w:line="340" w:lineRule="exact"/>
              <w:jc w:val="center"/>
              <w:rPr>
                <w:rFonts w:ascii="宋体" w:hAnsi="宋体" w:cs="宋体"/>
                <w:sz w:val="24"/>
                <w:highlight w:val="none"/>
              </w:rPr>
            </w:pPr>
            <w:r>
              <w:rPr>
                <w:rFonts w:hint="eastAsia" w:ascii="宋体" w:hAnsi="宋体" w:cs="宋体"/>
                <w:sz w:val="24"/>
                <w:highlight w:val="none"/>
              </w:rPr>
              <w:t>8</w:t>
            </w:r>
          </w:p>
        </w:tc>
        <w:tc>
          <w:tcPr>
            <w:tcW w:w="2205" w:type="dxa"/>
          </w:tcPr>
          <w:p w14:paraId="5A9DFA9B">
            <w:pPr>
              <w:spacing w:line="340" w:lineRule="exact"/>
              <w:rPr>
                <w:rFonts w:ascii="宋体" w:hAnsi="宋体" w:cs="宋体"/>
                <w:sz w:val="24"/>
                <w:highlight w:val="none"/>
              </w:rPr>
            </w:pPr>
          </w:p>
        </w:tc>
        <w:tc>
          <w:tcPr>
            <w:tcW w:w="957" w:type="dxa"/>
          </w:tcPr>
          <w:p w14:paraId="6DC28CCB">
            <w:pPr>
              <w:spacing w:line="340" w:lineRule="exact"/>
              <w:rPr>
                <w:rFonts w:ascii="宋体" w:hAnsi="宋体" w:cs="宋体"/>
                <w:sz w:val="24"/>
                <w:highlight w:val="none"/>
              </w:rPr>
            </w:pPr>
          </w:p>
        </w:tc>
        <w:tc>
          <w:tcPr>
            <w:tcW w:w="840" w:type="dxa"/>
          </w:tcPr>
          <w:p w14:paraId="37876484">
            <w:pPr>
              <w:spacing w:line="340" w:lineRule="exact"/>
              <w:rPr>
                <w:rFonts w:ascii="宋体" w:hAnsi="宋体" w:cs="宋体"/>
                <w:sz w:val="24"/>
                <w:highlight w:val="none"/>
              </w:rPr>
            </w:pPr>
          </w:p>
        </w:tc>
        <w:tc>
          <w:tcPr>
            <w:tcW w:w="1260" w:type="dxa"/>
          </w:tcPr>
          <w:p w14:paraId="5DC39843">
            <w:pPr>
              <w:spacing w:line="340" w:lineRule="exact"/>
              <w:rPr>
                <w:rFonts w:ascii="宋体" w:hAnsi="宋体" w:cs="宋体"/>
                <w:sz w:val="24"/>
                <w:highlight w:val="none"/>
              </w:rPr>
            </w:pPr>
          </w:p>
        </w:tc>
        <w:tc>
          <w:tcPr>
            <w:tcW w:w="1340" w:type="dxa"/>
          </w:tcPr>
          <w:p w14:paraId="016C47C2">
            <w:pPr>
              <w:spacing w:line="340" w:lineRule="exact"/>
              <w:rPr>
                <w:rFonts w:ascii="宋体" w:hAnsi="宋体" w:cs="宋体"/>
                <w:sz w:val="24"/>
                <w:highlight w:val="none"/>
              </w:rPr>
            </w:pPr>
          </w:p>
        </w:tc>
        <w:tc>
          <w:tcPr>
            <w:tcW w:w="1347" w:type="dxa"/>
          </w:tcPr>
          <w:p w14:paraId="711636B4">
            <w:pPr>
              <w:spacing w:line="340" w:lineRule="exact"/>
              <w:rPr>
                <w:rFonts w:ascii="宋体" w:hAnsi="宋体" w:cs="宋体"/>
                <w:sz w:val="24"/>
                <w:highlight w:val="none"/>
              </w:rPr>
            </w:pPr>
          </w:p>
        </w:tc>
      </w:tr>
      <w:tr w14:paraId="4425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FB7AED3">
            <w:pPr>
              <w:spacing w:line="340" w:lineRule="exact"/>
              <w:jc w:val="center"/>
              <w:rPr>
                <w:rFonts w:ascii="宋体" w:hAnsi="宋体" w:cs="宋体"/>
                <w:sz w:val="24"/>
                <w:highlight w:val="none"/>
              </w:rPr>
            </w:pPr>
            <w:r>
              <w:rPr>
                <w:rFonts w:hint="eastAsia" w:ascii="宋体" w:hAnsi="宋体" w:cs="宋体"/>
                <w:sz w:val="24"/>
                <w:highlight w:val="none"/>
              </w:rPr>
              <w:t>9</w:t>
            </w:r>
          </w:p>
        </w:tc>
        <w:tc>
          <w:tcPr>
            <w:tcW w:w="2205" w:type="dxa"/>
          </w:tcPr>
          <w:p w14:paraId="542EFDE6">
            <w:pPr>
              <w:spacing w:line="340" w:lineRule="exact"/>
              <w:rPr>
                <w:rFonts w:ascii="宋体" w:hAnsi="宋体" w:cs="宋体"/>
                <w:sz w:val="24"/>
                <w:highlight w:val="none"/>
              </w:rPr>
            </w:pPr>
          </w:p>
        </w:tc>
        <w:tc>
          <w:tcPr>
            <w:tcW w:w="957" w:type="dxa"/>
          </w:tcPr>
          <w:p w14:paraId="562D7B6F">
            <w:pPr>
              <w:spacing w:line="340" w:lineRule="exact"/>
              <w:rPr>
                <w:rFonts w:ascii="宋体" w:hAnsi="宋体" w:cs="宋体"/>
                <w:sz w:val="24"/>
                <w:highlight w:val="none"/>
              </w:rPr>
            </w:pPr>
          </w:p>
        </w:tc>
        <w:tc>
          <w:tcPr>
            <w:tcW w:w="840" w:type="dxa"/>
          </w:tcPr>
          <w:p w14:paraId="0A6414B6">
            <w:pPr>
              <w:spacing w:line="340" w:lineRule="exact"/>
              <w:rPr>
                <w:rFonts w:ascii="宋体" w:hAnsi="宋体" w:cs="宋体"/>
                <w:sz w:val="24"/>
                <w:highlight w:val="none"/>
              </w:rPr>
            </w:pPr>
          </w:p>
        </w:tc>
        <w:tc>
          <w:tcPr>
            <w:tcW w:w="1260" w:type="dxa"/>
          </w:tcPr>
          <w:p w14:paraId="1FC8AC80">
            <w:pPr>
              <w:spacing w:line="340" w:lineRule="exact"/>
              <w:rPr>
                <w:rFonts w:ascii="宋体" w:hAnsi="宋体" w:cs="宋体"/>
                <w:sz w:val="24"/>
                <w:highlight w:val="none"/>
              </w:rPr>
            </w:pPr>
          </w:p>
        </w:tc>
        <w:tc>
          <w:tcPr>
            <w:tcW w:w="1340" w:type="dxa"/>
          </w:tcPr>
          <w:p w14:paraId="3DC7290B">
            <w:pPr>
              <w:spacing w:line="340" w:lineRule="exact"/>
              <w:rPr>
                <w:rFonts w:ascii="宋体" w:hAnsi="宋体" w:cs="宋体"/>
                <w:sz w:val="24"/>
                <w:highlight w:val="none"/>
              </w:rPr>
            </w:pPr>
          </w:p>
        </w:tc>
        <w:tc>
          <w:tcPr>
            <w:tcW w:w="1347" w:type="dxa"/>
          </w:tcPr>
          <w:p w14:paraId="24462297">
            <w:pPr>
              <w:spacing w:line="340" w:lineRule="exact"/>
              <w:rPr>
                <w:rFonts w:ascii="宋体" w:hAnsi="宋体" w:cs="宋体"/>
                <w:sz w:val="24"/>
                <w:highlight w:val="none"/>
              </w:rPr>
            </w:pPr>
          </w:p>
        </w:tc>
      </w:tr>
      <w:tr w14:paraId="19BA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005FBEC">
            <w:pPr>
              <w:spacing w:line="340" w:lineRule="exact"/>
              <w:jc w:val="center"/>
              <w:rPr>
                <w:rFonts w:ascii="宋体" w:hAnsi="宋体" w:cs="宋体"/>
                <w:sz w:val="24"/>
                <w:highlight w:val="none"/>
              </w:rPr>
            </w:pPr>
            <w:r>
              <w:rPr>
                <w:rFonts w:hint="eastAsia" w:ascii="宋体" w:hAnsi="宋体" w:cs="宋体"/>
                <w:sz w:val="24"/>
                <w:highlight w:val="none"/>
              </w:rPr>
              <w:t>10</w:t>
            </w:r>
          </w:p>
        </w:tc>
        <w:tc>
          <w:tcPr>
            <w:tcW w:w="2205" w:type="dxa"/>
          </w:tcPr>
          <w:p w14:paraId="13EA9B10">
            <w:pPr>
              <w:spacing w:line="340" w:lineRule="exact"/>
              <w:rPr>
                <w:rFonts w:ascii="宋体" w:hAnsi="宋体" w:cs="宋体"/>
                <w:sz w:val="24"/>
                <w:highlight w:val="none"/>
              </w:rPr>
            </w:pPr>
          </w:p>
        </w:tc>
        <w:tc>
          <w:tcPr>
            <w:tcW w:w="957" w:type="dxa"/>
          </w:tcPr>
          <w:p w14:paraId="04E9A94F">
            <w:pPr>
              <w:spacing w:line="340" w:lineRule="exact"/>
              <w:rPr>
                <w:rFonts w:ascii="宋体" w:hAnsi="宋体" w:cs="宋体"/>
                <w:sz w:val="24"/>
                <w:highlight w:val="none"/>
              </w:rPr>
            </w:pPr>
          </w:p>
        </w:tc>
        <w:tc>
          <w:tcPr>
            <w:tcW w:w="840" w:type="dxa"/>
          </w:tcPr>
          <w:p w14:paraId="17497BC4">
            <w:pPr>
              <w:spacing w:line="340" w:lineRule="exact"/>
              <w:rPr>
                <w:rFonts w:ascii="宋体" w:hAnsi="宋体" w:cs="宋体"/>
                <w:sz w:val="24"/>
                <w:highlight w:val="none"/>
              </w:rPr>
            </w:pPr>
          </w:p>
        </w:tc>
        <w:tc>
          <w:tcPr>
            <w:tcW w:w="1260" w:type="dxa"/>
          </w:tcPr>
          <w:p w14:paraId="0863E331">
            <w:pPr>
              <w:spacing w:line="340" w:lineRule="exact"/>
              <w:rPr>
                <w:rFonts w:ascii="宋体" w:hAnsi="宋体" w:cs="宋体"/>
                <w:sz w:val="24"/>
                <w:highlight w:val="none"/>
              </w:rPr>
            </w:pPr>
          </w:p>
        </w:tc>
        <w:tc>
          <w:tcPr>
            <w:tcW w:w="1340" w:type="dxa"/>
          </w:tcPr>
          <w:p w14:paraId="18DDDE61">
            <w:pPr>
              <w:spacing w:line="340" w:lineRule="exact"/>
              <w:rPr>
                <w:rFonts w:ascii="宋体" w:hAnsi="宋体" w:cs="宋体"/>
                <w:sz w:val="24"/>
                <w:highlight w:val="none"/>
              </w:rPr>
            </w:pPr>
          </w:p>
        </w:tc>
        <w:tc>
          <w:tcPr>
            <w:tcW w:w="1347" w:type="dxa"/>
          </w:tcPr>
          <w:p w14:paraId="7514E6A9">
            <w:pPr>
              <w:spacing w:line="340" w:lineRule="exact"/>
              <w:rPr>
                <w:rFonts w:ascii="宋体" w:hAnsi="宋体" w:cs="宋体"/>
                <w:sz w:val="24"/>
                <w:highlight w:val="none"/>
              </w:rPr>
            </w:pPr>
          </w:p>
        </w:tc>
      </w:tr>
      <w:tr w14:paraId="6F35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90DFC75">
            <w:pPr>
              <w:spacing w:line="340" w:lineRule="exact"/>
              <w:jc w:val="center"/>
              <w:rPr>
                <w:rFonts w:ascii="宋体" w:hAnsi="宋体" w:cs="宋体"/>
                <w:sz w:val="24"/>
                <w:highlight w:val="none"/>
              </w:rPr>
            </w:pPr>
            <w:r>
              <w:rPr>
                <w:rFonts w:hint="eastAsia" w:ascii="宋体" w:hAnsi="宋体" w:cs="宋体"/>
                <w:sz w:val="24"/>
                <w:highlight w:val="none"/>
              </w:rPr>
              <w:t>11</w:t>
            </w:r>
          </w:p>
        </w:tc>
        <w:tc>
          <w:tcPr>
            <w:tcW w:w="2205" w:type="dxa"/>
          </w:tcPr>
          <w:p w14:paraId="09B8FBC8">
            <w:pPr>
              <w:spacing w:line="340" w:lineRule="exact"/>
              <w:rPr>
                <w:rFonts w:ascii="宋体" w:hAnsi="宋体" w:cs="宋体"/>
                <w:sz w:val="24"/>
                <w:highlight w:val="none"/>
              </w:rPr>
            </w:pPr>
          </w:p>
        </w:tc>
        <w:tc>
          <w:tcPr>
            <w:tcW w:w="957" w:type="dxa"/>
          </w:tcPr>
          <w:p w14:paraId="5F14765F">
            <w:pPr>
              <w:spacing w:line="340" w:lineRule="exact"/>
              <w:rPr>
                <w:rFonts w:ascii="宋体" w:hAnsi="宋体" w:cs="宋体"/>
                <w:sz w:val="24"/>
                <w:highlight w:val="none"/>
              </w:rPr>
            </w:pPr>
          </w:p>
        </w:tc>
        <w:tc>
          <w:tcPr>
            <w:tcW w:w="840" w:type="dxa"/>
          </w:tcPr>
          <w:p w14:paraId="06E3F427">
            <w:pPr>
              <w:spacing w:line="340" w:lineRule="exact"/>
              <w:rPr>
                <w:rFonts w:ascii="宋体" w:hAnsi="宋体" w:cs="宋体"/>
                <w:sz w:val="24"/>
                <w:highlight w:val="none"/>
              </w:rPr>
            </w:pPr>
          </w:p>
        </w:tc>
        <w:tc>
          <w:tcPr>
            <w:tcW w:w="1260" w:type="dxa"/>
          </w:tcPr>
          <w:p w14:paraId="13998311">
            <w:pPr>
              <w:spacing w:line="340" w:lineRule="exact"/>
              <w:rPr>
                <w:rFonts w:ascii="宋体" w:hAnsi="宋体" w:cs="宋体"/>
                <w:sz w:val="24"/>
                <w:highlight w:val="none"/>
              </w:rPr>
            </w:pPr>
          </w:p>
        </w:tc>
        <w:tc>
          <w:tcPr>
            <w:tcW w:w="1340" w:type="dxa"/>
          </w:tcPr>
          <w:p w14:paraId="2AC49CC4">
            <w:pPr>
              <w:spacing w:line="340" w:lineRule="exact"/>
              <w:rPr>
                <w:rFonts w:ascii="宋体" w:hAnsi="宋体" w:cs="宋体"/>
                <w:sz w:val="24"/>
                <w:highlight w:val="none"/>
              </w:rPr>
            </w:pPr>
          </w:p>
        </w:tc>
        <w:tc>
          <w:tcPr>
            <w:tcW w:w="1347" w:type="dxa"/>
          </w:tcPr>
          <w:p w14:paraId="1EDBE3DF">
            <w:pPr>
              <w:spacing w:line="340" w:lineRule="exact"/>
              <w:rPr>
                <w:rFonts w:ascii="宋体" w:hAnsi="宋体" w:cs="宋体"/>
                <w:sz w:val="24"/>
                <w:highlight w:val="none"/>
              </w:rPr>
            </w:pPr>
          </w:p>
        </w:tc>
      </w:tr>
      <w:tr w14:paraId="31A1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AABA1CC">
            <w:pPr>
              <w:spacing w:line="340" w:lineRule="exact"/>
              <w:jc w:val="center"/>
              <w:rPr>
                <w:rFonts w:ascii="宋体" w:hAnsi="宋体" w:cs="宋体"/>
                <w:sz w:val="24"/>
                <w:highlight w:val="none"/>
              </w:rPr>
            </w:pPr>
            <w:r>
              <w:rPr>
                <w:rFonts w:hint="eastAsia" w:ascii="宋体" w:hAnsi="宋体" w:cs="宋体"/>
                <w:sz w:val="24"/>
                <w:highlight w:val="none"/>
              </w:rPr>
              <w:t>12</w:t>
            </w:r>
          </w:p>
        </w:tc>
        <w:tc>
          <w:tcPr>
            <w:tcW w:w="2205" w:type="dxa"/>
          </w:tcPr>
          <w:p w14:paraId="4F150CAD">
            <w:pPr>
              <w:spacing w:line="340" w:lineRule="exact"/>
              <w:rPr>
                <w:rFonts w:ascii="宋体" w:hAnsi="宋体" w:cs="宋体"/>
                <w:sz w:val="24"/>
                <w:highlight w:val="none"/>
              </w:rPr>
            </w:pPr>
          </w:p>
        </w:tc>
        <w:tc>
          <w:tcPr>
            <w:tcW w:w="957" w:type="dxa"/>
          </w:tcPr>
          <w:p w14:paraId="061F62B4">
            <w:pPr>
              <w:spacing w:line="340" w:lineRule="exact"/>
              <w:rPr>
                <w:rFonts w:ascii="宋体" w:hAnsi="宋体" w:cs="宋体"/>
                <w:sz w:val="24"/>
                <w:highlight w:val="none"/>
              </w:rPr>
            </w:pPr>
          </w:p>
        </w:tc>
        <w:tc>
          <w:tcPr>
            <w:tcW w:w="840" w:type="dxa"/>
          </w:tcPr>
          <w:p w14:paraId="700879A2">
            <w:pPr>
              <w:spacing w:line="340" w:lineRule="exact"/>
              <w:rPr>
                <w:rFonts w:ascii="宋体" w:hAnsi="宋体" w:cs="宋体"/>
                <w:sz w:val="24"/>
                <w:highlight w:val="none"/>
              </w:rPr>
            </w:pPr>
          </w:p>
        </w:tc>
        <w:tc>
          <w:tcPr>
            <w:tcW w:w="1260" w:type="dxa"/>
          </w:tcPr>
          <w:p w14:paraId="6AA852A2">
            <w:pPr>
              <w:spacing w:line="340" w:lineRule="exact"/>
              <w:rPr>
                <w:rFonts w:ascii="宋体" w:hAnsi="宋体" w:cs="宋体"/>
                <w:sz w:val="24"/>
                <w:highlight w:val="none"/>
              </w:rPr>
            </w:pPr>
          </w:p>
        </w:tc>
        <w:tc>
          <w:tcPr>
            <w:tcW w:w="1340" w:type="dxa"/>
          </w:tcPr>
          <w:p w14:paraId="22B71E05">
            <w:pPr>
              <w:spacing w:line="340" w:lineRule="exact"/>
              <w:rPr>
                <w:rFonts w:ascii="宋体" w:hAnsi="宋体" w:cs="宋体"/>
                <w:sz w:val="24"/>
                <w:highlight w:val="none"/>
              </w:rPr>
            </w:pPr>
          </w:p>
        </w:tc>
        <w:tc>
          <w:tcPr>
            <w:tcW w:w="1347" w:type="dxa"/>
          </w:tcPr>
          <w:p w14:paraId="065BEA21">
            <w:pPr>
              <w:spacing w:line="340" w:lineRule="exact"/>
              <w:rPr>
                <w:rFonts w:ascii="宋体" w:hAnsi="宋体" w:cs="宋体"/>
                <w:sz w:val="24"/>
                <w:highlight w:val="none"/>
              </w:rPr>
            </w:pPr>
          </w:p>
        </w:tc>
      </w:tr>
      <w:tr w14:paraId="257E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F105215">
            <w:pPr>
              <w:spacing w:line="340" w:lineRule="exact"/>
              <w:jc w:val="center"/>
              <w:rPr>
                <w:rFonts w:ascii="宋体" w:hAnsi="宋体" w:cs="宋体"/>
                <w:sz w:val="24"/>
                <w:highlight w:val="none"/>
              </w:rPr>
            </w:pPr>
            <w:r>
              <w:rPr>
                <w:rFonts w:hint="eastAsia" w:ascii="宋体" w:hAnsi="宋体" w:cs="宋体"/>
                <w:sz w:val="24"/>
                <w:highlight w:val="none"/>
              </w:rPr>
              <w:t>13</w:t>
            </w:r>
          </w:p>
        </w:tc>
        <w:tc>
          <w:tcPr>
            <w:tcW w:w="2205" w:type="dxa"/>
          </w:tcPr>
          <w:p w14:paraId="4383CDE8">
            <w:pPr>
              <w:spacing w:line="340" w:lineRule="exact"/>
              <w:rPr>
                <w:rFonts w:ascii="宋体" w:hAnsi="宋体" w:cs="宋体"/>
                <w:sz w:val="24"/>
                <w:highlight w:val="none"/>
              </w:rPr>
            </w:pPr>
          </w:p>
        </w:tc>
        <w:tc>
          <w:tcPr>
            <w:tcW w:w="957" w:type="dxa"/>
          </w:tcPr>
          <w:p w14:paraId="3543BDBD">
            <w:pPr>
              <w:spacing w:line="340" w:lineRule="exact"/>
              <w:rPr>
                <w:rFonts w:ascii="宋体" w:hAnsi="宋体" w:cs="宋体"/>
                <w:sz w:val="24"/>
                <w:highlight w:val="none"/>
              </w:rPr>
            </w:pPr>
          </w:p>
        </w:tc>
        <w:tc>
          <w:tcPr>
            <w:tcW w:w="840" w:type="dxa"/>
          </w:tcPr>
          <w:p w14:paraId="4134820A">
            <w:pPr>
              <w:spacing w:line="340" w:lineRule="exact"/>
              <w:rPr>
                <w:rFonts w:ascii="宋体" w:hAnsi="宋体" w:cs="宋体"/>
                <w:sz w:val="24"/>
                <w:highlight w:val="none"/>
              </w:rPr>
            </w:pPr>
          </w:p>
        </w:tc>
        <w:tc>
          <w:tcPr>
            <w:tcW w:w="1260" w:type="dxa"/>
          </w:tcPr>
          <w:p w14:paraId="6284BAA8">
            <w:pPr>
              <w:spacing w:line="340" w:lineRule="exact"/>
              <w:rPr>
                <w:rFonts w:ascii="宋体" w:hAnsi="宋体" w:cs="宋体"/>
                <w:sz w:val="24"/>
                <w:highlight w:val="none"/>
              </w:rPr>
            </w:pPr>
          </w:p>
        </w:tc>
        <w:tc>
          <w:tcPr>
            <w:tcW w:w="1340" w:type="dxa"/>
          </w:tcPr>
          <w:p w14:paraId="05077C0A">
            <w:pPr>
              <w:spacing w:line="340" w:lineRule="exact"/>
              <w:rPr>
                <w:rFonts w:ascii="宋体" w:hAnsi="宋体" w:cs="宋体"/>
                <w:sz w:val="24"/>
                <w:highlight w:val="none"/>
              </w:rPr>
            </w:pPr>
          </w:p>
        </w:tc>
        <w:tc>
          <w:tcPr>
            <w:tcW w:w="1347" w:type="dxa"/>
          </w:tcPr>
          <w:p w14:paraId="2B8D66F8">
            <w:pPr>
              <w:spacing w:line="340" w:lineRule="exact"/>
              <w:rPr>
                <w:rFonts w:ascii="宋体" w:hAnsi="宋体" w:cs="宋体"/>
                <w:sz w:val="24"/>
                <w:highlight w:val="none"/>
              </w:rPr>
            </w:pPr>
          </w:p>
        </w:tc>
      </w:tr>
      <w:tr w14:paraId="75B3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9FDD0CA">
            <w:pPr>
              <w:spacing w:line="340" w:lineRule="exact"/>
              <w:jc w:val="center"/>
              <w:rPr>
                <w:rFonts w:ascii="宋体" w:hAnsi="宋体" w:cs="宋体"/>
                <w:sz w:val="24"/>
                <w:highlight w:val="none"/>
              </w:rPr>
            </w:pPr>
          </w:p>
        </w:tc>
        <w:tc>
          <w:tcPr>
            <w:tcW w:w="2205" w:type="dxa"/>
            <w:vAlign w:val="center"/>
          </w:tcPr>
          <w:p w14:paraId="560B0C6F">
            <w:pPr>
              <w:pStyle w:val="62"/>
              <w:spacing w:line="340" w:lineRule="exact"/>
              <w:rPr>
                <w:rFonts w:ascii="宋体" w:hAnsi="宋体" w:cs="宋体"/>
                <w:szCs w:val="24"/>
                <w:highlight w:val="none"/>
              </w:rPr>
            </w:pPr>
            <w:r>
              <w:rPr>
                <w:rFonts w:hint="eastAsia" w:ascii="宋体" w:hAnsi="宋体" w:cs="宋体"/>
                <w:szCs w:val="24"/>
                <w:highlight w:val="none"/>
              </w:rPr>
              <w:t>其他费用</w:t>
            </w:r>
          </w:p>
        </w:tc>
        <w:tc>
          <w:tcPr>
            <w:tcW w:w="957" w:type="dxa"/>
          </w:tcPr>
          <w:p w14:paraId="7DD26D4A">
            <w:pPr>
              <w:spacing w:line="340" w:lineRule="exact"/>
              <w:rPr>
                <w:rFonts w:ascii="宋体" w:hAnsi="宋体" w:cs="宋体"/>
                <w:sz w:val="24"/>
                <w:highlight w:val="none"/>
              </w:rPr>
            </w:pPr>
          </w:p>
        </w:tc>
        <w:tc>
          <w:tcPr>
            <w:tcW w:w="840" w:type="dxa"/>
          </w:tcPr>
          <w:p w14:paraId="33E26BB3">
            <w:pPr>
              <w:spacing w:line="340" w:lineRule="exact"/>
              <w:rPr>
                <w:rFonts w:ascii="宋体" w:hAnsi="宋体" w:cs="宋体"/>
                <w:sz w:val="24"/>
                <w:highlight w:val="none"/>
              </w:rPr>
            </w:pPr>
          </w:p>
        </w:tc>
        <w:tc>
          <w:tcPr>
            <w:tcW w:w="1260" w:type="dxa"/>
          </w:tcPr>
          <w:p w14:paraId="0C216058">
            <w:pPr>
              <w:spacing w:line="340" w:lineRule="exact"/>
              <w:rPr>
                <w:rFonts w:ascii="宋体" w:hAnsi="宋体" w:cs="宋体"/>
                <w:sz w:val="24"/>
                <w:highlight w:val="none"/>
              </w:rPr>
            </w:pPr>
          </w:p>
        </w:tc>
        <w:tc>
          <w:tcPr>
            <w:tcW w:w="1340" w:type="dxa"/>
          </w:tcPr>
          <w:p w14:paraId="2F55A674">
            <w:pPr>
              <w:spacing w:line="340" w:lineRule="exact"/>
              <w:rPr>
                <w:rFonts w:ascii="宋体" w:hAnsi="宋体" w:cs="宋体"/>
                <w:sz w:val="24"/>
                <w:highlight w:val="none"/>
              </w:rPr>
            </w:pPr>
          </w:p>
        </w:tc>
        <w:tc>
          <w:tcPr>
            <w:tcW w:w="1347" w:type="dxa"/>
          </w:tcPr>
          <w:p w14:paraId="7A9C28CC">
            <w:pPr>
              <w:spacing w:line="340" w:lineRule="exact"/>
              <w:rPr>
                <w:rFonts w:ascii="宋体" w:hAnsi="宋体" w:cs="宋体"/>
                <w:sz w:val="24"/>
                <w:highlight w:val="none"/>
              </w:rPr>
            </w:pPr>
          </w:p>
        </w:tc>
      </w:tr>
      <w:tr w14:paraId="0F81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BA69516">
            <w:pPr>
              <w:spacing w:line="340" w:lineRule="exact"/>
              <w:jc w:val="center"/>
              <w:rPr>
                <w:rFonts w:ascii="宋体" w:hAnsi="宋体" w:cs="宋体"/>
                <w:sz w:val="24"/>
                <w:highlight w:val="none"/>
              </w:rPr>
            </w:pPr>
          </w:p>
        </w:tc>
        <w:tc>
          <w:tcPr>
            <w:tcW w:w="2205" w:type="dxa"/>
          </w:tcPr>
          <w:p w14:paraId="43C591EB">
            <w:pPr>
              <w:spacing w:line="340" w:lineRule="exact"/>
              <w:rPr>
                <w:rFonts w:ascii="宋体" w:hAnsi="宋体" w:cs="宋体"/>
                <w:sz w:val="24"/>
                <w:highlight w:val="none"/>
              </w:rPr>
            </w:pPr>
            <w:r>
              <w:rPr>
                <w:rFonts w:hint="eastAsia" w:ascii="宋体" w:hAnsi="宋体" w:cs="宋体"/>
                <w:sz w:val="24"/>
                <w:highlight w:val="none"/>
              </w:rPr>
              <w:t>…</w:t>
            </w:r>
          </w:p>
        </w:tc>
        <w:tc>
          <w:tcPr>
            <w:tcW w:w="957" w:type="dxa"/>
          </w:tcPr>
          <w:p w14:paraId="34740FF2">
            <w:pPr>
              <w:spacing w:line="340" w:lineRule="exact"/>
              <w:rPr>
                <w:rFonts w:ascii="宋体" w:hAnsi="宋体" w:cs="宋体"/>
                <w:sz w:val="24"/>
                <w:highlight w:val="none"/>
              </w:rPr>
            </w:pPr>
          </w:p>
        </w:tc>
        <w:tc>
          <w:tcPr>
            <w:tcW w:w="840" w:type="dxa"/>
          </w:tcPr>
          <w:p w14:paraId="39AD0977">
            <w:pPr>
              <w:spacing w:line="340" w:lineRule="exact"/>
              <w:rPr>
                <w:rFonts w:ascii="宋体" w:hAnsi="宋体" w:cs="宋体"/>
                <w:sz w:val="24"/>
                <w:highlight w:val="none"/>
              </w:rPr>
            </w:pPr>
          </w:p>
        </w:tc>
        <w:tc>
          <w:tcPr>
            <w:tcW w:w="1260" w:type="dxa"/>
          </w:tcPr>
          <w:p w14:paraId="722F5D6D">
            <w:pPr>
              <w:spacing w:line="340" w:lineRule="exact"/>
              <w:rPr>
                <w:rFonts w:ascii="宋体" w:hAnsi="宋体" w:cs="宋体"/>
                <w:sz w:val="24"/>
                <w:highlight w:val="none"/>
              </w:rPr>
            </w:pPr>
          </w:p>
        </w:tc>
        <w:tc>
          <w:tcPr>
            <w:tcW w:w="1340" w:type="dxa"/>
          </w:tcPr>
          <w:p w14:paraId="3AA005DA">
            <w:pPr>
              <w:spacing w:line="340" w:lineRule="exact"/>
              <w:rPr>
                <w:rFonts w:ascii="宋体" w:hAnsi="宋体" w:cs="宋体"/>
                <w:sz w:val="24"/>
                <w:highlight w:val="none"/>
              </w:rPr>
            </w:pPr>
          </w:p>
        </w:tc>
        <w:tc>
          <w:tcPr>
            <w:tcW w:w="1347" w:type="dxa"/>
          </w:tcPr>
          <w:p w14:paraId="3B5F4E29">
            <w:pPr>
              <w:spacing w:line="340" w:lineRule="exact"/>
              <w:rPr>
                <w:rFonts w:ascii="宋体" w:hAnsi="宋体" w:cs="宋体"/>
                <w:sz w:val="24"/>
                <w:highlight w:val="none"/>
              </w:rPr>
            </w:pPr>
          </w:p>
        </w:tc>
      </w:tr>
      <w:tr w14:paraId="5670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9DCBA4A">
            <w:pPr>
              <w:spacing w:line="340" w:lineRule="exact"/>
              <w:jc w:val="center"/>
              <w:rPr>
                <w:rFonts w:ascii="宋体" w:hAnsi="宋体" w:cs="宋体"/>
                <w:sz w:val="24"/>
                <w:highlight w:val="none"/>
              </w:rPr>
            </w:pPr>
          </w:p>
        </w:tc>
        <w:tc>
          <w:tcPr>
            <w:tcW w:w="2205" w:type="dxa"/>
          </w:tcPr>
          <w:p w14:paraId="05168145">
            <w:pPr>
              <w:pStyle w:val="62"/>
              <w:spacing w:line="340" w:lineRule="exact"/>
              <w:rPr>
                <w:rFonts w:ascii="宋体" w:hAnsi="宋体" w:cs="宋体"/>
                <w:szCs w:val="24"/>
                <w:highlight w:val="none"/>
              </w:rPr>
            </w:pPr>
            <w:r>
              <w:rPr>
                <w:rFonts w:hint="eastAsia" w:ascii="宋体" w:hAnsi="宋体" w:cs="宋体"/>
                <w:szCs w:val="24"/>
                <w:highlight w:val="none"/>
              </w:rPr>
              <w:t>…</w:t>
            </w:r>
          </w:p>
        </w:tc>
        <w:tc>
          <w:tcPr>
            <w:tcW w:w="957" w:type="dxa"/>
          </w:tcPr>
          <w:p w14:paraId="55EBC80B">
            <w:pPr>
              <w:spacing w:line="340" w:lineRule="exact"/>
              <w:rPr>
                <w:rFonts w:ascii="宋体" w:hAnsi="宋体" w:cs="宋体"/>
                <w:sz w:val="24"/>
                <w:highlight w:val="none"/>
              </w:rPr>
            </w:pPr>
          </w:p>
        </w:tc>
        <w:tc>
          <w:tcPr>
            <w:tcW w:w="840" w:type="dxa"/>
          </w:tcPr>
          <w:p w14:paraId="0EF9E121">
            <w:pPr>
              <w:spacing w:line="340" w:lineRule="exact"/>
              <w:rPr>
                <w:rFonts w:ascii="宋体" w:hAnsi="宋体" w:cs="宋体"/>
                <w:sz w:val="24"/>
                <w:highlight w:val="none"/>
              </w:rPr>
            </w:pPr>
          </w:p>
        </w:tc>
        <w:tc>
          <w:tcPr>
            <w:tcW w:w="1260" w:type="dxa"/>
          </w:tcPr>
          <w:p w14:paraId="034E4FF7">
            <w:pPr>
              <w:spacing w:line="340" w:lineRule="exact"/>
              <w:rPr>
                <w:rFonts w:ascii="宋体" w:hAnsi="宋体" w:cs="宋体"/>
                <w:sz w:val="24"/>
                <w:highlight w:val="none"/>
              </w:rPr>
            </w:pPr>
          </w:p>
        </w:tc>
        <w:tc>
          <w:tcPr>
            <w:tcW w:w="1340" w:type="dxa"/>
          </w:tcPr>
          <w:p w14:paraId="2F274156">
            <w:pPr>
              <w:spacing w:line="340" w:lineRule="exact"/>
              <w:rPr>
                <w:rFonts w:ascii="宋体" w:hAnsi="宋体" w:cs="宋体"/>
                <w:sz w:val="24"/>
                <w:highlight w:val="none"/>
              </w:rPr>
            </w:pPr>
          </w:p>
        </w:tc>
        <w:tc>
          <w:tcPr>
            <w:tcW w:w="1347" w:type="dxa"/>
          </w:tcPr>
          <w:p w14:paraId="6A23CECB">
            <w:pPr>
              <w:spacing w:line="340" w:lineRule="exact"/>
              <w:rPr>
                <w:rFonts w:ascii="宋体" w:hAnsi="宋体" w:cs="宋体"/>
                <w:sz w:val="24"/>
                <w:highlight w:val="none"/>
              </w:rPr>
            </w:pPr>
          </w:p>
        </w:tc>
      </w:tr>
      <w:tr w14:paraId="1EEE4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4372D3F">
            <w:pPr>
              <w:spacing w:line="340" w:lineRule="exact"/>
              <w:jc w:val="center"/>
              <w:rPr>
                <w:rFonts w:ascii="宋体" w:hAnsi="宋体" w:cs="宋体"/>
                <w:sz w:val="24"/>
                <w:highlight w:val="none"/>
              </w:rPr>
            </w:pPr>
          </w:p>
        </w:tc>
        <w:tc>
          <w:tcPr>
            <w:tcW w:w="2205" w:type="dxa"/>
          </w:tcPr>
          <w:p w14:paraId="4839DD54">
            <w:pPr>
              <w:spacing w:line="340" w:lineRule="exact"/>
              <w:rPr>
                <w:rFonts w:ascii="宋体" w:hAnsi="宋体" w:cs="宋体"/>
                <w:sz w:val="24"/>
                <w:highlight w:val="none"/>
              </w:rPr>
            </w:pPr>
            <w:r>
              <w:rPr>
                <w:rFonts w:hint="eastAsia" w:ascii="宋体" w:hAnsi="宋体" w:cs="宋体"/>
                <w:sz w:val="24"/>
                <w:highlight w:val="none"/>
              </w:rPr>
              <w:t>…</w:t>
            </w:r>
          </w:p>
        </w:tc>
        <w:tc>
          <w:tcPr>
            <w:tcW w:w="957" w:type="dxa"/>
          </w:tcPr>
          <w:p w14:paraId="71172556">
            <w:pPr>
              <w:spacing w:line="340" w:lineRule="exact"/>
              <w:rPr>
                <w:rFonts w:ascii="宋体" w:hAnsi="宋体" w:cs="宋体"/>
                <w:sz w:val="24"/>
                <w:highlight w:val="none"/>
              </w:rPr>
            </w:pPr>
          </w:p>
        </w:tc>
        <w:tc>
          <w:tcPr>
            <w:tcW w:w="840" w:type="dxa"/>
          </w:tcPr>
          <w:p w14:paraId="1D79CCAB">
            <w:pPr>
              <w:spacing w:line="340" w:lineRule="exact"/>
              <w:rPr>
                <w:rFonts w:ascii="宋体" w:hAnsi="宋体" w:cs="宋体"/>
                <w:sz w:val="24"/>
                <w:highlight w:val="none"/>
              </w:rPr>
            </w:pPr>
          </w:p>
        </w:tc>
        <w:tc>
          <w:tcPr>
            <w:tcW w:w="1260" w:type="dxa"/>
          </w:tcPr>
          <w:p w14:paraId="4DEEC212">
            <w:pPr>
              <w:spacing w:line="340" w:lineRule="exact"/>
              <w:rPr>
                <w:rFonts w:ascii="宋体" w:hAnsi="宋体" w:cs="宋体"/>
                <w:sz w:val="24"/>
                <w:highlight w:val="none"/>
              </w:rPr>
            </w:pPr>
          </w:p>
        </w:tc>
        <w:tc>
          <w:tcPr>
            <w:tcW w:w="1340" w:type="dxa"/>
          </w:tcPr>
          <w:p w14:paraId="2A13DCB9">
            <w:pPr>
              <w:spacing w:line="340" w:lineRule="exact"/>
              <w:rPr>
                <w:rFonts w:ascii="宋体" w:hAnsi="宋体" w:cs="宋体"/>
                <w:sz w:val="24"/>
                <w:highlight w:val="none"/>
              </w:rPr>
            </w:pPr>
          </w:p>
        </w:tc>
        <w:tc>
          <w:tcPr>
            <w:tcW w:w="1347" w:type="dxa"/>
          </w:tcPr>
          <w:p w14:paraId="49CB8699">
            <w:pPr>
              <w:spacing w:line="340" w:lineRule="exact"/>
              <w:rPr>
                <w:rFonts w:ascii="宋体" w:hAnsi="宋体" w:cs="宋体"/>
                <w:sz w:val="24"/>
                <w:highlight w:val="none"/>
              </w:rPr>
            </w:pPr>
          </w:p>
        </w:tc>
      </w:tr>
      <w:tr w14:paraId="0455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BD91615">
            <w:pPr>
              <w:spacing w:line="340" w:lineRule="exact"/>
              <w:jc w:val="center"/>
              <w:rPr>
                <w:rFonts w:ascii="宋体" w:hAnsi="宋体" w:cs="宋体"/>
                <w:sz w:val="24"/>
                <w:highlight w:val="none"/>
              </w:rPr>
            </w:pPr>
          </w:p>
        </w:tc>
        <w:tc>
          <w:tcPr>
            <w:tcW w:w="2205" w:type="dxa"/>
            <w:vAlign w:val="center"/>
          </w:tcPr>
          <w:p w14:paraId="5C448D41">
            <w:pPr>
              <w:pStyle w:val="62"/>
              <w:spacing w:line="340" w:lineRule="exact"/>
              <w:rPr>
                <w:rFonts w:ascii="宋体" w:hAnsi="宋体" w:cs="宋体"/>
                <w:szCs w:val="24"/>
                <w:highlight w:val="none"/>
              </w:rPr>
            </w:pPr>
            <w:r>
              <w:rPr>
                <w:rFonts w:hint="eastAsia" w:ascii="宋体" w:hAnsi="宋体" w:cs="宋体"/>
                <w:szCs w:val="24"/>
                <w:highlight w:val="none"/>
              </w:rPr>
              <w:t>合计</w:t>
            </w:r>
          </w:p>
        </w:tc>
        <w:tc>
          <w:tcPr>
            <w:tcW w:w="957" w:type="dxa"/>
          </w:tcPr>
          <w:p w14:paraId="36E19B8C">
            <w:pPr>
              <w:spacing w:line="340" w:lineRule="exact"/>
              <w:rPr>
                <w:rFonts w:ascii="宋体" w:hAnsi="宋体" w:cs="宋体"/>
                <w:sz w:val="24"/>
                <w:highlight w:val="none"/>
              </w:rPr>
            </w:pPr>
          </w:p>
        </w:tc>
        <w:tc>
          <w:tcPr>
            <w:tcW w:w="840" w:type="dxa"/>
          </w:tcPr>
          <w:p w14:paraId="58137C91">
            <w:pPr>
              <w:spacing w:line="340" w:lineRule="exact"/>
              <w:rPr>
                <w:rFonts w:ascii="宋体" w:hAnsi="宋体" w:cs="宋体"/>
                <w:sz w:val="24"/>
                <w:highlight w:val="none"/>
              </w:rPr>
            </w:pPr>
          </w:p>
        </w:tc>
        <w:tc>
          <w:tcPr>
            <w:tcW w:w="1260" w:type="dxa"/>
          </w:tcPr>
          <w:p w14:paraId="7EB1157C">
            <w:pPr>
              <w:spacing w:line="340" w:lineRule="exact"/>
              <w:rPr>
                <w:rFonts w:ascii="宋体" w:hAnsi="宋体" w:cs="宋体"/>
                <w:sz w:val="24"/>
                <w:highlight w:val="none"/>
              </w:rPr>
            </w:pPr>
          </w:p>
        </w:tc>
        <w:tc>
          <w:tcPr>
            <w:tcW w:w="1340" w:type="dxa"/>
          </w:tcPr>
          <w:p w14:paraId="3F44C821">
            <w:pPr>
              <w:spacing w:line="340" w:lineRule="exact"/>
              <w:rPr>
                <w:rFonts w:ascii="宋体" w:hAnsi="宋体" w:cs="宋体"/>
                <w:sz w:val="24"/>
                <w:highlight w:val="none"/>
              </w:rPr>
            </w:pPr>
          </w:p>
        </w:tc>
        <w:tc>
          <w:tcPr>
            <w:tcW w:w="1347" w:type="dxa"/>
          </w:tcPr>
          <w:p w14:paraId="666F9AA8">
            <w:pPr>
              <w:spacing w:line="340" w:lineRule="exact"/>
              <w:rPr>
                <w:rFonts w:ascii="宋体" w:hAnsi="宋体" w:cs="宋体"/>
                <w:sz w:val="24"/>
                <w:highlight w:val="none"/>
              </w:rPr>
            </w:pPr>
          </w:p>
        </w:tc>
      </w:tr>
    </w:tbl>
    <w:p w14:paraId="7C5B2D18">
      <w:pPr>
        <w:spacing w:line="360" w:lineRule="auto"/>
        <w:ind w:firstLine="3840" w:firstLineChars="1600"/>
        <w:rPr>
          <w:rFonts w:ascii="宋体" w:hAnsi="宋体" w:cs="宋体"/>
          <w:sz w:val="24"/>
          <w:highlight w:val="none"/>
        </w:rPr>
      </w:pPr>
      <w:r>
        <w:rPr>
          <w:rFonts w:hint="eastAsia" w:ascii="宋体" w:hAnsi="宋体" w:cs="宋体"/>
          <w:sz w:val="24"/>
          <w:highlight w:val="none"/>
          <w:lang w:val="en-US" w:eastAsia="zh-CN"/>
        </w:rPr>
        <w:t>供应商</w:t>
      </w:r>
      <w:r>
        <w:rPr>
          <w:rFonts w:hint="eastAsia" w:ascii="宋体" w:hAnsi="宋体" w:cs="宋体"/>
          <w:sz w:val="24"/>
          <w:highlight w:val="none"/>
        </w:rPr>
        <w:t>电子</w:t>
      </w:r>
      <w:r>
        <w:rPr>
          <w:rFonts w:hint="eastAsia" w:ascii="宋体" w:hAnsi="宋体" w:cs="宋体"/>
          <w:sz w:val="24"/>
          <w:highlight w:val="none"/>
          <w:lang w:val="en-US" w:eastAsia="zh-CN"/>
        </w:rPr>
        <w:t>公</w:t>
      </w:r>
      <w:r>
        <w:rPr>
          <w:rFonts w:hint="eastAsia" w:ascii="宋体" w:hAnsi="宋体" w:cs="宋体"/>
          <w:sz w:val="24"/>
          <w:highlight w:val="none"/>
        </w:rPr>
        <w:t xml:space="preserve">章： </w:t>
      </w:r>
    </w:p>
    <w:p w14:paraId="7D3388B2">
      <w:pPr>
        <w:spacing w:line="360" w:lineRule="auto"/>
        <w:jc w:val="right"/>
        <w:rPr>
          <w:rFonts w:ascii="宋体" w:hAnsi="宋体" w:cs="宋体"/>
          <w:sz w:val="24"/>
          <w:highlight w:val="none"/>
        </w:rPr>
      </w:pPr>
      <w:r>
        <w:rPr>
          <w:rFonts w:hint="eastAsia" w:ascii="宋体" w:hAnsi="宋体" w:cs="宋体"/>
          <w:sz w:val="24"/>
          <w:highlight w:val="none"/>
        </w:rPr>
        <w:t xml:space="preserve">  年  月  日</w:t>
      </w:r>
    </w:p>
    <w:p w14:paraId="12D7FB09">
      <w:pPr>
        <w:adjustRightInd w:val="0"/>
        <w:snapToGrid w:val="0"/>
        <w:spacing w:line="360" w:lineRule="auto"/>
        <w:rPr>
          <w:rFonts w:ascii="宋体" w:hAnsi="宋体" w:cs="宋体"/>
          <w:sz w:val="24"/>
          <w:highlight w:val="none"/>
        </w:rPr>
      </w:pPr>
      <w:r>
        <w:rPr>
          <w:rFonts w:hint="eastAsia" w:ascii="宋体" w:hAnsi="宋体" w:cs="宋体"/>
          <w:sz w:val="24"/>
          <w:highlight w:val="none"/>
        </w:rPr>
        <w:t>备注：</w:t>
      </w:r>
    </w:p>
    <w:p w14:paraId="15C4FFDD">
      <w:pPr>
        <w:spacing w:line="360" w:lineRule="auto"/>
        <w:jc w:val="left"/>
        <w:rPr>
          <w:rFonts w:ascii="宋体" w:hAnsi="宋体" w:cs="宋体"/>
          <w:sz w:val="24"/>
          <w:highlight w:val="none"/>
        </w:rPr>
      </w:pPr>
      <w:r>
        <w:rPr>
          <w:rFonts w:hint="eastAsia" w:ascii="宋体" w:hAnsi="宋体" w:cs="宋体"/>
          <w:sz w:val="24"/>
          <w:highlight w:val="none"/>
        </w:rPr>
        <w:t>表中所列内容为对应本项目需求的全部要求。如有漏项或缺项，投标人承担全部责任。</w:t>
      </w:r>
    </w:p>
    <w:p w14:paraId="08F65A61">
      <w:pPr>
        <w:spacing w:line="360" w:lineRule="auto"/>
        <w:jc w:val="center"/>
        <w:rPr>
          <w:rFonts w:ascii="宋体" w:hAnsi="宋体" w:cs="宋体"/>
          <w:b/>
          <w:sz w:val="24"/>
          <w:highlight w:val="none"/>
        </w:rPr>
      </w:pPr>
    </w:p>
    <w:p w14:paraId="4623F23F">
      <w:pPr>
        <w:spacing w:line="360" w:lineRule="auto"/>
        <w:jc w:val="center"/>
        <w:rPr>
          <w:rFonts w:ascii="宋体" w:hAnsi="宋体" w:cs="宋体"/>
          <w:b/>
          <w:sz w:val="24"/>
          <w:highlight w:val="none"/>
        </w:rPr>
      </w:pPr>
    </w:p>
    <w:p w14:paraId="4068FD65">
      <w:pPr>
        <w:spacing w:line="360" w:lineRule="auto"/>
        <w:jc w:val="left"/>
        <w:rPr>
          <w:rFonts w:hint="eastAsia" w:ascii="宋体" w:hAnsi="宋体" w:cs="宋体"/>
          <w:sz w:val="24"/>
          <w:highlight w:val="none"/>
        </w:rPr>
      </w:pPr>
    </w:p>
    <w:p w14:paraId="288F3D67">
      <w:pPr>
        <w:spacing w:line="360" w:lineRule="auto"/>
        <w:jc w:val="left"/>
        <w:rPr>
          <w:rFonts w:hint="eastAsia" w:ascii="宋体" w:hAnsi="宋体" w:cs="宋体"/>
          <w:sz w:val="24"/>
          <w:highlight w:val="none"/>
        </w:rPr>
        <w:sectPr>
          <w:pgSz w:w="11907" w:h="16840"/>
          <w:pgMar w:top="1440" w:right="1588" w:bottom="1440" w:left="1588" w:header="851" w:footer="992" w:gutter="0"/>
          <w:cols w:space="720" w:num="1"/>
          <w:docGrid w:type="lines" w:linePitch="312" w:charSpace="0"/>
        </w:sectPr>
      </w:pPr>
    </w:p>
    <w:p w14:paraId="37E8F206">
      <w:pPr>
        <w:spacing w:line="360" w:lineRule="auto"/>
        <w:jc w:val="left"/>
        <w:rPr>
          <w:rFonts w:hint="eastAsia" w:ascii="宋体" w:hAnsi="宋体" w:cs="宋体"/>
          <w:b w:val="0"/>
          <w:bCs w:val="0"/>
          <w:sz w:val="24"/>
          <w:highlight w:val="none"/>
        </w:rPr>
      </w:pPr>
      <w:r>
        <w:rPr>
          <w:rFonts w:hint="eastAsia" w:ascii="宋体" w:hAnsi="宋体" w:cs="宋体"/>
          <w:sz w:val="24"/>
          <w:highlight w:val="none"/>
        </w:rPr>
        <w:t>格式</w:t>
      </w:r>
      <w:r>
        <w:rPr>
          <w:rFonts w:hint="eastAsia" w:ascii="宋体" w:hAnsi="宋体" w:cs="宋体"/>
          <w:sz w:val="24"/>
          <w:highlight w:val="none"/>
          <w:lang w:val="en-US" w:eastAsia="zh-CN"/>
        </w:rPr>
        <w:t>7</w:t>
      </w:r>
      <w:r>
        <w:rPr>
          <w:rFonts w:hint="eastAsia" w:ascii="宋体" w:hAnsi="宋体" w:cs="宋体"/>
          <w:sz w:val="24"/>
          <w:highlight w:val="none"/>
        </w:rPr>
        <w:t xml:space="preserve">                    </w:t>
      </w:r>
      <w:r>
        <w:rPr>
          <w:rFonts w:hint="eastAsia" w:ascii="宋体" w:hAnsi="宋体" w:cs="宋体"/>
          <w:b w:val="0"/>
          <w:bCs w:val="0"/>
          <w:sz w:val="24"/>
          <w:highlight w:val="none"/>
        </w:rPr>
        <w:t xml:space="preserve"> </w:t>
      </w:r>
    </w:p>
    <w:p w14:paraId="26BCE733">
      <w:pPr>
        <w:spacing w:line="360" w:lineRule="auto"/>
        <w:jc w:val="center"/>
        <w:rPr>
          <w:rFonts w:ascii="宋体" w:hAnsi="宋体" w:cs="宋体"/>
          <w:sz w:val="24"/>
          <w:highlight w:val="none"/>
        </w:rPr>
      </w:pPr>
      <w:r>
        <w:rPr>
          <w:rFonts w:hint="eastAsia" w:ascii="宋体" w:hAnsi="宋体" w:cs="宋体"/>
          <w:b w:val="0"/>
          <w:bCs w:val="0"/>
          <w:sz w:val="24"/>
          <w:highlight w:val="none"/>
        </w:rPr>
        <w:t>技术参数响应表</w:t>
      </w:r>
    </w:p>
    <w:p w14:paraId="5A04A21E">
      <w:pPr>
        <w:rPr>
          <w:rFonts w:ascii="宋体" w:hAnsi="宋体" w:cs="宋体"/>
          <w:sz w:val="24"/>
          <w:highlight w:val="none"/>
        </w:rPr>
      </w:pPr>
    </w:p>
    <w:p w14:paraId="1C29579F">
      <w:pPr>
        <w:rPr>
          <w:rFonts w:ascii="宋体" w:hAnsi="宋体" w:cs="宋体"/>
          <w:sz w:val="24"/>
          <w:highlight w:val="none"/>
        </w:rPr>
      </w:pPr>
    </w:p>
    <w:tbl>
      <w:tblPr>
        <w:tblStyle w:val="28"/>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14:paraId="0F42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14:paraId="75AA280F">
            <w:pPr>
              <w:pStyle w:val="14"/>
              <w:jc w:val="center"/>
              <w:rPr>
                <w:rFonts w:hAnsi="宋体" w:cs="宋体"/>
                <w:bCs/>
                <w:sz w:val="24"/>
                <w:szCs w:val="24"/>
                <w:highlight w:val="none"/>
              </w:rPr>
            </w:pPr>
            <w:r>
              <w:rPr>
                <w:rFonts w:hint="eastAsia" w:hAnsi="宋体" w:cs="宋体"/>
                <w:bCs/>
                <w:sz w:val="24"/>
                <w:szCs w:val="24"/>
                <w:highlight w:val="none"/>
              </w:rPr>
              <w:t>按招标文件规定填写</w:t>
            </w:r>
          </w:p>
        </w:tc>
        <w:tc>
          <w:tcPr>
            <w:tcW w:w="4146" w:type="dxa"/>
            <w:gridSpan w:val="2"/>
            <w:tcBorders>
              <w:top w:val="single" w:color="auto" w:sz="4" w:space="0"/>
              <w:left w:val="nil"/>
              <w:bottom w:val="single" w:color="auto" w:sz="4" w:space="0"/>
              <w:right w:val="single" w:color="auto" w:sz="4" w:space="0"/>
            </w:tcBorders>
            <w:vAlign w:val="center"/>
          </w:tcPr>
          <w:p w14:paraId="548604C8">
            <w:pPr>
              <w:pStyle w:val="14"/>
              <w:jc w:val="center"/>
              <w:rPr>
                <w:rFonts w:hAnsi="宋体" w:cs="宋体"/>
                <w:bCs/>
                <w:sz w:val="24"/>
                <w:szCs w:val="24"/>
                <w:highlight w:val="none"/>
              </w:rPr>
            </w:pPr>
            <w:r>
              <w:rPr>
                <w:rFonts w:hint="eastAsia" w:hAnsi="宋体" w:cs="宋体"/>
                <w:bCs/>
                <w:sz w:val="24"/>
                <w:szCs w:val="24"/>
                <w:highlight w:val="none"/>
              </w:rPr>
              <w:t>按投标人所投内容填写</w:t>
            </w:r>
          </w:p>
        </w:tc>
      </w:tr>
      <w:tr w14:paraId="5CCB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14:paraId="57706DDD">
            <w:pPr>
              <w:pStyle w:val="14"/>
              <w:jc w:val="center"/>
              <w:rPr>
                <w:rFonts w:hAnsi="宋体" w:cs="宋体"/>
                <w:bCs/>
                <w:sz w:val="24"/>
                <w:szCs w:val="24"/>
                <w:highlight w:val="none"/>
              </w:rPr>
            </w:pPr>
            <w:r>
              <w:rPr>
                <w:rFonts w:hint="eastAsia" w:hAnsi="宋体" w:cs="宋体"/>
                <w:bCs/>
                <w:sz w:val="24"/>
                <w:szCs w:val="24"/>
                <w:highlight w:val="none"/>
              </w:rPr>
              <w:t>序号</w:t>
            </w:r>
          </w:p>
        </w:tc>
        <w:tc>
          <w:tcPr>
            <w:tcW w:w="723" w:type="dxa"/>
            <w:tcBorders>
              <w:top w:val="single" w:color="auto" w:sz="4" w:space="0"/>
              <w:left w:val="nil"/>
              <w:bottom w:val="single" w:color="auto" w:sz="4" w:space="0"/>
              <w:right w:val="single" w:color="auto" w:sz="4" w:space="0"/>
            </w:tcBorders>
            <w:vAlign w:val="center"/>
          </w:tcPr>
          <w:p w14:paraId="53A81969">
            <w:pPr>
              <w:pStyle w:val="14"/>
              <w:jc w:val="center"/>
              <w:rPr>
                <w:rFonts w:hAnsi="宋体" w:cs="宋体"/>
                <w:bCs/>
                <w:sz w:val="24"/>
                <w:szCs w:val="24"/>
                <w:highlight w:val="none"/>
              </w:rPr>
            </w:pPr>
            <w:r>
              <w:rPr>
                <w:rFonts w:hint="eastAsia" w:hAnsi="宋体" w:cs="宋体"/>
                <w:bCs/>
                <w:sz w:val="24"/>
                <w:szCs w:val="24"/>
                <w:highlight w:val="none"/>
              </w:rPr>
              <w:t>品名</w:t>
            </w:r>
          </w:p>
        </w:tc>
        <w:tc>
          <w:tcPr>
            <w:tcW w:w="3490" w:type="dxa"/>
            <w:tcBorders>
              <w:top w:val="single" w:color="auto" w:sz="4" w:space="0"/>
              <w:left w:val="nil"/>
              <w:bottom w:val="single" w:color="auto" w:sz="4" w:space="0"/>
              <w:right w:val="single" w:color="auto" w:sz="4" w:space="0"/>
            </w:tcBorders>
            <w:vAlign w:val="center"/>
          </w:tcPr>
          <w:p w14:paraId="6FFD267D">
            <w:pPr>
              <w:pStyle w:val="14"/>
              <w:jc w:val="center"/>
              <w:rPr>
                <w:rFonts w:hAnsi="宋体" w:cs="宋体"/>
                <w:bCs/>
                <w:sz w:val="24"/>
                <w:szCs w:val="24"/>
                <w:highlight w:val="none"/>
              </w:rPr>
            </w:pPr>
            <w:r>
              <w:rPr>
                <w:rFonts w:hint="eastAsia" w:hAnsi="宋体" w:cs="宋体"/>
                <w:sz w:val="24"/>
                <w:szCs w:val="24"/>
                <w:highlight w:val="none"/>
              </w:rPr>
              <w:t>磋商文件服务要求及其他要求</w:t>
            </w:r>
          </w:p>
        </w:tc>
        <w:tc>
          <w:tcPr>
            <w:tcW w:w="2810" w:type="dxa"/>
            <w:tcBorders>
              <w:top w:val="single" w:color="auto" w:sz="4" w:space="0"/>
              <w:left w:val="nil"/>
              <w:bottom w:val="single" w:color="auto" w:sz="4" w:space="0"/>
              <w:right w:val="single" w:color="auto" w:sz="4" w:space="0"/>
            </w:tcBorders>
            <w:vAlign w:val="center"/>
          </w:tcPr>
          <w:p w14:paraId="21088DBD">
            <w:pPr>
              <w:pStyle w:val="14"/>
              <w:jc w:val="center"/>
              <w:rPr>
                <w:rFonts w:hAnsi="宋体" w:cs="宋体"/>
                <w:bCs/>
                <w:sz w:val="24"/>
                <w:szCs w:val="24"/>
                <w:highlight w:val="none"/>
              </w:rPr>
            </w:pPr>
            <w:r>
              <w:rPr>
                <w:rFonts w:hint="eastAsia" w:hAnsi="宋体" w:cs="宋体"/>
                <w:sz w:val="24"/>
                <w:szCs w:val="24"/>
                <w:highlight w:val="none"/>
              </w:rPr>
              <w:t>响应</w:t>
            </w:r>
          </w:p>
        </w:tc>
        <w:tc>
          <w:tcPr>
            <w:tcW w:w="1336" w:type="dxa"/>
            <w:tcBorders>
              <w:top w:val="single" w:color="auto" w:sz="4" w:space="0"/>
              <w:left w:val="nil"/>
              <w:bottom w:val="single" w:color="auto" w:sz="4" w:space="0"/>
              <w:right w:val="single" w:color="auto" w:sz="4" w:space="0"/>
            </w:tcBorders>
            <w:vAlign w:val="center"/>
          </w:tcPr>
          <w:p w14:paraId="5B6718AE">
            <w:pPr>
              <w:pStyle w:val="14"/>
              <w:jc w:val="center"/>
              <w:rPr>
                <w:rFonts w:hAnsi="宋体" w:cs="宋体"/>
                <w:bCs/>
                <w:sz w:val="24"/>
                <w:szCs w:val="24"/>
                <w:highlight w:val="none"/>
              </w:rPr>
            </w:pPr>
            <w:r>
              <w:rPr>
                <w:rFonts w:hint="eastAsia" w:hAnsi="宋体" w:cs="宋体"/>
                <w:bCs/>
                <w:sz w:val="24"/>
                <w:szCs w:val="24"/>
                <w:highlight w:val="none"/>
              </w:rPr>
              <w:t>偏离说明</w:t>
            </w:r>
          </w:p>
        </w:tc>
      </w:tr>
      <w:tr w14:paraId="1EBDB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52B69854">
            <w:pPr>
              <w:jc w:val="center"/>
              <w:rPr>
                <w:rFonts w:ascii="宋体" w:hAnsi="宋体" w:cs="宋体"/>
                <w:sz w:val="24"/>
                <w:highlight w:val="none"/>
              </w:rPr>
            </w:pPr>
            <w:r>
              <w:rPr>
                <w:rFonts w:hint="eastAsia" w:ascii="宋体" w:hAnsi="宋体" w:cs="宋体"/>
                <w:sz w:val="24"/>
                <w:highlight w:val="none"/>
              </w:rPr>
              <w:t>1</w:t>
            </w:r>
          </w:p>
        </w:tc>
        <w:tc>
          <w:tcPr>
            <w:tcW w:w="723" w:type="dxa"/>
            <w:tcBorders>
              <w:top w:val="single" w:color="auto" w:sz="4" w:space="0"/>
              <w:left w:val="nil"/>
              <w:bottom w:val="single" w:color="auto" w:sz="4" w:space="0"/>
              <w:right w:val="single" w:color="auto" w:sz="4" w:space="0"/>
            </w:tcBorders>
            <w:vAlign w:val="center"/>
          </w:tcPr>
          <w:p w14:paraId="46D067A3">
            <w:pPr>
              <w:widowControl/>
              <w:jc w:val="left"/>
              <w:rPr>
                <w:rFonts w:ascii="宋体" w:hAnsi="宋体" w:cs="宋体"/>
                <w:kern w:val="0"/>
                <w:sz w:val="24"/>
                <w:highlight w:val="none"/>
              </w:rPr>
            </w:pPr>
          </w:p>
        </w:tc>
        <w:tc>
          <w:tcPr>
            <w:tcW w:w="3490" w:type="dxa"/>
            <w:tcBorders>
              <w:top w:val="single" w:color="auto" w:sz="4" w:space="0"/>
              <w:left w:val="nil"/>
              <w:bottom w:val="single" w:color="auto" w:sz="4" w:space="0"/>
              <w:right w:val="single" w:color="auto" w:sz="4" w:space="0"/>
            </w:tcBorders>
          </w:tcPr>
          <w:p w14:paraId="68C62156">
            <w:pPr>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tcPr>
          <w:p w14:paraId="39F6AB70">
            <w:pPr>
              <w:widowControl/>
              <w:rPr>
                <w:rFonts w:ascii="宋体" w:hAnsi="宋体" w:cs="宋体"/>
                <w:kern w:val="0"/>
                <w:sz w:val="24"/>
                <w:highlight w:val="none"/>
              </w:rPr>
            </w:pPr>
          </w:p>
        </w:tc>
        <w:tc>
          <w:tcPr>
            <w:tcW w:w="1336" w:type="dxa"/>
            <w:tcBorders>
              <w:top w:val="single" w:color="auto" w:sz="4" w:space="0"/>
              <w:left w:val="nil"/>
              <w:bottom w:val="single" w:color="auto" w:sz="4" w:space="0"/>
              <w:right w:val="single" w:color="auto" w:sz="4" w:space="0"/>
            </w:tcBorders>
            <w:vAlign w:val="center"/>
          </w:tcPr>
          <w:p w14:paraId="0FEA727F">
            <w:pPr>
              <w:jc w:val="center"/>
              <w:rPr>
                <w:rFonts w:ascii="宋体" w:hAnsi="宋体" w:cs="宋体"/>
                <w:sz w:val="24"/>
                <w:highlight w:val="none"/>
              </w:rPr>
            </w:pPr>
          </w:p>
        </w:tc>
      </w:tr>
      <w:tr w14:paraId="0B11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173A987C">
            <w:pPr>
              <w:jc w:val="center"/>
              <w:rPr>
                <w:rFonts w:ascii="宋体" w:hAnsi="宋体" w:cs="宋体"/>
                <w:sz w:val="24"/>
                <w:highlight w:val="none"/>
              </w:rPr>
            </w:pPr>
            <w:r>
              <w:rPr>
                <w:rFonts w:hint="eastAsia" w:ascii="宋体" w:hAnsi="宋体" w:cs="宋体"/>
                <w:sz w:val="24"/>
                <w:highlight w:val="none"/>
              </w:rPr>
              <w:t>2</w:t>
            </w:r>
          </w:p>
        </w:tc>
        <w:tc>
          <w:tcPr>
            <w:tcW w:w="723" w:type="dxa"/>
            <w:tcBorders>
              <w:top w:val="single" w:color="auto" w:sz="4" w:space="0"/>
              <w:left w:val="nil"/>
              <w:bottom w:val="single" w:color="auto" w:sz="4" w:space="0"/>
              <w:right w:val="single" w:color="auto" w:sz="4" w:space="0"/>
            </w:tcBorders>
            <w:vAlign w:val="center"/>
          </w:tcPr>
          <w:p w14:paraId="7349B745">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14:paraId="412D98B1">
            <w:pPr>
              <w:ind w:left="240" w:hanging="240" w:hangingChars="100"/>
              <w:jc w:val="left"/>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vAlign w:val="center"/>
          </w:tcPr>
          <w:p w14:paraId="142DC684">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14:paraId="2051C983">
            <w:pPr>
              <w:jc w:val="center"/>
              <w:rPr>
                <w:rFonts w:ascii="宋体" w:hAnsi="宋体" w:cs="宋体"/>
                <w:sz w:val="24"/>
                <w:highlight w:val="none"/>
              </w:rPr>
            </w:pPr>
          </w:p>
        </w:tc>
      </w:tr>
      <w:tr w14:paraId="007A9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4904676D">
            <w:pPr>
              <w:rPr>
                <w:rFonts w:ascii="宋体" w:hAnsi="宋体" w:cs="宋体"/>
                <w:sz w:val="24"/>
                <w:highlight w:val="none"/>
              </w:rPr>
            </w:pPr>
          </w:p>
        </w:tc>
        <w:tc>
          <w:tcPr>
            <w:tcW w:w="723" w:type="dxa"/>
            <w:tcBorders>
              <w:top w:val="single" w:color="auto" w:sz="4" w:space="0"/>
              <w:left w:val="nil"/>
              <w:bottom w:val="single" w:color="auto" w:sz="4" w:space="0"/>
              <w:right w:val="single" w:color="auto" w:sz="4" w:space="0"/>
            </w:tcBorders>
            <w:vAlign w:val="center"/>
          </w:tcPr>
          <w:p w14:paraId="12A2B27D">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14:paraId="480416BF">
            <w:pPr>
              <w:jc w:val="left"/>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vAlign w:val="center"/>
          </w:tcPr>
          <w:p w14:paraId="277FC692">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14:paraId="415703F1">
            <w:pPr>
              <w:jc w:val="center"/>
              <w:rPr>
                <w:rFonts w:ascii="宋体" w:hAnsi="宋体" w:cs="宋体"/>
                <w:sz w:val="24"/>
                <w:highlight w:val="none"/>
              </w:rPr>
            </w:pPr>
          </w:p>
        </w:tc>
      </w:tr>
      <w:tr w14:paraId="0267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01679E4D">
            <w:pPr>
              <w:rPr>
                <w:rFonts w:ascii="宋体" w:hAnsi="宋体" w:cs="宋体"/>
                <w:sz w:val="24"/>
                <w:highlight w:val="none"/>
              </w:rPr>
            </w:pPr>
          </w:p>
        </w:tc>
        <w:tc>
          <w:tcPr>
            <w:tcW w:w="723" w:type="dxa"/>
            <w:tcBorders>
              <w:top w:val="single" w:color="auto" w:sz="4" w:space="0"/>
              <w:left w:val="nil"/>
              <w:bottom w:val="single" w:color="auto" w:sz="4" w:space="0"/>
              <w:right w:val="single" w:color="auto" w:sz="4" w:space="0"/>
            </w:tcBorders>
            <w:vAlign w:val="center"/>
          </w:tcPr>
          <w:p w14:paraId="16EFB45E">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14:paraId="711AE12C">
            <w:pPr>
              <w:jc w:val="left"/>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vAlign w:val="center"/>
          </w:tcPr>
          <w:p w14:paraId="56F3863E">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14:paraId="5BBD3EA2">
            <w:pPr>
              <w:jc w:val="center"/>
              <w:rPr>
                <w:rFonts w:ascii="宋体" w:hAnsi="宋体" w:cs="宋体"/>
                <w:sz w:val="24"/>
                <w:highlight w:val="none"/>
              </w:rPr>
            </w:pPr>
          </w:p>
        </w:tc>
      </w:tr>
      <w:tr w14:paraId="2DC6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2230D3AB">
            <w:pPr>
              <w:rPr>
                <w:rFonts w:ascii="宋体" w:hAnsi="宋体" w:cs="宋体"/>
                <w:sz w:val="24"/>
                <w:highlight w:val="none"/>
              </w:rPr>
            </w:pPr>
          </w:p>
        </w:tc>
        <w:tc>
          <w:tcPr>
            <w:tcW w:w="723" w:type="dxa"/>
            <w:tcBorders>
              <w:top w:val="single" w:color="auto" w:sz="4" w:space="0"/>
              <w:left w:val="nil"/>
              <w:bottom w:val="single" w:color="auto" w:sz="4" w:space="0"/>
              <w:right w:val="single" w:color="auto" w:sz="4" w:space="0"/>
            </w:tcBorders>
            <w:vAlign w:val="center"/>
          </w:tcPr>
          <w:p w14:paraId="4DDD0B14">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14:paraId="6806A0F7">
            <w:pPr>
              <w:ind w:left="240" w:hanging="240" w:hangingChars="100"/>
              <w:jc w:val="left"/>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vAlign w:val="center"/>
          </w:tcPr>
          <w:p w14:paraId="50EB811B">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14:paraId="02102C01">
            <w:pPr>
              <w:jc w:val="center"/>
              <w:rPr>
                <w:rFonts w:ascii="宋体" w:hAnsi="宋体" w:cs="宋体"/>
                <w:sz w:val="24"/>
                <w:highlight w:val="none"/>
              </w:rPr>
            </w:pPr>
          </w:p>
        </w:tc>
      </w:tr>
      <w:tr w14:paraId="166D3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0000E871">
            <w:pPr>
              <w:jc w:val="center"/>
              <w:rPr>
                <w:rFonts w:ascii="宋体" w:hAnsi="宋体" w:cs="宋体"/>
                <w:sz w:val="24"/>
                <w:highlight w:val="none"/>
              </w:rPr>
            </w:pPr>
            <w:r>
              <w:rPr>
                <w:rFonts w:hint="eastAsia" w:ascii="宋体" w:hAnsi="宋体" w:cs="宋体"/>
                <w:sz w:val="24"/>
                <w:highlight w:val="none"/>
              </w:rPr>
              <w:t>....</w:t>
            </w:r>
          </w:p>
        </w:tc>
        <w:tc>
          <w:tcPr>
            <w:tcW w:w="723" w:type="dxa"/>
            <w:tcBorders>
              <w:top w:val="single" w:color="auto" w:sz="4" w:space="0"/>
              <w:left w:val="nil"/>
              <w:bottom w:val="single" w:color="auto" w:sz="4" w:space="0"/>
              <w:right w:val="single" w:color="auto" w:sz="4" w:space="0"/>
            </w:tcBorders>
            <w:vAlign w:val="center"/>
          </w:tcPr>
          <w:p w14:paraId="5A1E2B60">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14:paraId="0057F642">
            <w:pPr>
              <w:ind w:left="240" w:hanging="240" w:hangingChars="100"/>
              <w:jc w:val="left"/>
              <w:rPr>
                <w:rFonts w:ascii="宋体" w:hAnsi="宋体" w:cs="宋体"/>
                <w:sz w:val="24"/>
                <w:highlight w:val="none"/>
              </w:rPr>
            </w:pPr>
            <w:r>
              <w:rPr>
                <w:rFonts w:hint="eastAsia" w:ascii="宋体" w:hAnsi="宋体" w:cs="宋体"/>
                <w:sz w:val="24"/>
                <w:highlight w:val="none"/>
              </w:rPr>
              <w:t>.....</w:t>
            </w:r>
          </w:p>
        </w:tc>
        <w:tc>
          <w:tcPr>
            <w:tcW w:w="2810" w:type="dxa"/>
            <w:tcBorders>
              <w:top w:val="single" w:color="auto" w:sz="4" w:space="0"/>
              <w:left w:val="nil"/>
              <w:bottom w:val="single" w:color="auto" w:sz="4" w:space="0"/>
              <w:right w:val="single" w:color="auto" w:sz="4" w:space="0"/>
            </w:tcBorders>
            <w:vAlign w:val="center"/>
          </w:tcPr>
          <w:p w14:paraId="4CD7EFDE">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14:paraId="13C67ADA">
            <w:pPr>
              <w:jc w:val="center"/>
              <w:rPr>
                <w:rFonts w:ascii="宋体" w:hAnsi="宋体" w:cs="宋体"/>
                <w:sz w:val="24"/>
                <w:highlight w:val="none"/>
              </w:rPr>
            </w:pPr>
          </w:p>
        </w:tc>
      </w:tr>
    </w:tbl>
    <w:p w14:paraId="2DE9FAF4">
      <w:pPr>
        <w:rPr>
          <w:rFonts w:ascii="宋体" w:hAnsi="宋体" w:cs="宋体"/>
          <w:sz w:val="24"/>
          <w:highlight w:val="none"/>
        </w:rPr>
      </w:pPr>
    </w:p>
    <w:p w14:paraId="17491E57">
      <w:pPr>
        <w:rPr>
          <w:rFonts w:ascii="宋体" w:hAnsi="宋体" w:cs="宋体"/>
          <w:sz w:val="24"/>
          <w:highlight w:val="none"/>
        </w:rPr>
      </w:pPr>
      <w:r>
        <w:rPr>
          <w:rFonts w:hint="eastAsia" w:ascii="宋体" w:hAnsi="宋体" w:cs="宋体"/>
          <w:sz w:val="24"/>
          <w:highlight w:val="none"/>
        </w:rPr>
        <w:t>(可根据需求自行更改)</w:t>
      </w:r>
    </w:p>
    <w:p w14:paraId="1EF0579C">
      <w:pPr>
        <w:rPr>
          <w:rFonts w:ascii="宋体" w:hAnsi="宋体" w:cs="宋体"/>
          <w:sz w:val="24"/>
          <w:highlight w:val="none"/>
        </w:rPr>
      </w:pPr>
    </w:p>
    <w:p w14:paraId="126CD8EE">
      <w:pPr>
        <w:spacing w:line="360" w:lineRule="auto"/>
        <w:ind w:firstLine="3840" w:firstLineChars="1600"/>
        <w:rPr>
          <w:rFonts w:ascii="宋体" w:hAnsi="宋体" w:cs="宋体"/>
          <w:sz w:val="24"/>
          <w:highlight w:val="none"/>
        </w:rPr>
      </w:pPr>
      <w:r>
        <w:rPr>
          <w:rFonts w:hint="eastAsia" w:ascii="宋体" w:hAnsi="宋体" w:cs="宋体"/>
          <w:sz w:val="24"/>
          <w:highlight w:val="none"/>
          <w:lang w:val="en-US" w:eastAsia="zh-CN"/>
        </w:rPr>
        <w:t>供应商</w:t>
      </w:r>
      <w:r>
        <w:rPr>
          <w:rFonts w:hint="eastAsia" w:ascii="宋体" w:hAnsi="宋体" w:cs="宋体"/>
          <w:sz w:val="24"/>
          <w:highlight w:val="none"/>
        </w:rPr>
        <w:t>电子</w:t>
      </w:r>
      <w:r>
        <w:rPr>
          <w:rFonts w:hint="eastAsia" w:ascii="宋体" w:hAnsi="宋体" w:cs="宋体"/>
          <w:sz w:val="24"/>
          <w:highlight w:val="none"/>
          <w:lang w:val="en-US" w:eastAsia="zh-CN"/>
        </w:rPr>
        <w:t>公</w:t>
      </w:r>
      <w:r>
        <w:rPr>
          <w:rFonts w:hint="eastAsia" w:ascii="宋体" w:hAnsi="宋体" w:cs="宋体"/>
          <w:sz w:val="24"/>
          <w:highlight w:val="none"/>
        </w:rPr>
        <w:t xml:space="preserve">章： </w:t>
      </w:r>
    </w:p>
    <w:p w14:paraId="11EDD365">
      <w:pPr>
        <w:spacing w:line="360" w:lineRule="auto"/>
        <w:jc w:val="right"/>
        <w:rPr>
          <w:rFonts w:ascii="宋体" w:hAnsi="宋体" w:cs="宋体"/>
          <w:sz w:val="24"/>
          <w:highlight w:val="none"/>
        </w:rPr>
      </w:pPr>
      <w:r>
        <w:rPr>
          <w:rFonts w:hint="eastAsia" w:ascii="宋体" w:hAnsi="宋体" w:cs="宋体"/>
          <w:sz w:val="24"/>
          <w:highlight w:val="none"/>
        </w:rPr>
        <w:t xml:space="preserve">  年  月  日</w:t>
      </w:r>
    </w:p>
    <w:p w14:paraId="457F32F8">
      <w:pPr>
        <w:spacing w:line="360" w:lineRule="auto"/>
        <w:rPr>
          <w:rFonts w:ascii="宋体" w:hAnsi="宋体" w:cs="宋体"/>
          <w:b/>
          <w:sz w:val="24"/>
          <w:highlight w:val="none"/>
        </w:rPr>
      </w:pPr>
    </w:p>
    <w:p w14:paraId="79CBFCE4">
      <w:pPr>
        <w:spacing w:line="360" w:lineRule="auto"/>
        <w:rPr>
          <w:rFonts w:ascii="宋体" w:hAnsi="宋体" w:cs="宋体"/>
          <w:b/>
          <w:sz w:val="24"/>
          <w:highlight w:val="none"/>
        </w:rPr>
      </w:pPr>
    </w:p>
    <w:p w14:paraId="4605D611">
      <w:pPr>
        <w:spacing w:line="360" w:lineRule="auto"/>
        <w:rPr>
          <w:rFonts w:ascii="宋体" w:hAnsi="宋体" w:cs="宋体"/>
          <w:b/>
          <w:sz w:val="24"/>
          <w:highlight w:val="none"/>
        </w:rPr>
      </w:pPr>
    </w:p>
    <w:p w14:paraId="18C2CCA7">
      <w:pPr>
        <w:spacing w:line="360" w:lineRule="auto"/>
        <w:jc w:val="left"/>
        <w:rPr>
          <w:rFonts w:hint="eastAsia" w:ascii="宋体" w:hAnsi="宋体" w:cs="宋体"/>
          <w:sz w:val="24"/>
          <w:highlight w:val="none"/>
        </w:rPr>
        <w:sectPr>
          <w:pgSz w:w="11907" w:h="16840"/>
          <w:pgMar w:top="1440" w:right="1588" w:bottom="1440" w:left="1588" w:header="851" w:footer="992" w:gutter="0"/>
          <w:cols w:space="720" w:num="1"/>
          <w:docGrid w:type="lines" w:linePitch="312" w:charSpace="0"/>
        </w:sectPr>
      </w:pPr>
    </w:p>
    <w:p w14:paraId="05FED4DE">
      <w:pPr>
        <w:spacing w:line="360" w:lineRule="auto"/>
        <w:jc w:val="left"/>
        <w:rPr>
          <w:rFonts w:hint="eastAsia" w:ascii="宋体" w:hAnsi="宋体" w:eastAsia="宋体" w:cs="宋体"/>
          <w:sz w:val="24"/>
          <w:highlight w:val="none"/>
          <w:lang w:val="en-US" w:eastAsia="zh-CN"/>
        </w:rPr>
      </w:pPr>
      <w:r>
        <w:rPr>
          <w:rFonts w:hint="eastAsia" w:ascii="宋体" w:hAnsi="宋体" w:cs="宋体"/>
          <w:sz w:val="24"/>
          <w:highlight w:val="none"/>
        </w:rPr>
        <w:t>格式</w:t>
      </w:r>
      <w:r>
        <w:rPr>
          <w:rFonts w:hint="eastAsia" w:ascii="宋体" w:hAnsi="宋体" w:cs="宋体"/>
          <w:sz w:val="24"/>
          <w:highlight w:val="none"/>
          <w:lang w:val="en-US" w:eastAsia="zh-CN"/>
        </w:rPr>
        <w:t>8</w:t>
      </w:r>
    </w:p>
    <w:p w14:paraId="32BFDB87">
      <w:pPr>
        <w:pStyle w:val="27"/>
        <w:ind w:firstLine="480"/>
        <w:rPr>
          <w:rFonts w:ascii="宋体" w:hAnsi="宋体" w:eastAsia="宋体" w:cs="宋体"/>
          <w:sz w:val="24"/>
          <w:highlight w:val="none"/>
        </w:rPr>
      </w:pPr>
    </w:p>
    <w:p w14:paraId="1545040C">
      <w:pPr>
        <w:spacing w:line="380" w:lineRule="exact"/>
        <w:jc w:val="center"/>
        <w:rPr>
          <w:rFonts w:ascii="宋体" w:hAnsi="宋体" w:cs="宋体"/>
          <w:sz w:val="24"/>
          <w:highlight w:val="none"/>
        </w:rPr>
      </w:pPr>
      <w:r>
        <w:rPr>
          <w:rFonts w:hint="eastAsia" w:ascii="宋体" w:hAnsi="宋体" w:cs="宋体"/>
          <w:sz w:val="24"/>
          <w:highlight w:val="none"/>
        </w:rPr>
        <w:t>服务方案及服务承诺</w:t>
      </w:r>
    </w:p>
    <w:p w14:paraId="5B91B5A4">
      <w:pPr>
        <w:spacing w:line="380" w:lineRule="exact"/>
        <w:jc w:val="center"/>
        <w:rPr>
          <w:rFonts w:ascii="宋体" w:hAnsi="宋体" w:cs="宋体"/>
          <w:sz w:val="24"/>
          <w:highlight w:val="none"/>
        </w:rPr>
      </w:pPr>
    </w:p>
    <w:p w14:paraId="0F5CFCBB">
      <w:pPr>
        <w:spacing w:line="380" w:lineRule="exact"/>
        <w:ind w:firstLine="360" w:firstLineChars="150"/>
        <w:rPr>
          <w:rFonts w:ascii="宋体" w:hAnsi="宋体" w:cs="宋体"/>
          <w:sz w:val="24"/>
          <w:highlight w:val="none"/>
        </w:rPr>
      </w:pPr>
    </w:p>
    <w:p w14:paraId="1A4CFD44">
      <w:pPr>
        <w:pStyle w:val="40"/>
        <w:rPr>
          <w:rFonts w:ascii="宋体" w:hAnsi="宋体" w:cs="宋体"/>
          <w:sz w:val="24"/>
          <w:szCs w:val="24"/>
          <w:highlight w:val="none"/>
        </w:rPr>
      </w:pPr>
    </w:p>
    <w:p w14:paraId="7BAD63C2">
      <w:pPr>
        <w:pStyle w:val="40"/>
        <w:rPr>
          <w:rFonts w:ascii="宋体" w:hAnsi="宋体" w:cs="宋体"/>
          <w:sz w:val="24"/>
          <w:szCs w:val="24"/>
          <w:highlight w:val="none"/>
        </w:rPr>
      </w:pPr>
    </w:p>
    <w:p w14:paraId="723015EE">
      <w:pPr>
        <w:pStyle w:val="40"/>
        <w:rPr>
          <w:rFonts w:ascii="宋体" w:hAnsi="宋体" w:cs="宋体"/>
          <w:sz w:val="24"/>
          <w:szCs w:val="24"/>
          <w:highlight w:val="none"/>
        </w:rPr>
      </w:pPr>
    </w:p>
    <w:p w14:paraId="3C4E6515">
      <w:pPr>
        <w:pStyle w:val="40"/>
        <w:rPr>
          <w:rFonts w:ascii="宋体" w:hAnsi="宋体" w:cs="宋体"/>
          <w:sz w:val="24"/>
          <w:szCs w:val="24"/>
          <w:highlight w:val="none"/>
        </w:rPr>
      </w:pPr>
    </w:p>
    <w:p w14:paraId="7D42545E">
      <w:pPr>
        <w:pStyle w:val="40"/>
        <w:rPr>
          <w:rFonts w:ascii="宋体" w:hAnsi="宋体" w:cs="宋体"/>
          <w:sz w:val="24"/>
          <w:szCs w:val="24"/>
          <w:highlight w:val="none"/>
        </w:rPr>
      </w:pPr>
    </w:p>
    <w:p w14:paraId="69153733">
      <w:pPr>
        <w:pStyle w:val="40"/>
        <w:rPr>
          <w:rFonts w:ascii="宋体" w:hAnsi="宋体" w:cs="宋体"/>
          <w:sz w:val="24"/>
          <w:szCs w:val="24"/>
          <w:highlight w:val="none"/>
        </w:rPr>
      </w:pPr>
    </w:p>
    <w:p w14:paraId="06D45B87">
      <w:pPr>
        <w:spacing w:line="380" w:lineRule="exact"/>
        <w:rPr>
          <w:rFonts w:ascii="宋体" w:hAnsi="宋体" w:cs="宋体"/>
          <w:sz w:val="24"/>
          <w:highlight w:val="none"/>
        </w:rPr>
      </w:pPr>
    </w:p>
    <w:p w14:paraId="721C4231">
      <w:pPr>
        <w:spacing w:line="360" w:lineRule="auto"/>
        <w:ind w:firstLine="3840" w:firstLineChars="1600"/>
        <w:rPr>
          <w:rFonts w:ascii="宋体" w:hAnsi="宋体" w:cs="宋体"/>
          <w:sz w:val="24"/>
          <w:highlight w:val="none"/>
        </w:rPr>
      </w:pPr>
      <w:r>
        <w:rPr>
          <w:rFonts w:hint="eastAsia" w:ascii="宋体" w:hAnsi="宋体" w:cs="宋体"/>
          <w:sz w:val="24"/>
          <w:highlight w:val="none"/>
          <w:lang w:val="en-US" w:eastAsia="zh-CN"/>
        </w:rPr>
        <w:t>供应商</w:t>
      </w:r>
      <w:r>
        <w:rPr>
          <w:rFonts w:hint="eastAsia" w:ascii="宋体" w:hAnsi="宋体" w:cs="宋体"/>
          <w:sz w:val="24"/>
          <w:highlight w:val="none"/>
        </w:rPr>
        <w:t>电子</w:t>
      </w:r>
      <w:r>
        <w:rPr>
          <w:rFonts w:hint="eastAsia" w:ascii="宋体" w:hAnsi="宋体" w:cs="宋体"/>
          <w:sz w:val="24"/>
          <w:highlight w:val="none"/>
          <w:lang w:val="en-US" w:eastAsia="zh-CN"/>
        </w:rPr>
        <w:t>公</w:t>
      </w:r>
      <w:r>
        <w:rPr>
          <w:rFonts w:hint="eastAsia" w:ascii="宋体" w:hAnsi="宋体" w:cs="宋体"/>
          <w:sz w:val="24"/>
          <w:highlight w:val="none"/>
        </w:rPr>
        <w:t xml:space="preserve">章： </w:t>
      </w:r>
    </w:p>
    <w:p w14:paraId="4229FECE">
      <w:pPr>
        <w:spacing w:line="380" w:lineRule="exact"/>
        <w:ind w:right="640" w:firstLine="1560" w:firstLineChars="650"/>
        <w:rPr>
          <w:rFonts w:ascii="宋体" w:hAnsi="宋体" w:cs="宋体"/>
          <w:sz w:val="24"/>
          <w:highlight w:val="none"/>
        </w:rPr>
      </w:pPr>
    </w:p>
    <w:p w14:paraId="22BEAE20">
      <w:pPr>
        <w:spacing w:line="380" w:lineRule="exact"/>
        <w:ind w:right="640" w:firstLine="4680" w:firstLineChars="1950"/>
        <w:rPr>
          <w:rFonts w:ascii="宋体" w:hAnsi="宋体" w:cs="宋体"/>
          <w:sz w:val="24"/>
          <w:highlight w:val="none"/>
        </w:rPr>
      </w:pPr>
    </w:p>
    <w:p w14:paraId="62122965">
      <w:pPr>
        <w:spacing w:line="380" w:lineRule="exact"/>
        <w:jc w:val="center"/>
        <w:rPr>
          <w:rFonts w:ascii="宋体" w:hAnsi="宋体" w:cs="宋体"/>
          <w:sz w:val="24"/>
          <w:highlight w:val="none"/>
        </w:rPr>
      </w:pPr>
    </w:p>
    <w:p w14:paraId="7AE28DEB">
      <w:pPr>
        <w:spacing w:line="380" w:lineRule="exact"/>
        <w:ind w:firstLine="3600" w:firstLineChars="1500"/>
        <w:rPr>
          <w:rFonts w:ascii="宋体" w:hAnsi="宋体" w:cs="宋体"/>
          <w:sz w:val="24"/>
          <w:highlight w:val="none"/>
        </w:rPr>
      </w:pPr>
      <w:r>
        <w:rPr>
          <w:rFonts w:hint="eastAsia" w:ascii="宋体" w:hAnsi="宋体" w:cs="宋体"/>
          <w:sz w:val="24"/>
          <w:highlight w:val="none"/>
        </w:rPr>
        <w:t xml:space="preserve">      年   月    日</w:t>
      </w:r>
    </w:p>
    <w:p w14:paraId="31084E1E">
      <w:pPr>
        <w:spacing w:line="360" w:lineRule="auto"/>
        <w:jc w:val="center"/>
        <w:rPr>
          <w:rFonts w:ascii="宋体" w:hAnsi="宋体" w:cs="宋体"/>
          <w:b/>
          <w:bCs/>
          <w:sz w:val="24"/>
          <w:highlight w:val="none"/>
        </w:rPr>
      </w:pPr>
      <w:r>
        <w:rPr>
          <w:rFonts w:hint="eastAsia" w:ascii="宋体" w:hAnsi="宋体" w:cs="宋体"/>
          <w:b/>
          <w:bCs/>
          <w:sz w:val="24"/>
          <w:highlight w:val="none"/>
        </w:rPr>
        <w:br w:type="page"/>
      </w:r>
    </w:p>
    <w:p w14:paraId="43D9BC05">
      <w:pPr>
        <w:spacing w:line="380" w:lineRule="exact"/>
        <w:jc w:val="center"/>
        <w:rPr>
          <w:rFonts w:hint="eastAsia" w:ascii="宋体" w:hAnsi="宋体" w:eastAsia="宋体" w:cs="宋体"/>
          <w:sz w:val="24"/>
          <w:highlight w:val="none"/>
        </w:rPr>
        <w:sectPr>
          <w:pgSz w:w="11907" w:h="16840"/>
          <w:pgMar w:top="1440" w:right="1588" w:bottom="1440" w:left="1588" w:header="851" w:footer="992" w:gutter="0"/>
          <w:cols w:space="720" w:num="1"/>
          <w:docGrid w:type="lines" w:linePitch="312" w:charSpace="0"/>
        </w:sectPr>
      </w:pPr>
    </w:p>
    <w:p w14:paraId="6951FE6A">
      <w:pPr>
        <w:spacing w:line="380" w:lineRule="exact"/>
        <w:jc w:val="both"/>
        <w:rPr>
          <w:rFonts w:hint="eastAsia" w:ascii="宋体" w:hAnsi="宋体" w:eastAsia="宋体" w:cs="宋体"/>
          <w:sz w:val="24"/>
          <w:highlight w:val="none"/>
          <w:lang w:eastAsia="zh-CN"/>
        </w:rPr>
      </w:pPr>
      <w:r>
        <w:rPr>
          <w:rFonts w:hint="eastAsia" w:ascii="宋体" w:hAnsi="宋体" w:eastAsia="宋体" w:cs="宋体"/>
          <w:sz w:val="24"/>
          <w:highlight w:val="none"/>
        </w:rPr>
        <w:t>格式</w:t>
      </w:r>
      <w:r>
        <w:rPr>
          <w:rFonts w:hint="eastAsia" w:ascii="宋体" w:hAnsi="宋体" w:cs="宋体"/>
          <w:sz w:val="24"/>
          <w:highlight w:val="none"/>
          <w:lang w:val="en-US" w:eastAsia="zh-CN"/>
        </w:rPr>
        <w:t>9</w:t>
      </w:r>
    </w:p>
    <w:p w14:paraId="1DA2EFA1">
      <w:pPr>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合格供应商的声明函和承诺书</w:t>
      </w:r>
    </w:p>
    <w:p w14:paraId="62A8E901">
      <w:pPr>
        <w:spacing w:line="360" w:lineRule="auto"/>
        <w:rPr>
          <w:rFonts w:ascii="宋体" w:hAnsi="宋体" w:cs="宋体"/>
          <w:sz w:val="24"/>
          <w:highlight w:val="none"/>
        </w:rPr>
      </w:pPr>
    </w:p>
    <w:p w14:paraId="7E362002">
      <w:pPr>
        <w:spacing w:line="360" w:lineRule="auto"/>
        <w:jc w:val="center"/>
        <w:rPr>
          <w:rFonts w:ascii="宋体" w:hAnsi="宋体" w:cs="宋体"/>
          <w:b/>
          <w:bCs/>
          <w:sz w:val="24"/>
          <w:highlight w:val="none"/>
        </w:rPr>
      </w:pPr>
    </w:p>
    <w:p w14:paraId="12B1FAB1">
      <w:pPr>
        <w:pStyle w:val="40"/>
        <w:rPr>
          <w:highlight w:val="none"/>
        </w:rPr>
      </w:pPr>
    </w:p>
    <w:p w14:paraId="6A04A518">
      <w:pPr>
        <w:spacing w:line="360" w:lineRule="auto"/>
        <w:jc w:val="center"/>
        <w:rPr>
          <w:rFonts w:ascii="宋体" w:hAnsi="宋体" w:cs="宋体"/>
          <w:b/>
          <w:sz w:val="24"/>
          <w:highlight w:val="none"/>
        </w:rPr>
      </w:pPr>
    </w:p>
    <w:p w14:paraId="7B05DC41">
      <w:pPr>
        <w:spacing w:line="360" w:lineRule="auto"/>
        <w:jc w:val="center"/>
        <w:rPr>
          <w:rFonts w:ascii="宋体" w:hAnsi="宋体" w:cs="宋体"/>
          <w:b/>
          <w:sz w:val="24"/>
          <w:highlight w:val="none"/>
        </w:rPr>
      </w:pPr>
    </w:p>
    <w:p w14:paraId="5DCB8C5C">
      <w:pPr>
        <w:spacing w:line="360" w:lineRule="auto"/>
        <w:jc w:val="center"/>
        <w:rPr>
          <w:rFonts w:ascii="宋体" w:hAnsi="宋体" w:cs="宋体"/>
          <w:b/>
          <w:sz w:val="24"/>
          <w:highlight w:val="none"/>
        </w:rPr>
      </w:pPr>
    </w:p>
    <w:p w14:paraId="4288A99F">
      <w:pPr>
        <w:spacing w:line="360" w:lineRule="auto"/>
        <w:jc w:val="center"/>
        <w:rPr>
          <w:rFonts w:ascii="宋体" w:hAnsi="宋体" w:cs="宋体"/>
          <w:b/>
          <w:sz w:val="24"/>
          <w:highlight w:val="none"/>
        </w:rPr>
      </w:pPr>
    </w:p>
    <w:p w14:paraId="74FDE689">
      <w:pPr>
        <w:spacing w:line="360" w:lineRule="auto"/>
        <w:jc w:val="center"/>
        <w:rPr>
          <w:rFonts w:ascii="宋体" w:hAnsi="宋体" w:cs="宋体"/>
          <w:b/>
          <w:sz w:val="24"/>
          <w:highlight w:val="none"/>
        </w:rPr>
      </w:pPr>
    </w:p>
    <w:p w14:paraId="2A17516F">
      <w:pPr>
        <w:spacing w:line="360" w:lineRule="auto"/>
        <w:jc w:val="center"/>
        <w:rPr>
          <w:rFonts w:ascii="宋体" w:hAnsi="宋体" w:cs="宋体"/>
          <w:b/>
          <w:sz w:val="24"/>
          <w:highlight w:val="none"/>
        </w:rPr>
      </w:pPr>
    </w:p>
    <w:p w14:paraId="74C3B70D">
      <w:pPr>
        <w:spacing w:line="360" w:lineRule="auto"/>
        <w:jc w:val="center"/>
        <w:rPr>
          <w:rFonts w:ascii="宋体" w:hAnsi="宋体" w:cs="宋体"/>
          <w:b/>
          <w:sz w:val="24"/>
          <w:highlight w:val="none"/>
        </w:rPr>
      </w:pPr>
    </w:p>
    <w:p w14:paraId="4B271FE7">
      <w:pPr>
        <w:spacing w:line="360" w:lineRule="auto"/>
        <w:jc w:val="center"/>
        <w:rPr>
          <w:rFonts w:ascii="宋体" w:hAnsi="宋体" w:cs="宋体"/>
          <w:b/>
          <w:sz w:val="24"/>
          <w:highlight w:val="none"/>
        </w:rPr>
      </w:pPr>
    </w:p>
    <w:p w14:paraId="37F7A53F">
      <w:pPr>
        <w:spacing w:line="360" w:lineRule="auto"/>
        <w:jc w:val="center"/>
        <w:rPr>
          <w:rFonts w:ascii="宋体" w:hAnsi="宋体" w:cs="宋体"/>
          <w:b/>
          <w:sz w:val="24"/>
          <w:highlight w:val="none"/>
        </w:rPr>
      </w:pPr>
    </w:p>
    <w:p w14:paraId="493F2447">
      <w:pPr>
        <w:spacing w:line="360" w:lineRule="auto"/>
        <w:jc w:val="center"/>
        <w:rPr>
          <w:rFonts w:ascii="宋体" w:hAnsi="宋体" w:cs="宋体"/>
          <w:b/>
          <w:sz w:val="24"/>
          <w:highlight w:val="none"/>
        </w:rPr>
      </w:pPr>
    </w:p>
    <w:p w14:paraId="761A80A1">
      <w:pPr>
        <w:spacing w:line="360" w:lineRule="auto"/>
        <w:jc w:val="center"/>
        <w:rPr>
          <w:rFonts w:ascii="宋体" w:hAnsi="宋体" w:cs="宋体"/>
          <w:b/>
          <w:sz w:val="24"/>
          <w:highlight w:val="none"/>
        </w:rPr>
      </w:pPr>
    </w:p>
    <w:p w14:paraId="3F0CC2DD">
      <w:pPr>
        <w:spacing w:line="360" w:lineRule="auto"/>
        <w:ind w:firstLine="3840" w:firstLineChars="1600"/>
        <w:rPr>
          <w:rFonts w:ascii="宋体" w:hAnsi="宋体" w:cs="宋体"/>
          <w:sz w:val="24"/>
          <w:highlight w:val="none"/>
        </w:rPr>
      </w:pPr>
      <w:r>
        <w:rPr>
          <w:rFonts w:hint="eastAsia" w:ascii="宋体" w:hAnsi="宋体" w:cs="宋体"/>
          <w:sz w:val="24"/>
          <w:highlight w:val="none"/>
          <w:lang w:val="en-US" w:eastAsia="zh-CN"/>
        </w:rPr>
        <w:t>供应商</w:t>
      </w:r>
      <w:r>
        <w:rPr>
          <w:rFonts w:hint="eastAsia" w:ascii="宋体" w:hAnsi="宋体" w:cs="宋体"/>
          <w:sz w:val="24"/>
          <w:highlight w:val="none"/>
        </w:rPr>
        <w:t>电子</w:t>
      </w:r>
      <w:r>
        <w:rPr>
          <w:rFonts w:hint="eastAsia" w:ascii="宋体" w:hAnsi="宋体" w:cs="宋体"/>
          <w:sz w:val="24"/>
          <w:highlight w:val="none"/>
          <w:lang w:val="en-US" w:eastAsia="zh-CN"/>
        </w:rPr>
        <w:t>公</w:t>
      </w:r>
      <w:r>
        <w:rPr>
          <w:rFonts w:hint="eastAsia" w:ascii="宋体" w:hAnsi="宋体" w:cs="宋体"/>
          <w:sz w:val="24"/>
          <w:highlight w:val="none"/>
        </w:rPr>
        <w:t xml:space="preserve">章： </w:t>
      </w:r>
    </w:p>
    <w:p w14:paraId="4CE7FDF8">
      <w:pPr>
        <w:spacing w:line="380" w:lineRule="exact"/>
        <w:ind w:right="640" w:firstLine="1560" w:firstLineChars="650"/>
        <w:rPr>
          <w:rFonts w:ascii="宋体" w:hAnsi="宋体" w:cs="宋体"/>
          <w:sz w:val="24"/>
          <w:highlight w:val="none"/>
        </w:rPr>
      </w:pPr>
    </w:p>
    <w:p w14:paraId="45584B05">
      <w:pPr>
        <w:spacing w:line="360" w:lineRule="auto"/>
        <w:jc w:val="center"/>
        <w:rPr>
          <w:rFonts w:ascii="宋体" w:hAnsi="宋体" w:cs="宋体"/>
          <w:sz w:val="24"/>
          <w:highlight w:val="none"/>
        </w:rPr>
      </w:pPr>
      <w:r>
        <w:rPr>
          <w:rFonts w:hint="eastAsia" w:ascii="宋体" w:hAnsi="宋体" w:cs="宋体"/>
          <w:sz w:val="24"/>
          <w:highlight w:val="none"/>
        </w:rPr>
        <w:t xml:space="preserve">      年   月    日</w:t>
      </w:r>
    </w:p>
    <w:p w14:paraId="0AEA6BF8">
      <w:pPr>
        <w:spacing w:line="360" w:lineRule="auto"/>
        <w:rPr>
          <w:rFonts w:hint="eastAsia" w:ascii="宋体" w:hAnsi="宋体" w:cs="宋体"/>
          <w:sz w:val="24"/>
          <w:highlight w:val="none"/>
        </w:rPr>
      </w:pPr>
    </w:p>
    <w:p w14:paraId="2DC5F000">
      <w:pPr>
        <w:spacing w:line="360" w:lineRule="auto"/>
        <w:rPr>
          <w:rFonts w:hint="eastAsia" w:ascii="宋体" w:hAnsi="宋体" w:cs="宋体"/>
          <w:sz w:val="24"/>
          <w:highlight w:val="none"/>
        </w:rPr>
      </w:pPr>
    </w:p>
    <w:p w14:paraId="783F68D3">
      <w:pPr>
        <w:spacing w:line="360" w:lineRule="auto"/>
        <w:rPr>
          <w:rFonts w:hint="eastAsia" w:ascii="宋体" w:hAnsi="宋体" w:cs="宋体"/>
          <w:sz w:val="24"/>
          <w:highlight w:val="none"/>
        </w:rPr>
      </w:pPr>
    </w:p>
    <w:p w14:paraId="7B1F8294">
      <w:pPr>
        <w:spacing w:line="360" w:lineRule="auto"/>
        <w:rPr>
          <w:rFonts w:hint="eastAsia" w:ascii="宋体" w:hAnsi="宋体" w:cs="宋体"/>
          <w:sz w:val="24"/>
          <w:highlight w:val="none"/>
        </w:rPr>
      </w:pPr>
    </w:p>
    <w:p w14:paraId="38B4101A">
      <w:pPr>
        <w:spacing w:line="380" w:lineRule="exact"/>
        <w:jc w:val="center"/>
        <w:rPr>
          <w:rFonts w:hint="eastAsia" w:ascii="宋体" w:hAnsi="宋体" w:eastAsia="宋体" w:cs="宋体"/>
          <w:sz w:val="24"/>
          <w:highlight w:val="none"/>
        </w:rPr>
      </w:pPr>
    </w:p>
    <w:p w14:paraId="57DD47D3">
      <w:pPr>
        <w:spacing w:line="380" w:lineRule="exact"/>
        <w:jc w:val="center"/>
        <w:rPr>
          <w:rFonts w:hint="eastAsia" w:ascii="宋体" w:hAnsi="宋体" w:eastAsia="宋体" w:cs="宋体"/>
          <w:sz w:val="24"/>
          <w:highlight w:val="none"/>
        </w:rPr>
      </w:pPr>
    </w:p>
    <w:p w14:paraId="5C6653DB">
      <w:pPr>
        <w:spacing w:line="380" w:lineRule="exact"/>
        <w:jc w:val="center"/>
        <w:rPr>
          <w:rFonts w:hint="eastAsia" w:ascii="宋体" w:hAnsi="宋体" w:eastAsia="宋体" w:cs="宋体"/>
          <w:sz w:val="24"/>
          <w:highlight w:val="none"/>
        </w:rPr>
      </w:pPr>
    </w:p>
    <w:p w14:paraId="3E0DEC24">
      <w:pPr>
        <w:spacing w:line="380" w:lineRule="exact"/>
        <w:jc w:val="center"/>
        <w:rPr>
          <w:rFonts w:hint="eastAsia" w:ascii="宋体" w:hAnsi="宋体" w:eastAsia="宋体" w:cs="宋体"/>
          <w:sz w:val="24"/>
          <w:highlight w:val="none"/>
        </w:rPr>
      </w:pPr>
    </w:p>
    <w:p w14:paraId="549D1871">
      <w:pPr>
        <w:spacing w:line="380" w:lineRule="exact"/>
        <w:jc w:val="center"/>
        <w:rPr>
          <w:rFonts w:hint="eastAsia" w:ascii="宋体" w:hAnsi="宋体" w:eastAsia="宋体" w:cs="宋体"/>
          <w:sz w:val="24"/>
          <w:highlight w:val="none"/>
        </w:rPr>
      </w:pPr>
    </w:p>
    <w:p w14:paraId="003115A1">
      <w:pPr>
        <w:spacing w:line="380" w:lineRule="exact"/>
        <w:jc w:val="center"/>
        <w:rPr>
          <w:rFonts w:hint="eastAsia" w:ascii="宋体" w:hAnsi="宋体" w:eastAsia="宋体" w:cs="宋体"/>
          <w:sz w:val="24"/>
          <w:highlight w:val="none"/>
        </w:rPr>
      </w:pPr>
    </w:p>
    <w:p w14:paraId="13FAF2C8">
      <w:pPr>
        <w:spacing w:line="380" w:lineRule="exact"/>
        <w:jc w:val="center"/>
        <w:rPr>
          <w:rFonts w:hint="eastAsia" w:ascii="宋体" w:hAnsi="宋体" w:eastAsia="宋体" w:cs="宋体"/>
          <w:sz w:val="24"/>
          <w:highlight w:val="none"/>
        </w:rPr>
      </w:pPr>
    </w:p>
    <w:p w14:paraId="21FB7A19">
      <w:pPr>
        <w:spacing w:line="380" w:lineRule="exact"/>
        <w:jc w:val="center"/>
        <w:rPr>
          <w:rFonts w:hint="eastAsia" w:ascii="宋体" w:hAnsi="宋体" w:eastAsia="宋体" w:cs="宋体"/>
          <w:sz w:val="24"/>
          <w:highlight w:val="none"/>
        </w:rPr>
      </w:pPr>
    </w:p>
    <w:p w14:paraId="6CD91474">
      <w:pPr>
        <w:spacing w:line="380" w:lineRule="exact"/>
        <w:jc w:val="center"/>
        <w:rPr>
          <w:rFonts w:hint="eastAsia" w:ascii="宋体" w:hAnsi="宋体" w:eastAsia="宋体" w:cs="宋体"/>
          <w:sz w:val="24"/>
          <w:highlight w:val="none"/>
        </w:rPr>
      </w:pPr>
    </w:p>
    <w:p w14:paraId="66E626B7">
      <w:pPr>
        <w:spacing w:line="380" w:lineRule="exact"/>
        <w:jc w:val="both"/>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格式</w:t>
      </w:r>
      <w:r>
        <w:rPr>
          <w:rFonts w:hint="eastAsia" w:ascii="宋体" w:hAnsi="宋体" w:cs="宋体"/>
          <w:color w:val="auto"/>
          <w:sz w:val="24"/>
          <w:highlight w:val="none"/>
          <w:lang w:val="en-US" w:eastAsia="zh-CN"/>
        </w:rPr>
        <w:t>10</w:t>
      </w:r>
    </w:p>
    <w:p w14:paraId="7FB292B4">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中小企业声明函（工程、服务）</w:t>
      </w:r>
    </w:p>
    <w:p w14:paraId="7879F75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32"/>
          <w:szCs w:val="32"/>
          <w:highlight w:val="none"/>
        </w:rPr>
      </w:pPr>
    </w:p>
    <w:p w14:paraId="6FFC0E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采购活动，工程的施工单位全部为符合政策要求的中小企业</w:t>
      </w:r>
      <w:r>
        <w:rPr>
          <w:rFonts w:hint="eastAsia" w:ascii="宋体" w:hAnsi="宋体" w:eastAsia="宋体" w:cs="宋体"/>
          <w:sz w:val="24"/>
          <w:szCs w:val="24"/>
          <w:highlight w:val="none"/>
          <w:u w:val="single"/>
        </w:rPr>
        <w:t>（或者：服务全部由符合政策要求的中小企业承接）</w:t>
      </w:r>
      <w:r>
        <w:rPr>
          <w:rFonts w:hint="eastAsia" w:ascii="宋体" w:hAnsi="宋体" w:eastAsia="宋体" w:cs="宋体"/>
          <w:sz w:val="24"/>
          <w:szCs w:val="24"/>
          <w:highlight w:val="none"/>
        </w:rPr>
        <w:t>。相关企业</w:t>
      </w:r>
      <w:r>
        <w:rPr>
          <w:rFonts w:hint="eastAsia" w:ascii="宋体" w:hAnsi="宋体" w:eastAsia="宋体" w:cs="宋体"/>
          <w:sz w:val="24"/>
          <w:szCs w:val="24"/>
          <w:highlight w:val="none"/>
          <w:u w:val="single"/>
        </w:rPr>
        <w:t>（含联合 体中的中小企业、签订分包意向协议的中小企业）</w:t>
      </w:r>
      <w:r>
        <w:rPr>
          <w:rFonts w:hint="eastAsia" w:ascii="宋体" w:hAnsi="宋体" w:eastAsia="宋体" w:cs="宋体"/>
          <w:sz w:val="24"/>
          <w:szCs w:val="24"/>
          <w:highlight w:val="none"/>
        </w:rPr>
        <w:t>的具体情 况如下：</w:t>
      </w:r>
    </w:p>
    <w:p w14:paraId="5912C4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 承建（承接）企业为（企业名称），从业人员</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万元1，属于（中型企业、小型企业、微型企业）； </w:t>
      </w:r>
    </w:p>
    <w:p w14:paraId="6EA25A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 承建（承接）企业为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万元，属于</w:t>
      </w:r>
      <w:r>
        <w:rPr>
          <w:rFonts w:hint="eastAsia" w:ascii="宋体" w:hAnsi="宋体" w:eastAsia="宋体" w:cs="宋体"/>
          <w:i w:val="0"/>
          <w:iCs w:val="0"/>
          <w:sz w:val="24"/>
          <w:szCs w:val="24"/>
          <w:highlight w:val="none"/>
          <w:u w:val="single"/>
        </w:rPr>
        <w:t>（中型企业、 小型企业、微型企业）</w:t>
      </w:r>
      <w:r>
        <w:rPr>
          <w:rFonts w:hint="eastAsia" w:ascii="宋体" w:hAnsi="宋体" w:eastAsia="宋体" w:cs="宋体"/>
          <w:sz w:val="24"/>
          <w:szCs w:val="24"/>
          <w:highlight w:val="none"/>
        </w:rPr>
        <w:t>； ……</w:t>
      </w:r>
    </w:p>
    <w:p w14:paraId="2AA1CB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 为大企业的情形，也不存在与大企业的负责人为同一人的情形。</w:t>
      </w:r>
    </w:p>
    <w:p w14:paraId="18DE1C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本企业对上述声明内容的真实性负责。如有虚假，将依法承担相应责任。 </w:t>
      </w:r>
    </w:p>
    <w:p w14:paraId="5F4893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600" w:firstLineChars="15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企业名称（盖章）： </w:t>
      </w:r>
    </w:p>
    <w:p w14:paraId="2E2831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0" w:firstLineChars="20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 期： </w:t>
      </w:r>
    </w:p>
    <w:p w14:paraId="046E948E">
      <w:pPr>
        <w:pStyle w:val="40"/>
        <w:rPr>
          <w:rFonts w:hint="eastAsia" w:ascii="宋体" w:hAnsi="宋体" w:eastAsia="宋体" w:cs="宋体"/>
          <w:sz w:val="24"/>
          <w:szCs w:val="24"/>
          <w:highlight w:val="none"/>
        </w:rPr>
      </w:pPr>
    </w:p>
    <w:p w14:paraId="3A1A21EE">
      <w:pPr>
        <w:pStyle w:val="6"/>
        <w:rPr>
          <w:rFonts w:hint="eastAsia" w:ascii="宋体" w:hAnsi="宋体" w:eastAsia="宋体" w:cs="宋体"/>
          <w:sz w:val="24"/>
          <w:szCs w:val="24"/>
          <w:highlight w:val="none"/>
        </w:rPr>
      </w:pPr>
    </w:p>
    <w:p w14:paraId="6E420896">
      <w:pPr>
        <w:rPr>
          <w:rFonts w:hint="eastAsia" w:ascii="宋体" w:hAnsi="宋体" w:eastAsia="宋体" w:cs="宋体"/>
          <w:sz w:val="24"/>
          <w:szCs w:val="24"/>
          <w:highlight w:val="none"/>
        </w:rPr>
      </w:pPr>
    </w:p>
    <w:p w14:paraId="28BBA6F6">
      <w:pPr>
        <w:pStyle w:val="40"/>
        <w:rPr>
          <w:rFonts w:hint="eastAsia" w:ascii="宋体" w:hAnsi="宋体" w:eastAsia="宋体" w:cs="宋体"/>
          <w:sz w:val="24"/>
          <w:szCs w:val="24"/>
          <w:highlight w:val="none"/>
        </w:rPr>
      </w:pPr>
    </w:p>
    <w:p w14:paraId="6099D2A5">
      <w:pPr>
        <w:pStyle w:val="6"/>
        <w:rPr>
          <w:rFonts w:hint="eastAsia"/>
          <w:highlight w:val="none"/>
        </w:rPr>
      </w:pPr>
    </w:p>
    <w:p w14:paraId="54536D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注：1.从业人员、营业收入、资产总额填报上一年度数据，无上一年度数据的新成立企业可不填报。</w:t>
      </w:r>
    </w:p>
    <w:p w14:paraId="5B0C66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2.本项目如是只面向中小企业采购的应当必须提供。</w:t>
      </w:r>
    </w:p>
    <w:p w14:paraId="33E756DC">
      <w:pPr>
        <w:spacing w:line="360" w:lineRule="auto"/>
        <w:jc w:val="center"/>
        <w:rPr>
          <w:rFonts w:ascii="宋体" w:hAnsi="宋体" w:cs="宋体"/>
          <w:b/>
          <w:bCs/>
          <w:sz w:val="24"/>
          <w:highlight w:val="none"/>
        </w:rPr>
      </w:pPr>
    </w:p>
    <w:p w14:paraId="29B173DD">
      <w:pPr>
        <w:spacing w:line="360" w:lineRule="auto"/>
        <w:jc w:val="center"/>
        <w:rPr>
          <w:rFonts w:ascii="宋体" w:hAnsi="宋体" w:cs="宋体"/>
          <w:b/>
          <w:bCs/>
          <w:sz w:val="24"/>
          <w:highlight w:val="none"/>
        </w:rPr>
      </w:pPr>
    </w:p>
    <w:p w14:paraId="645898F3">
      <w:pPr>
        <w:pStyle w:val="40"/>
        <w:rPr>
          <w:rFonts w:ascii="宋体" w:hAnsi="宋体" w:cs="宋体"/>
          <w:b/>
          <w:bCs/>
          <w:sz w:val="24"/>
          <w:highlight w:val="none"/>
        </w:rPr>
      </w:pPr>
    </w:p>
    <w:p w14:paraId="336B4B49">
      <w:pPr>
        <w:pStyle w:val="6"/>
        <w:rPr>
          <w:highlight w:val="none"/>
        </w:rPr>
      </w:pPr>
    </w:p>
    <w:p w14:paraId="672E6641">
      <w:pPr>
        <w:spacing w:line="360" w:lineRule="auto"/>
        <w:rPr>
          <w:rFonts w:hint="eastAsia" w:ascii="宋体" w:hAnsi="宋体" w:cs="宋体"/>
          <w:sz w:val="24"/>
          <w:highlight w:val="none"/>
        </w:rPr>
      </w:pPr>
    </w:p>
    <w:p w14:paraId="6ECF36AA">
      <w:pPr>
        <w:spacing w:line="360" w:lineRule="auto"/>
        <w:rPr>
          <w:rFonts w:hint="eastAsia" w:ascii="宋体" w:hAnsi="宋体" w:cs="宋体"/>
          <w:sz w:val="24"/>
          <w:highlight w:val="none"/>
        </w:rPr>
        <w:sectPr>
          <w:pgSz w:w="11907" w:h="16840"/>
          <w:pgMar w:top="1440" w:right="1588" w:bottom="1440" w:left="1588" w:header="851" w:footer="992" w:gutter="0"/>
          <w:cols w:space="720" w:num="1"/>
          <w:docGrid w:type="lines" w:linePitch="312" w:charSpace="0"/>
        </w:sectPr>
      </w:pPr>
    </w:p>
    <w:p w14:paraId="4F685E54">
      <w:pPr>
        <w:spacing w:line="360" w:lineRule="auto"/>
        <w:rPr>
          <w:rFonts w:hint="default" w:ascii="宋体" w:hAnsi="宋体" w:cs="宋体"/>
          <w:sz w:val="24"/>
          <w:highlight w:val="none"/>
          <w:lang w:val="en-US" w:eastAsia="zh-CN"/>
        </w:rPr>
      </w:pPr>
      <w:r>
        <w:rPr>
          <w:rFonts w:hint="eastAsia" w:ascii="宋体" w:hAnsi="宋体" w:cs="宋体"/>
          <w:sz w:val="24"/>
          <w:highlight w:val="none"/>
        </w:rPr>
        <w:t>格式</w:t>
      </w:r>
      <w:r>
        <w:rPr>
          <w:rFonts w:hint="eastAsia" w:ascii="宋体" w:hAnsi="宋体" w:cs="宋体"/>
          <w:sz w:val="24"/>
          <w:highlight w:val="none"/>
          <w:lang w:val="en-US" w:eastAsia="zh-CN"/>
        </w:rPr>
        <w:t>11</w:t>
      </w:r>
    </w:p>
    <w:p w14:paraId="3BFB7F24">
      <w:pPr>
        <w:spacing w:line="360" w:lineRule="auto"/>
        <w:jc w:val="center"/>
        <w:rPr>
          <w:rFonts w:ascii="宋体" w:hAnsi="宋体" w:cs="宋体"/>
          <w:sz w:val="24"/>
          <w:highlight w:val="none"/>
        </w:rPr>
      </w:pPr>
      <w:r>
        <w:rPr>
          <w:rFonts w:hint="eastAsia" w:ascii="宋体" w:hAnsi="宋体" w:cs="宋体"/>
          <w:sz w:val="24"/>
          <w:highlight w:val="none"/>
        </w:rPr>
        <w:t>其他资料</w:t>
      </w:r>
    </w:p>
    <w:p w14:paraId="4CE24963">
      <w:pPr>
        <w:pStyle w:val="37"/>
        <w:ind w:firstLine="240"/>
        <w:rPr>
          <w:rFonts w:ascii="宋体" w:hAnsi="宋体" w:cs="宋体"/>
          <w:sz w:val="24"/>
          <w:highlight w:val="none"/>
        </w:rPr>
      </w:pPr>
    </w:p>
    <w:p w14:paraId="7150FB1B">
      <w:pPr>
        <w:spacing w:line="360" w:lineRule="auto"/>
        <w:rPr>
          <w:rFonts w:hint="eastAsia" w:ascii="宋体" w:hAnsi="宋体" w:cs="宋体"/>
          <w:sz w:val="24"/>
          <w:highlight w:val="none"/>
        </w:rPr>
        <w:sectPr>
          <w:pgSz w:w="11907" w:h="16840"/>
          <w:pgMar w:top="1440" w:right="1588" w:bottom="1440" w:left="1588" w:header="851" w:footer="992" w:gutter="0"/>
          <w:cols w:space="720" w:num="1"/>
          <w:docGrid w:type="lines" w:linePitch="312" w:charSpace="0"/>
        </w:sectPr>
      </w:pPr>
    </w:p>
    <w:p w14:paraId="4139841B">
      <w:pPr>
        <w:spacing w:line="360" w:lineRule="auto"/>
        <w:rPr>
          <w:rFonts w:hint="default" w:eastAsia="宋体"/>
          <w:highlight w:val="none"/>
          <w:lang w:val="en-US" w:eastAsia="zh-CN"/>
        </w:rPr>
      </w:pPr>
      <w:r>
        <w:rPr>
          <w:rFonts w:hint="eastAsia" w:ascii="宋体" w:hAnsi="宋体" w:cs="宋体"/>
          <w:sz w:val="24"/>
          <w:highlight w:val="none"/>
        </w:rPr>
        <w:t>格式</w:t>
      </w:r>
      <w:r>
        <w:rPr>
          <w:rFonts w:hint="eastAsia" w:ascii="宋体" w:hAnsi="宋体" w:cs="宋体"/>
          <w:sz w:val="24"/>
          <w:highlight w:val="none"/>
          <w:lang w:val="en-US" w:eastAsia="zh-CN"/>
        </w:rPr>
        <w:t>12</w:t>
      </w:r>
    </w:p>
    <w:p w14:paraId="22ADD1C8">
      <w:pPr>
        <w:spacing w:line="380" w:lineRule="exact"/>
        <w:jc w:val="center"/>
        <w:rPr>
          <w:rStyle w:val="68"/>
          <w:rFonts w:ascii="宋体"/>
          <w:b/>
          <w:bCs/>
          <w:sz w:val="28"/>
          <w:szCs w:val="28"/>
          <w:highlight w:val="none"/>
        </w:rPr>
      </w:pPr>
      <w:r>
        <w:rPr>
          <w:rStyle w:val="68"/>
          <w:rFonts w:hint="eastAsia" w:ascii="宋体" w:hAnsi="宋体" w:cs="宋体"/>
          <w:b/>
          <w:bCs/>
          <w:sz w:val="28"/>
          <w:szCs w:val="28"/>
          <w:highlight w:val="none"/>
        </w:rPr>
        <w:t>政府采购供应商诚信承诺书</w:t>
      </w:r>
    </w:p>
    <w:p w14:paraId="7DF77E6B">
      <w:pPr>
        <w:spacing w:line="380" w:lineRule="exact"/>
        <w:jc w:val="center"/>
        <w:rPr>
          <w:rStyle w:val="68"/>
          <w:rFonts w:ascii="宋体"/>
          <w:b/>
          <w:bCs/>
          <w:sz w:val="24"/>
          <w:highlight w:val="none"/>
        </w:rPr>
      </w:pPr>
    </w:p>
    <w:p w14:paraId="12F410EC">
      <w:pPr>
        <w:spacing w:line="380" w:lineRule="exact"/>
        <w:ind w:firstLine="720" w:firstLineChars="300"/>
        <w:rPr>
          <w:rFonts w:ascii="宋体" w:hAnsi="宋体" w:cs="宋体"/>
          <w:sz w:val="24"/>
          <w:highlight w:val="none"/>
        </w:rPr>
      </w:pPr>
      <w:r>
        <w:rPr>
          <w:rFonts w:hint="eastAsia" w:ascii="宋体" w:hAnsi="宋体" w:cs="宋体"/>
          <w:sz w:val="24"/>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111F1FBA">
      <w:pPr>
        <w:spacing w:line="380" w:lineRule="exact"/>
        <w:rPr>
          <w:rFonts w:ascii="宋体" w:hAnsi="宋体" w:cs="宋体"/>
          <w:sz w:val="24"/>
          <w:highlight w:val="none"/>
        </w:rPr>
      </w:pPr>
      <w:r>
        <w:rPr>
          <w:rFonts w:hint="eastAsia" w:ascii="宋体" w:hAnsi="宋体" w:cs="宋体"/>
          <w:sz w:val="24"/>
          <w:highlight w:val="none"/>
        </w:rPr>
        <w:t>（一）提供虚假材料谋取中标;</w:t>
      </w:r>
    </w:p>
    <w:p w14:paraId="4E01FF7A">
      <w:pPr>
        <w:spacing w:line="380" w:lineRule="exact"/>
        <w:rPr>
          <w:rFonts w:ascii="宋体" w:hAnsi="宋体" w:cs="宋体"/>
          <w:sz w:val="24"/>
          <w:highlight w:val="none"/>
        </w:rPr>
      </w:pPr>
      <w:r>
        <w:rPr>
          <w:rFonts w:hint="eastAsia" w:ascii="宋体" w:hAnsi="宋体" w:cs="宋体"/>
          <w:sz w:val="24"/>
          <w:highlight w:val="none"/>
        </w:rPr>
        <w:t>（二）采取不正当手段诋毁、排挤其他供应商;</w:t>
      </w:r>
    </w:p>
    <w:p w14:paraId="459ABDEB">
      <w:pPr>
        <w:spacing w:line="380" w:lineRule="exact"/>
        <w:rPr>
          <w:rFonts w:ascii="宋体" w:hAnsi="宋体" w:cs="宋体"/>
          <w:sz w:val="24"/>
          <w:highlight w:val="none"/>
        </w:rPr>
      </w:pPr>
      <w:r>
        <w:rPr>
          <w:rFonts w:hint="eastAsia" w:ascii="宋体" w:hAnsi="宋体" w:cs="宋体"/>
          <w:sz w:val="24"/>
          <w:highlight w:val="none"/>
        </w:rPr>
        <w:t>（三）与招标采购单位、其他投标人恶意串通;</w:t>
      </w:r>
    </w:p>
    <w:p w14:paraId="374E60C3">
      <w:pPr>
        <w:spacing w:line="380" w:lineRule="exact"/>
        <w:rPr>
          <w:rFonts w:ascii="宋体" w:hAnsi="宋体" w:cs="宋体"/>
          <w:sz w:val="24"/>
          <w:highlight w:val="none"/>
        </w:rPr>
      </w:pPr>
      <w:r>
        <w:rPr>
          <w:rFonts w:hint="eastAsia" w:ascii="宋体" w:hAnsi="宋体" w:cs="宋体"/>
          <w:sz w:val="24"/>
          <w:highlight w:val="none"/>
        </w:rPr>
        <w:t>（四）向招标采购单位或提供其他不正当利益;</w:t>
      </w:r>
    </w:p>
    <w:p w14:paraId="67880A5F">
      <w:pPr>
        <w:spacing w:line="380" w:lineRule="exact"/>
        <w:rPr>
          <w:rFonts w:ascii="宋体" w:hAnsi="宋体" w:cs="宋体"/>
          <w:sz w:val="24"/>
          <w:highlight w:val="none"/>
        </w:rPr>
      </w:pPr>
      <w:r>
        <w:rPr>
          <w:rFonts w:hint="eastAsia" w:ascii="宋体" w:hAnsi="宋体" w:cs="宋体"/>
          <w:sz w:val="24"/>
          <w:highlight w:val="none"/>
        </w:rPr>
        <w:t>（五）在招标过程中与招标采购单位进行协商谈判、不按照招标文件和投标文件订立合同，或者与采购人另立背离合同实质性内容协议;</w:t>
      </w:r>
    </w:p>
    <w:p w14:paraId="135C8BAB">
      <w:pPr>
        <w:spacing w:line="380" w:lineRule="exact"/>
        <w:rPr>
          <w:rFonts w:ascii="宋体" w:hAnsi="宋体" w:cs="宋体"/>
          <w:sz w:val="24"/>
          <w:highlight w:val="none"/>
        </w:rPr>
      </w:pPr>
      <w:r>
        <w:rPr>
          <w:rFonts w:hint="eastAsia" w:ascii="宋体" w:hAnsi="宋体" w:cs="宋体"/>
          <w:sz w:val="24"/>
          <w:highlight w:val="none"/>
        </w:rPr>
        <w:t>（六）开标后擅自撤销投标，影响招标继续进行的或领取招标文件纳投标保证金后不投标导致废标;</w:t>
      </w:r>
    </w:p>
    <w:p w14:paraId="330C381E">
      <w:pPr>
        <w:spacing w:line="380" w:lineRule="exact"/>
        <w:rPr>
          <w:rFonts w:ascii="宋体" w:hAnsi="宋体" w:cs="宋体"/>
          <w:sz w:val="24"/>
          <w:highlight w:val="none"/>
        </w:rPr>
      </w:pPr>
      <w:r>
        <w:rPr>
          <w:rFonts w:hint="eastAsia" w:ascii="宋体" w:hAnsi="宋体" w:cs="宋体"/>
          <w:sz w:val="24"/>
          <w:highlight w:val="none"/>
        </w:rPr>
        <w:t>（七）中标后无正当理由，在规定时间内不与采购单位签订合同;</w:t>
      </w:r>
    </w:p>
    <w:p w14:paraId="6262BD3B">
      <w:pPr>
        <w:spacing w:line="380" w:lineRule="exact"/>
        <w:rPr>
          <w:rFonts w:ascii="宋体" w:hAnsi="宋体" w:cs="宋体"/>
          <w:sz w:val="24"/>
          <w:highlight w:val="none"/>
        </w:rPr>
      </w:pPr>
      <w:r>
        <w:rPr>
          <w:rFonts w:hint="eastAsia" w:ascii="宋体" w:hAnsi="宋体" w:cs="宋体"/>
          <w:sz w:val="24"/>
          <w:highlight w:val="none"/>
        </w:rPr>
        <w:t>（八）将中标项目转让给他人或非法分包他人;</w:t>
      </w:r>
    </w:p>
    <w:p w14:paraId="2E0C2434">
      <w:pPr>
        <w:spacing w:line="380" w:lineRule="exact"/>
        <w:rPr>
          <w:rFonts w:ascii="宋体" w:hAnsi="宋体" w:cs="宋体"/>
          <w:sz w:val="24"/>
          <w:highlight w:val="none"/>
        </w:rPr>
      </w:pPr>
      <w:r>
        <w:rPr>
          <w:rFonts w:hint="eastAsia" w:ascii="宋体" w:hAnsi="宋体" w:cs="宋体"/>
          <w:sz w:val="24"/>
          <w:highlight w:val="none"/>
        </w:rPr>
        <w:t>（九）无正当理由，拒绝履行合同义务;</w:t>
      </w:r>
    </w:p>
    <w:p w14:paraId="38D0407F">
      <w:pPr>
        <w:spacing w:line="380" w:lineRule="exact"/>
        <w:rPr>
          <w:rFonts w:ascii="宋体" w:hAnsi="宋体" w:cs="宋体"/>
          <w:sz w:val="24"/>
          <w:highlight w:val="none"/>
        </w:rPr>
      </w:pPr>
      <w:r>
        <w:rPr>
          <w:rFonts w:hint="eastAsia" w:ascii="宋体" w:hAnsi="宋体" w:cs="宋体"/>
          <w:sz w:val="24"/>
          <w:highlight w:val="none"/>
        </w:rPr>
        <w:t>（十）无正当理由放弃中标（成交）项目;</w:t>
      </w:r>
    </w:p>
    <w:p w14:paraId="6C3AF7A9">
      <w:pPr>
        <w:spacing w:line="380" w:lineRule="exact"/>
        <w:rPr>
          <w:rFonts w:ascii="宋体" w:hAnsi="宋体" w:cs="宋体"/>
          <w:sz w:val="24"/>
          <w:highlight w:val="none"/>
        </w:rPr>
      </w:pPr>
      <w:r>
        <w:rPr>
          <w:rFonts w:hint="eastAsia" w:ascii="宋体" w:hAnsi="宋体" w:cs="宋体"/>
          <w:sz w:val="24"/>
          <w:highlight w:val="none"/>
        </w:rPr>
        <w:t>（十</w:t>
      </w:r>
      <w:r>
        <w:rPr>
          <w:rFonts w:hint="eastAsia" w:ascii="宋体" w:hAnsi="宋体" w:cs="宋体"/>
          <w:sz w:val="24"/>
          <w:highlight w:val="none"/>
          <w:lang w:val="en-US" w:eastAsia="zh-CN"/>
        </w:rPr>
        <w:t>一</w:t>
      </w:r>
      <w:r>
        <w:rPr>
          <w:rFonts w:hint="eastAsia" w:ascii="宋体" w:hAnsi="宋体" w:cs="宋体"/>
          <w:sz w:val="24"/>
          <w:highlight w:val="none"/>
        </w:rPr>
        <w:t>）</w:t>
      </w:r>
      <w:r>
        <w:rPr>
          <w:rFonts w:hint="eastAsia" w:ascii="宋体" w:hAnsi="宋体" w:cs="宋体"/>
          <w:sz w:val="24"/>
          <w:highlight w:val="none"/>
          <w:lang w:val="en-US" w:eastAsia="zh-CN"/>
        </w:rPr>
        <w:t>擅</w:t>
      </w:r>
      <w:r>
        <w:rPr>
          <w:rFonts w:hint="eastAsia" w:ascii="宋体" w:hAnsi="宋体" w:cs="宋体"/>
          <w:sz w:val="24"/>
          <w:highlight w:val="none"/>
        </w:rPr>
        <w:t>自或与与采购人串通或接受采购人要求，在履约合同中通过减少货物数量，更换品牌、降低配置、技术要求、质量和服务标准等，却仍按原合同进行虚假验收或终止政府采购合同;</w:t>
      </w:r>
    </w:p>
    <w:p w14:paraId="51091EFD">
      <w:pPr>
        <w:spacing w:line="380" w:lineRule="exact"/>
        <w:rPr>
          <w:rFonts w:ascii="宋体" w:hAnsi="宋体" w:cs="宋体"/>
          <w:sz w:val="24"/>
          <w:highlight w:val="none"/>
        </w:rPr>
      </w:pPr>
      <w:r>
        <w:rPr>
          <w:rFonts w:hint="eastAsia" w:ascii="宋体" w:hAnsi="宋体" w:cs="宋体"/>
          <w:sz w:val="24"/>
          <w:highlight w:val="none"/>
        </w:rPr>
        <w:t>（十二）与采购人串通，对尚未履约完毕的采购项目出具虚假验收报告；</w:t>
      </w:r>
    </w:p>
    <w:p w14:paraId="08023C2B">
      <w:pPr>
        <w:spacing w:line="380" w:lineRule="exact"/>
        <w:rPr>
          <w:rFonts w:ascii="宋体" w:hAnsi="宋体" w:cs="宋体"/>
          <w:sz w:val="24"/>
          <w:highlight w:val="none"/>
        </w:rPr>
      </w:pPr>
      <w:r>
        <w:rPr>
          <w:rFonts w:hint="eastAsia" w:ascii="宋体" w:hAnsi="宋体" w:cs="宋体"/>
          <w:sz w:val="24"/>
          <w:highlight w:val="none"/>
        </w:rPr>
        <w:t>（十三）无不可抗力因素，拒绝提供售后服务、售后服务态度恶劣、故意提高维修配件价格（高于市场平均价）；</w:t>
      </w:r>
    </w:p>
    <w:p w14:paraId="3BE84D59">
      <w:pPr>
        <w:spacing w:line="380" w:lineRule="exact"/>
        <w:rPr>
          <w:rFonts w:ascii="宋体" w:hAnsi="宋体" w:cs="宋体"/>
          <w:sz w:val="24"/>
          <w:highlight w:val="none"/>
        </w:rPr>
      </w:pPr>
      <w:r>
        <w:rPr>
          <w:rFonts w:hint="eastAsia" w:ascii="宋体" w:hAnsi="宋体" w:cs="宋体"/>
          <w:sz w:val="24"/>
          <w:highlight w:val="none"/>
        </w:rPr>
        <w:t>（十四）开标后对招标文件的相关内容再进行质疑；</w:t>
      </w:r>
    </w:p>
    <w:p w14:paraId="6A1ECFEB">
      <w:pPr>
        <w:spacing w:line="380" w:lineRule="exact"/>
        <w:rPr>
          <w:rFonts w:ascii="宋体" w:hAnsi="宋体" w:cs="宋体"/>
          <w:sz w:val="24"/>
          <w:highlight w:val="none"/>
        </w:rPr>
      </w:pPr>
      <w:r>
        <w:rPr>
          <w:rFonts w:hint="eastAsia" w:ascii="宋体" w:hAnsi="宋体" w:cs="宋体"/>
          <w:sz w:val="24"/>
          <w:highlight w:val="none"/>
        </w:rPr>
        <w:t>（十五）恶意投诉的行为：投诉经查无实据的、捏造事实或者提供虚假设诉材料；</w:t>
      </w:r>
    </w:p>
    <w:p w14:paraId="7720FBC2">
      <w:pPr>
        <w:spacing w:line="380" w:lineRule="exact"/>
        <w:rPr>
          <w:rFonts w:ascii="宋体" w:hAnsi="宋体" w:cs="宋体"/>
          <w:sz w:val="24"/>
          <w:highlight w:val="none"/>
        </w:rPr>
      </w:pPr>
      <w:r>
        <w:rPr>
          <w:rFonts w:hint="eastAsia" w:ascii="宋体" w:hAnsi="宋体" w:cs="宋体"/>
          <w:sz w:val="24"/>
          <w:highlight w:val="none"/>
        </w:rPr>
        <w:t>（十六）拒绝有关部门监督检查或者提供虚假情况；</w:t>
      </w:r>
    </w:p>
    <w:p w14:paraId="12107C68">
      <w:pPr>
        <w:spacing w:line="380" w:lineRule="exact"/>
        <w:rPr>
          <w:rFonts w:ascii="宋体" w:hAnsi="宋体" w:cs="宋体"/>
          <w:sz w:val="24"/>
          <w:highlight w:val="none"/>
        </w:rPr>
      </w:pPr>
      <w:r>
        <w:rPr>
          <w:rFonts w:hint="eastAsia" w:ascii="宋体" w:hAnsi="宋体" w:cs="宋体"/>
          <w:sz w:val="24"/>
          <w:highlight w:val="none"/>
        </w:rPr>
        <w:t>（十七）政府采购监管部门认定的其他政府采购活动中的不诚信行为。</w:t>
      </w:r>
    </w:p>
    <w:p w14:paraId="7F3A66FE">
      <w:pPr>
        <w:spacing w:line="380" w:lineRule="exact"/>
        <w:ind w:firstLine="3360" w:firstLineChars="1400"/>
        <w:rPr>
          <w:rFonts w:ascii="宋体" w:hAnsi="宋体" w:cs="宋体"/>
          <w:sz w:val="24"/>
          <w:highlight w:val="none"/>
        </w:rPr>
      </w:pPr>
    </w:p>
    <w:p w14:paraId="4E3AA29B">
      <w:pPr>
        <w:spacing w:line="380" w:lineRule="exact"/>
        <w:ind w:firstLine="3360" w:firstLineChars="1400"/>
        <w:rPr>
          <w:rFonts w:ascii="宋体" w:hAnsi="宋体" w:cs="宋体"/>
          <w:sz w:val="24"/>
          <w:highlight w:val="none"/>
        </w:rPr>
      </w:pPr>
      <w:r>
        <w:rPr>
          <w:rFonts w:hint="eastAsia" w:ascii="宋体" w:hAnsi="宋体" w:cs="宋体"/>
          <w:sz w:val="24"/>
          <w:highlight w:val="none"/>
        </w:rPr>
        <w:t>供应商名称：（盖章）</w:t>
      </w:r>
    </w:p>
    <w:p w14:paraId="6E2624C0">
      <w:pPr>
        <w:spacing w:line="380" w:lineRule="exact"/>
        <w:ind w:firstLine="3360" w:firstLineChars="1400"/>
        <w:rPr>
          <w:rFonts w:ascii="宋体" w:hAnsi="宋体" w:cs="宋体"/>
          <w:sz w:val="24"/>
          <w:highlight w:val="none"/>
        </w:rPr>
      </w:pPr>
      <w:r>
        <w:rPr>
          <w:rFonts w:ascii="宋体" w:hAnsi="宋体" w:eastAsia="宋体" w:cs="宋体"/>
          <w:color w:val="auto"/>
          <w:spacing w:val="0"/>
          <w:position w:val="0"/>
          <w:sz w:val="24"/>
          <w:highlight w:val="none"/>
          <w:shd w:val="clear" w:fill="auto"/>
        </w:rPr>
        <w:t>法人代表或授权委托人：</w:t>
      </w:r>
      <w:r>
        <w:rPr>
          <w:rFonts w:hint="eastAsia" w:ascii="宋体" w:hAnsi="宋体" w:cs="宋体"/>
          <w:sz w:val="24"/>
          <w:highlight w:val="none"/>
        </w:rPr>
        <w:t>（签</w:t>
      </w:r>
      <w:r>
        <w:rPr>
          <w:rFonts w:hint="eastAsia" w:ascii="宋体" w:hAnsi="宋体" w:cs="宋体"/>
          <w:sz w:val="24"/>
          <w:highlight w:val="none"/>
          <w:lang w:val="en-US" w:eastAsia="zh-CN"/>
        </w:rPr>
        <w:t>章</w:t>
      </w:r>
      <w:r>
        <w:rPr>
          <w:rFonts w:hint="eastAsia" w:ascii="宋体" w:hAnsi="宋体" w:cs="宋体"/>
          <w:sz w:val="24"/>
          <w:highlight w:val="none"/>
        </w:rPr>
        <w:t>）</w:t>
      </w:r>
    </w:p>
    <w:p w14:paraId="3757185A">
      <w:pPr>
        <w:spacing w:line="380" w:lineRule="exact"/>
        <w:ind w:firstLine="3360" w:firstLineChars="1400"/>
        <w:rPr>
          <w:rFonts w:ascii="宋体" w:hAnsi="宋体" w:cs="宋体"/>
          <w:b/>
          <w:sz w:val="24"/>
          <w:highlight w:val="none"/>
        </w:rPr>
      </w:pPr>
      <w:r>
        <w:rPr>
          <w:rFonts w:hint="eastAsia" w:ascii="宋体" w:hAnsi="宋体" w:cs="宋体"/>
          <w:sz w:val="24"/>
          <w:highlight w:val="none"/>
        </w:rPr>
        <w:t>日期：年月日</w:t>
      </w:r>
    </w:p>
    <w:p w14:paraId="0CBC14AA">
      <w:pPr>
        <w:pStyle w:val="3"/>
        <w:bidi w:val="0"/>
        <w:jc w:val="center"/>
        <w:rPr>
          <w:rFonts w:hint="eastAsia" w:ascii="宋体" w:hAnsi="宋体" w:cs="宋体"/>
          <w:b/>
          <w:bCs w:val="0"/>
          <w:sz w:val="32"/>
          <w:szCs w:val="32"/>
          <w:highlight w:val="none"/>
        </w:rPr>
      </w:pPr>
    </w:p>
    <w:p w14:paraId="5664F47C">
      <w:pPr>
        <w:pStyle w:val="3"/>
        <w:bidi w:val="0"/>
        <w:jc w:val="center"/>
        <w:rPr>
          <w:rFonts w:hint="eastAsia" w:ascii="宋体" w:hAnsi="宋体" w:eastAsia="宋体" w:cs="宋体"/>
          <w:b/>
          <w:bCs w:val="0"/>
          <w:sz w:val="32"/>
          <w:szCs w:val="32"/>
          <w:highlight w:val="none"/>
          <w:lang w:val="en-US"/>
        </w:rPr>
      </w:pPr>
      <w:r>
        <w:rPr>
          <w:rFonts w:hint="eastAsia" w:ascii="宋体" w:hAnsi="宋体" w:cs="宋体"/>
          <w:b/>
          <w:bCs w:val="0"/>
          <w:sz w:val="32"/>
          <w:szCs w:val="32"/>
          <w:highlight w:val="none"/>
        </w:rPr>
        <w:t xml:space="preserve">第五章  </w:t>
      </w:r>
      <w:r>
        <w:rPr>
          <w:rFonts w:hint="eastAsia" w:ascii="宋体" w:hAnsi="宋体" w:eastAsia="宋体" w:cs="宋体"/>
          <w:b/>
          <w:bCs w:val="0"/>
          <w:w w:val="92"/>
          <w:sz w:val="32"/>
          <w:szCs w:val="32"/>
          <w:highlight w:val="none"/>
          <w:lang w:val="en-US"/>
        </w:rPr>
        <w:t>周口市</w:t>
      </w:r>
      <w:r>
        <w:rPr>
          <w:rFonts w:hint="eastAsia" w:ascii="宋体" w:hAnsi="宋体" w:eastAsia="宋体" w:cs="宋体"/>
          <w:b/>
          <w:bCs w:val="0"/>
          <w:sz w:val="32"/>
          <w:szCs w:val="32"/>
          <w:highlight w:val="none"/>
          <w:lang w:val="en-US"/>
        </w:rPr>
        <w:t>政府采购合同（服务类）标准文本</w:t>
      </w:r>
    </w:p>
    <w:p w14:paraId="3E7B87D6">
      <w:pPr>
        <w:ind w:firstLine="640" w:firstLineChars="200"/>
        <w:jc w:val="both"/>
        <w:rPr>
          <w:rFonts w:hint="eastAsia" w:ascii="宋体" w:hAnsi="宋体" w:eastAsia="宋体" w:cs="宋体"/>
          <w:sz w:val="32"/>
          <w:szCs w:val="32"/>
          <w:highlight w:val="none"/>
          <w:lang w:val="en-US"/>
        </w:rPr>
      </w:pPr>
    </w:p>
    <w:p w14:paraId="6590C679">
      <w:pPr>
        <w:pStyle w:val="81"/>
        <w:spacing w:beforeLines="0" w:afterLines="0"/>
        <w:ind w:left="0" w:firstLine="640" w:firstLineChars="200"/>
        <w:jc w:val="both"/>
        <w:rPr>
          <w:rFonts w:hint="eastAsia" w:ascii="宋体" w:hAnsi="宋体" w:eastAsia="宋体" w:cs="宋体"/>
          <w:sz w:val="32"/>
          <w:szCs w:val="32"/>
          <w:highlight w:val="none"/>
          <w:lang w:val="en-US"/>
        </w:rPr>
      </w:pPr>
    </w:p>
    <w:p w14:paraId="080A641B">
      <w:pPr>
        <w:pStyle w:val="81"/>
        <w:spacing w:beforeLines="0" w:afterLines="0"/>
        <w:ind w:left="0" w:firstLine="640" w:firstLineChars="200"/>
        <w:jc w:val="both"/>
        <w:rPr>
          <w:rFonts w:hint="eastAsia" w:ascii="宋体" w:hAnsi="宋体" w:eastAsia="宋体" w:cs="宋体"/>
          <w:sz w:val="32"/>
          <w:szCs w:val="32"/>
          <w:highlight w:val="none"/>
          <w:lang w:val="en-US"/>
        </w:rPr>
      </w:pPr>
    </w:p>
    <w:p w14:paraId="33CBDAE5">
      <w:pPr>
        <w:pStyle w:val="81"/>
        <w:spacing w:beforeLines="0" w:afterLines="0"/>
        <w:ind w:left="0" w:firstLine="600" w:firstLineChars="200"/>
        <w:jc w:val="both"/>
        <w:rPr>
          <w:rFonts w:hint="eastAsia" w:ascii="宋体" w:hAnsi="宋体" w:eastAsia="宋体" w:cs="宋体"/>
          <w:sz w:val="30"/>
          <w:szCs w:val="30"/>
          <w:highlight w:val="none"/>
          <w:lang w:val="en-US"/>
        </w:rPr>
      </w:pPr>
    </w:p>
    <w:p w14:paraId="40BE47A5">
      <w:pPr>
        <w:pStyle w:val="81"/>
        <w:spacing w:beforeLines="0" w:afterLines="0"/>
        <w:ind w:left="0" w:firstLine="600" w:firstLineChars="200"/>
        <w:jc w:val="both"/>
        <w:rPr>
          <w:rFonts w:hint="eastAsia" w:ascii="宋体" w:hAnsi="宋体" w:eastAsia="宋体" w:cs="宋体"/>
          <w:sz w:val="30"/>
          <w:szCs w:val="30"/>
          <w:highlight w:val="none"/>
          <w:lang w:val="en-US"/>
        </w:rPr>
      </w:pPr>
    </w:p>
    <w:p w14:paraId="3C0E2147">
      <w:pPr>
        <w:pStyle w:val="81"/>
        <w:spacing w:beforeLines="0" w:afterLines="0"/>
        <w:ind w:left="0" w:firstLine="600" w:firstLineChars="200"/>
        <w:jc w:val="both"/>
        <w:rPr>
          <w:rFonts w:hint="eastAsia" w:ascii="宋体" w:hAnsi="宋体" w:eastAsia="宋体" w:cs="宋体"/>
          <w:sz w:val="30"/>
          <w:szCs w:val="30"/>
          <w:highlight w:val="none"/>
          <w:lang w:val="en-US"/>
        </w:rPr>
      </w:pPr>
    </w:p>
    <w:p w14:paraId="7618BC6F">
      <w:pPr>
        <w:pStyle w:val="81"/>
        <w:spacing w:beforeLines="0" w:afterLines="0"/>
        <w:ind w:left="0" w:firstLine="600" w:firstLineChars="200"/>
        <w:jc w:val="both"/>
        <w:rPr>
          <w:rFonts w:hint="eastAsia" w:ascii="宋体" w:hAnsi="宋体" w:eastAsia="宋体" w:cs="宋体"/>
          <w:sz w:val="30"/>
          <w:szCs w:val="30"/>
          <w:highlight w:val="none"/>
          <w:lang w:val="en-US"/>
        </w:rPr>
      </w:pPr>
    </w:p>
    <w:p w14:paraId="74FDBBBD">
      <w:pPr>
        <w:pStyle w:val="81"/>
        <w:spacing w:beforeLines="0" w:afterLines="0"/>
        <w:ind w:left="0" w:firstLine="600" w:firstLineChars="200"/>
        <w:jc w:val="both"/>
        <w:rPr>
          <w:rFonts w:hint="eastAsia" w:ascii="宋体" w:hAnsi="宋体" w:eastAsia="宋体" w:cs="宋体"/>
          <w:sz w:val="30"/>
          <w:szCs w:val="30"/>
          <w:highlight w:val="none"/>
          <w:lang w:val="en-US"/>
        </w:rPr>
      </w:pPr>
    </w:p>
    <w:p w14:paraId="483BBB47">
      <w:pPr>
        <w:pStyle w:val="81"/>
        <w:spacing w:beforeLines="0" w:afterLines="0"/>
        <w:ind w:left="0" w:firstLine="600" w:firstLineChars="200"/>
        <w:jc w:val="both"/>
        <w:rPr>
          <w:rFonts w:hint="eastAsia" w:ascii="宋体" w:hAnsi="宋体" w:eastAsia="宋体" w:cs="宋体"/>
          <w:sz w:val="30"/>
          <w:szCs w:val="30"/>
          <w:highlight w:val="none"/>
          <w:lang w:val="en-US"/>
        </w:rPr>
      </w:pPr>
    </w:p>
    <w:p w14:paraId="0B7490C4">
      <w:pPr>
        <w:pStyle w:val="81"/>
        <w:spacing w:beforeLines="0" w:afterLines="0"/>
        <w:ind w:left="0" w:firstLine="600" w:firstLineChars="200"/>
        <w:jc w:val="both"/>
        <w:rPr>
          <w:rFonts w:hint="eastAsia" w:ascii="宋体" w:hAnsi="宋体" w:eastAsia="宋体" w:cs="宋体"/>
          <w:sz w:val="30"/>
          <w:szCs w:val="30"/>
          <w:highlight w:val="none"/>
          <w:lang w:val="en-US"/>
        </w:rPr>
      </w:pPr>
    </w:p>
    <w:p w14:paraId="23E5E1EC">
      <w:pPr>
        <w:pStyle w:val="81"/>
        <w:spacing w:beforeLines="0" w:afterLines="0"/>
        <w:ind w:left="0" w:firstLine="600" w:firstLineChars="200"/>
        <w:jc w:val="both"/>
        <w:rPr>
          <w:rFonts w:hint="eastAsia" w:ascii="宋体" w:hAnsi="宋体" w:eastAsia="宋体" w:cs="宋体"/>
          <w:sz w:val="30"/>
          <w:szCs w:val="30"/>
          <w:highlight w:val="none"/>
          <w:lang w:val="en-US"/>
        </w:rPr>
      </w:pPr>
    </w:p>
    <w:p w14:paraId="4704094F">
      <w:pPr>
        <w:pStyle w:val="81"/>
        <w:spacing w:beforeLines="0" w:afterLines="0"/>
        <w:ind w:left="0" w:firstLine="600" w:firstLineChars="200"/>
        <w:jc w:val="both"/>
        <w:rPr>
          <w:rFonts w:hint="eastAsia" w:ascii="宋体" w:hAnsi="宋体" w:eastAsia="宋体" w:cs="宋体"/>
          <w:sz w:val="30"/>
          <w:szCs w:val="30"/>
          <w:highlight w:val="none"/>
          <w:lang w:val="en-US"/>
        </w:rPr>
      </w:pPr>
      <w:r>
        <w:rPr>
          <w:rFonts w:hint="eastAsia" w:ascii="宋体" w:hAnsi="宋体" w:eastAsia="宋体" w:cs="宋体"/>
          <w:sz w:val="30"/>
          <w:szCs w:val="30"/>
          <w:highlight w:val="none"/>
          <w:lang w:val="en-US"/>
        </w:rPr>
        <w:t>政府采购项目名称：</w:t>
      </w:r>
    </w:p>
    <w:p w14:paraId="58EDF6CE">
      <w:pPr>
        <w:pStyle w:val="81"/>
        <w:spacing w:beforeLines="0" w:afterLines="0"/>
        <w:ind w:left="0" w:firstLine="600" w:firstLineChars="200"/>
        <w:jc w:val="both"/>
        <w:rPr>
          <w:rFonts w:hint="eastAsia" w:ascii="宋体" w:hAnsi="宋体" w:eastAsia="宋体" w:cs="宋体"/>
          <w:sz w:val="30"/>
          <w:szCs w:val="30"/>
          <w:highlight w:val="none"/>
          <w:lang w:val="en-US"/>
        </w:rPr>
      </w:pPr>
      <w:r>
        <w:rPr>
          <w:rFonts w:hint="eastAsia" w:ascii="宋体" w:hAnsi="宋体" w:eastAsia="宋体" w:cs="宋体"/>
          <w:sz w:val="30"/>
          <w:szCs w:val="30"/>
          <w:highlight w:val="none"/>
          <w:lang w:val="en-US"/>
        </w:rPr>
        <w:t>政府采购项目编号：</w:t>
      </w:r>
    </w:p>
    <w:p w14:paraId="3BBF51D3">
      <w:pPr>
        <w:pStyle w:val="81"/>
        <w:spacing w:beforeLines="0" w:afterLines="0"/>
        <w:ind w:left="0" w:firstLine="600" w:firstLineChars="200"/>
        <w:jc w:val="both"/>
        <w:rPr>
          <w:rFonts w:hint="eastAsia" w:ascii="宋体" w:hAnsi="宋体" w:eastAsia="宋体" w:cs="宋体"/>
          <w:sz w:val="30"/>
          <w:szCs w:val="30"/>
          <w:highlight w:val="none"/>
          <w:lang w:val="en-US"/>
        </w:rPr>
      </w:pPr>
      <w:r>
        <w:rPr>
          <w:rFonts w:hint="eastAsia" w:ascii="宋体" w:hAnsi="宋体" w:eastAsia="宋体" w:cs="宋体"/>
          <w:sz w:val="30"/>
          <w:szCs w:val="30"/>
          <w:highlight w:val="none"/>
          <w:lang w:val="en-US"/>
        </w:rPr>
        <w:t>采      购    人：</w:t>
      </w:r>
    </w:p>
    <w:p w14:paraId="04605043">
      <w:pPr>
        <w:pStyle w:val="81"/>
        <w:spacing w:beforeLines="0" w:afterLines="0"/>
        <w:ind w:left="0" w:firstLine="600" w:firstLineChars="200"/>
        <w:jc w:val="both"/>
        <w:rPr>
          <w:rFonts w:hint="eastAsia" w:ascii="宋体" w:hAnsi="宋体" w:eastAsia="宋体" w:cs="宋体"/>
          <w:sz w:val="30"/>
          <w:szCs w:val="30"/>
          <w:highlight w:val="none"/>
          <w:lang w:val="en-US"/>
        </w:rPr>
      </w:pPr>
      <w:r>
        <w:rPr>
          <w:rFonts w:hint="eastAsia" w:ascii="宋体" w:hAnsi="宋体" w:eastAsia="宋体" w:cs="宋体"/>
          <w:sz w:val="30"/>
          <w:szCs w:val="30"/>
          <w:highlight w:val="none"/>
          <w:lang w:val="en-US"/>
        </w:rPr>
        <w:t>供      应    商：</w:t>
      </w:r>
    </w:p>
    <w:p w14:paraId="0C92F492">
      <w:pPr>
        <w:pStyle w:val="81"/>
        <w:spacing w:beforeLines="0" w:afterLines="0"/>
        <w:ind w:left="0" w:firstLine="600" w:firstLineChars="200"/>
        <w:jc w:val="both"/>
        <w:rPr>
          <w:rFonts w:hint="eastAsia" w:ascii="宋体" w:hAnsi="宋体" w:eastAsia="宋体" w:cs="宋体"/>
          <w:sz w:val="30"/>
          <w:szCs w:val="30"/>
          <w:highlight w:val="none"/>
          <w:lang w:val="en-US"/>
        </w:rPr>
      </w:pPr>
      <w:r>
        <w:rPr>
          <w:rFonts w:hint="eastAsia" w:ascii="宋体" w:hAnsi="宋体" w:eastAsia="宋体" w:cs="宋体"/>
          <w:sz w:val="30"/>
          <w:szCs w:val="30"/>
          <w:highlight w:val="none"/>
          <w:lang w:val="en-US"/>
        </w:rPr>
        <w:t>合  同  签 订 地：</w:t>
      </w:r>
    </w:p>
    <w:p w14:paraId="6D8EE3B6">
      <w:pPr>
        <w:pStyle w:val="81"/>
        <w:spacing w:beforeLines="0" w:afterLines="0"/>
        <w:ind w:left="0" w:firstLine="600" w:firstLineChars="200"/>
        <w:jc w:val="both"/>
        <w:rPr>
          <w:rFonts w:hint="eastAsia" w:ascii="宋体" w:hAnsi="宋体" w:eastAsia="宋体" w:cs="宋体"/>
          <w:sz w:val="30"/>
          <w:szCs w:val="30"/>
          <w:highlight w:val="none"/>
          <w:lang w:val="en-US"/>
        </w:rPr>
      </w:pPr>
      <w:r>
        <w:rPr>
          <w:rFonts w:hint="eastAsia" w:ascii="宋体" w:hAnsi="宋体" w:eastAsia="宋体" w:cs="宋体"/>
          <w:sz w:val="30"/>
          <w:szCs w:val="30"/>
          <w:highlight w:val="none"/>
          <w:lang w:val="en-US"/>
        </w:rPr>
        <w:t>合 同 签订 时 间：</w:t>
      </w:r>
    </w:p>
    <w:p w14:paraId="6D7A63C2">
      <w:pPr>
        <w:pStyle w:val="81"/>
        <w:spacing w:beforeLines="0" w:afterLines="0"/>
        <w:ind w:left="0" w:firstLine="600" w:firstLineChars="200"/>
        <w:jc w:val="both"/>
        <w:rPr>
          <w:rFonts w:hint="eastAsia" w:ascii="宋体" w:hAnsi="宋体" w:eastAsia="宋体" w:cs="宋体"/>
          <w:sz w:val="30"/>
          <w:szCs w:val="30"/>
          <w:highlight w:val="none"/>
          <w:lang w:val="en-US"/>
        </w:rPr>
      </w:pPr>
    </w:p>
    <w:p w14:paraId="570956AA">
      <w:pPr>
        <w:pStyle w:val="81"/>
        <w:spacing w:beforeLines="0" w:afterLines="0"/>
        <w:ind w:left="0" w:firstLine="600" w:firstLineChars="200"/>
        <w:jc w:val="both"/>
        <w:rPr>
          <w:rFonts w:hint="eastAsia" w:ascii="宋体" w:hAnsi="宋体" w:eastAsia="宋体" w:cs="宋体"/>
          <w:sz w:val="30"/>
          <w:szCs w:val="30"/>
          <w:highlight w:val="none"/>
          <w:lang w:val="en-US"/>
        </w:rPr>
      </w:pPr>
    </w:p>
    <w:p w14:paraId="461DA2D5">
      <w:pPr>
        <w:pStyle w:val="81"/>
        <w:spacing w:beforeLines="0" w:afterLines="0" w:line="440" w:lineRule="exact"/>
        <w:ind w:left="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合同签订指引</w:t>
      </w:r>
    </w:p>
    <w:p w14:paraId="24F185D7">
      <w:pPr>
        <w:pStyle w:val="81"/>
        <w:spacing w:beforeLines="0" w:afterLines="0" w:line="440" w:lineRule="exact"/>
        <w:ind w:left="0"/>
        <w:jc w:val="both"/>
        <w:rPr>
          <w:rFonts w:hint="eastAsia" w:ascii="宋体" w:hAnsi="宋体" w:eastAsia="宋体" w:cs="宋体"/>
          <w:sz w:val="30"/>
          <w:szCs w:val="30"/>
          <w:highlight w:val="none"/>
        </w:rPr>
      </w:pPr>
    </w:p>
    <w:p w14:paraId="5CF77E98">
      <w:pPr>
        <w:pStyle w:val="81"/>
        <w:spacing w:beforeLines="0" w:afterLines="0" w:line="440" w:lineRule="exact"/>
        <w:ind w:left="0"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一、采购人在签订合同时应提供的资料：</w:t>
      </w:r>
    </w:p>
    <w:p w14:paraId="338CA1FE">
      <w:pPr>
        <w:pStyle w:val="81"/>
        <w:spacing w:beforeLines="0" w:afterLines="0" w:line="440" w:lineRule="exact"/>
        <w:ind w:left="0"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1、该政府采购项目的</w:t>
      </w:r>
      <w:r>
        <w:rPr>
          <w:rFonts w:hint="eastAsia" w:ascii="宋体" w:hAnsi="宋体" w:eastAsia="宋体" w:cs="宋体"/>
          <w:sz w:val="21"/>
          <w:szCs w:val="21"/>
          <w:highlight w:val="none"/>
        </w:rPr>
        <w:t>招标采购文件（以网上发布内容为准）；</w:t>
      </w:r>
    </w:p>
    <w:p w14:paraId="2242EE49">
      <w:pPr>
        <w:pStyle w:val="81"/>
        <w:spacing w:beforeLines="0" w:afterLines="0" w:line="440" w:lineRule="exact"/>
        <w:ind w:left="0"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2、该政府采购项目</w:t>
      </w:r>
      <w:r>
        <w:rPr>
          <w:rFonts w:hint="eastAsia" w:ascii="宋体" w:hAnsi="宋体" w:eastAsia="宋体" w:cs="宋体"/>
          <w:sz w:val="21"/>
          <w:szCs w:val="21"/>
          <w:highlight w:val="none"/>
        </w:rPr>
        <w:t>招标文件的澄清和修改内容（公告内容）；</w:t>
      </w:r>
    </w:p>
    <w:p w14:paraId="5FC28604">
      <w:pPr>
        <w:pStyle w:val="81"/>
        <w:spacing w:beforeLines="0" w:afterLines="0" w:line="440" w:lineRule="exact"/>
        <w:ind w:left="0" w:firstLine="420" w:firstLineChars="20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3、该政府采购项目评审报告；</w:t>
      </w:r>
    </w:p>
    <w:p w14:paraId="34039AD9">
      <w:pPr>
        <w:pStyle w:val="81"/>
        <w:spacing w:beforeLines="0" w:afterLines="0" w:line="440" w:lineRule="exact"/>
        <w:ind w:left="0" w:firstLine="420" w:firstLineChars="20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4、采购单位法人授权委托书（法人到场并签字的除外）；</w:t>
      </w:r>
    </w:p>
    <w:p w14:paraId="4FDE2548">
      <w:pPr>
        <w:pStyle w:val="81"/>
        <w:spacing w:beforeLines="0" w:afterLines="0" w:line="440" w:lineRule="exact"/>
        <w:ind w:left="0" w:firstLine="420" w:firstLineChars="20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5、采购单位被授权人身份证件（法人到场并签字的除外）；</w:t>
      </w:r>
    </w:p>
    <w:p w14:paraId="291CD9F4">
      <w:pPr>
        <w:pStyle w:val="81"/>
        <w:spacing w:beforeLines="0" w:afterLines="0" w:line="440" w:lineRule="exact"/>
        <w:ind w:left="0" w:firstLine="420" w:firstLineChars="20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6、采购人和中标供应商（或服务商，下同）约定的其它内容（不得超出</w:t>
      </w:r>
      <w:r>
        <w:rPr>
          <w:rFonts w:hint="eastAsia" w:ascii="宋体" w:hAnsi="宋体" w:eastAsia="宋体" w:cs="宋体"/>
          <w:sz w:val="21"/>
          <w:szCs w:val="21"/>
          <w:highlight w:val="none"/>
        </w:rPr>
        <w:t>招标采购文件实质性内容</w:t>
      </w:r>
      <w:r>
        <w:rPr>
          <w:rFonts w:hint="eastAsia" w:ascii="宋体" w:hAnsi="宋体" w:eastAsia="宋体" w:cs="宋体"/>
          <w:sz w:val="21"/>
          <w:szCs w:val="21"/>
          <w:highlight w:val="none"/>
          <w:lang w:val="en-US"/>
        </w:rPr>
        <w:t>）。</w:t>
      </w:r>
    </w:p>
    <w:p w14:paraId="425D25B9">
      <w:pPr>
        <w:pStyle w:val="81"/>
        <w:spacing w:beforeLines="0" w:afterLines="0" w:line="440" w:lineRule="exact"/>
        <w:ind w:left="0"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二、</w:t>
      </w:r>
      <w:r>
        <w:rPr>
          <w:rFonts w:hint="eastAsia" w:ascii="宋体" w:hAnsi="宋体" w:eastAsia="宋体" w:cs="宋体"/>
          <w:sz w:val="21"/>
          <w:szCs w:val="21"/>
          <w:highlight w:val="none"/>
        </w:rPr>
        <w:t>供应商在签订合同时应提供的资料：</w:t>
      </w:r>
    </w:p>
    <w:p w14:paraId="5E1C83B6">
      <w:pPr>
        <w:pStyle w:val="81"/>
        <w:spacing w:beforeLines="0" w:afterLines="0" w:line="440" w:lineRule="exact"/>
        <w:ind w:left="0"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1、该政府采购项目的</w:t>
      </w:r>
      <w:r>
        <w:rPr>
          <w:rFonts w:hint="eastAsia" w:ascii="宋体" w:hAnsi="宋体" w:eastAsia="宋体" w:cs="宋体"/>
          <w:sz w:val="21"/>
          <w:szCs w:val="21"/>
          <w:highlight w:val="none"/>
        </w:rPr>
        <w:t>投标文件（纸质或</w:t>
      </w:r>
      <w:r>
        <w:rPr>
          <w:rFonts w:hint="eastAsia" w:ascii="宋体" w:hAnsi="宋体" w:eastAsia="宋体" w:cs="宋体"/>
          <w:sz w:val="21"/>
          <w:szCs w:val="21"/>
          <w:highlight w:val="none"/>
          <w:lang w:val="en-US"/>
        </w:rPr>
        <w:t>DPF格式的电子</w:t>
      </w:r>
      <w:r>
        <w:rPr>
          <w:rFonts w:hint="eastAsia" w:ascii="宋体" w:hAnsi="宋体" w:eastAsia="宋体" w:cs="宋体"/>
          <w:sz w:val="21"/>
          <w:szCs w:val="21"/>
          <w:highlight w:val="none"/>
        </w:rPr>
        <w:t>投标文件）；</w:t>
      </w:r>
    </w:p>
    <w:p w14:paraId="26AAE11C">
      <w:pPr>
        <w:pStyle w:val="81"/>
        <w:spacing w:beforeLines="0" w:afterLines="0" w:line="440" w:lineRule="exact"/>
        <w:ind w:left="0" w:firstLine="420" w:firstLineChars="20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2、针对该项目评审时评审委员会提出的质询答复（纸质并签章）；</w:t>
      </w:r>
    </w:p>
    <w:p w14:paraId="30A3BA7F">
      <w:pPr>
        <w:pStyle w:val="81"/>
        <w:spacing w:beforeLines="0" w:afterLines="0" w:line="440" w:lineRule="exact"/>
        <w:ind w:left="0" w:firstLine="420" w:firstLineChars="20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3、该政府采购项目中标通知书；</w:t>
      </w:r>
    </w:p>
    <w:p w14:paraId="04F11EE4">
      <w:pPr>
        <w:pStyle w:val="81"/>
        <w:spacing w:beforeLines="0" w:afterLines="0" w:line="440" w:lineRule="exact"/>
        <w:ind w:left="0" w:firstLine="420" w:firstLineChars="20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4、供应商法人授权委托书（法人到场并签字的除外）；</w:t>
      </w:r>
    </w:p>
    <w:p w14:paraId="7CCB1716">
      <w:pPr>
        <w:pStyle w:val="81"/>
        <w:spacing w:beforeLines="0" w:afterLines="0" w:line="440" w:lineRule="exact"/>
        <w:ind w:left="0" w:firstLine="420" w:firstLineChars="20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5、供应商被授权人身份证件（法人到场并签字的除外）；</w:t>
      </w:r>
    </w:p>
    <w:p w14:paraId="39DE27A5">
      <w:pPr>
        <w:pStyle w:val="81"/>
        <w:spacing w:beforeLines="0" w:afterLines="0" w:line="440" w:lineRule="exact"/>
        <w:ind w:left="0" w:firstLine="420" w:firstLineChars="20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6、供应商和采购人约定的其它内容（不得超出</w:t>
      </w:r>
      <w:r>
        <w:rPr>
          <w:rFonts w:hint="eastAsia" w:ascii="宋体" w:hAnsi="宋体" w:eastAsia="宋体" w:cs="宋体"/>
          <w:sz w:val="21"/>
          <w:szCs w:val="21"/>
          <w:highlight w:val="none"/>
        </w:rPr>
        <w:t>招标采购文件实质性内容</w:t>
      </w:r>
      <w:r>
        <w:rPr>
          <w:rFonts w:hint="eastAsia" w:ascii="宋体" w:hAnsi="宋体" w:eastAsia="宋体" w:cs="宋体"/>
          <w:sz w:val="21"/>
          <w:szCs w:val="21"/>
          <w:highlight w:val="none"/>
          <w:lang w:val="en-US"/>
        </w:rPr>
        <w:t>）。</w:t>
      </w:r>
    </w:p>
    <w:p w14:paraId="43F00E60">
      <w:pPr>
        <w:pStyle w:val="81"/>
        <w:spacing w:beforeLines="0" w:afterLines="0" w:line="440" w:lineRule="exact"/>
        <w:ind w:left="0" w:firstLine="420" w:firstLineChars="200"/>
        <w:jc w:val="both"/>
        <w:rPr>
          <w:rFonts w:hint="eastAsia" w:ascii="宋体" w:hAnsi="宋体" w:eastAsia="宋体" w:cs="宋体"/>
          <w:color w:val="auto"/>
          <w:sz w:val="30"/>
          <w:szCs w:val="30"/>
          <w:highlight w:val="none"/>
        </w:rPr>
      </w:pPr>
      <w:r>
        <w:rPr>
          <w:rFonts w:hint="eastAsia" w:ascii="宋体" w:hAnsi="宋体" w:eastAsia="宋体" w:cs="宋体"/>
          <w:color w:val="auto"/>
          <w:sz w:val="21"/>
          <w:szCs w:val="21"/>
          <w:highlight w:val="none"/>
        </w:rPr>
        <w:t>三、本合同签订后二个工作日内有采购人在“周口市政府采购网”上进行合同公示。</w:t>
      </w:r>
    </w:p>
    <w:p w14:paraId="268E0509">
      <w:pPr>
        <w:pStyle w:val="81"/>
        <w:spacing w:beforeLines="0" w:afterLines="0" w:line="440" w:lineRule="exact"/>
        <w:ind w:left="0"/>
        <w:jc w:val="center"/>
        <w:rPr>
          <w:rFonts w:hint="eastAsia" w:ascii="宋体" w:hAnsi="宋体" w:eastAsia="宋体" w:cs="宋体"/>
          <w:bCs/>
          <w:sz w:val="32"/>
          <w:szCs w:val="32"/>
          <w:highlight w:val="none"/>
        </w:rPr>
      </w:pPr>
    </w:p>
    <w:p w14:paraId="43BDF5FE">
      <w:pPr>
        <w:pStyle w:val="81"/>
        <w:spacing w:beforeLines="0" w:afterLines="0" w:line="440" w:lineRule="exact"/>
        <w:ind w:left="0"/>
        <w:jc w:val="center"/>
        <w:rPr>
          <w:rFonts w:hint="eastAsia" w:ascii="宋体" w:hAnsi="宋体" w:eastAsia="宋体" w:cs="宋体"/>
          <w:sz w:val="32"/>
          <w:szCs w:val="32"/>
          <w:highlight w:val="none"/>
        </w:rPr>
      </w:pPr>
      <w:r>
        <w:rPr>
          <w:rFonts w:hint="eastAsia" w:ascii="宋体" w:hAnsi="宋体" w:eastAsia="宋体" w:cs="宋体"/>
          <w:bCs/>
          <w:sz w:val="32"/>
          <w:szCs w:val="32"/>
          <w:highlight w:val="none"/>
        </w:rPr>
        <w:t>供应商履约验收指引</w:t>
      </w:r>
    </w:p>
    <w:p w14:paraId="60A9824B">
      <w:pPr>
        <w:pStyle w:val="81"/>
        <w:spacing w:beforeLines="0" w:afterLines="0" w:line="440" w:lineRule="exact"/>
        <w:ind w:left="0" w:firstLine="420" w:firstLineChars="200"/>
        <w:jc w:val="both"/>
        <w:rPr>
          <w:rFonts w:hint="eastAsia" w:ascii="宋体" w:hAnsi="宋体" w:eastAsia="宋体" w:cs="宋体"/>
          <w:szCs w:val="27"/>
          <w:highlight w:val="none"/>
        </w:rPr>
      </w:pPr>
      <w:r>
        <w:rPr>
          <w:rFonts w:hint="eastAsia" w:ascii="宋体" w:hAnsi="宋体" w:eastAsia="宋体" w:cs="宋体"/>
          <w:sz w:val="21"/>
          <w:szCs w:val="21"/>
          <w:highlight w:val="none"/>
          <w:lang w:val="en-US"/>
        </w:rPr>
        <w:t>1、供应商不得</w:t>
      </w:r>
      <w:r>
        <w:rPr>
          <w:rFonts w:hint="eastAsia" w:ascii="宋体" w:hAnsi="宋体" w:eastAsia="宋体" w:cs="宋体"/>
          <w:sz w:val="21"/>
          <w:szCs w:val="21"/>
          <w:highlight w:val="none"/>
        </w:rPr>
        <w:t>擅自变更合同标的服务内容；</w:t>
      </w:r>
    </w:p>
    <w:p w14:paraId="72ACB153">
      <w:pPr>
        <w:pStyle w:val="81"/>
        <w:spacing w:beforeLines="0" w:afterLines="0" w:line="440" w:lineRule="exact"/>
        <w:ind w:left="0"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2、</w:t>
      </w:r>
      <w:r>
        <w:rPr>
          <w:rFonts w:hint="eastAsia" w:ascii="宋体" w:hAnsi="宋体" w:eastAsia="宋体" w:cs="宋体"/>
          <w:sz w:val="21"/>
          <w:szCs w:val="21"/>
          <w:highlight w:val="none"/>
        </w:rPr>
        <w:t>不得以次充优，随意降低服务标准和水平；</w:t>
      </w:r>
    </w:p>
    <w:p w14:paraId="3DDC2067">
      <w:pPr>
        <w:pStyle w:val="81"/>
        <w:spacing w:beforeLines="0" w:afterLines="0" w:line="440" w:lineRule="exact"/>
        <w:ind w:left="0"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3、</w:t>
      </w:r>
      <w:r>
        <w:rPr>
          <w:rFonts w:hint="eastAsia" w:ascii="宋体" w:hAnsi="宋体" w:eastAsia="宋体" w:cs="宋体"/>
          <w:sz w:val="21"/>
          <w:szCs w:val="21"/>
          <w:highlight w:val="none"/>
        </w:rPr>
        <w:t>对因客观上采购人采购需求发生变化造成的，应提供采、供双方的纸质备忘录材料；</w:t>
      </w:r>
    </w:p>
    <w:p w14:paraId="0AA3C313">
      <w:pPr>
        <w:pStyle w:val="81"/>
        <w:spacing w:beforeLines="0" w:afterLines="0" w:line="440" w:lineRule="exact"/>
        <w:ind w:left="0"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4、在满足</w:t>
      </w:r>
      <w:r>
        <w:rPr>
          <w:rFonts w:hint="eastAsia" w:ascii="宋体" w:hAnsi="宋体" w:eastAsia="宋体" w:cs="宋体"/>
          <w:sz w:val="21"/>
          <w:szCs w:val="21"/>
          <w:highlight w:val="none"/>
        </w:rPr>
        <w:t>验收条件</w:t>
      </w:r>
      <w:r>
        <w:rPr>
          <w:rFonts w:hint="eastAsia" w:ascii="宋体" w:hAnsi="宋体" w:eastAsia="宋体" w:cs="宋体"/>
          <w:sz w:val="21"/>
          <w:szCs w:val="21"/>
          <w:highlight w:val="none"/>
          <w:lang w:val="en-US"/>
        </w:rPr>
        <w:t>5个工作日</w:t>
      </w:r>
      <w:r>
        <w:rPr>
          <w:rFonts w:hint="eastAsia" w:ascii="宋体" w:hAnsi="宋体" w:eastAsia="宋体" w:cs="宋体"/>
          <w:sz w:val="21"/>
          <w:szCs w:val="21"/>
          <w:highlight w:val="none"/>
        </w:rPr>
        <w:t>内通知采购人组织验收；</w:t>
      </w:r>
    </w:p>
    <w:p w14:paraId="416532F1">
      <w:pPr>
        <w:pStyle w:val="81"/>
        <w:spacing w:beforeLines="0" w:afterLines="0" w:line="440" w:lineRule="exact"/>
        <w:ind w:left="0" w:firstLine="420" w:firstLineChars="20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5、供应商应提供需验收服务的清单、标准、达到的水平等量化资料；</w:t>
      </w:r>
    </w:p>
    <w:p w14:paraId="706DE07E">
      <w:pPr>
        <w:pStyle w:val="81"/>
        <w:spacing w:beforeLines="0" w:afterLines="0" w:line="440" w:lineRule="exact"/>
        <w:ind w:left="0"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6、采、供</w:t>
      </w:r>
      <w:r>
        <w:rPr>
          <w:rFonts w:hint="eastAsia" w:ascii="宋体" w:hAnsi="宋体" w:eastAsia="宋体" w:cs="宋体"/>
          <w:sz w:val="21"/>
          <w:szCs w:val="21"/>
          <w:highlight w:val="none"/>
        </w:rPr>
        <w:t>双方约定的验收机构及相关人员组成情况。</w:t>
      </w:r>
    </w:p>
    <w:p w14:paraId="11666F58">
      <w:pPr>
        <w:pStyle w:val="81"/>
        <w:spacing w:beforeLines="0" w:afterLines="0" w:line="440" w:lineRule="exact"/>
        <w:ind w:left="0"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7、督促采购人在项目验收结束并达到相关要求后一个工作日内，在</w:t>
      </w:r>
      <w:r>
        <w:rPr>
          <w:rFonts w:hint="eastAsia" w:ascii="宋体" w:hAnsi="宋体" w:eastAsia="宋体" w:cs="宋体"/>
          <w:sz w:val="21"/>
          <w:szCs w:val="21"/>
          <w:highlight w:val="none"/>
        </w:rPr>
        <w:t>“周口市政府采购网”上进行“履约验收”公示。</w:t>
      </w:r>
    </w:p>
    <w:p w14:paraId="43EAC077">
      <w:pPr>
        <w:bidi w:val="0"/>
        <w:rPr>
          <w:rFonts w:hint="eastAsia"/>
          <w:highlight w:val="none"/>
        </w:rPr>
      </w:pPr>
    </w:p>
    <w:p w14:paraId="2DB0A38D">
      <w:pPr>
        <w:bidi w:val="0"/>
        <w:rPr>
          <w:rFonts w:hint="eastAsia"/>
          <w:highlight w:val="none"/>
        </w:rPr>
      </w:pPr>
    </w:p>
    <w:p w14:paraId="0156E2A2">
      <w:pPr>
        <w:bidi w:val="0"/>
        <w:jc w:val="center"/>
        <w:rPr>
          <w:rFonts w:hint="eastAsia"/>
          <w:sz w:val="32"/>
          <w:szCs w:val="32"/>
          <w:highlight w:val="none"/>
        </w:rPr>
      </w:pPr>
    </w:p>
    <w:p w14:paraId="2F21AE17">
      <w:pPr>
        <w:bidi w:val="0"/>
        <w:jc w:val="center"/>
        <w:rPr>
          <w:rFonts w:hint="eastAsia"/>
          <w:highlight w:val="none"/>
        </w:rPr>
      </w:pPr>
      <w:r>
        <w:rPr>
          <w:rFonts w:hint="eastAsia"/>
          <w:sz w:val="32"/>
          <w:szCs w:val="32"/>
          <w:highlight w:val="none"/>
        </w:rPr>
        <w:t>服务合同内容</w:t>
      </w:r>
    </w:p>
    <w:p w14:paraId="7DB2DF26">
      <w:pPr>
        <w:spacing w:line="360" w:lineRule="auto"/>
        <w:ind w:firstLine="420" w:firstLineChars="200"/>
        <w:jc w:val="both"/>
        <w:rPr>
          <w:rFonts w:hint="eastAsia" w:ascii="宋体" w:hAnsi="宋体" w:eastAsia="宋体" w:cs="宋体"/>
          <w:szCs w:val="27"/>
          <w:highlight w:val="none"/>
        </w:rPr>
      </w:pPr>
    </w:p>
    <w:p w14:paraId="48C5C1AA">
      <w:pPr>
        <w:spacing w:line="360" w:lineRule="auto"/>
        <w:ind w:firstLine="420" w:firstLineChars="200"/>
        <w:jc w:val="both"/>
        <w:rPr>
          <w:rFonts w:hint="eastAsia" w:ascii="宋体" w:hAnsi="宋体" w:eastAsia="宋体" w:cs="宋体"/>
          <w:szCs w:val="27"/>
          <w:highlight w:val="none"/>
          <w:u w:val="single"/>
        </w:rPr>
      </w:pPr>
      <w:r>
        <w:rPr>
          <w:rFonts w:hint="eastAsia" w:ascii="宋体" w:hAnsi="宋体" w:eastAsia="宋体" w:cs="宋体"/>
          <w:szCs w:val="27"/>
          <w:highlight w:val="none"/>
        </w:rPr>
        <w:t xml:space="preserve">采购人（甲方）： </w:t>
      </w:r>
    </w:p>
    <w:p w14:paraId="69304D6E">
      <w:pPr>
        <w:spacing w:line="360" w:lineRule="auto"/>
        <w:ind w:firstLine="420" w:firstLineChars="200"/>
        <w:jc w:val="both"/>
        <w:rPr>
          <w:rFonts w:hint="eastAsia" w:ascii="宋体" w:hAnsi="宋体" w:eastAsia="宋体" w:cs="宋体"/>
          <w:szCs w:val="27"/>
          <w:highlight w:val="none"/>
        </w:rPr>
      </w:pPr>
      <w:r>
        <w:rPr>
          <w:rFonts w:hint="eastAsia" w:ascii="宋体" w:hAnsi="宋体" w:eastAsia="宋体" w:cs="宋体"/>
          <w:szCs w:val="27"/>
          <w:highlight w:val="none"/>
        </w:rPr>
        <w:t>供应商（乙方）：</w:t>
      </w:r>
    </w:p>
    <w:p w14:paraId="5F1DA1DC">
      <w:pPr>
        <w:spacing w:line="360" w:lineRule="auto"/>
        <w:ind w:firstLine="420" w:firstLineChars="200"/>
        <w:jc w:val="both"/>
        <w:rPr>
          <w:rFonts w:hint="eastAsia" w:ascii="宋体" w:hAnsi="宋体" w:eastAsia="宋体" w:cs="宋体"/>
          <w:szCs w:val="27"/>
          <w:highlight w:val="none"/>
          <w:u w:val="single"/>
        </w:rPr>
      </w:pPr>
      <w:r>
        <w:rPr>
          <w:rFonts w:hint="eastAsia" w:ascii="宋体" w:hAnsi="宋体" w:eastAsia="宋体" w:cs="宋体"/>
          <w:szCs w:val="27"/>
          <w:highlight w:val="none"/>
        </w:rPr>
        <w:t>签订地点：</w:t>
      </w:r>
    </w:p>
    <w:p w14:paraId="09B73BAE">
      <w:pPr>
        <w:spacing w:line="360" w:lineRule="auto"/>
        <w:ind w:firstLine="420" w:firstLineChars="200"/>
        <w:jc w:val="both"/>
        <w:rPr>
          <w:rFonts w:hint="eastAsia" w:ascii="宋体" w:hAnsi="宋体" w:eastAsia="宋体" w:cs="宋体"/>
          <w:szCs w:val="27"/>
          <w:highlight w:val="none"/>
          <w:u w:val="single"/>
        </w:rPr>
      </w:pPr>
      <w:r>
        <w:rPr>
          <w:rFonts w:hint="eastAsia" w:ascii="宋体" w:hAnsi="宋体" w:eastAsia="宋体" w:cs="宋体"/>
          <w:szCs w:val="27"/>
          <w:highlight w:val="none"/>
        </w:rPr>
        <w:t>项目名称：</w:t>
      </w:r>
    </w:p>
    <w:p w14:paraId="6460DFB2">
      <w:pPr>
        <w:spacing w:line="360" w:lineRule="auto"/>
        <w:ind w:firstLine="420" w:firstLineChars="200"/>
        <w:jc w:val="both"/>
        <w:rPr>
          <w:rFonts w:hint="eastAsia" w:ascii="宋体" w:hAnsi="宋体" w:eastAsia="宋体" w:cs="宋体"/>
          <w:szCs w:val="27"/>
          <w:highlight w:val="none"/>
          <w:u w:val="single"/>
        </w:rPr>
      </w:pPr>
      <w:r>
        <w:rPr>
          <w:rFonts w:hint="eastAsia" w:ascii="宋体" w:hAnsi="宋体" w:eastAsia="宋体" w:cs="宋体"/>
          <w:szCs w:val="27"/>
          <w:highlight w:val="none"/>
        </w:rPr>
        <w:t>项目编号：</w:t>
      </w:r>
    </w:p>
    <w:p w14:paraId="5262268A">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szCs w:val="27"/>
          <w:highlight w:val="none"/>
        </w:rPr>
        <w:t>财政委托号：</w:t>
      </w:r>
      <w:r>
        <w:rPr>
          <w:rFonts w:hint="eastAsia" w:ascii="宋体" w:hAnsi="宋体" w:eastAsia="宋体" w:cs="宋体"/>
          <w:szCs w:val="27"/>
          <w:highlight w:val="none"/>
          <w:u w:val="single"/>
        </w:rPr>
        <w:t xml:space="preserve">      </w:t>
      </w:r>
      <w:r>
        <w:rPr>
          <w:rFonts w:hint="eastAsia" w:ascii="宋体" w:hAnsi="宋体" w:eastAsia="宋体" w:cs="宋体"/>
          <w:szCs w:val="27"/>
          <w:highlight w:val="none"/>
        </w:rPr>
        <w:t>(财政资金项目必须填写)</w:t>
      </w:r>
    </w:p>
    <w:p w14:paraId="1E5AC903">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szCs w:val="27"/>
          <w:highlight w:val="none"/>
        </w:rPr>
        <w:t>本项目经批准采用</w:t>
      </w:r>
      <w:r>
        <w:rPr>
          <w:rFonts w:hint="eastAsia" w:ascii="宋体" w:hAnsi="宋体" w:eastAsia="宋体" w:cs="宋体"/>
          <w:szCs w:val="27"/>
          <w:highlight w:val="none"/>
          <w:u w:val="single"/>
        </w:rPr>
        <w:t xml:space="preserve">           </w:t>
      </w:r>
      <w:r>
        <w:rPr>
          <w:rFonts w:hint="eastAsia" w:ascii="宋体" w:hAnsi="宋体" w:eastAsia="宋体" w:cs="宋体"/>
          <w:szCs w:val="27"/>
          <w:highlight w:val="none"/>
        </w:rPr>
        <w:t>采购方式，经本项目评审委员会认真评审，决定将采购合同授予乙方。为进一步明确双方的责任，确保合同的顺利履行，根据《中华人民共和国采购法》、</w:t>
      </w:r>
      <w:r>
        <w:rPr>
          <w:rFonts w:hint="eastAsia" w:ascii="宋体" w:hAnsi="宋体" w:cs="宋体"/>
          <w:color w:val="000000" w:themeColor="text1"/>
          <w:szCs w:val="21"/>
          <w:highlight w:val="none"/>
          <w14:textFill>
            <w14:solidFill>
              <w14:schemeClr w14:val="tx1"/>
            </w14:solidFill>
          </w14:textFill>
        </w:rPr>
        <w:t>《中华人民共和国民法典》（第三编合同）</w:t>
      </w:r>
      <w:r>
        <w:rPr>
          <w:rFonts w:hint="eastAsia" w:ascii="宋体" w:hAnsi="宋体" w:eastAsia="宋体" w:cs="宋体"/>
          <w:szCs w:val="27"/>
          <w:highlight w:val="none"/>
        </w:rPr>
        <w:t>之规定，经甲乙双方充分协商，特订立本合同，以便共同遵守。</w:t>
      </w:r>
    </w:p>
    <w:p w14:paraId="0D44071F">
      <w:pPr>
        <w:spacing w:line="360" w:lineRule="auto"/>
        <w:ind w:firstLine="422" w:firstLineChars="200"/>
        <w:jc w:val="both"/>
        <w:rPr>
          <w:rFonts w:hint="eastAsia" w:ascii="宋体" w:hAnsi="宋体" w:eastAsia="宋体" w:cs="宋体"/>
          <w:highlight w:val="none"/>
          <w:u w:val="single"/>
        </w:rPr>
      </w:pPr>
      <w:r>
        <w:rPr>
          <w:rFonts w:hint="eastAsia" w:ascii="宋体" w:hAnsi="宋体" w:eastAsia="宋体" w:cs="宋体"/>
          <w:b/>
          <w:bCs/>
          <w:szCs w:val="27"/>
          <w:highlight w:val="none"/>
        </w:rPr>
        <w:t>第一条</w:t>
      </w:r>
      <w:r>
        <w:rPr>
          <w:rFonts w:hint="eastAsia" w:ascii="宋体" w:hAnsi="宋体" w:eastAsia="宋体" w:cs="宋体"/>
          <w:szCs w:val="27"/>
          <w:highlight w:val="none"/>
        </w:rPr>
        <w:t>   服务的内容、标准、数量和价格：（若服务项目过多则见附表，如有附表则必须加盖印章）</w:t>
      </w:r>
    </w:p>
    <w:tbl>
      <w:tblPr>
        <w:tblStyle w:val="28"/>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1950D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47DDA61A">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rPr>
              <w:t>服务内容</w:t>
            </w:r>
          </w:p>
        </w:tc>
        <w:tc>
          <w:tcPr>
            <w:tcW w:w="1623" w:type="dxa"/>
            <w:noWrap w:val="0"/>
            <w:vAlign w:val="top"/>
          </w:tcPr>
          <w:p w14:paraId="77B6B2E9">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rPr>
              <w:t>标准水平</w:t>
            </w:r>
          </w:p>
        </w:tc>
        <w:tc>
          <w:tcPr>
            <w:tcW w:w="902" w:type="dxa"/>
            <w:noWrap w:val="0"/>
            <w:vAlign w:val="top"/>
          </w:tcPr>
          <w:p w14:paraId="434F5FA5">
            <w:pPr>
              <w:spacing w:line="360" w:lineRule="auto"/>
              <w:jc w:val="both"/>
              <w:rPr>
                <w:rFonts w:hint="eastAsia" w:ascii="宋体" w:hAnsi="宋体" w:eastAsia="宋体" w:cs="宋体"/>
                <w:highlight w:val="none"/>
              </w:rPr>
            </w:pPr>
            <w:r>
              <w:rPr>
                <w:rFonts w:hint="eastAsia" w:ascii="宋体" w:hAnsi="宋体" w:eastAsia="宋体" w:cs="宋体"/>
                <w:highlight w:val="none"/>
              </w:rPr>
              <w:t>单位</w:t>
            </w:r>
          </w:p>
        </w:tc>
        <w:tc>
          <w:tcPr>
            <w:tcW w:w="902" w:type="dxa"/>
            <w:noWrap w:val="0"/>
            <w:vAlign w:val="top"/>
          </w:tcPr>
          <w:p w14:paraId="7A781E36">
            <w:pPr>
              <w:spacing w:line="360" w:lineRule="auto"/>
              <w:jc w:val="both"/>
              <w:rPr>
                <w:rFonts w:hint="eastAsia" w:ascii="宋体" w:hAnsi="宋体" w:eastAsia="宋体" w:cs="宋体"/>
                <w:highlight w:val="none"/>
              </w:rPr>
            </w:pPr>
            <w:r>
              <w:rPr>
                <w:rFonts w:hint="eastAsia" w:ascii="宋体" w:hAnsi="宋体" w:eastAsia="宋体" w:cs="宋体"/>
                <w:highlight w:val="none"/>
              </w:rPr>
              <w:t>数量</w:t>
            </w:r>
          </w:p>
        </w:tc>
        <w:tc>
          <w:tcPr>
            <w:tcW w:w="1071" w:type="dxa"/>
            <w:noWrap w:val="0"/>
            <w:vAlign w:val="top"/>
          </w:tcPr>
          <w:p w14:paraId="2778E9B6">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rPr>
              <w:t>单价</w:t>
            </w:r>
          </w:p>
        </w:tc>
        <w:tc>
          <w:tcPr>
            <w:tcW w:w="1250" w:type="dxa"/>
            <w:noWrap w:val="0"/>
            <w:vAlign w:val="top"/>
          </w:tcPr>
          <w:p w14:paraId="26C5DB7B">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rPr>
              <w:t>小计</w:t>
            </w:r>
          </w:p>
        </w:tc>
        <w:tc>
          <w:tcPr>
            <w:tcW w:w="1106" w:type="dxa"/>
            <w:noWrap w:val="0"/>
            <w:vAlign w:val="top"/>
          </w:tcPr>
          <w:p w14:paraId="4E913862">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rPr>
              <w:t>备注</w:t>
            </w:r>
          </w:p>
        </w:tc>
      </w:tr>
      <w:tr w14:paraId="5C9F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304F0C09">
            <w:pPr>
              <w:spacing w:line="360" w:lineRule="auto"/>
              <w:ind w:firstLine="420" w:firstLineChars="200"/>
              <w:jc w:val="both"/>
              <w:rPr>
                <w:rFonts w:hint="eastAsia" w:ascii="宋体" w:hAnsi="宋体" w:eastAsia="宋体" w:cs="宋体"/>
                <w:highlight w:val="none"/>
              </w:rPr>
            </w:pPr>
          </w:p>
        </w:tc>
        <w:tc>
          <w:tcPr>
            <w:tcW w:w="1623" w:type="dxa"/>
            <w:noWrap w:val="0"/>
            <w:vAlign w:val="top"/>
          </w:tcPr>
          <w:p w14:paraId="1076CF5F">
            <w:pPr>
              <w:spacing w:line="360" w:lineRule="auto"/>
              <w:ind w:firstLine="420" w:firstLineChars="200"/>
              <w:jc w:val="both"/>
              <w:rPr>
                <w:rFonts w:hint="eastAsia" w:ascii="宋体" w:hAnsi="宋体" w:eastAsia="宋体" w:cs="宋体"/>
                <w:highlight w:val="none"/>
              </w:rPr>
            </w:pPr>
          </w:p>
        </w:tc>
        <w:tc>
          <w:tcPr>
            <w:tcW w:w="902" w:type="dxa"/>
            <w:noWrap w:val="0"/>
            <w:vAlign w:val="top"/>
          </w:tcPr>
          <w:p w14:paraId="544AFAFA">
            <w:pPr>
              <w:spacing w:line="360" w:lineRule="auto"/>
              <w:ind w:firstLine="420" w:firstLineChars="200"/>
              <w:jc w:val="both"/>
              <w:rPr>
                <w:rFonts w:hint="eastAsia" w:ascii="宋体" w:hAnsi="宋体" w:eastAsia="宋体" w:cs="宋体"/>
                <w:highlight w:val="none"/>
              </w:rPr>
            </w:pPr>
          </w:p>
        </w:tc>
        <w:tc>
          <w:tcPr>
            <w:tcW w:w="902" w:type="dxa"/>
            <w:noWrap w:val="0"/>
            <w:vAlign w:val="top"/>
          </w:tcPr>
          <w:p w14:paraId="6C39E75B">
            <w:pPr>
              <w:spacing w:line="360" w:lineRule="auto"/>
              <w:ind w:firstLine="420" w:firstLineChars="200"/>
              <w:jc w:val="both"/>
              <w:rPr>
                <w:rFonts w:hint="eastAsia" w:ascii="宋体" w:hAnsi="宋体" w:eastAsia="宋体" w:cs="宋体"/>
                <w:highlight w:val="none"/>
              </w:rPr>
            </w:pPr>
          </w:p>
        </w:tc>
        <w:tc>
          <w:tcPr>
            <w:tcW w:w="1071" w:type="dxa"/>
            <w:noWrap w:val="0"/>
            <w:vAlign w:val="top"/>
          </w:tcPr>
          <w:p w14:paraId="52D90E98">
            <w:pPr>
              <w:spacing w:line="360" w:lineRule="auto"/>
              <w:ind w:firstLine="420" w:firstLineChars="200"/>
              <w:jc w:val="both"/>
              <w:rPr>
                <w:rFonts w:hint="eastAsia" w:ascii="宋体" w:hAnsi="宋体" w:eastAsia="宋体" w:cs="宋体"/>
                <w:highlight w:val="none"/>
              </w:rPr>
            </w:pPr>
          </w:p>
        </w:tc>
        <w:tc>
          <w:tcPr>
            <w:tcW w:w="1250" w:type="dxa"/>
            <w:noWrap w:val="0"/>
            <w:vAlign w:val="top"/>
          </w:tcPr>
          <w:p w14:paraId="23ECD7C0">
            <w:pPr>
              <w:spacing w:line="360" w:lineRule="auto"/>
              <w:ind w:firstLine="420" w:firstLineChars="200"/>
              <w:jc w:val="both"/>
              <w:rPr>
                <w:rFonts w:hint="eastAsia" w:ascii="宋体" w:hAnsi="宋体" w:eastAsia="宋体" w:cs="宋体"/>
                <w:highlight w:val="none"/>
              </w:rPr>
            </w:pPr>
          </w:p>
        </w:tc>
        <w:tc>
          <w:tcPr>
            <w:tcW w:w="1106" w:type="dxa"/>
            <w:noWrap w:val="0"/>
            <w:vAlign w:val="top"/>
          </w:tcPr>
          <w:p w14:paraId="689945B9">
            <w:pPr>
              <w:spacing w:line="360" w:lineRule="auto"/>
              <w:ind w:firstLine="420" w:firstLineChars="200"/>
              <w:jc w:val="both"/>
              <w:rPr>
                <w:rFonts w:hint="eastAsia" w:ascii="宋体" w:hAnsi="宋体" w:eastAsia="宋体" w:cs="宋体"/>
                <w:highlight w:val="none"/>
              </w:rPr>
            </w:pPr>
          </w:p>
        </w:tc>
      </w:tr>
      <w:tr w14:paraId="4735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4AAA680C">
            <w:pPr>
              <w:spacing w:line="360" w:lineRule="auto"/>
              <w:ind w:firstLine="420" w:firstLineChars="200"/>
              <w:jc w:val="both"/>
              <w:rPr>
                <w:rFonts w:hint="eastAsia" w:ascii="宋体" w:hAnsi="宋体" w:eastAsia="宋体" w:cs="宋体"/>
                <w:highlight w:val="none"/>
              </w:rPr>
            </w:pPr>
          </w:p>
        </w:tc>
        <w:tc>
          <w:tcPr>
            <w:tcW w:w="1623" w:type="dxa"/>
            <w:noWrap w:val="0"/>
            <w:vAlign w:val="top"/>
          </w:tcPr>
          <w:p w14:paraId="5102BE6D">
            <w:pPr>
              <w:spacing w:line="360" w:lineRule="auto"/>
              <w:ind w:firstLine="420" w:firstLineChars="200"/>
              <w:jc w:val="both"/>
              <w:rPr>
                <w:rFonts w:hint="eastAsia" w:ascii="宋体" w:hAnsi="宋体" w:eastAsia="宋体" w:cs="宋体"/>
                <w:highlight w:val="none"/>
              </w:rPr>
            </w:pPr>
          </w:p>
        </w:tc>
        <w:tc>
          <w:tcPr>
            <w:tcW w:w="902" w:type="dxa"/>
            <w:noWrap w:val="0"/>
            <w:vAlign w:val="top"/>
          </w:tcPr>
          <w:p w14:paraId="659E08F7">
            <w:pPr>
              <w:spacing w:line="360" w:lineRule="auto"/>
              <w:ind w:firstLine="420" w:firstLineChars="200"/>
              <w:jc w:val="both"/>
              <w:rPr>
                <w:rFonts w:hint="eastAsia" w:ascii="宋体" w:hAnsi="宋体" w:eastAsia="宋体" w:cs="宋体"/>
                <w:highlight w:val="none"/>
              </w:rPr>
            </w:pPr>
          </w:p>
        </w:tc>
        <w:tc>
          <w:tcPr>
            <w:tcW w:w="902" w:type="dxa"/>
            <w:noWrap w:val="0"/>
            <w:vAlign w:val="top"/>
          </w:tcPr>
          <w:p w14:paraId="75A9885F">
            <w:pPr>
              <w:spacing w:line="360" w:lineRule="auto"/>
              <w:ind w:firstLine="420" w:firstLineChars="200"/>
              <w:jc w:val="both"/>
              <w:rPr>
                <w:rFonts w:hint="eastAsia" w:ascii="宋体" w:hAnsi="宋体" w:eastAsia="宋体" w:cs="宋体"/>
                <w:highlight w:val="none"/>
              </w:rPr>
            </w:pPr>
          </w:p>
        </w:tc>
        <w:tc>
          <w:tcPr>
            <w:tcW w:w="1071" w:type="dxa"/>
            <w:noWrap w:val="0"/>
            <w:vAlign w:val="top"/>
          </w:tcPr>
          <w:p w14:paraId="7E541533">
            <w:pPr>
              <w:spacing w:line="360" w:lineRule="auto"/>
              <w:ind w:firstLine="420" w:firstLineChars="200"/>
              <w:jc w:val="both"/>
              <w:rPr>
                <w:rFonts w:hint="eastAsia" w:ascii="宋体" w:hAnsi="宋体" w:eastAsia="宋体" w:cs="宋体"/>
                <w:highlight w:val="none"/>
              </w:rPr>
            </w:pPr>
          </w:p>
        </w:tc>
        <w:tc>
          <w:tcPr>
            <w:tcW w:w="1250" w:type="dxa"/>
            <w:noWrap w:val="0"/>
            <w:vAlign w:val="top"/>
          </w:tcPr>
          <w:p w14:paraId="01CE0807">
            <w:pPr>
              <w:spacing w:line="360" w:lineRule="auto"/>
              <w:ind w:firstLine="420" w:firstLineChars="200"/>
              <w:jc w:val="both"/>
              <w:rPr>
                <w:rFonts w:hint="eastAsia" w:ascii="宋体" w:hAnsi="宋体" w:eastAsia="宋体" w:cs="宋体"/>
                <w:highlight w:val="none"/>
              </w:rPr>
            </w:pPr>
          </w:p>
        </w:tc>
        <w:tc>
          <w:tcPr>
            <w:tcW w:w="1106" w:type="dxa"/>
            <w:noWrap w:val="0"/>
            <w:vAlign w:val="top"/>
          </w:tcPr>
          <w:p w14:paraId="1193051F">
            <w:pPr>
              <w:spacing w:line="360" w:lineRule="auto"/>
              <w:ind w:firstLine="420" w:firstLineChars="200"/>
              <w:jc w:val="both"/>
              <w:rPr>
                <w:rFonts w:hint="eastAsia" w:ascii="宋体" w:hAnsi="宋体" w:eastAsia="宋体" w:cs="宋体"/>
                <w:highlight w:val="none"/>
              </w:rPr>
            </w:pPr>
          </w:p>
        </w:tc>
      </w:tr>
      <w:tr w14:paraId="3ABF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23B2E193">
            <w:pPr>
              <w:spacing w:line="360" w:lineRule="auto"/>
              <w:ind w:firstLine="420" w:firstLineChars="200"/>
              <w:jc w:val="both"/>
              <w:rPr>
                <w:rFonts w:hint="eastAsia" w:ascii="宋体" w:hAnsi="宋体" w:eastAsia="宋体" w:cs="宋体"/>
                <w:highlight w:val="none"/>
              </w:rPr>
            </w:pPr>
          </w:p>
        </w:tc>
        <w:tc>
          <w:tcPr>
            <w:tcW w:w="1623" w:type="dxa"/>
            <w:noWrap w:val="0"/>
            <w:vAlign w:val="top"/>
          </w:tcPr>
          <w:p w14:paraId="3C42960E">
            <w:pPr>
              <w:spacing w:line="360" w:lineRule="auto"/>
              <w:ind w:firstLine="420" w:firstLineChars="200"/>
              <w:jc w:val="both"/>
              <w:rPr>
                <w:rFonts w:hint="eastAsia" w:ascii="宋体" w:hAnsi="宋体" w:eastAsia="宋体" w:cs="宋体"/>
                <w:highlight w:val="none"/>
              </w:rPr>
            </w:pPr>
          </w:p>
        </w:tc>
        <w:tc>
          <w:tcPr>
            <w:tcW w:w="902" w:type="dxa"/>
            <w:noWrap w:val="0"/>
            <w:vAlign w:val="top"/>
          </w:tcPr>
          <w:p w14:paraId="2B26AE52">
            <w:pPr>
              <w:spacing w:line="360" w:lineRule="auto"/>
              <w:ind w:firstLine="420" w:firstLineChars="200"/>
              <w:jc w:val="both"/>
              <w:rPr>
                <w:rFonts w:hint="eastAsia" w:ascii="宋体" w:hAnsi="宋体" w:eastAsia="宋体" w:cs="宋体"/>
                <w:highlight w:val="none"/>
              </w:rPr>
            </w:pPr>
          </w:p>
        </w:tc>
        <w:tc>
          <w:tcPr>
            <w:tcW w:w="902" w:type="dxa"/>
            <w:noWrap w:val="0"/>
            <w:vAlign w:val="top"/>
          </w:tcPr>
          <w:p w14:paraId="411181FE">
            <w:pPr>
              <w:spacing w:line="360" w:lineRule="auto"/>
              <w:ind w:firstLine="420" w:firstLineChars="200"/>
              <w:jc w:val="both"/>
              <w:rPr>
                <w:rFonts w:hint="eastAsia" w:ascii="宋体" w:hAnsi="宋体" w:eastAsia="宋体" w:cs="宋体"/>
                <w:highlight w:val="none"/>
              </w:rPr>
            </w:pPr>
          </w:p>
        </w:tc>
        <w:tc>
          <w:tcPr>
            <w:tcW w:w="1071" w:type="dxa"/>
            <w:noWrap w:val="0"/>
            <w:vAlign w:val="top"/>
          </w:tcPr>
          <w:p w14:paraId="3EAAA9AF">
            <w:pPr>
              <w:spacing w:line="360" w:lineRule="auto"/>
              <w:ind w:firstLine="420" w:firstLineChars="200"/>
              <w:jc w:val="both"/>
              <w:rPr>
                <w:rFonts w:hint="eastAsia" w:ascii="宋体" w:hAnsi="宋体" w:eastAsia="宋体" w:cs="宋体"/>
                <w:highlight w:val="none"/>
              </w:rPr>
            </w:pPr>
          </w:p>
        </w:tc>
        <w:tc>
          <w:tcPr>
            <w:tcW w:w="1250" w:type="dxa"/>
            <w:noWrap w:val="0"/>
            <w:vAlign w:val="top"/>
          </w:tcPr>
          <w:p w14:paraId="3A99B16F">
            <w:pPr>
              <w:spacing w:line="360" w:lineRule="auto"/>
              <w:ind w:firstLine="420" w:firstLineChars="200"/>
              <w:jc w:val="both"/>
              <w:rPr>
                <w:rFonts w:hint="eastAsia" w:ascii="宋体" w:hAnsi="宋体" w:eastAsia="宋体" w:cs="宋体"/>
                <w:highlight w:val="none"/>
              </w:rPr>
            </w:pPr>
          </w:p>
        </w:tc>
        <w:tc>
          <w:tcPr>
            <w:tcW w:w="1106" w:type="dxa"/>
            <w:noWrap w:val="0"/>
            <w:vAlign w:val="top"/>
          </w:tcPr>
          <w:p w14:paraId="11A69BF7">
            <w:pPr>
              <w:spacing w:line="360" w:lineRule="auto"/>
              <w:ind w:firstLine="420" w:firstLineChars="200"/>
              <w:jc w:val="both"/>
              <w:rPr>
                <w:rFonts w:hint="eastAsia" w:ascii="宋体" w:hAnsi="宋体" w:eastAsia="宋体" w:cs="宋体"/>
                <w:highlight w:val="none"/>
              </w:rPr>
            </w:pPr>
          </w:p>
        </w:tc>
      </w:tr>
      <w:tr w14:paraId="79B7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noWrap w:val="0"/>
            <w:vAlign w:val="top"/>
          </w:tcPr>
          <w:p w14:paraId="2EB8AB1A">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rPr>
              <w:t>合同总价款（大小写）：</w:t>
            </w:r>
          </w:p>
          <w:p w14:paraId="0950CF91">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szCs w:val="28"/>
                <w:highlight w:val="none"/>
              </w:rPr>
              <w:t>备注：上述服务包含相关设备购置、人员工资及售后服务、税金、劳保基金、人员培训等费用。</w:t>
            </w:r>
          </w:p>
        </w:tc>
      </w:tr>
    </w:tbl>
    <w:p w14:paraId="3615A7D2">
      <w:pPr>
        <w:spacing w:line="360" w:lineRule="auto"/>
        <w:ind w:firstLine="422" w:firstLineChars="200"/>
        <w:jc w:val="both"/>
        <w:rPr>
          <w:rFonts w:hint="eastAsia" w:ascii="宋体" w:hAnsi="宋体" w:eastAsia="宋体" w:cs="宋体"/>
          <w:highlight w:val="none"/>
        </w:rPr>
      </w:pPr>
      <w:r>
        <w:rPr>
          <w:rFonts w:hint="eastAsia" w:ascii="宋体" w:hAnsi="宋体" w:eastAsia="宋体" w:cs="宋体"/>
          <w:b/>
          <w:bCs/>
          <w:szCs w:val="27"/>
          <w:highlight w:val="none"/>
        </w:rPr>
        <w:t xml:space="preserve">第二条  </w:t>
      </w:r>
      <w:r>
        <w:rPr>
          <w:rFonts w:hint="eastAsia" w:ascii="宋体" w:hAnsi="宋体" w:eastAsia="宋体" w:cs="宋体"/>
          <w:szCs w:val="27"/>
          <w:highlight w:val="none"/>
        </w:rPr>
        <w:t>服务标准（包括达到的水平要求），按下列第（ ）项执行：</w:t>
      </w:r>
    </w:p>
    <w:p w14:paraId="738C3582">
      <w:pPr>
        <w:spacing w:line="360" w:lineRule="auto"/>
        <w:ind w:firstLine="420" w:firstLineChars="200"/>
        <w:jc w:val="both"/>
        <w:rPr>
          <w:rFonts w:hint="eastAsia" w:ascii="宋体" w:hAnsi="宋体" w:eastAsia="宋体" w:cs="宋体"/>
          <w:szCs w:val="27"/>
          <w:highlight w:val="none"/>
        </w:rPr>
      </w:pPr>
      <w:r>
        <w:rPr>
          <w:rFonts w:hint="eastAsia" w:ascii="宋体" w:hAnsi="宋体" w:eastAsia="宋体" w:cs="宋体"/>
          <w:szCs w:val="27"/>
          <w:highlight w:val="none"/>
        </w:rPr>
        <w:t>①按国家标准执行；②按部颁标准执行；③若无以上标准，则应不低于同行业服务标准；④有特殊要求的，按甲乙双方在合同中商定的要求执行；</w:t>
      </w:r>
    </w:p>
    <w:p w14:paraId="7D77F75E">
      <w:pPr>
        <w:spacing w:line="360" w:lineRule="auto"/>
        <w:ind w:firstLine="420" w:firstLineChars="200"/>
        <w:jc w:val="both"/>
        <w:rPr>
          <w:rFonts w:hint="eastAsia" w:ascii="宋体" w:hAnsi="宋体" w:eastAsia="宋体" w:cs="宋体"/>
          <w:szCs w:val="27"/>
          <w:highlight w:val="none"/>
          <w:u w:val="single"/>
        </w:rPr>
      </w:pPr>
      <w:r>
        <w:rPr>
          <w:rFonts w:hint="eastAsia" w:ascii="宋体" w:hAnsi="宋体" w:eastAsia="宋体" w:cs="宋体"/>
          <w:highlight w:val="none"/>
        </w:rPr>
        <w:t>乙方提供的服务标准和水平应与招标采购文件规定的标准和水平相一致。</w:t>
      </w:r>
    </w:p>
    <w:p w14:paraId="5FABB1BC">
      <w:pPr>
        <w:spacing w:line="360" w:lineRule="auto"/>
        <w:ind w:firstLine="422" w:firstLineChars="200"/>
        <w:jc w:val="both"/>
        <w:rPr>
          <w:rFonts w:hint="eastAsia" w:ascii="宋体" w:hAnsi="宋体" w:eastAsia="宋体" w:cs="宋体"/>
          <w:szCs w:val="27"/>
          <w:highlight w:val="none"/>
        </w:rPr>
      </w:pPr>
      <w:r>
        <w:rPr>
          <w:rFonts w:hint="eastAsia" w:ascii="宋体" w:hAnsi="宋体" w:eastAsia="宋体" w:cs="宋体"/>
          <w:b/>
          <w:bCs/>
          <w:szCs w:val="27"/>
          <w:highlight w:val="none"/>
        </w:rPr>
        <w:t xml:space="preserve">第三条  </w:t>
      </w:r>
      <w:r>
        <w:rPr>
          <w:rFonts w:hint="eastAsia" w:ascii="宋体" w:hAnsi="宋体" w:eastAsia="宋体" w:cs="宋体"/>
          <w:szCs w:val="27"/>
          <w:highlight w:val="none"/>
        </w:rPr>
        <w:t>服务的方式、方法、、地点和期限</w:t>
      </w:r>
    </w:p>
    <w:p w14:paraId="369DFB0E">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szCs w:val="27"/>
          <w:highlight w:val="none"/>
        </w:rPr>
        <w:t>1、服务方式：</w:t>
      </w:r>
    </w:p>
    <w:p w14:paraId="43E53036">
      <w:pPr>
        <w:spacing w:line="360" w:lineRule="auto"/>
        <w:ind w:firstLine="420" w:firstLineChars="200"/>
        <w:jc w:val="both"/>
        <w:rPr>
          <w:rFonts w:hint="eastAsia" w:ascii="宋体" w:hAnsi="宋体" w:eastAsia="宋体" w:cs="宋体"/>
          <w:highlight w:val="none"/>
          <w:lang w:val="en-US"/>
        </w:rPr>
      </w:pPr>
      <w:r>
        <w:rPr>
          <w:rFonts w:hint="eastAsia" w:ascii="宋体" w:hAnsi="宋体" w:eastAsia="宋体" w:cs="宋体"/>
          <w:highlight w:val="none"/>
          <w:lang w:val="en-US"/>
        </w:rPr>
        <w:t>2、服务方法：</w:t>
      </w:r>
    </w:p>
    <w:p w14:paraId="79CEAA23">
      <w:pPr>
        <w:spacing w:line="360" w:lineRule="auto"/>
        <w:ind w:firstLine="420" w:firstLineChars="200"/>
        <w:jc w:val="both"/>
        <w:rPr>
          <w:rFonts w:hint="eastAsia" w:ascii="宋体" w:hAnsi="宋体" w:eastAsia="宋体" w:cs="宋体"/>
          <w:szCs w:val="27"/>
          <w:highlight w:val="none"/>
        </w:rPr>
      </w:pPr>
      <w:r>
        <w:rPr>
          <w:rFonts w:hint="eastAsia" w:ascii="宋体" w:hAnsi="宋体" w:eastAsia="宋体" w:cs="宋体"/>
          <w:szCs w:val="27"/>
          <w:highlight w:val="none"/>
        </w:rPr>
        <w:t>2、服务地点：</w:t>
      </w:r>
      <w:r>
        <w:rPr>
          <w:rFonts w:hint="eastAsia" w:ascii="宋体" w:hAnsi="宋体" w:eastAsia="宋体" w:cs="宋体"/>
          <w:szCs w:val="27"/>
          <w:highlight w:val="none"/>
        </w:rPr>
        <w:softHyphen/>
      </w:r>
      <w:r>
        <w:rPr>
          <w:rFonts w:hint="eastAsia" w:ascii="宋体" w:hAnsi="宋体" w:eastAsia="宋体" w:cs="宋体"/>
          <w:szCs w:val="27"/>
          <w:highlight w:val="none"/>
        </w:rPr>
        <w:softHyphen/>
      </w:r>
      <w:r>
        <w:rPr>
          <w:rFonts w:hint="eastAsia" w:ascii="宋体" w:hAnsi="宋体" w:eastAsia="宋体" w:cs="宋体"/>
          <w:szCs w:val="27"/>
          <w:highlight w:val="none"/>
        </w:rPr>
        <w:softHyphen/>
      </w:r>
      <w:r>
        <w:rPr>
          <w:rFonts w:hint="eastAsia" w:ascii="宋体" w:hAnsi="宋体" w:eastAsia="宋体" w:cs="宋体"/>
          <w:szCs w:val="27"/>
          <w:highlight w:val="none"/>
        </w:rPr>
        <w:softHyphen/>
      </w:r>
      <w:r>
        <w:rPr>
          <w:rFonts w:hint="eastAsia" w:ascii="宋体" w:hAnsi="宋体" w:eastAsia="宋体" w:cs="宋体"/>
          <w:szCs w:val="27"/>
          <w:highlight w:val="none"/>
        </w:rPr>
        <w:softHyphen/>
      </w:r>
      <w:r>
        <w:rPr>
          <w:rFonts w:hint="eastAsia" w:ascii="宋体" w:hAnsi="宋体" w:eastAsia="宋体" w:cs="宋体"/>
          <w:szCs w:val="27"/>
          <w:highlight w:val="none"/>
        </w:rPr>
        <w:softHyphen/>
      </w:r>
      <w:r>
        <w:rPr>
          <w:rFonts w:hint="eastAsia" w:ascii="宋体" w:hAnsi="宋体" w:eastAsia="宋体" w:cs="宋体"/>
          <w:szCs w:val="27"/>
          <w:highlight w:val="none"/>
        </w:rPr>
        <w:softHyphen/>
      </w:r>
      <w:r>
        <w:rPr>
          <w:rFonts w:hint="eastAsia" w:ascii="宋体" w:hAnsi="宋体" w:eastAsia="宋体" w:cs="宋体"/>
          <w:szCs w:val="27"/>
          <w:highlight w:val="none"/>
        </w:rPr>
        <w:softHyphen/>
      </w:r>
      <w:r>
        <w:rPr>
          <w:rFonts w:hint="eastAsia" w:ascii="宋体" w:hAnsi="宋体" w:eastAsia="宋体" w:cs="宋体"/>
          <w:szCs w:val="27"/>
          <w:highlight w:val="none"/>
        </w:rPr>
        <w:softHyphen/>
      </w:r>
      <w:r>
        <w:rPr>
          <w:rFonts w:hint="eastAsia" w:ascii="宋体" w:hAnsi="宋体" w:eastAsia="宋体" w:cs="宋体"/>
          <w:szCs w:val="27"/>
          <w:highlight w:val="none"/>
        </w:rPr>
        <w:softHyphen/>
      </w:r>
    </w:p>
    <w:p w14:paraId="377FF9AA">
      <w:pPr>
        <w:spacing w:line="360" w:lineRule="auto"/>
        <w:ind w:firstLine="420" w:firstLineChars="200"/>
        <w:jc w:val="both"/>
        <w:rPr>
          <w:rFonts w:hint="eastAsia" w:ascii="宋体" w:hAnsi="宋体" w:eastAsia="宋体" w:cs="宋体"/>
          <w:szCs w:val="27"/>
          <w:highlight w:val="none"/>
        </w:rPr>
      </w:pPr>
      <w:r>
        <w:rPr>
          <w:rFonts w:hint="eastAsia" w:ascii="宋体" w:hAnsi="宋体" w:eastAsia="宋体" w:cs="宋体"/>
          <w:szCs w:val="27"/>
          <w:highlight w:val="none"/>
        </w:rPr>
        <w:t>3、服务期限：</w:t>
      </w:r>
    </w:p>
    <w:p w14:paraId="41AFFF33">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rPr>
        <w:t>第四条</w:t>
      </w:r>
      <w:r>
        <w:rPr>
          <w:rFonts w:hint="eastAsia" w:ascii="宋体" w:hAnsi="宋体" w:eastAsia="宋体" w:cs="宋体"/>
          <w:highlight w:val="none"/>
          <w:lang w:val="en-US"/>
        </w:rPr>
        <w:t xml:space="preserve">  </w:t>
      </w:r>
      <w:r>
        <w:rPr>
          <w:rFonts w:hint="eastAsia" w:ascii="宋体" w:hAnsi="宋体" w:eastAsia="宋体" w:cs="宋体"/>
          <w:highlight w:val="none"/>
        </w:rPr>
        <w:t>费用及支付方式</w:t>
      </w:r>
    </w:p>
    <w:p w14:paraId="182C889B">
      <w:pPr>
        <w:pStyle w:val="10"/>
        <w:kinsoku w:val="0"/>
        <w:overflowPunct w:val="0"/>
        <w:spacing w:line="364" w:lineRule="auto"/>
        <w:ind w:left="0" w:firstLine="422" w:firstLineChars="200"/>
        <w:jc w:val="both"/>
        <w:rPr>
          <w:rFonts w:hint="eastAsia" w:ascii="宋体" w:hAnsi="宋体" w:eastAsia="宋体" w:cs="宋体"/>
          <w:b/>
          <w:highlight w:val="none"/>
        </w:rPr>
      </w:pPr>
      <w:r>
        <w:rPr>
          <w:rFonts w:hint="eastAsia" w:ascii="宋体" w:hAnsi="宋体" w:eastAsia="宋体" w:cs="宋体"/>
          <w:b/>
          <w:sz w:val="21"/>
          <w:highlight w:val="none"/>
        </w:rPr>
        <w:t>(一)</w:t>
      </w:r>
      <w:r>
        <w:rPr>
          <w:rFonts w:hint="eastAsia" w:ascii="宋体" w:hAnsi="宋体" w:eastAsia="宋体" w:cs="宋体"/>
          <w:b/>
          <w:highlight w:val="none"/>
        </w:rPr>
        <w:t>本项目</w:t>
      </w:r>
      <w:r>
        <w:rPr>
          <w:rFonts w:hint="eastAsia" w:ascii="宋体" w:hAnsi="宋体" w:eastAsia="宋体" w:cs="宋体"/>
          <w:b/>
          <w:highlight w:val="none"/>
          <w:lang w:val="en-US"/>
        </w:rPr>
        <w:t>费用有以</w:t>
      </w:r>
      <w:r>
        <w:rPr>
          <w:rFonts w:hint="eastAsia" w:ascii="宋体" w:hAnsi="宋体" w:eastAsia="宋体" w:cs="宋体"/>
          <w:b/>
          <w:highlight w:val="none"/>
        </w:rPr>
        <w:t>下组成：</w:t>
      </w:r>
    </w:p>
    <w:p w14:paraId="294FFBE1">
      <w:pPr>
        <w:pStyle w:val="10"/>
        <w:kinsoku w:val="0"/>
        <w:overflowPunct w:val="0"/>
        <w:spacing w:line="364" w:lineRule="auto"/>
        <w:ind w:left="0" w:firstLine="420" w:firstLineChars="200"/>
        <w:jc w:val="both"/>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 xml:space="preserve"> 1、XX 万元；</w:t>
      </w:r>
    </w:p>
    <w:p w14:paraId="4E0D82E3">
      <w:pPr>
        <w:pStyle w:val="10"/>
        <w:kinsoku w:val="0"/>
        <w:overflowPunct w:val="0"/>
        <w:spacing w:line="364" w:lineRule="auto"/>
        <w:ind w:left="0" w:firstLine="420" w:firstLineChars="200"/>
        <w:jc w:val="both"/>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2、XX 万元；</w:t>
      </w:r>
    </w:p>
    <w:p w14:paraId="73257146">
      <w:pPr>
        <w:pStyle w:val="10"/>
        <w:kinsoku w:val="0"/>
        <w:overflowPunct w:val="0"/>
        <w:spacing w:line="364" w:lineRule="auto"/>
        <w:ind w:left="0" w:firstLine="420" w:firstLineChars="200"/>
        <w:jc w:val="both"/>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w:t>
      </w:r>
    </w:p>
    <w:p w14:paraId="131B5236">
      <w:pPr>
        <w:pStyle w:val="10"/>
        <w:kinsoku w:val="0"/>
        <w:overflowPunct w:val="0"/>
        <w:ind w:left="0" w:firstLine="422" w:firstLineChars="200"/>
        <w:jc w:val="both"/>
        <w:rPr>
          <w:rFonts w:hint="eastAsia" w:ascii="宋体" w:hAnsi="宋体" w:eastAsia="宋体" w:cs="宋体"/>
          <w:b/>
          <w:highlight w:val="none"/>
        </w:rPr>
      </w:pPr>
      <w:r>
        <w:rPr>
          <w:rFonts w:hint="eastAsia" w:ascii="宋体" w:hAnsi="宋体" w:eastAsia="宋体" w:cs="宋体"/>
          <w:b/>
          <w:sz w:val="21"/>
          <w:highlight w:val="none"/>
        </w:rPr>
        <w:t>(二)</w:t>
      </w:r>
      <w:r>
        <w:rPr>
          <w:rFonts w:hint="eastAsia" w:ascii="宋体" w:hAnsi="宋体" w:eastAsia="宋体" w:cs="宋体"/>
          <w:b/>
          <w:highlight w:val="none"/>
        </w:rPr>
        <w:t>费用支付方式：</w:t>
      </w:r>
    </w:p>
    <w:p w14:paraId="47110DDB">
      <w:pPr>
        <w:pStyle w:val="10"/>
        <w:kinsoku w:val="0"/>
        <w:overflowPunct w:val="0"/>
        <w:spacing w:line="364" w:lineRule="auto"/>
        <w:ind w:left="0" w:firstLine="420" w:firstLineChars="200"/>
        <w:jc w:val="both"/>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1、XXXX；</w:t>
      </w:r>
    </w:p>
    <w:p w14:paraId="0F69A25B">
      <w:pPr>
        <w:pStyle w:val="10"/>
        <w:kinsoku w:val="0"/>
        <w:overflowPunct w:val="0"/>
        <w:spacing w:line="364" w:lineRule="auto"/>
        <w:ind w:left="0" w:firstLine="420" w:firstLineChars="200"/>
        <w:jc w:val="both"/>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2、XXXX ；</w:t>
      </w:r>
    </w:p>
    <w:p w14:paraId="2199E411">
      <w:pPr>
        <w:pStyle w:val="10"/>
        <w:kinsoku w:val="0"/>
        <w:overflowPunct w:val="0"/>
        <w:spacing w:line="364" w:lineRule="auto"/>
        <w:ind w:left="0" w:firstLine="420" w:firstLineChars="200"/>
        <w:jc w:val="both"/>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3、在支付前甲方对乙方的服务进行考核或验收，合格的支付相应款 项。乙方须向甲方出具合法有效完整的完税发票及凭证资料进行支付结算。</w:t>
      </w:r>
    </w:p>
    <w:p w14:paraId="7B7260DB">
      <w:pPr>
        <w:pStyle w:val="10"/>
        <w:kinsoku w:val="0"/>
        <w:overflowPunct w:val="0"/>
        <w:ind w:left="0" w:firstLine="422" w:firstLineChars="200"/>
        <w:jc w:val="both"/>
        <w:rPr>
          <w:rFonts w:hint="eastAsia" w:ascii="宋体" w:hAnsi="宋体" w:eastAsia="宋体" w:cs="宋体"/>
          <w:highlight w:val="none"/>
        </w:rPr>
      </w:pPr>
      <w:r>
        <w:rPr>
          <w:rFonts w:hint="eastAsia" w:ascii="宋体" w:hAnsi="宋体" w:eastAsia="宋体" w:cs="宋体"/>
          <w:b/>
          <w:highlight w:val="none"/>
        </w:rPr>
        <w:t>第五条</w:t>
      </w:r>
      <w:r>
        <w:rPr>
          <w:rFonts w:hint="eastAsia" w:ascii="宋体" w:hAnsi="宋体" w:eastAsia="宋体" w:cs="宋体"/>
          <w:b/>
          <w:highlight w:val="none"/>
          <w:lang w:val="en-US"/>
        </w:rPr>
        <w:t xml:space="preserve">  </w:t>
      </w:r>
      <w:r>
        <w:rPr>
          <w:rFonts w:hint="eastAsia" w:ascii="宋体" w:hAnsi="宋体" w:eastAsia="宋体" w:cs="宋体"/>
          <w:b/>
          <w:highlight w:val="none"/>
        </w:rPr>
        <w:t xml:space="preserve">付款条件   </w:t>
      </w:r>
      <w:r>
        <w:rPr>
          <w:rFonts w:hint="eastAsia" w:ascii="宋体" w:hAnsi="宋体" w:eastAsia="宋体" w:cs="宋体"/>
          <w:highlight w:val="none"/>
        </w:rPr>
        <w:t xml:space="preserve">               </w:t>
      </w:r>
    </w:p>
    <w:p w14:paraId="0889403A">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rPr>
        <w:t>本合同以人民币付款。</w:t>
      </w:r>
    </w:p>
    <w:p w14:paraId="1D9615FD">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rPr>
        <w:t>该项目是否实行预付款：</w:t>
      </w:r>
    </w:p>
    <w:p w14:paraId="5AA6336B">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rPr>
        <w:t>实行预付款的条件和比例：</w:t>
      </w:r>
    </w:p>
    <w:p w14:paraId="668E8D47">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rPr>
        <w:t>合同款项结算方式和支付比例：</w:t>
      </w:r>
      <w:r>
        <w:rPr>
          <w:rFonts w:hint="eastAsia" w:ascii="宋体" w:hAnsi="宋体" w:eastAsia="宋体" w:cs="宋体"/>
          <w:highlight w:val="none"/>
          <w:lang w:val="en-US"/>
        </w:rPr>
        <w:t xml:space="preserve">   </w:t>
      </w:r>
    </w:p>
    <w:p w14:paraId="03B96E4F">
      <w:pPr>
        <w:spacing w:line="360" w:lineRule="auto"/>
        <w:ind w:firstLine="420" w:firstLineChars="200"/>
        <w:jc w:val="both"/>
        <w:rPr>
          <w:rFonts w:hint="eastAsia" w:ascii="宋体" w:hAnsi="宋体" w:eastAsia="宋体" w:cs="宋体"/>
          <w:highlight w:val="none"/>
          <w:u w:val="single"/>
        </w:rPr>
      </w:pPr>
      <w:r>
        <w:rPr>
          <w:rFonts w:hint="eastAsia" w:ascii="宋体" w:hAnsi="宋体" w:eastAsia="宋体" w:cs="宋体"/>
          <w:highlight w:val="none"/>
          <w:lang w:val="en-US"/>
        </w:rPr>
        <w:t>(</w:t>
      </w:r>
      <w:r>
        <w:rPr>
          <w:rFonts w:hint="eastAsia" w:ascii="宋体" w:hAnsi="宋体" w:eastAsia="宋体" w:cs="宋体"/>
          <w:highlight w:val="none"/>
        </w:rPr>
        <w:t>具体付款方式</w:t>
      </w:r>
      <w:r>
        <w:rPr>
          <w:rFonts w:hint="eastAsia" w:ascii="宋体" w:hAnsi="宋体" w:eastAsia="宋体" w:cs="宋体"/>
          <w:highlight w:val="none"/>
          <w:u w:val="single"/>
        </w:rPr>
        <w:t>按投标人须知前附表以及采、购双方的具体约定</w:t>
      </w:r>
    </w:p>
    <w:p w14:paraId="5E3D8EB1">
      <w:pPr>
        <w:bidi w:val="0"/>
        <w:ind w:firstLine="422" w:firstLineChars="200"/>
        <w:rPr>
          <w:rFonts w:hint="eastAsia"/>
          <w:b/>
          <w:bCs/>
          <w:highlight w:val="none"/>
          <w:lang w:val="en-US" w:eastAsia="zh-CN"/>
        </w:rPr>
      </w:pPr>
      <w:r>
        <w:rPr>
          <w:rFonts w:hint="eastAsia"/>
          <w:b/>
          <w:bCs/>
          <w:highlight w:val="none"/>
          <w:lang w:val="en-US" w:eastAsia="zh-CN"/>
        </w:rPr>
        <w:t>第六条  验收方法</w:t>
      </w:r>
    </w:p>
    <w:p w14:paraId="10467DAD">
      <w:pPr>
        <w:spacing w:line="360" w:lineRule="auto"/>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1.甲、乙双方应严格履行合同有关条款，如果验收过程中发现乙方在没有征得采购人同意的情况下擅自变更合同服务内容，将拒绝通过验收，由此引起的一切后果及损失由乙方承担。</w:t>
      </w:r>
    </w:p>
    <w:p w14:paraId="3EFF66D3">
      <w:pPr>
        <w:spacing w:line="360" w:lineRule="auto"/>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7758247D">
      <w:pPr>
        <w:spacing w:line="360" w:lineRule="auto"/>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3、甲方视情况可以邀请参加本项目的其他投标人或者第三方机构参与验收，参与验收的投标人或者第三方机构的意见作为验收书的参考资料一并存档。</w:t>
      </w:r>
    </w:p>
    <w:p w14:paraId="60FB0CC0">
      <w:pPr>
        <w:spacing w:line="360" w:lineRule="auto"/>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4、涉及安全、消防、环保等其他需要由质检或行业主管部门进行验收的项目，必须邀请相关部门或相关专家参与验收。涉及社会化服务的项目，甲方将要求社会公众人员参与验收。</w:t>
      </w:r>
    </w:p>
    <w:p w14:paraId="6FF47117">
      <w:pPr>
        <w:spacing w:line="360" w:lineRule="auto"/>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检测、验收费用承担方式：</w:t>
      </w:r>
    </w:p>
    <w:p w14:paraId="2C9C505C">
      <w:pPr>
        <w:pStyle w:val="10"/>
        <w:kinsoku w:val="0"/>
        <w:overflowPunct w:val="0"/>
        <w:spacing w:line="364" w:lineRule="auto"/>
        <w:ind w:left="0" w:firstLine="422" w:firstLineChars="200"/>
        <w:jc w:val="both"/>
        <w:rPr>
          <w:rFonts w:hint="eastAsia" w:ascii="宋体" w:hAnsi="宋体" w:eastAsia="宋体" w:cs="宋体"/>
          <w:b/>
          <w:highlight w:val="none"/>
        </w:rPr>
      </w:pPr>
      <w:r>
        <w:rPr>
          <w:rFonts w:hint="eastAsia" w:ascii="宋体" w:hAnsi="宋体" w:eastAsia="宋体" w:cs="宋体"/>
          <w:b/>
          <w:highlight w:val="none"/>
        </w:rPr>
        <w:t>第七条 知识产权</w:t>
      </w:r>
    </w:p>
    <w:p w14:paraId="2E7B223F">
      <w:pPr>
        <w:pStyle w:val="10"/>
        <w:kinsoku w:val="0"/>
        <w:overflowPunct w:val="0"/>
        <w:spacing w:line="364" w:lineRule="auto"/>
        <w:ind w:left="0" w:firstLine="420" w:firstLineChars="200"/>
        <w:jc w:val="both"/>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乙方应保证所提供的服务或其任何一部分均不会侵犯任何第三方的专利权、商标权或著作权。</w:t>
      </w:r>
    </w:p>
    <w:p w14:paraId="1F711AEA">
      <w:pPr>
        <w:bidi w:val="0"/>
        <w:ind w:firstLine="422" w:firstLineChars="200"/>
        <w:rPr>
          <w:rFonts w:hint="eastAsia"/>
          <w:b/>
          <w:bCs/>
          <w:highlight w:val="none"/>
          <w:lang w:val="en-US" w:eastAsia="zh-CN"/>
        </w:rPr>
      </w:pPr>
      <w:r>
        <w:rPr>
          <w:rFonts w:hint="eastAsia"/>
          <w:b/>
          <w:bCs/>
          <w:highlight w:val="none"/>
          <w:lang w:val="en-US" w:eastAsia="zh-CN"/>
        </w:rPr>
        <w:t>第八条 无产权瑕疵条款</w:t>
      </w:r>
    </w:p>
    <w:p w14:paraId="01C46FB8">
      <w:pPr>
        <w:pStyle w:val="10"/>
        <w:kinsoku w:val="0"/>
        <w:overflowPunct w:val="0"/>
        <w:spacing w:line="364" w:lineRule="auto"/>
        <w:ind w:left="0" w:firstLine="420" w:firstLineChars="200"/>
        <w:jc w:val="both"/>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乙方保证所提供的服务的所有权完全属于乙方且无任何抵押、查封等产权瑕疵。如有产权瑕疵的，视为乙方违约。乙方应负担由此而产生的一切损失。</w:t>
      </w:r>
    </w:p>
    <w:p w14:paraId="1272D0BB">
      <w:pPr>
        <w:spacing w:line="400" w:lineRule="exact"/>
        <w:ind w:firstLine="422" w:firstLineChars="200"/>
        <w:jc w:val="both"/>
        <w:rPr>
          <w:rFonts w:hint="eastAsia" w:ascii="宋体" w:hAnsi="宋体" w:eastAsia="宋体" w:cs="宋体"/>
          <w:b/>
          <w:bCs/>
          <w:szCs w:val="27"/>
          <w:highlight w:val="none"/>
        </w:rPr>
      </w:pPr>
      <w:r>
        <w:rPr>
          <w:rFonts w:hint="eastAsia" w:ascii="宋体" w:hAnsi="宋体" w:eastAsia="宋体" w:cs="宋体"/>
          <w:b/>
          <w:bCs/>
          <w:szCs w:val="27"/>
          <w:highlight w:val="none"/>
        </w:rPr>
        <w:t xml:space="preserve">第九条  </w:t>
      </w:r>
      <w:r>
        <w:rPr>
          <w:rFonts w:hint="eastAsia" w:ascii="宋体" w:hAnsi="宋体" w:eastAsia="宋体" w:cs="宋体"/>
          <w:szCs w:val="27"/>
          <w:highlight w:val="none"/>
        </w:rPr>
        <w:t>履约（或质量）保证金</w:t>
      </w:r>
    </w:p>
    <w:p w14:paraId="046C633A">
      <w:pPr>
        <w:spacing w:line="360" w:lineRule="auto"/>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1.本项目不收取履约保证金。确需收取履约保证金的，甲方不得要求乙方以现款的形式提供。乙方提供的履约保证金按规定格式以银行保函形式提供，与此有关的费用由服务方承担。</w:t>
      </w:r>
    </w:p>
    <w:p w14:paraId="7383739C">
      <w:pPr>
        <w:spacing w:line="360" w:lineRule="auto"/>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2.若确需质量保证金的，质量保证金不得超过合同总价款的5%</w:t>
      </w:r>
    </w:p>
    <w:p w14:paraId="51BBD8C4">
      <w:pPr>
        <w:spacing w:line="360" w:lineRule="auto"/>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3.如乙方未能履行其合同规定的任何义务，甲方有权从履约保证金中取得补偿。</w:t>
      </w:r>
    </w:p>
    <w:p w14:paraId="0CD39066">
      <w:pPr>
        <w:bidi w:val="0"/>
        <w:ind w:firstLine="422" w:firstLineChars="200"/>
        <w:rPr>
          <w:rFonts w:hint="eastAsia"/>
          <w:highlight w:val="none"/>
          <w:lang w:val="en-US" w:eastAsia="zh-CN"/>
        </w:rPr>
      </w:pPr>
      <w:r>
        <w:rPr>
          <w:rFonts w:hint="eastAsia"/>
          <w:b/>
          <w:bCs/>
          <w:highlight w:val="none"/>
          <w:lang w:val="en-US" w:eastAsia="zh-CN"/>
        </w:rPr>
        <w:t>第十条 甲方的权利和义务</w:t>
      </w:r>
    </w:p>
    <w:p w14:paraId="29DFC9DC">
      <w:pPr>
        <w:spacing w:line="360" w:lineRule="auto"/>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1、甲方有权对合同规定范围内乙方的行为进行监督和检查，拥有监管权。有权定期核对乙方提供服务所配备的人员数量。对甲方认为不合理的部分有权下达整改通知书，并要求乙方限期整改。</w:t>
      </w:r>
    </w:p>
    <w:p w14:paraId="0B366ADE">
      <w:pPr>
        <w:spacing w:line="360" w:lineRule="auto"/>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2、甲方有权依据双方签订的考评办法对乙方提供的服务进行定期考评。当考评结果未达到标准时，有权依据考评办法约定的数额扣除履约保证金。</w:t>
      </w:r>
    </w:p>
    <w:p w14:paraId="574C21E8">
      <w:pPr>
        <w:spacing w:line="360" w:lineRule="auto"/>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3、负责检查监督乙方管理工作的实施及制度的执行情况。</w:t>
      </w:r>
    </w:p>
    <w:p w14:paraId="28741F53">
      <w:pPr>
        <w:spacing w:line="360" w:lineRule="auto"/>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4、根据本合同规定，按时向乙方支付应付服务费用。</w:t>
      </w:r>
    </w:p>
    <w:p w14:paraId="652B30B9">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lang w:val="en-US" w:eastAsia="zh-CN"/>
        </w:rPr>
        <w:t xml:space="preserve">5、国家法律、法规所规定由甲方承担的其他责任    </w:t>
      </w:r>
      <w:r>
        <w:rPr>
          <w:rFonts w:hint="eastAsia" w:ascii="宋体" w:hAnsi="宋体" w:eastAsia="宋体" w:cs="宋体"/>
          <w:highlight w:val="none"/>
          <w:lang w:val="en-US"/>
        </w:rPr>
        <w:t xml:space="preserve">           </w:t>
      </w:r>
    </w:p>
    <w:p w14:paraId="4C2E8D9F">
      <w:pPr>
        <w:pStyle w:val="10"/>
        <w:kinsoku w:val="0"/>
        <w:overflowPunct w:val="0"/>
        <w:spacing w:line="364" w:lineRule="auto"/>
        <w:ind w:left="0" w:firstLine="422" w:firstLineChars="200"/>
        <w:jc w:val="both"/>
        <w:rPr>
          <w:rFonts w:hint="eastAsia" w:ascii="宋体" w:hAnsi="宋体" w:eastAsia="宋体" w:cs="宋体"/>
          <w:b/>
          <w:highlight w:val="none"/>
        </w:rPr>
      </w:pPr>
      <w:r>
        <w:rPr>
          <w:rFonts w:hint="eastAsia" w:ascii="宋体" w:hAnsi="宋体" w:eastAsia="宋体" w:cs="宋体"/>
          <w:b/>
          <w:highlight w:val="none"/>
        </w:rPr>
        <w:t>第十一条 乙方的权利和义务</w:t>
      </w:r>
    </w:p>
    <w:p w14:paraId="657FC6C4">
      <w:pPr>
        <w:spacing w:line="360" w:lineRule="auto"/>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1、对本合同规定的委托服务范围内的项目享有管理权及服务义务。</w:t>
      </w:r>
    </w:p>
    <w:p w14:paraId="77922E1A">
      <w:pPr>
        <w:spacing w:line="360" w:lineRule="auto"/>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2、根据本合同的规定向甲方收取相关服务费用，并有权在本项目管理范围内管理及合理使用。</w:t>
      </w:r>
    </w:p>
    <w:p w14:paraId="1B98D453">
      <w:pPr>
        <w:spacing w:line="360" w:lineRule="auto"/>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3、及时向甲方通告本项目服务范围内有关服务的重大事项，及时配合处理投诉。</w:t>
      </w:r>
    </w:p>
    <w:p w14:paraId="25061291">
      <w:pPr>
        <w:spacing w:line="360" w:lineRule="auto"/>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4、接受项目行业管理部门及政府有关部门的指导，接受甲方的监督。</w:t>
      </w:r>
    </w:p>
    <w:p w14:paraId="3B1979FB">
      <w:pPr>
        <w:spacing w:line="360" w:lineRule="auto"/>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5、国家法律、法规所规定由乙方承担的其它责任。</w:t>
      </w:r>
    </w:p>
    <w:p w14:paraId="3144D07E">
      <w:pPr>
        <w:pStyle w:val="10"/>
        <w:kinsoku w:val="0"/>
        <w:overflowPunct w:val="0"/>
        <w:spacing w:line="364" w:lineRule="auto"/>
        <w:ind w:left="0" w:firstLine="422" w:firstLineChars="200"/>
        <w:jc w:val="both"/>
        <w:rPr>
          <w:rFonts w:hint="eastAsia" w:ascii="宋体" w:hAnsi="宋体" w:eastAsia="宋体" w:cs="宋体"/>
          <w:b/>
          <w:highlight w:val="none"/>
        </w:rPr>
      </w:pPr>
      <w:r>
        <w:rPr>
          <w:rFonts w:hint="eastAsia" w:ascii="宋体" w:hAnsi="宋体" w:eastAsia="宋体" w:cs="宋体"/>
          <w:b/>
          <w:highlight w:val="none"/>
        </w:rPr>
        <w:t>第十二条 违约责任</w:t>
      </w:r>
    </w:p>
    <w:p w14:paraId="5A9C9D54">
      <w:pPr>
        <w:pStyle w:val="10"/>
        <w:kinsoku w:val="0"/>
        <w:overflowPunct w:val="0"/>
        <w:ind w:left="0" w:firstLine="420" w:firstLineChars="200"/>
        <w:jc w:val="both"/>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1、甲乙双方必须遵守本合同并执行合同中的各项规定，保证本合同的正常履行。</w:t>
      </w:r>
    </w:p>
    <w:p w14:paraId="29671B87">
      <w:pPr>
        <w:pStyle w:val="10"/>
        <w:kinsoku w:val="0"/>
        <w:overflowPunct w:val="0"/>
        <w:spacing w:line="364" w:lineRule="auto"/>
        <w:ind w:left="0" w:firstLine="420" w:firstLineChars="200"/>
        <w:jc w:val="both"/>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2、甲方逾期付款的，除应及时付足款项外，应向乙方偿付欠款总额万分之 /天的违约金；逾期付款超过 天的，乙方有权终止合同。</w:t>
      </w:r>
    </w:p>
    <w:p w14:paraId="5EDD5425">
      <w:pPr>
        <w:pStyle w:val="10"/>
        <w:kinsoku w:val="0"/>
        <w:overflowPunct w:val="0"/>
        <w:spacing w:line="364" w:lineRule="auto"/>
        <w:ind w:left="0" w:firstLine="420" w:firstLineChars="200"/>
        <w:jc w:val="both"/>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21D931B0">
      <w:pPr>
        <w:pStyle w:val="10"/>
        <w:kinsoku w:val="0"/>
        <w:overflowPunct w:val="0"/>
        <w:spacing w:line="364" w:lineRule="auto"/>
        <w:ind w:left="0" w:firstLine="420" w:firstLineChars="200"/>
        <w:jc w:val="both"/>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4、变更、中止或者终止合同，有过错的一方应当承担赔偿责任，双方都有过错的，各自承担相应的责任。</w:t>
      </w:r>
    </w:p>
    <w:p w14:paraId="17401818">
      <w:pPr>
        <w:spacing w:line="360" w:lineRule="auto"/>
        <w:ind w:firstLine="422" w:firstLineChars="200"/>
        <w:jc w:val="both"/>
        <w:rPr>
          <w:rFonts w:hint="eastAsia" w:ascii="宋体" w:hAnsi="宋体" w:eastAsia="宋体" w:cs="宋体"/>
          <w:b/>
          <w:highlight w:val="none"/>
        </w:rPr>
      </w:pPr>
      <w:r>
        <w:rPr>
          <w:rFonts w:hint="eastAsia" w:ascii="宋体" w:hAnsi="宋体" w:eastAsia="宋体" w:cs="宋体"/>
          <w:b/>
          <w:bCs/>
          <w:szCs w:val="27"/>
          <w:highlight w:val="none"/>
        </w:rPr>
        <w:t xml:space="preserve">第十三条 </w:t>
      </w:r>
      <w:r>
        <w:rPr>
          <w:rFonts w:hint="eastAsia" w:ascii="宋体" w:hAnsi="宋体" w:eastAsia="宋体" w:cs="宋体"/>
          <w:bCs/>
          <w:highlight w:val="none"/>
        </w:rPr>
        <w:t>转让与分包</w:t>
      </w:r>
    </w:p>
    <w:p w14:paraId="4EB13550">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szCs w:val="27"/>
          <w:highlight w:val="none"/>
        </w:rPr>
        <w:t>.</w:t>
      </w:r>
      <w:r>
        <w:rPr>
          <w:rFonts w:hint="eastAsia" w:ascii="宋体" w:hAnsi="宋体" w:eastAsia="宋体" w:cs="宋体"/>
          <w:highlight w:val="none"/>
        </w:rPr>
        <w:t>除甲方事先书面同意外，乙方不得部分转让或全部转让其应履行的合同义务。</w:t>
      </w:r>
    </w:p>
    <w:p w14:paraId="13BF86E1">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szCs w:val="27"/>
          <w:highlight w:val="none"/>
        </w:rPr>
        <w:t>.</w:t>
      </w:r>
      <w:r>
        <w:rPr>
          <w:rFonts w:hint="eastAsia" w:ascii="宋体" w:hAnsi="宋体" w:eastAsia="宋体" w:cs="宋体"/>
          <w:highlight w:val="none"/>
        </w:rPr>
        <w:t>乙方应在投标文件中或以其他书面形式对甲方确认本合同项下所授予的所有分包合同。但该确认不解除乙方承担的本合同下的任何责任或义务。意即在本合同项下，乙方对甲方负总责。</w:t>
      </w:r>
    </w:p>
    <w:p w14:paraId="2CC40841">
      <w:pPr>
        <w:spacing w:line="360" w:lineRule="auto"/>
        <w:ind w:firstLine="422" w:firstLineChars="200"/>
        <w:jc w:val="both"/>
        <w:rPr>
          <w:rFonts w:hint="eastAsia" w:ascii="宋体" w:hAnsi="宋体" w:eastAsia="宋体" w:cs="宋体"/>
          <w:b/>
          <w:highlight w:val="none"/>
        </w:rPr>
      </w:pPr>
      <w:r>
        <w:rPr>
          <w:rFonts w:hint="eastAsia" w:ascii="宋体" w:hAnsi="宋体" w:eastAsia="宋体" w:cs="宋体"/>
          <w:b/>
          <w:bCs/>
          <w:szCs w:val="27"/>
          <w:highlight w:val="none"/>
        </w:rPr>
        <w:t xml:space="preserve">第十四条 </w:t>
      </w:r>
      <w:r>
        <w:rPr>
          <w:rFonts w:hint="eastAsia" w:ascii="宋体" w:hAnsi="宋体" w:eastAsia="宋体" w:cs="宋体"/>
          <w:bCs/>
          <w:highlight w:val="none"/>
        </w:rPr>
        <w:t>合同文件及资料的使用</w:t>
      </w:r>
    </w:p>
    <w:p w14:paraId="6DF40EA0">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szCs w:val="27"/>
          <w:highlight w:val="none"/>
        </w:rPr>
        <w:t>.</w:t>
      </w:r>
      <w:r>
        <w:rPr>
          <w:rFonts w:hint="eastAsia" w:ascii="宋体" w:hAnsi="宋体" w:eastAsia="宋体" w:cs="宋体"/>
          <w:highlight w:val="none"/>
        </w:rPr>
        <w:t>乙方在未经甲方同意的情况下，不得将合同、合同中的规定、有关计划、图纸、样本或甲方为上述内容向乙方提供的资料透露给任何人。</w:t>
      </w:r>
    </w:p>
    <w:p w14:paraId="6B8756CA">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szCs w:val="27"/>
          <w:highlight w:val="none"/>
        </w:rPr>
        <w:t>.</w:t>
      </w:r>
      <w:r>
        <w:rPr>
          <w:rFonts w:hint="eastAsia" w:ascii="宋体" w:hAnsi="宋体" w:eastAsia="宋体" w:cs="宋体"/>
          <w:highlight w:val="none"/>
        </w:rPr>
        <w:t>除非执行合同需要，在事先未得到甲方同意的情况下，乙方不得使用前款所列的任何文件和资料。</w:t>
      </w:r>
    </w:p>
    <w:p w14:paraId="7CE7B0AF">
      <w:pPr>
        <w:bidi w:val="0"/>
        <w:ind w:firstLine="422" w:firstLineChars="200"/>
        <w:rPr>
          <w:rFonts w:hint="eastAsia"/>
          <w:b/>
          <w:bCs/>
          <w:highlight w:val="none"/>
          <w:lang w:val="en-US" w:eastAsia="zh-CN"/>
        </w:rPr>
      </w:pPr>
      <w:r>
        <w:rPr>
          <w:rFonts w:hint="eastAsia"/>
          <w:b/>
          <w:bCs/>
          <w:highlight w:val="none"/>
          <w:lang w:val="en-US" w:eastAsia="zh-CN"/>
        </w:rPr>
        <w:t>第十五条 不可抗力事件处理</w:t>
      </w:r>
    </w:p>
    <w:p w14:paraId="0FC34C23">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szCs w:val="27"/>
          <w:highlight w:val="none"/>
        </w:rPr>
        <w:t>.</w:t>
      </w:r>
      <w:r>
        <w:rPr>
          <w:rFonts w:hint="eastAsia" w:ascii="宋体" w:hAnsi="宋体" w:eastAsia="宋体" w:cs="宋体"/>
          <w:highlight w:val="none"/>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1B7F5D38">
      <w:pPr>
        <w:spacing w:line="360" w:lineRule="auto"/>
        <w:ind w:firstLine="420" w:firstLineChars="200"/>
        <w:jc w:val="both"/>
        <w:rPr>
          <w:rFonts w:hint="eastAsia" w:ascii="宋体" w:hAnsi="宋体" w:eastAsia="宋体" w:cs="宋体"/>
          <w:szCs w:val="27"/>
          <w:highlight w:val="none"/>
        </w:rPr>
      </w:pPr>
      <w:r>
        <w:rPr>
          <w:rFonts w:hint="eastAsia" w:ascii="宋体" w:hAnsi="宋体" w:eastAsia="宋体" w:cs="宋体"/>
          <w:highlight w:val="none"/>
        </w:rPr>
        <w:t>2</w:t>
      </w:r>
      <w:r>
        <w:rPr>
          <w:rFonts w:hint="eastAsia" w:ascii="宋体" w:hAnsi="宋体" w:eastAsia="宋体" w:cs="宋体"/>
          <w:szCs w:val="27"/>
          <w:highlight w:val="none"/>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0063B1F8">
      <w:pPr>
        <w:bidi w:val="0"/>
        <w:ind w:firstLine="422" w:firstLineChars="200"/>
        <w:rPr>
          <w:rFonts w:hint="eastAsia" w:ascii="宋体" w:hAnsi="宋体" w:eastAsia="宋体" w:cs="宋体"/>
          <w:b/>
          <w:bCs/>
          <w:kern w:val="2"/>
          <w:szCs w:val="27"/>
          <w:highlight w:val="none"/>
          <w:lang w:val="en-US" w:eastAsia="zh-CN" w:bidi="ar-SA"/>
        </w:rPr>
      </w:pPr>
      <w:r>
        <w:rPr>
          <w:rFonts w:hint="eastAsia"/>
          <w:b/>
          <w:bCs/>
          <w:highlight w:val="none"/>
          <w:lang w:val="en-US" w:eastAsia="zh-CN"/>
        </w:rPr>
        <w:t>第十六条 合同纠纷调处</w:t>
      </w:r>
    </w:p>
    <w:p w14:paraId="042385CA">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szCs w:val="27"/>
          <w:highlight w:val="none"/>
        </w:rPr>
        <w:t>.按本合同规定应该偿付的违约金、赔偿金、保管保养费和各种经济损失，应当在明确责任后10天内，按银行规定的结算办法付清，否则按逾期付款处理。</w:t>
      </w:r>
    </w:p>
    <w:p w14:paraId="7537B9D2">
      <w:pPr>
        <w:spacing w:line="360" w:lineRule="auto"/>
        <w:ind w:firstLine="420" w:firstLineChars="200"/>
        <w:jc w:val="both"/>
        <w:rPr>
          <w:rFonts w:hint="eastAsia" w:ascii="宋体" w:hAnsi="宋体" w:eastAsia="宋体" w:cs="宋体"/>
          <w:szCs w:val="27"/>
          <w:highlight w:val="none"/>
        </w:rPr>
      </w:pPr>
      <w:r>
        <w:rPr>
          <w:rFonts w:hint="eastAsia" w:ascii="宋体" w:hAnsi="宋体" w:eastAsia="宋体" w:cs="宋体"/>
          <w:highlight w:val="none"/>
        </w:rPr>
        <w:t>2</w:t>
      </w:r>
      <w:r>
        <w:rPr>
          <w:rFonts w:hint="eastAsia" w:ascii="宋体" w:hAnsi="宋体" w:eastAsia="宋体" w:cs="宋体"/>
          <w:szCs w:val="27"/>
          <w:highlight w:val="none"/>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eastAsia="宋体" w:cs="宋体"/>
          <w:b/>
          <w:bCs/>
          <w:szCs w:val="27"/>
          <w:highlight w:val="none"/>
          <w:u w:val="single"/>
        </w:rPr>
        <w:t>周口仲裁委员会</w:t>
      </w:r>
      <w:r>
        <w:rPr>
          <w:rFonts w:hint="eastAsia" w:ascii="宋体" w:hAnsi="宋体" w:eastAsia="宋体" w:cs="宋体"/>
          <w:szCs w:val="27"/>
          <w:highlight w:val="none"/>
        </w:rPr>
        <w:t>申请仲裁。②向</w:t>
      </w:r>
      <w:r>
        <w:rPr>
          <w:rFonts w:hint="eastAsia" w:ascii="宋体" w:hAnsi="宋体" w:eastAsia="宋体" w:cs="宋体"/>
          <w:highlight w:val="none"/>
        </w:rPr>
        <w:t>合同签订地有级别管辖权的</w:t>
      </w:r>
      <w:r>
        <w:rPr>
          <w:rFonts w:hint="eastAsia" w:ascii="宋体" w:hAnsi="宋体" w:eastAsia="宋体" w:cs="宋体"/>
          <w:szCs w:val="27"/>
          <w:highlight w:val="none"/>
        </w:rPr>
        <w:t>人民法院起诉。</w:t>
      </w:r>
    </w:p>
    <w:p w14:paraId="5993ED5B">
      <w:pPr>
        <w:bidi w:val="0"/>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3、甲、乙双方均有权利向本项目具有监管职能的政府采购监督管理部门举报反映对方在合同履约中的违法违纪行为。</w:t>
      </w:r>
    </w:p>
    <w:p w14:paraId="7583C1DE">
      <w:pPr>
        <w:spacing w:line="360" w:lineRule="auto"/>
        <w:ind w:firstLine="422" w:firstLineChars="200"/>
        <w:jc w:val="both"/>
        <w:rPr>
          <w:rFonts w:hint="eastAsia" w:ascii="宋体" w:hAnsi="宋体" w:eastAsia="宋体" w:cs="宋体"/>
          <w:b/>
          <w:bCs/>
          <w:szCs w:val="27"/>
          <w:highlight w:val="none"/>
        </w:rPr>
      </w:pPr>
      <w:r>
        <w:rPr>
          <w:rFonts w:hint="eastAsia" w:ascii="宋体" w:hAnsi="宋体" w:eastAsia="宋体" w:cs="宋体"/>
          <w:b/>
          <w:bCs/>
          <w:szCs w:val="27"/>
          <w:highlight w:val="none"/>
        </w:rPr>
        <w:t>第十七条 其他</w:t>
      </w:r>
    </w:p>
    <w:p w14:paraId="161BF423">
      <w:pPr>
        <w:spacing w:line="360" w:lineRule="auto"/>
        <w:ind w:firstLine="422" w:firstLineChars="200"/>
        <w:jc w:val="both"/>
        <w:rPr>
          <w:rFonts w:hint="eastAsia" w:ascii="宋体" w:hAnsi="宋体" w:eastAsia="宋体" w:cs="宋体"/>
          <w:szCs w:val="27"/>
          <w:highlight w:val="none"/>
        </w:rPr>
      </w:pPr>
      <w:r>
        <w:rPr>
          <w:rFonts w:hint="eastAsia" w:ascii="宋体" w:hAnsi="宋体" w:eastAsia="宋体" w:cs="宋体"/>
          <w:b/>
          <w:bCs/>
          <w:szCs w:val="27"/>
          <w:highlight w:val="none"/>
        </w:rPr>
        <w:t xml:space="preserve"> </w:t>
      </w:r>
      <w:r>
        <w:rPr>
          <w:rFonts w:hint="eastAsia" w:ascii="宋体" w:hAnsi="宋体" w:eastAsia="宋体" w:cs="宋体"/>
          <w:szCs w:val="27"/>
          <w:highlight w:val="none"/>
        </w:rPr>
        <w:t>下列关于周口市公共资源交易中心政府采购代理机构名称</w:t>
      </w:r>
      <w:r>
        <w:rPr>
          <w:rFonts w:hint="eastAsia" w:ascii="宋体" w:hAnsi="宋体" w:eastAsia="宋体" w:cs="宋体"/>
          <w:szCs w:val="27"/>
          <w:highlight w:val="none"/>
          <w:u w:val="single"/>
        </w:rPr>
        <w:t>某项目（项目编号：某编号）</w:t>
      </w:r>
      <w:r>
        <w:rPr>
          <w:rFonts w:hint="eastAsia" w:ascii="宋体" w:hAnsi="宋体" w:eastAsia="宋体" w:cs="宋体"/>
          <w:szCs w:val="27"/>
          <w:highlight w:val="none"/>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440CB80F">
      <w:pPr>
        <w:spacing w:line="360" w:lineRule="auto"/>
        <w:ind w:firstLine="420" w:firstLineChars="200"/>
        <w:jc w:val="both"/>
        <w:rPr>
          <w:rFonts w:hint="eastAsia" w:ascii="宋体" w:hAnsi="宋体" w:eastAsia="宋体" w:cs="宋体"/>
          <w:szCs w:val="27"/>
          <w:highlight w:val="none"/>
        </w:rPr>
      </w:pPr>
      <w:r>
        <w:rPr>
          <w:rFonts w:hint="eastAsia" w:ascii="宋体" w:hAnsi="宋体" w:eastAsia="宋体" w:cs="宋体"/>
          <w:szCs w:val="27"/>
          <w:highlight w:val="none"/>
        </w:rPr>
        <w:t xml:space="preserve">    </w:t>
      </w:r>
      <w:r>
        <w:rPr>
          <w:rFonts w:hint="eastAsia" w:ascii="宋体" w:hAnsi="宋体" w:eastAsia="宋体" w:cs="宋体"/>
          <w:highlight w:val="none"/>
        </w:rPr>
        <w:t>本合同一式</w:t>
      </w:r>
      <w:r>
        <w:rPr>
          <w:rFonts w:hint="eastAsia" w:ascii="宋体" w:hAnsi="宋体" w:eastAsia="宋体" w:cs="宋体"/>
          <w:highlight w:val="none"/>
          <w:u w:val="single"/>
        </w:rPr>
        <w:t xml:space="preserve">   </w:t>
      </w:r>
      <w:r>
        <w:rPr>
          <w:rFonts w:hint="eastAsia" w:ascii="宋体" w:hAnsi="宋体" w:eastAsia="宋体" w:cs="宋体"/>
          <w:highlight w:val="none"/>
        </w:rPr>
        <w:t>份，甲乙双方各执</w:t>
      </w:r>
      <w:r>
        <w:rPr>
          <w:rFonts w:hint="eastAsia" w:ascii="宋体" w:hAnsi="宋体" w:eastAsia="宋体" w:cs="宋体"/>
          <w:highlight w:val="none"/>
          <w:u w:val="single"/>
        </w:rPr>
        <w:t xml:space="preserve">   </w:t>
      </w:r>
      <w:r>
        <w:rPr>
          <w:rFonts w:hint="eastAsia" w:ascii="宋体" w:hAnsi="宋体" w:eastAsia="宋体" w:cs="宋体"/>
          <w:highlight w:val="none"/>
        </w:rPr>
        <w:t>份</w:t>
      </w:r>
      <w:r>
        <w:rPr>
          <w:rFonts w:hint="eastAsia" w:ascii="宋体" w:hAnsi="宋体" w:cs="宋体"/>
          <w:highlight w:val="none"/>
          <w:lang w:eastAsia="zh-CN"/>
        </w:rPr>
        <w:t>，</w:t>
      </w:r>
      <w:r>
        <w:rPr>
          <w:rFonts w:hint="eastAsia" w:ascii="宋体" w:hAnsi="宋体" w:eastAsia="宋体" w:cs="宋体"/>
          <w:highlight w:val="none"/>
        </w:rPr>
        <w:t>自双方当事人签字盖章之日起生效。</w:t>
      </w:r>
    </w:p>
    <w:p w14:paraId="409E4D9F">
      <w:pPr>
        <w:spacing w:line="360" w:lineRule="auto"/>
        <w:ind w:firstLine="420" w:firstLineChars="200"/>
        <w:jc w:val="both"/>
        <w:rPr>
          <w:rFonts w:hint="eastAsia" w:ascii="宋体" w:hAnsi="宋体" w:eastAsia="宋体" w:cs="宋体"/>
          <w:szCs w:val="27"/>
          <w:highlight w:val="none"/>
        </w:rPr>
      </w:pPr>
    </w:p>
    <w:p w14:paraId="49239B06">
      <w:pPr>
        <w:pStyle w:val="37"/>
        <w:ind w:firstLine="240"/>
        <w:rPr>
          <w:rFonts w:hint="eastAsia" w:ascii="宋体" w:hAnsi="宋体" w:eastAsia="宋体" w:cs="宋体"/>
          <w:highlight w:val="none"/>
        </w:rPr>
      </w:pPr>
    </w:p>
    <w:p w14:paraId="6EFFB3D8">
      <w:pPr>
        <w:spacing w:line="360" w:lineRule="auto"/>
        <w:ind w:firstLine="420" w:firstLineChars="200"/>
        <w:jc w:val="both"/>
        <w:rPr>
          <w:rFonts w:hint="eastAsia" w:ascii="宋体" w:hAnsi="宋体" w:eastAsia="宋体" w:cs="宋体"/>
          <w:szCs w:val="27"/>
          <w:highlight w:val="none"/>
        </w:rPr>
      </w:pPr>
      <w:r>
        <w:rPr>
          <w:rFonts w:hint="eastAsia" w:ascii="宋体" w:hAnsi="宋体" w:eastAsia="宋体" w:cs="宋体"/>
          <w:szCs w:val="27"/>
          <w:highlight w:val="none"/>
        </w:rPr>
        <w:t xml:space="preserve">采购人（甲方）：    （公章）           供货人（乙方）：     （公章）  </w:t>
      </w:r>
    </w:p>
    <w:p w14:paraId="3D8970FF">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szCs w:val="27"/>
          <w:highlight w:val="none"/>
        </w:rPr>
        <w:t>地址：                               地址：</w:t>
      </w:r>
    </w:p>
    <w:p w14:paraId="798E85BE">
      <w:pPr>
        <w:spacing w:line="360" w:lineRule="auto"/>
        <w:ind w:firstLine="420" w:firstLineChars="200"/>
        <w:jc w:val="both"/>
        <w:rPr>
          <w:rFonts w:hint="eastAsia" w:ascii="宋体" w:hAnsi="宋体" w:eastAsia="宋体" w:cs="宋体"/>
          <w:szCs w:val="27"/>
          <w:highlight w:val="none"/>
        </w:rPr>
      </w:pPr>
      <w:r>
        <w:rPr>
          <w:rFonts w:hint="eastAsia" w:ascii="宋体" w:hAnsi="宋体" w:eastAsia="宋体" w:cs="宋体"/>
          <w:szCs w:val="27"/>
          <w:highlight w:val="none"/>
        </w:rPr>
        <w:t>法定代表人：                         法定代表人：</w:t>
      </w:r>
    </w:p>
    <w:p w14:paraId="07C3255F">
      <w:pPr>
        <w:spacing w:line="360" w:lineRule="auto"/>
        <w:ind w:firstLine="420" w:firstLineChars="200"/>
        <w:jc w:val="both"/>
        <w:rPr>
          <w:rFonts w:hint="eastAsia" w:ascii="宋体" w:hAnsi="宋体" w:eastAsia="宋体" w:cs="宋体"/>
          <w:highlight w:val="none"/>
          <w:u w:val="single"/>
        </w:rPr>
      </w:pPr>
      <w:r>
        <w:rPr>
          <w:rFonts w:hint="eastAsia" w:ascii="宋体" w:hAnsi="宋体" w:eastAsia="宋体" w:cs="宋体"/>
          <w:szCs w:val="27"/>
          <w:highlight w:val="none"/>
        </w:rPr>
        <w:t>委托代理人：                         委托代理人：</w:t>
      </w:r>
    </w:p>
    <w:p w14:paraId="72750447">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rPr>
        <w:t>电话：                               电话：</w:t>
      </w:r>
    </w:p>
    <w:p w14:paraId="01C1EF7D">
      <w:pPr>
        <w:spacing w:line="360" w:lineRule="auto"/>
        <w:ind w:firstLine="420" w:firstLineChars="200"/>
        <w:jc w:val="both"/>
        <w:rPr>
          <w:rFonts w:hint="eastAsia" w:ascii="宋体" w:hAnsi="宋体" w:eastAsia="宋体" w:cs="宋体"/>
          <w:szCs w:val="27"/>
          <w:highlight w:val="none"/>
        </w:rPr>
      </w:pPr>
      <w:r>
        <w:rPr>
          <w:rFonts w:hint="eastAsia" w:ascii="宋体" w:hAnsi="宋体" w:eastAsia="宋体" w:cs="宋体"/>
          <w:szCs w:val="27"/>
          <w:highlight w:val="none"/>
        </w:rPr>
        <w:t>开户银行：                           开户银行：</w:t>
      </w:r>
    </w:p>
    <w:p w14:paraId="0046FEAB">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szCs w:val="27"/>
          <w:highlight w:val="none"/>
        </w:rPr>
        <w:t>账号：                               账号：</w:t>
      </w:r>
    </w:p>
    <w:p w14:paraId="5D06A74D">
      <w:pPr>
        <w:spacing w:line="640" w:lineRule="exact"/>
        <w:ind w:firstLine="420" w:firstLineChars="200"/>
        <w:jc w:val="both"/>
        <w:rPr>
          <w:rFonts w:hint="eastAsia" w:ascii="宋体" w:hAnsi="宋体" w:eastAsia="宋体" w:cs="宋体"/>
          <w:szCs w:val="27"/>
          <w:highlight w:val="none"/>
          <w:u w:val="single"/>
        </w:rPr>
      </w:pPr>
    </w:p>
    <w:p w14:paraId="484FA29C">
      <w:pPr>
        <w:pStyle w:val="37"/>
        <w:ind w:firstLine="321"/>
        <w:jc w:val="center"/>
        <w:rPr>
          <w:rFonts w:hint="eastAsia"/>
          <w:b/>
          <w:sz w:val="32"/>
          <w:szCs w:val="32"/>
          <w:highlight w:val="none"/>
        </w:rPr>
      </w:pPr>
      <w:r>
        <w:rPr>
          <w:rFonts w:hint="eastAsia" w:ascii="宋体" w:hAnsi="宋体" w:eastAsia="宋体" w:cs="宋体"/>
          <w:szCs w:val="27"/>
          <w:highlight w:val="none"/>
          <w:u w:val="single"/>
        </w:rPr>
        <w:t>        </w:t>
      </w:r>
      <w:r>
        <w:rPr>
          <w:rFonts w:hint="eastAsia" w:ascii="宋体" w:hAnsi="宋体" w:eastAsia="宋体" w:cs="宋体"/>
          <w:szCs w:val="27"/>
          <w:highlight w:val="none"/>
        </w:rPr>
        <w:t>年</w:t>
      </w:r>
      <w:r>
        <w:rPr>
          <w:rFonts w:hint="eastAsia" w:ascii="宋体" w:hAnsi="宋体" w:eastAsia="宋体" w:cs="宋体"/>
          <w:szCs w:val="27"/>
          <w:highlight w:val="none"/>
          <w:u w:val="single"/>
        </w:rPr>
        <w:t xml:space="preserve">    </w:t>
      </w:r>
      <w:r>
        <w:rPr>
          <w:rFonts w:hint="eastAsia" w:ascii="宋体" w:hAnsi="宋体" w:eastAsia="宋体" w:cs="宋体"/>
          <w:szCs w:val="27"/>
          <w:highlight w:val="none"/>
        </w:rPr>
        <w:t>月</w:t>
      </w:r>
      <w:r>
        <w:rPr>
          <w:rFonts w:hint="eastAsia" w:ascii="宋体" w:hAnsi="宋体" w:eastAsia="宋体" w:cs="宋体"/>
          <w:szCs w:val="27"/>
          <w:highlight w:val="none"/>
          <w:u w:val="single"/>
        </w:rPr>
        <w:t xml:space="preserve">    </w:t>
      </w:r>
      <w:r>
        <w:rPr>
          <w:rFonts w:hint="eastAsia" w:ascii="宋体" w:hAnsi="宋体" w:eastAsia="宋体" w:cs="宋体"/>
          <w:szCs w:val="27"/>
          <w:highlight w:val="none"/>
        </w:rPr>
        <w:t xml:space="preserve">日           </w:t>
      </w:r>
      <w:r>
        <w:rPr>
          <w:rFonts w:hint="eastAsia" w:ascii="宋体" w:hAnsi="宋体" w:eastAsia="宋体" w:cs="宋体"/>
          <w:szCs w:val="27"/>
          <w:highlight w:val="none"/>
          <w:lang w:val="en-US"/>
        </w:rPr>
        <w:t xml:space="preserve">           </w:t>
      </w:r>
      <w:r>
        <w:rPr>
          <w:rFonts w:hint="eastAsia" w:ascii="宋体" w:hAnsi="宋体" w:eastAsia="宋体" w:cs="宋体"/>
          <w:szCs w:val="27"/>
          <w:highlight w:val="none"/>
          <w:u w:val="single"/>
        </w:rPr>
        <w:t xml:space="preserve">         </w:t>
      </w:r>
      <w:r>
        <w:rPr>
          <w:rFonts w:hint="eastAsia" w:ascii="宋体" w:hAnsi="宋体" w:eastAsia="宋体" w:cs="宋体"/>
          <w:szCs w:val="27"/>
          <w:highlight w:val="none"/>
        </w:rPr>
        <w:t>年</w:t>
      </w:r>
      <w:r>
        <w:rPr>
          <w:rFonts w:hint="eastAsia" w:ascii="宋体" w:hAnsi="宋体" w:eastAsia="宋体" w:cs="宋体"/>
          <w:szCs w:val="27"/>
          <w:highlight w:val="none"/>
          <w:u w:val="single"/>
        </w:rPr>
        <w:t xml:space="preserve">    </w:t>
      </w:r>
      <w:r>
        <w:rPr>
          <w:rFonts w:hint="eastAsia" w:ascii="宋体" w:hAnsi="宋体" w:eastAsia="宋体" w:cs="宋体"/>
          <w:szCs w:val="27"/>
          <w:highlight w:val="none"/>
        </w:rPr>
        <w:t>月</w:t>
      </w:r>
      <w:r>
        <w:rPr>
          <w:rFonts w:hint="eastAsia" w:ascii="宋体" w:hAnsi="宋体" w:eastAsia="宋体" w:cs="宋体"/>
          <w:szCs w:val="27"/>
          <w:highlight w:val="none"/>
          <w:u w:val="single"/>
        </w:rPr>
        <w:t xml:space="preserve">  </w:t>
      </w:r>
      <w:r>
        <w:rPr>
          <w:rFonts w:hint="eastAsia" w:ascii="宋体" w:hAnsi="宋体" w:eastAsia="宋体" w:cs="宋体"/>
          <w:szCs w:val="27"/>
          <w:highlight w:val="none"/>
        </w:rPr>
        <w:t>日</w:t>
      </w:r>
    </w:p>
    <w:p w14:paraId="5C4C994C">
      <w:pPr>
        <w:pStyle w:val="37"/>
        <w:ind w:firstLine="321"/>
        <w:jc w:val="center"/>
        <w:rPr>
          <w:rFonts w:hint="eastAsia"/>
          <w:b/>
          <w:sz w:val="32"/>
          <w:szCs w:val="32"/>
          <w:highlight w:val="none"/>
        </w:rPr>
      </w:pPr>
    </w:p>
    <w:p w14:paraId="58FE63EF">
      <w:pPr>
        <w:pStyle w:val="37"/>
        <w:ind w:firstLine="321"/>
        <w:jc w:val="center"/>
        <w:rPr>
          <w:rFonts w:hint="eastAsia"/>
          <w:b/>
          <w:sz w:val="32"/>
          <w:szCs w:val="32"/>
          <w:highlight w:val="none"/>
        </w:rPr>
      </w:pPr>
    </w:p>
    <w:p w14:paraId="19EF6E9B">
      <w:pPr>
        <w:pStyle w:val="37"/>
        <w:ind w:firstLine="321"/>
        <w:jc w:val="center"/>
        <w:rPr>
          <w:rFonts w:hint="eastAsia"/>
          <w:b/>
          <w:sz w:val="32"/>
          <w:szCs w:val="32"/>
          <w:highlight w:val="none"/>
        </w:rPr>
      </w:pPr>
    </w:p>
    <w:p w14:paraId="36C54A0E">
      <w:pPr>
        <w:pStyle w:val="37"/>
        <w:ind w:firstLine="321"/>
        <w:jc w:val="center"/>
        <w:rPr>
          <w:rFonts w:hint="eastAsia"/>
          <w:b/>
          <w:sz w:val="32"/>
          <w:szCs w:val="32"/>
          <w:highlight w:val="none"/>
        </w:rPr>
      </w:pPr>
    </w:p>
    <w:p w14:paraId="2EB2B154">
      <w:pPr>
        <w:rPr>
          <w:rFonts w:hint="eastAsia"/>
          <w:highlight w:val="none"/>
        </w:rPr>
      </w:pPr>
      <w:r>
        <w:rPr>
          <w:rFonts w:hint="eastAsia"/>
          <w:highlight w:val="none"/>
        </w:rPr>
        <w:br w:type="page"/>
      </w:r>
    </w:p>
    <w:p w14:paraId="3F093F80">
      <w:pPr>
        <w:pStyle w:val="3"/>
        <w:bidi w:val="0"/>
        <w:rPr>
          <w:highlight w:val="none"/>
        </w:rPr>
      </w:pPr>
      <w:r>
        <w:rPr>
          <w:rFonts w:hint="eastAsia"/>
          <w:highlight w:val="none"/>
        </w:rPr>
        <w:t>周口市政府采购合同融资政策告知函</w:t>
      </w:r>
    </w:p>
    <w:p w14:paraId="01830ABC">
      <w:pPr>
        <w:pStyle w:val="37"/>
        <w:ind w:firstLine="240"/>
        <w:rPr>
          <w:rFonts w:asciiTheme="minorEastAsia" w:hAnsiTheme="minorEastAsia" w:eastAsiaTheme="minorEastAsia"/>
          <w:sz w:val="24"/>
          <w:highlight w:val="none"/>
        </w:rPr>
      </w:pPr>
    </w:p>
    <w:p w14:paraId="4227DD8C">
      <w:pPr>
        <w:pStyle w:val="37"/>
        <w:ind w:firstLine="240"/>
        <w:rPr>
          <w:rFonts w:asciiTheme="minorEastAsia" w:hAnsiTheme="minorEastAsia" w:eastAsiaTheme="minorEastAsia"/>
          <w:sz w:val="24"/>
          <w:highlight w:val="none"/>
        </w:rPr>
      </w:pPr>
    </w:p>
    <w:p w14:paraId="74A903D2">
      <w:pPr>
        <w:pStyle w:val="37"/>
        <w:ind w:firstLine="240"/>
        <w:rPr>
          <w:rFonts w:asciiTheme="minorEastAsia" w:hAnsiTheme="minorEastAsia" w:eastAsiaTheme="minorEastAsia"/>
          <w:sz w:val="24"/>
          <w:highlight w:val="none"/>
        </w:rPr>
      </w:pPr>
    </w:p>
    <w:p w14:paraId="36DD18B0">
      <w:pPr>
        <w:pStyle w:val="37"/>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各供应商：</w:t>
      </w:r>
    </w:p>
    <w:p w14:paraId="1B1AD7F5">
      <w:pPr>
        <w:pStyle w:val="37"/>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欢迎贵公司参与周口市政府采购活动！</w:t>
      </w:r>
    </w:p>
    <w:p w14:paraId="5E26CB66">
      <w:pPr>
        <w:pStyle w:val="37"/>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31F2B047">
      <w:pPr>
        <w:pStyle w:val="37"/>
        <w:ind w:firstLine="240"/>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贷款渠道和提供贷款的金融机构，可在河南省政府采购网“河南省政府采购合同融资平台”查询联系。</w:t>
      </w:r>
      <w:r>
        <w:rPr>
          <w:rFonts w:hint="eastAsia" w:asciiTheme="minorEastAsia" w:hAnsiTheme="minorEastAsia" w:eastAsiaTheme="minorEastAsia"/>
          <w:sz w:val="24"/>
          <w:highlight w:val="none"/>
          <w:lang w:val="en-US" w:eastAsia="zh-CN"/>
        </w:rPr>
        <w:t>供应商须将此函附于响应文件中。</w:t>
      </w:r>
    </w:p>
    <w:p w14:paraId="21917808">
      <w:pPr>
        <w:pStyle w:val="25"/>
        <w:shd w:val="clear" w:color="auto" w:fill="auto"/>
        <w:spacing w:before="0" w:beforeAutospacing="0" w:after="0" w:afterAutospacing="0" w:line="330" w:lineRule="atLeast"/>
        <w:rPr>
          <w:rFonts w:hint="eastAsia" w:cs="仿宋_GB2312"/>
          <w:b/>
          <w:bCs/>
          <w:color w:val="0000FF"/>
          <w:sz w:val="21"/>
          <w:szCs w:val="21"/>
          <w:highlight w:val="none"/>
        </w:rPr>
      </w:pPr>
    </w:p>
    <w:p w14:paraId="68FE8098">
      <w:pPr>
        <w:pStyle w:val="25"/>
        <w:shd w:val="clear" w:color="auto" w:fill="auto"/>
        <w:spacing w:before="0" w:beforeAutospacing="0" w:after="0" w:afterAutospacing="0" w:line="330" w:lineRule="atLeast"/>
        <w:rPr>
          <w:rFonts w:hint="eastAsia" w:cs="仿宋_GB2312"/>
          <w:b/>
          <w:bCs/>
          <w:color w:val="0000FF"/>
          <w:sz w:val="21"/>
          <w:szCs w:val="21"/>
          <w:highlight w:val="none"/>
        </w:rPr>
      </w:pPr>
    </w:p>
    <w:p w14:paraId="2F339AD9">
      <w:pPr>
        <w:pStyle w:val="25"/>
        <w:shd w:val="clear" w:color="auto" w:fill="auto"/>
        <w:spacing w:before="0" w:beforeAutospacing="0" w:after="0" w:afterAutospacing="0" w:line="330" w:lineRule="atLeast"/>
        <w:rPr>
          <w:rFonts w:hint="eastAsia" w:cs="仿宋_GB2312"/>
          <w:b/>
          <w:bCs/>
          <w:color w:val="0000FF"/>
          <w:sz w:val="21"/>
          <w:szCs w:val="21"/>
          <w:highlight w:val="none"/>
        </w:rPr>
      </w:pPr>
    </w:p>
    <w:p w14:paraId="051B8D36">
      <w:pPr>
        <w:pStyle w:val="25"/>
        <w:shd w:val="clear" w:color="auto" w:fill="auto"/>
        <w:spacing w:before="0" w:beforeAutospacing="0" w:after="0" w:afterAutospacing="0" w:line="330" w:lineRule="atLeast"/>
        <w:rPr>
          <w:rFonts w:hint="eastAsia" w:cs="仿宋_GB2312"/>
          <w:b/>
          <w:bCs/>
          <w:color w:val="0000FF"/>
          <w:sz w:val="21"/>
          <w:szCs w:val="21"/>
          <w:highlight w:val="none"/>
        </w:rPr>
      </w:pPr>
    </w:p>
    <w:p w14:paraId="732C0BDA">
      <w:pPr>
        <w:pStyle w:val="25"/>
        <w:shd w:val="clear" w:color="auto" w:fill="auto"/>
        <w:spacing w:before="0" w:beforeAutospacing="0" w:after="0" w:afterAutospacing="0" w:line="330" w:lineRule="atLeast"/>
        <w:rPr>
          <w:rFonts w:hint="eastAsia" w:cs="仿宋_GB2312"/>
          <w:b/>
          <w:bCs/>
          <w:color w:val="0000FF"/>
          <w:sz w:val="21"/>
          <w:szCs w:val="21"/>
          <w:highlight w:val="none"/>
        </w:rPr>
      </w:pPr>
    </w:p>
    <w:p w14:paraId="33127C17">
      <w:pPr>
        <w:pStyle w:val="25"/>
        <w:shd w:val="clear" w:color="auto" w:fill="auto"/>
        <w:spacing w:before="0" w:beforeAutospacing="0" w:after="0" w:afterAutospacing="0" w:line="330" w:lineRule="atLeast"/>
        <w:rPr>
          <w:rFonts w:hint="eastAsia" w:cs="仿宋_GB2312"/>
          <w:b/>
          <w:bCs/>
          <w:color w:val="0000FF"/>
          <w:sz w:val="21"/>
          <w:szCs w:val="21"/>
          <w:highlight w:val="none"/>
        </w:rPr>
      </w:pPr>
    </w:p>
    <w:p w14:paraId="336A4A1B">
      <w:pPr>
        <w:pStyle w:val="25"/>
        <w:shd w:val="clear" w:color="auto" w:fill="auto"/>
        <w:spacing w:before="0" w:beforeAutospacing="0" w:after="0" w:afterAutospacing="0" w:line="330" w:lineRule="atLeast"/>
        <w:rPr>
          <w:rFonts w:hint="eastAsia" w:cs="仿宋_GB2312"/>
          <w:b/>
          <w:bCs/>
          <w:color w:val="0000FF"/>
          <w:sz w:val="21"/>
          <w:szCs w:val="21"/>
          <w:highlight w:val="none"/>
        </w:rPr>
      </w:pPr>
    </w:p>
    <w:p w14:paraId="30A15353">
      <w:pPr>
        <w:pStyle w:val="25"/>
        <w:spacing w:line="440" w:lineRule="exact"/>
        <w:jc w:val="both"/>
        <w:rPr>
          <w:rFonts w:hint="eastAsia" w:cs="宋体"/>
          <w:highlight w:val="none"/>
        </w:rPr>
        <w:sectPr>
          <w:pgSz w:w="11907" w:h="16840"/>
          <w:pgMar w:top="1440" w:right="1588" w:bottom="1440" w:left="1588" w:header="851" w:footer="992" w:gutter="0"/>
          <w:cols w:space="720" w:num="1"/>
          <w:docGrid w:type="lines" w:linePitch="312" w:charSpace="0"/>
        </w:sectPr>
      </w:pPr>
    </w:p>
    <w:p w14:paraId="29E93E68">
      <w:pPr>
        <w:pStyle w:val="25"/>
        <w:spacing w:line="440" w:lineRule="exact"/>
        <w:jc w:val="both"/>
        <w:rPr>
          <w:rFonts w:cs="宋体"/>
          <w:highlight w:val="none"/>
        </w:rPr>
      </w:pPr>
      <w:r>
        <w:rPr>
          <w:rFonts w:hint="eastAsia" w:cs="宋体"/>
          <w:highlight w:val="none"/>
        </w:rPr>
        <w:t>附：</w:t>
      </w:r>
      <w:bookmarkStart w:id="9" w:name="_Toc1817875417_WPSOffice_Level2"/>
      <w:r>
        <w:rPr>
          <w:rFonts w:hint="eastAsia" w:cs="宋体"/>
          <w:highlight w:val="none"/>
        </w:rPr>
        <w:t xml:space="preserve">                     </w:t>
      </w:r>
      <w:r>
        <w:rPr>
          <w:rStyle w:val="31"/>
          <w:rFonts w:hint="eastAsia" w:cs="宋体"/>
          <w:highlight w:val="none"/>
        </w:rPr>
        <w:t>中小企业划型标准规定</w:t>
      </w:r>
      <w:bookmarkEnd w:id="9"/>
    </w:p>
    <w:p w14:paraId="37AD9202">
      <w:pPr>
        <w:pStyle w:val="25"/>
        <w:spacing w:line="440" w:lineRule="exact"/>
        <w:rPr>
          <w:rFonts w:hint="eastAsia" w:cs="宋体" w:eastAsiaTheme="minorEastAsia"/>
          <w:highlight w:val="none"/>
          <w:lang w:eastAsia="zh-CN"/>
        </w:rPr>
      </w:pPr>
      <w:r>
        <w:rPr>
          <w:rFonts w:hint="eastAsia" w:cs="宋体"/>
          <w:highlight w:val="none"/>
        </w:rPr>
        <w:t xml:space="preserve">    一、根据《中华人民共和国中小企业促进法》和《国务院关于进一步促进中小企业发展的若干意见》(国发〔2009〕36号)，制定本规定。</w:t>
      </w:r>
    </w:p>
    <w:p w14:paraId="4244AD15">
      <w:pPr>
        <w:pStyle w:val="25"/>
        <w:spacing w:line="440" w:lineRule="exact"/>
        <w:rPr>
          <w:rFonts w:hint="eastAsia" w:cs="宋体" w:eastAsiaTheme="minorEastAsia"/>
          <w:highlight w:val="none"/>
          <w:lang w:eastAsia="zh-CN"/>
        </w:rPr>
      </w:pPr>
      <w:r>
        <w:rPr>
          <w:rFonts w:hint="eastAsia" w:cs="宋体"/>
          <w:highlight w:val="none"/>
        </w:rPr>
        <w:t>　　二、中小企业划分为中型、小型、微型三种类型，具体标准根据企业从业人员、营业收入、资产总额等指标，结合行业特点制定。</w:t>
      </w:r>
    </w:p>
    <w:p w14:paraId="44DE0921">
      <w:pPr>
        <w:pStyle w:val="25"/>
        <w:spacing w:line="440" w:lineRule="exact"/>
        <w:rPr>
          <w:rFonts w:hint="eastAsia" w:cs="宋体" w:eastAsiaTheme="minorEastAsia"/>
          <w:highlight w:val="none"/>
          <w:lang w:eastAsia="zh-CN"/>
        </w:rPr>
      </w:pPr>
      <w:r>
        <w:rPr>
          <w:rFonts w:hint="eastAsia" w:cs="宋体"/>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C33B299">
      <w:pPr>
        <w:pStyle w:val="25"/>
        <w:spacing w:line="440" w:lineRule="exact"/>
        <w:rPr>
          <w:rFonts w:hint="eastAsia" w:cs="宋体" w:eastAsiaTheme="minorEastAsia"/>
          <w:highlight w:val="none"/>
          <w:lang w:eastAsia="zh-CN"/>
        </w:rPr>
      </w:pPr>
      <w:r>
        <w:rPr>
          <w:rFonts w:hint="eastAsia" w:cs="宋体"/>
          <w:highlight w:val="none"/>
        </w:rPr>
        <w:t>　　四、各行业划型标准为：</w:t>
      </w:r>
    </w:p>
    <w:p w14:paraId="520E98EE">
      <w:pPr>
        <w:pStyle w:val="25"/>
        <w:spacing w:line="440" w:lineRule="exact"/>
        <w:rPr>
          <w:rFonts w:hint="eastAsia" w:cs="宋体" w:eastAsiaTheme="minorEastAsia"/>
          <w:highlight w:val="none"/>
          <w:lang w:eastAsia="zh-CN"/>
        </w:rPr>
      </w:pPr>
      <w:r>
        <w:rPr>
          <w:rFonts w:hint="eastAsia" w:cs="宋体"/>
          <w:highlight w:val="none"/>
        </w:rPr>
        <w:t>　　（一）农、林、牧、渔业。营业收入20000万元以下的为中小微型企业。其中，营业收入500万元及以上的为中型企业，营业收入50万元及以上的为小型企业，营业收入50万元以下的为微型企业。</w:t>
      </w:r>
    </w:p>
    <w:p w14:paraId="3EBE2F86">
      <w:pPr>
        <w:pStyle w:val="25"/>
        <w:spacing w:line="440" w:lineRule="exact"/>
        <w:rPr>
          <w:rFonts w:hint="eastAsia" w:cs="宋体" w:eastAsiaTheme="minorEastAsia"/>
          <w:highlight w:val="none"/>
          <w:lang w:eastAsia="zh-CN"/>
        </w:rPr>
      </w:pPr>
      <w:r>
        <w:rPr>
          <w:rFonts w:hint="eastAsia" w:cs="宋体"/>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27782C1">
      <w:pPr>
        <w:pStyle w:val="25"/>
        <w:spacing w:line="440" w:lineRule="exact"/>
        <w:rPr>
          <w:rFonts w:hint="eastAsia" w:cs="宋体" w:eastAsiaTheme="minorEastAsia"/>
          <w:highlight w:val="none"/>
          <w:lang w:eastAsia="zh-CN"/>
        </w:rPr>
      </w:pPr>
      <w:r>
        <w:rPr>
          <w:rFonts w:hint="eastAsia" w:cs="宋体"/>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6831C7F">
      <w:pPr>
        <w:pStyle w:val="25"/>
        <w:spacing w:line="440" w:lineRule="exact"/>
        <w:rPr>
          <w:rFonts w:hint="eastAsia" w:cs="宋体" w:eastAsiaTheme="minorEastAsia"/>
          <w:highlight w:val="none"/>
          <w:lang w:eastAsia="zh-CN"/>
        </w:rPr>
      </w:pPr>
      <w:r>
        <w:rPr>
          <w:rFonts w:hint="eastAsia" w:cs="宋体"/>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C89CCC9">
      <w:pPr>
        <w:pStyle w:val="25"/>
        <w:spacing w:line="440" w:lineRule="exact"/>
        <w:rPr>
          <w:rFonts w:hint="eastAsia" w:cs="宋体" w:eastAsiaTheme="minorEastAsia"/>
          <w:highlight w:val="none"/>
          <w:lang w:eastAsia="zh-CN"/>
        </w:rPr>
      </w:pPr>
      <w:r>
        <w:rPr>
          <w:rFonts w:hint="eastAsia" w:cs="宋体"/>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026B3EF">
      <w:pPr>
        <w:pStyle w:val="25"/>
        <w:spacing w:line="440" w:lineRule="exact"/>
        <w:rPr>
          <w:rFonts w:hint="eastAsia" w:cs="宋体" w:eastAsiaTheme="minorEastAsia"/>
          <w:highlight w:val="none"/>
          <w:lang w:eastAsia="zh-CN"/>
        </w:rPr>
      </w:pPr>
      <w:r>
        <w:rPr>
          <w:rFonts w:hint="eastAsia" w:cs="宋体"/>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2FF318D">
      <w:pPr>
        <w:pStyle w:val="25"/>
        <w:spacing w:line="440" w:lineRule="exact"/>
        <w:rPr>
          <w:rFonts w:hint="eastAsia" w:cs="宋体" w:eastAsiaTheme="minorEastAsia"/>
          <w:highlight w:val="none"/>
          <w:lang w:eastAsia="zh-CN"/>
        </w:rPr>
      </w:pPr>
      <w:r>
        <w:rPr>
          <w:rFonts w:hint="eastAsia" w:cs="宋体"/>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BA3D982">
      <w:pPr>
        <w:pStyle w:val="25"/>
        <w:spacing w:line="440" w:lineRule="exact"/>
        <w:rPr>
          <w:rFonts w:hint="eastAsia" w:cs="宋体" w:eastAsiaTheme="minorEastAsia"/>
          <w:highlight w:val="none"/>
          <w:lang w:eastAsia="zh-CN"/>
        </w:rPr>
      </w:pPr>
      <w:r>
        <w:rPr>
          <w:rFonts w:hint="eastAsia" w:cs="宋体"/>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242C754">
      <w:pPr>
        <w:pStyle w:val="25"/>
        <w:spacing w:line="440" w:lineRule="exact"/>
        <w:rPr>
          <w:rFonts w:hint="eastAsia" w:cs="宋体" w:eastAsiaTheme="minorEastAsia"/>
          <w:highlight w:val="none"/>
          <w:lang w:eastAsia="zh-CN"/>
        </w:rPr>
      </w:pPr>
      <w:r>
        <w:rPr>
          <w:rFonts w:hint="eastAsia" w:cs="宋体"/>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58E2087">
      <w:pPr>
        <w:pStyle w:val="25"/>
        <w:spacing w:line="440" w:lineRule="exact"/>
        <w:rPr>
          <w:rFonts w:hint="eastAsia" w:cs="宋体" w:eastAsiaTheme="minorEastAsia"/>
          <w:highlight w:val="none"/>
          <w:lang w:eastAsia="zh-CN"/>
        </w:rPr>
      </w:pPr>
      <w:r>
        <w:rPr>
          <w:rFonts w:hint="eastAsia" w:cs="宋体"/>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C34E3AB">
      <w:pPr>
        <w:pStyle w:val="25"/>
        <w:spacing w:line="440" w:lineRule="exact"/>
        <w:rPr>
          <w:rFonts w:hint="eastAsia" w:cs="宋体" w:eastAsiaTheme="minorEastAsia"/>
          <w:highlight w:val="none"/>
          <w:lang w:eastAsia="zh-CN"/>
        </w:rPr>
      </w:pPr>
      <w:r>
        <w:rPr>
          <w:rFonts w:hint="eastAsia" w:cs="宋体"/>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FAEBE1B">
      <w:pPr>
        <w:pStyle w:val="25"/>
        <w:spacing w:line="440" w:lineRule="exact"/>
        <w:rPr>
          <w:rFonts w:hint="eastAsia" w:cs="宋体" w:eastAsiaTheme="minorEastAsia"/>
          <w:highlight w:val="none"/>
          <w:lang w:eastAsia="zh-CN"/>
        </w:rPr>
      </w:pPr>
      <w:r>
        <w:rPr>
          <w:rFonts w:hint="eastAsia" w:cs="宋体"/>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C689AA6">
      <w:pPr>
        <w:pStyle w:val="25"/>
        <w:spacing w:line="440" w:lineRule="exact"/>
        <w:rPr>
          <w:rFonts w:hint="eastAsia" w:cs="宋体" w:eastAsiaTheme="minorEastAsia"/>
          <w:highlight w:val="none"/>
          <w:lang w:eastAsia="zh-CN"/>
        </w:rPr>
      </w:pPr>
      <w:r>
        <w:rPr>
          <w:rFonts w:hint="eastAsia" w:cs="宋体"/>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61018ED">
      <w:pPr>
        <w:pStyle w:val="25"/>
        <w:spacing w:line="440" w:lineRule="exact"/>
        <w:rPr>
          <w:rFonts w:hint="eastAsia" w:cs="宋体" w:eastAsiaTheme="minorEastAsia"/>
          <w:highlight w:val="none"/>
          <w:lang w:eastAsia="zh-CN"/>
        </w:rPr>
      </w:pPr>
      <w:r>
        <w:rPr>
          <w:rFonts w:hint="eastAsia" w:cs="宋体"/>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33A15EA">
      <w:pPr>
        <w:pStyle w:val="25"/>
        <w:spacing w:line="440" w:lineRule="exact"/>
        <w:rPr>
          <w:rFonts w:hint="eastAsia" w:cs="宋体" w:eastAsiaTheme="minorEastAsia"/>
          <w:highlight w:val="none"/>
          <w:lang w:eastAsia="zh-CN"/>
        </w:rPr>
      </w:pPr>
      <w:r>
        <w:rPr>
          <w:rFonts w:hint="eastAsia" w:cs="宋体"/>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DC34B56">
      <w:pPr>
        <w:pStyle w:val="25"/>
        <w:spacing w:line="440" w:lineRule="exact"/>
        <w:rPr>
          <w:rFonts w:hint="eastAsia" w:cs="宋体" w:eastAsiaTheme="minorEastAsia"/>
          <w:highlight w:val="none"/>
          <w:lang w:eastAsia="zh-CN"/>
        </w:rPr>
      </w:pPr>
      <w:r>
        <w:rPr>
          <w:rFonts w:hint="eastAsia" w:cs="宋体"/>
          <w:highlight w:val="none"/>
        </w:rPr>
        <w:t>　　（十六）其他未列明行业。从业人员300人以下的为中小微型企业。其中，从业人员100人及以上的为中型企业；从业人员10人及以上的为小型企业；从业人员10人以下的为微型企业。</w:t>
      </w:r>
    </w:p>
    <w:p w14:paraId="0C3BAB91">
      <w:pPr>
        <w:pStyle w:val="25"/>
        <w:spacing w:line="440" w:lineRule="exact"/>
        <w:rPr>
          <w:rFonts w:hint="eastAsia" w:cs="宋体" w:eastAsiaTheme="minorEastAsia"/>
          <w:highlight w:val="none"/>
          <w:lang w:eastAsia="zh-CN"/>
        </w:rPr>
      </w:pPr>
      <w:r>
        <w:rPr>
          <w:rFonts w:hint="eastAsia" w:cs="宋体"/>
          <w:highlight w:val="none"/>
        </w:rPr>
        <w:t>　　五、企业类型的划分以统计部门的统计数据为依据。</w:t>
      </w:r>
    </w:p>
    <w:p w14:paraId="460753F8">
      <w:pPr>
        <w:pStyle w:val="25"/>
        <w:spacing w:line="440" w:lineRule="exact"/>
        <w:rPr>
          <w:rFonts w:hint="eastAsia" w:cs="宋体" w:eastAsiaTheme="minorEastAsia"/>
          <w:highlight w:val="none"/>
          <w:lang w:eastAsia="zh-CN"/>
        </w:rPr>
      </w:pPr>
      <w:r>
        <w:rPr>
          <w:rFonts w:hint="eastAsia" w:cs="宋体"/>
          <w:highlight w:val="none"/>
        </w:rPr>
        <w:t>　　六、本规定适用于在中华人民共和国境内依法设立的各类所有制和各种组织形式的企业。个体工商户和本规定以外的行业，参照本规定进行划型。</w:t>
      </w:r>
    </w:p>
    <w:p w14:paraId="50EC2BFF">
      <w:pPr>
        <w:pStyle w:val="25"/>
        <w:spacing w:line="440" w:lineRule="exact"/>
        <w:rPr>
          <w:rFonts w:hint="eastAsia" w:cs="宋体" w:eastAsiaTheme="minorEastAsia"/>
          <w:highlight w:val="none"/>
          <w:lang w:eastAsia="zh-CN"/>
        </w:rPr>
      </w:pPr>
      <w:r>
        <w:rPr>
          <w:rFonts w:hint="eastAsia" w:cs="宋体"/>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34EAA6E1">
      <w:pPr>
        <w:pStyle w:val="25"/>
        <w:spacing w:line="440" w:lineRule="exact"/>
        <w:rPr>
          <w:rFonts w:hint="eastAsia" w:cs="宋体" w:eastAsiaTheme="minorEastAsia"/>
          <w:highlight w:val="none"/>
          <w:lang w:eastAsia="zh-CN"/>
        </w:rPr>
      </w:pPr>
      <w:r>
        <w:rPr>
          <w:rFonts w:hint="eastAsia" w:cs="宋体"/>
          <w:highlight w:val="none"/>
        </w:rPr>
        <w:t>　　八、本规定由工业和信息化部、国家统计局会同有关部门根据《国民经济行业分类》修订情况和企业发展变化情况适时修订。</w:t>
      </w:r>
    </w:p>
    <w:p w14:paraId="19219C30">
      <w:pPr>
        <w:pStyle w:val="25"/>
        <w:spacing w:line="440" w:lineRule="exact"/>
        <w:rPr>
          <w:rFonts w:hint="eastAsia" w:cs="宋体" w:eastAsiaTheme="minorEastAsia"/>
          <w:highlight w:val="none"/>
          <w:lang w:eastAsia="zh-CN"/>
        </w:rPr>
      </w:pPr>
      <w:r>
        <w:rPr>
          <w:rFonts w:hint="eastAsia" w:cs="宋体"/>
          <w:highlight w:val="none"/>
        </w:rPr>
        <w:t>　　九、本规定由工业和信息化部、国家统计局会同有关部门负责解释。</w:t>
      </w:r>
    </w:p>
    <w:p w14:paraId="5C6CEE6A">
      <w:pPr>
        <w:pStyle w:val="25"/>
        <w:shd w:val="clear" w:color="auto" w:fill="auto"/>
        <w:spacing w:before="0" w:beforeAutospacing="0" w:after="0" w:afterAutospacing="0" w:line="330" w:lineRule="atLeast"/>
        <w:rPr>
          <w:rFonts w:hint="eastAsia" w:cs="仿宋_GB2312"/>
          <w:b/>
          <w:bCs/>
          <w:color w:val="0000FF"/>
          <w:sz w:val="21"/>
          <w:szCs w:val="21"/>
          <w:highlight w:val="none"/>
        </w:rPr>
      </w:pPr>
      <w:r>
        <w:rPr>
          <w:rFonts w:hint="eastAsia" w:cs="宋体"/>
          <w:highlight w:val="none"/>
        </w:rPr>
        <w:t>　　十、本规定自发布之日起执行，原国家经贸委、原国家计委、财政部和国家统计局2003年颁布的《中小企业标准暂行规定》同时废止。</w:t>
      </w:r>
    </w:p>
    <w:p w14:paraId="1BF2E81E">
      <w:pPr>
        <w:pStyle w:val="25"/>
        <w:shd w:val="clear" w:color="auto" w:fill="auto"/>
        <w:spacing w:before="0" w:beforeAutospacing="0" w:after="0" w:afterAutospacing="0" w:line="330" w:lineRule="atLeast"/>
        <w:rPr>
          <w:rFonts w:hint="eastAsia" w:cs="仿宋_GB2312"/>
          <w:b/>
          <w:bCs/>
          <w:color w:val="0000FF"/>
          <w:sz w:val="21"/>
          <w:szCs w:val="21"/>
          <w:highlight w:val="none"/>
        </w:rPr>
      </w:pPr>
    </w:p>
    <w:p w14:paraId="738827C7">
      <w:pPr>
        <w:pStyle w:val="25"/>
        <w:shd w:val="clear" w:color="auto" w:fill="auto"/>
        <w:spacing w:before="0" w:beforeAutospacing="0" w:after="0" w:afterAutospacing="0" w:line="330" w:lineRule="atLeast"/>
        <w:rPr>
          <w:rFonts w:hint="eastAsia" w:cs="仿宋_GB2312"/>
          <w:b/>
          <w:bCs/>
          <w:color w:val="0000FF"/>
          <w:sz w:val="21"/>
          <w:szCs w:val="21"/>
          <w:highlight w:val="none"/>
        </w:rPr>
      </w:pPr>
    </w:p>
    <w:p w14:paraId="02B2085D">
      <w:pPr>
        <w:pStyle w:val="25"/>
        <w:shd w:val="clear" w:color="auto" w:fill="auto"/>
        <w:spacing w:before="0" w:beforeAutospacing="0" w:after="0" w:afterAutospacing="0" w:line="330" w:lineRule="atLeast"/>
        <w:rPr>
          <w:rFonts w:hint="eastAsia" w:cs="仿宋_GB2312"/>
          <w:b/>
          <w:bCs/>
          <w:color w:val="0000FF"/>
          <w:sz w:val="21"/>
          <w:szCs w:val="21"/>
          <w:highlight w:val="none"/>
        </w:rPr>
      </w:pPr>
    </w:p>
    <w:p w14:paraId="329AEA66">
      <w:pPr>
        <w:pStyle w:val="25"/>
        <w:shd w:val="clear" w:color="auto" w:fill="auto"/>
        <w:spacing w:before="0" w:beforeAutospacing="0" w:after="0" w:afterAutospacing="0" w:line="330" w:lineRule="atLeast"/>
        <w:rPr>
          <w:rFonts w:hint="eastAsia" w:cs="仿宋_GB2312"/>
          <w:b/>
          <w:bCs/>
          <w:color w:val="0000FF"/>
          <w:sz w:val="21"/>
          <w:szCs w:val="21"/>
          <w:highlight w:val="none"/>
        </w:rPr>
      </w:pPr>
    </w:p>
    <w:p w14:paraId="2D8D2806">
      <w:pPr>
        <w:pStyle w:val="37"/>
        <w:rPr>
          <w:rFonts w:hint="eastAsia" w:eastAsia="宋体"/>
          <w:highlight w:val="none"/>
          <w:lang w:val="en-US" w:eastAsia="zh-CN"/>
        </w:rPr>
      </w:pPr>
    </w:p>
    <w:sectPr>
      <w:pgSz w:w="11907" w:h="16840"/>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auto"/>
    <w:pitch w:val="default"/>
    <w:sig w:usb0="A00002AF" w:usb1="400078FB" w:usb2="00000000" w:usb3="00000000" w:csb0="6000009F" w:csb1="DFD70000"/>
  </w:font>
  <w:font w:name="微软简标宋">
    <w:altName w:val="宋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FCEE1">
    <w:pPr>
      <w:pStyle w:val="18"/>
      <w:jc w:val="center"/>
      <w:rPr>
        <w:rFonts w:ascii="宋体" w:hAnsi="宋体"/>
        <w:kern w:val="0"/>
        <w:sz w:val="21"/>
        <w:szCs w:val="21"/>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35</w:t>
    </w:r>
    <w:r>
      <w:rPr>
        <w:rFonts w:ascii="宋体" w:hAnsi="宋体"/>
        <w:kern w:val="0"/>
        <w:sz w:val="21"/>
        <w:szCs w:val="21"/>
      </w:rPr>
      <w:fldChar w:fldCharType="end"/>
    </w:r>
    <w:r>
      <w:rPr>
        <w:rFonts w:hint="eastAsia" w:ascii="宋体" w:hAnsi="宋体"/>
        <w:kern w:val="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EE80E">
    <w:pPr>
      <w:pStyle w:val="19"/>
      <w:pBdr>
        <w:bottom w:val="none" w:color="auto" w:sz="0" w:space="0"/>
      </w:pBdr>
      <w:spacing w:line="160" w:lineRule="atLeast"/>
      <w:jc w:val="both"/>
      <w:rPr>
        <w:rFonts w:ascii="楷体_GB2312" w:eastAsia="楷体_GB2312"/>
        <w:sz w:val="28"/>
        <w:u w:val="single"/>
      </w:rPr>
    </w:pPr>
  </w:p>
  <w:p w14:paraId="4CCF0B38">
    <w:pPr>
      <w:pStyle w:val="19"/>
      <w:pBdr>
        <w:bottom w:val="none" w:color="auto" w:sz="0" w:space="0"/>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E38539"/>
    <w:multiLevelType w:val="singleLevel"/>
    <w:tmpl w:val="DDE38539"/>
    <w:lvl w:ilvl="0" w:tentative="0">
      <w:start w:val="3"/>
      <w:numFmt w:val="chineseCounting"/>
      <w:suff w:val="space"/>
      <w:lvlText w:val="第%1章"/>
      <w:lvlJc w:val="left"/>
      <w:rPr>
        <w:rFonts w:hint="eastAsia"/>
      </w:rPr>
    </w:lvl>
  </w:abstractNum>
  <w:abstractNum w:abstractNumId="1">
    <w:nsid w:val="00000002"/>
    <w:multiLevelType w:val="singleLevel"/>
    <w:tmpl w:val="00000002"/>
    <w:lvl w:ilvl="0" w:tentative="0">
      <w:start w:val="3"/>
      <w:numFmt w:val="decimal"/>
      <w:suff w:val="nothing"/>
      <w:lvlText w:val="(%1)"/>
      <w:lvlJc w:val="left"/>
    </w:lvl>
  </w:abstractNum>
  <w:abstractNum w:abstractNumId="2">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7F741F4"/>
    <w:multiLevelType w:val="singleLevel"/>
    <w:tmpl w:val="57F741F4"/>
    <w:lvl w:ilvl="0" w:tentative="0">
      <w:start w:val="7"/>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gutterAtTop/>
  <w:doNotTrackMove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xMmRmMDgzZTgzZTAxMDY5ZTg3OTI0ODdhNjczYjcifQ=="/>
    <w:docVar w:name="KSO_WPS_MARK_KEY" w:val="db2eef50-e56a-47ef-9913-c2dde46c442c"/>
  </w:docVars>
  <w:rsids>
    <w:rsidRoot w:val="00172A27"/>
    <w:rsid w:val="00000EB7"/>
    <w:rsid w:val="00002165"/>
    <w:rsid w:val="00003AB0"/>
    <w:rsid w:val="00006828"/>
    <w:rsid w:val="00007916"/>
    <w:rsid w:val="000102C8"/>
    <w:rsid w:val="00010D52"/>
    <w:rsid w:val="000129DA"/>
    <w:rsid w:val="00013396"/>
    <w:rsid w:val="00013D3C"/>
    <w:rsid w:val="00014E7F"/>
    <w:rsid w:val="000213BA"/>
    <w:rsid w:val="00024C10"/>
    <w:rsid w:val="0004275F"/>
    <w:rsid w:val="00044689"/>
    <w:rsid w:val="000449D3"/>
    <w:rsid w:val="00045FE3"/>
    <w:rsid w:val="00050196"/>
    <w:rsid w:val="000511E4"/>
    <w:rsid w:val="000529C4"/>
    <w:rsid w:val="00052DCC"/>
    <w:rsid w:val="0005462A"/>
    <w:rsid w:val="00057BB8"/>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B3B85"/>
    <w:rsid w:val="000B7098"/>
    <w:rsid w:val="000C0E0E"/>
    <w:rsid w:val="000D1060"/>
    <w:rsid w:val="000D13CD"/>
    <w:rsid w:val="000D2FDB"/>
    <w:rsid w:val="000D5EE1"/>
    <w:rsid w:val="000E6816"/>
    <w:rsid w:val="000F00E0"/>
    <w:rsid w:val="000F1943"/>
    <w:rsid w:val="000F24C7"/>
    <w:rsid w:val="000F7A85"/>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8079E"/>
    <w:rsid w:val="00186974"/>
    <w:rsid w:val="00191897"/>
    <w:rsid w:val="00194767"/>
    <w:rsid w:val="00195842"/>
    <w:rsid w:val="00195D4F"/>
    <w:rsid w:val="00196EC8"/>
    <w:rsid w:val="001A0695"/>
    <w:rsid w:val="001A26F3"/>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5F75"/>
    <w:rsid w:val="00206F03"/>
    <w:rsid w:val="00207987"/>
    <w:rsid w:val="00212001"/>
    <w:rsid w:val="00213E36"/>
    <w:rsid w:val="002156E9"/>
    <w:rsid w:val="002176AB"/>
    <w:rsid w:val="0022038E"/>
    <w:rsid w:val="0022145E"/>
    <w:rsid w:val="00222577"/>
    <w:rsid w:val="00224F94"/>
    <w:rsid w:val="00246082"/>
    <w:rsid w:val="00247A19"/>
    <w:rsid w:val="00251AE3"/>
    <w:rsid w:val="00257C04"/>
    <w:rsid w:val="00265B18"/>
    <w:rsid w:val="00270508"/>
    <w:rsid w:val="00270AB4"/>
    <w:rsid w:val="00280A38"/>
    <w:rsid w:val="0028546B"/>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1138"/>
    <w:rsid w:val="00336C0C"/>
    <w:rsid w:val="003370FE"/>
    <w:rsid w:val="00341B57"/>
    <w:rsid w:val="003420B3"/>
    <w:rsid w:val="0034239E"/>
    <w:rsid w:val="00342B36"/>
    <w:rsid w:val="00342B7F"/>
    <w:rsid w:val="00347F63"/>
    <w:rsid w:val="00360B52"/>
    <w:rsid w:val="0036629C"/>
    <w:rsid w:val="00367065"/>
    <w:rsid w:val="003723EC"/>
    <w:rsid w:val="0037369C"/>
    <w:rsid w:val="00373F72"/>
    <w:rsid w:val="0037728A"/>
    <w:rsid w:val="00381FD5"/>
    <w:rsid w:val="0038214C"/>
    <w:rsid w:val="00386520"/>
    <w:rsid w:val="00397A34"/>
    <w:rsid w:val="003A3D7E"/>
    <w:rsid w:val="003A4ABC"/>
    <w:rsid w:val="003B488B"/>
    <w:rsid w:val="003C0583"/>
    <w:rsid w:val="003C21D6"/>
    <w:rsid w:val="003C2A5C"/>
    <w:rsid w:val="003C4372"/>
    <w:rsid w:val="003C5B13"/>
    <w:rsid w:val="003D68C0"/>
    <w:rsid w:val="003D7330"/>
    <w:rsid w:val="003E7C35"/>
    <w:rsid w:val="003F0BE5"/>
    <w:rsid w:val="003F2257"/>
    <w:rsid w:val="00412000"/>
    <w:rsid w:val="00412743"/>
    <w:rsid w:val="004144EF"/>
    <w:rsid w:val="00415E9C"/>
    <w:rsid w:val="00416396"/>
    <w:rsid w:val="00417D8B"/>
    <w:rsid w:val="00421E87"/>
    <w:rsid w:val="00427E1C"/>
    <w:rsid w:val="00436E32"/>
    <w:rsid w:val="00440598"/>
    <w:rsid w:val="004441AE"/>
    <w:rsid w:val="00451260"/>
    <w:rsid w:val="004546C0"/>
    <w:rsid w:val="00467101"/>
    <w:rsid w:val="00467BD4"/>
    <w:rsid w:val="00475851"/>
    <w:rsid w:val="00480775"/>
    <w:rsid w:val="00480D31"/>
    <w:rsid w:val="00484B9E"/>
    <w:rsid w:val="00487991"/>
    <w:rsid w:val="00492A0C"/>
    <w:rsid w:val="00493EBA"/>
    <w:rsid w:val="00495DFE"/>
    <w:rsid w:val="004A2891"/>
    <w:rsid w:val="004A35A6"/>
    <w:rsid w:val="004A669D"/>
    <w:rsid w:val="004B0282"/>
    <w:rsid w:val="004B253B"/>
    <w:rsid w:val="004B2C3C"/>
    <w:rsid w:val="004B6352"/>
    <w:rsid w:val="004B7594"/>
    <w:rsid w:val="004C2474"/>
    <w:rsid w:val="004C4124"/>
    <w:rsid w:val="004C4A46"/>
    <w:rsid w:val="004C5947"/>
    <w:rsid w:val="004D63CD"/>
    <w:rsid w:val="004E01F6"/>
    <w:rsid w:val="004E0E11"/>
    <w:rsid w:val="004E2003"/>
    <w:rsid w:val="004E29E2"/>
    <w:rsid w:val="004E3C63"/>
    <w:rsid w:val="004F400C"/>
    <w:rsid w:val="004F613D"/>
    <w:rsid w:val="00503FE1"/>
    <w:rsid w:val="00505A03"/>
    <w:rsid w:val="0050669F"/>
    <w:rsid w:val="00510C03"/>
    <w:rsid w:val="00513FAF"/>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12D3"/>
    <w:rsid w:val="005839B0"/>
    <w:rsid w:val="00586720"/>
    <w:rsid w:val="0058696C"/>
    <w:rsid w:val="005A0AEF"/>
    <w:rsid w:val="005A1487"/>
    <w:rsid w:val="005A5948"/>
    <w:rsid w:val="005A60F7"/>
    <w:rsid w:val="005B0990"/>
    <w:rsid w:val="005B3A63"/>
    <w:rsid w:val="005B7620"/>
    <w:rsid w:val="005C3659"/>
    <w:rsid w:val="005C4554"/>
    <w:rsid w:val="005C627C"/>
    <w:rsid w:val="005D1CE5"/>
    <w:rsid w:val="005D40FE"/>
    <w:rsid w:val="005D69B1"/>
    <w:rsid w:val="005D6ACD"/>
    <w:rsid w:val="005D71B0"/>
    <w:rsid w:val="005E0004"/>
    <w:rsid w:val="005E260C"/>
    <w:rsid w:val="005E43B1"/>
    <w:rsid w:val="005F4D02"/>
    <w:rsid w:val="00601BF7"/>
    <w:rsid w:val="0060524B"/>
    <w:rsid w:val="00607654"/>
    <w:rsid w:val="006113CF"/>
    <w:rsid w:val="006158DC"/>
    <w:rsid w:val="0061645A"/>
    <w:rsid w:val="0062126D"/>
    <w:rsid w:val="00621B09"/>
    <w:rsid w:val="006227BE"/>
    <w:rsid w:val="0063018F"/>
    <w:rsid w:val="00632A25"/>
    <w:rsid w:val="006362B0"/>
    <w:rsid w:val="0064576F"/>
    <w:rsid w:val="00650ECD"/>
    <w:rsid w:val="006547BF"/>
    <w:rsid w:val="00660AE8"/>
    <w:rsid w:val="00664807"/>
    <w:rsid w:val="00665625"/>
    <w:rsid w:val="00666A24"/>
    <w:rsid w:val="00671CF7"/>
    <w:rsid w:val="00676B60"/>
    <w:rsid w:val="0067790A"/>
    <w:rsid w:val="006828EF"/>
    <w:rsid w:val="00683330"/>
    <w:rsid w:val="00685DDD"/>
    <w:rsid w:val="00690481"/>
    <w:rsid w:val="00690661"/>
    <w:rsid w:val="00692E2F"/>
    <w:rsid w:val="006A1EA6"/>
    <w:rsid w:val="006A3E62"/>
    <w:rsid w:val="006A4ACB"/>
    <w:rsid w:val="006B09AC"/>
    <w:rsid w:val="006B3C32"/>
    <w:rsid w:val="006B41DC"/>
    <w:rsid w:val="006B70D2"/>
    <w:rsid w:val="006C1791"/>
    <w:rsid w:val="006C631F"/>
    <w:rsid w:val="006D09EA"/>
    <w:rsid w:val="006E3FE7"/>
    <w:rsid w:val="006E430F"/>
    <w:rsid w:val="006E6A04"/>
    <w:rsid w:val="006F3DCD"/>
    <w:rsid w:val="006F68AD"/>
    <w:rsid w:val="00702C0E"/>
    <w:rsid w:val="00706198"/>
    <w:rsid w:val="00714C4C"/>
    <w:rsid w:val="00715BAF"/>
    <w:rsid w:val="00726195"/>
    <w:rsid w:val="007268FD"/>
    <w:rsid w:val="00731000"/>
    <w:rsid w:val="00732671"/>
    <w:rsid w:val="007353E7"/>
    <w:rsid w:val="00741235"/>
    <w:rsid w:val="007635E7"/>
    <w:rsid w:val="00771B3B"/>
    <w:rsid w:val="00772250"/>
    <w:rsid w:val="0077769A"/>
    <w:rsid w:val="00777F77"/>
    <w:rsid w:val="00781022"/>
    <w:rsid w:val="00785043"/>
    <w:rsid w:val="007865D6"/>
    <w:rsid w:val="00795CE5"/>
    <w:rsid w:val="007A02D3"/>
    <w:rsid w:val="007A1F1A"/>
    <w:rsid w:val="007A6607"/>
    <w:rsid w:val="007B22A9"/>
    <w:rsid w:val="007B26AB"/>
    <w:rsid w:val="007C2E93"/>
    <w:rsid w:val="007C4817"/>
    <w:rsid w:val="007C5B30"/>
    <w:rsid w:val="007C66B3"/>
    <w:rsid w:val="007D68B2"/>
    <w:rsid w:val="007E1DC9"/>
    <w:rsid w:val="007E360B"/>
    <w:rsid w:val="007E4794"/>
    <w:rsid w:val="007F0F99"/>
    <w:rsid w:val="007F7BCC"/>
    <w:rsid w:val="007F7E0C"/>
    <w:rsid w:val="0080554F"/>
    <w:rsid w:val="00806276"/>
    <w:rsid w:val="0081290A"/>
    <w:rsid w:val="008154F8"/>
    <w:rsid w:val="00820E85"/>
    <w:rsid w:val="008249A0"/>
    <w:rsid w:val="008256E0"/>
    <w:rsid w:val="008300B9"/>
    <w:rsid w:val="00834ADC"/>
    <w:rsid w:val="00837F30"/>
    <w:rsid w:val="00843022"/>
    <w:rsid w:val="008449D1"/>
    <w:rsid w:val="00852238"/>
    <w:rsid w:val="008556E9"/>
    <w:rsid w:val="008567B8"/>
    <w:rsid w:val="00862964"/>
    <w:rsid w:val="0086450E"/>
    <w:rsid w:val="0087215E"/>
    <w:rsid w:val="00873150"/>
    <w:rsid w:val="008773D9"/>
    <w:rsid w:val="00877A82"/>
    <w:rsid w:val="00884033"/>
    <w:rsid w:val="00885D9E"/>
    <w:rsid w:val="0089021D"/>
    <w:rsid w:val="008950FC"/>
    <w:rsid w:val="00895142"/>
    <w:rsid w:val="008A0F14"/>
    <w:rsid w:val="008A4F0E"/>
    <w:rsid w:val="008A57B7"/>
    <w:rsid w:val="008B0347"/>
    <w:rsid w:val="008B5DE6"/>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5099"/>
    <w:rsid w:val="009141DA"/>
    <w:rsid w:val="0091594C"/>
    <w:rsid w:val="0091644E"/>
    <w:rsid w:val="009202CA"/>
    <w:rsid w:val="00923FD9"/>
    <w:rsid w:val="0092553D"/>
    <w:rsid w:val="00925D64"/>
    <w:rsid w:val="0093017D"/>
    <w:rsid w:val="00931C19"/>
    <w:rsid w:val="00933328"/>
    <w:rsid w:val="00933FF5"/>
    <w:rsid w:val="0094012B"/>
    <w:rsid w:val="009405C8"/>
    <w:rsid w:val="00945398"/>
    <w:rsid w:val="00950DCC"/>
    <w:rsid w:val="009563B8"/>
    <w:rsid w:val="0097211C"/>
    <w:rsid w:val="00973CCF"/>
    <w:rsid w:val="00973CFC"/>
    <w:rsid w:val="00981EA7"/>
    <w:rsid w:val="009826D9"/>
    <w:rsid w:val="009833E8"/>
    <w:rsid w:val="00985B87"/>
    <w:rsid w:val="00986993"/>
    <w:rsid w:val="00994E2B"/>
    <w:rsid w:val="009B640D"/>
    <w:rsid w:val="009C1641"/>
    <w:rsid w:val="009C1815"/>
    <w:rsid w:val="009C1E45"/>
    <w:rsid w:val="009C4A93"/>
    <w:rsid w:val="009D02F1"/>
    <w:rsid w:val="009D1DF4"/>
    <w:rsid w:val="009D26B5"/>
    <w:rsid w:val="009D2780"/>
    <w:rsid w:val="009D43AA"/>
    <w:rsid w:val="009D5101"/>
    <w:rsid w:val="009D7296"/>
    <w:rsid w:val="009D7626"/>
    <w:rsid w:val="009E2358"/>
    <w:rsid w:val="009F1033"/>
    <w:rsid w:val="00A05FC7"/>
    <w:rsid w:val="00A11EE6"/>
    <w:rsid w:val="00A21FFC"/>
    <w:rsid w:val="00A248DE"/>
    <w:rsid w:val="00A325C7"/>
    <w:rsid w:val="00A37EC9"/>
    <w:rsid w:val="00A37FA9"/>
    <w:rsid w:val="00A51635"/>
    <w:rsid w:val="00A52293"/>
    <w:rsid w:val="00A54E30"/>
    <w:rsid w:val="00A6244D"/>
    <w:rsid w:val="00A71698"/>
    <w:rsid w:val="00A720FE"/>
    <w:rsid w:val="00A74266"/>
    <w:rsid w:val="00A82462"/>
    <w:rsid w:val="00A86E65"/>
    <w:rsid w:val="00A904CC"/>
    <w:rsid w:val="00A9111B"/>
    <w:rsid w:val="00A96B4F"/>
    <w:rsid w:val="00AA5AED"/>
    <w:rsid w:val="00AA68A2"/>
    <w:rsid w:val="00AB1BAE"/>
    <w:rsid w:val="00AB3E61"/>
    <w:rsid w:val="00AB40DB"/>
    <w:rsid w:val="00AB7180"/>
    <w:rsid w:val="00AC28E3"/>
    <w:rsid w:val="00AC5FEA"/>
    <w:rsid w:val="00AC68FB"/>
    <w:rsid w:val="00AC7F1A"/>
    <w:rsid w:val="00AD1707"/>
    <w:rsid w:val="00AD4CA5"/>
    <w:rsid w:val="00AE0466"/>
    <w:rsid w:val="00AE701D"/>
    <w:rsid w:val="00AE7549"/>
    <w:rsid w:val="00AF7CA7"/>
    <w:rsid w:val="00B00A00"/>
    <w:rsid w:val="00B222CB"/>
    <w:rsid w:val="00B2244A"/>
    <w:rsid w:val="00B22C29"/>
    <w:rsid w:val="00B261F9"/>
    <w:rsid w:val="00B353DE"/>
    <w:rsid w:val="00B46D0E"/>
    <w:rsid w:val="00B50E69"/>
    <w:rsid w:val="00B61578"/>
    <w:rsid w:val="00B61F6A"/>
    <w:rsid w:val="00B63E2D"/>
    <w:rsid w:val="00B63E3B"/>
    <w:rsid w:val="00B65B2B"/>
    <w:rsid w:val="00B74DF6"/>
    <w:rsid w:val="00B75749"/>
    <w:rsid w:val="00B75770"/>
    <w:rsid w:val="00B80066"/>
    <w:rsid w:val="00B810FF"/>
    <w:rsid w:val="00B813C9"/>
    <w:rsid w:val="00B819C0"/>
    <w:rsid w:val="00B832B4"/>
    <w:rsid w:val="00B91785"/>
    <w:rsid w:val="00BA1264"/>
    <w:rsid w:val="00BA1E07"/>
    <w:rsid w:val="00BA3F05"/>
    <w:rsid w:val="00BA4044"/>
    <w:rsid w:val="00BA7189"/>
    <w:rsid w:val="00BB16AB"/>
    <w:rsid w:val="00BC0324"/>
    <w:rsid w:val="00BC3C3C"/>
    <w:rsid w:val="00BD0FFD"/>
    <w:rsid w:val="00BE1722"/>
    <w:rsid w:val="00BE48BE"/>
    <w:rsid w:val="00BF01C3"/>
    <w:rsid w:val="00BF02C3"/>
    <w:rsid w:val="00BF0FC6"/>
    <w:rsid w:val="00BF5086"/>
    <w:rsid w:val="00BF5F55"/>
    <w:rsid w:val="00BF7F74"/>
    <w:rsid w:val="00C060D6"/>
    <w:rsid w:val="00C11BA9"/>
    <w:rsid w:val="00C11CE1"/>
    <w:rsid w:val="00C15294"/>
    <w:rsid w:val="00C163FF"/>
    <w:rsid w:val="00C2478C"/>
    <w:rsid w:val="00C25084"/>
    <w:rsid w:val="00C26042"/>
    <w:rsid w:val="00C31016"/>
    <w:rsid w:val="00C35ACF"/>
    <w:rsid w:val="00C4116C"/>
    <w:rsid w:val="00C463AE"/>
    <w:rsid w:val="00C4680C"/>
    <w:rsid w:val="00C46CF6"/>
    <w:rsid w:val="00C474B8"/>
    <w:rsid w:val="00C537EC"/>
    <w:rsid w:val="00C543C0"/>
    <w:rsid w:val="00C5522C"/>
    <w:rsid w:val="00C6454E"/>
    <w:rsid w:val="00C65D27"/>
    <w:rsid w:val="00C6787E"/>
    <w:rsid w:val="00C71746"/>
    <w:rsid w:val="00C74533"/>
    <w:rsid w:val="00C762CB"/>
    <w:rsid w:val="00C7681E"/>
    <w:rsid w:val="00C77074"/>
    <w:rsid w:val="00C82739"/>
    <w:rsid w:val="00C83BC9"/>
    <w:rsid w:val="00C83D2E"/>
    <w:rsid w:val="00C86968"/>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2838"/>
    <w:rsid w:val="00D02BC5"/>
    <w:rsid w:val="00D03761"/>
    <w:rsid w:val="00D075D0"/>
    <w:rsid w:val="00D23640"/>
    <w:rsid w:val="00D26C7D"/>
    <w:rsid w:val="00D27725"/>
    <w:rsid w:val="00D27DEA"/>
    <w:rsid w:val="00D31B04"/>
    <w:rsid w:val="00D514B2"/>
    <w:rsid w:val="00D52EE1"/>
    <w:rsid w:val="00D5419F"/>
    <w:rsid w:val="00D63B3F"/>
    <w:rsid w:val="00D663BA"/>
    <w:rsid w:val="00D722E5"/>
    <w:rsid w:val="00D90069"/>
    <w:rsid w:val="00D90654"/>
    <w:rsid w:val="00D90954"/>
    <w:rsid w:val="00D963B5"/>
    <w:rsid w:val="00DB2611"/>
    <w:rsid w:val="00DB3311"/>
    <w:rsid w:val="00DB5086"/>
    <w:rsid w:val="00DB6E55"/>
    <w:rsid w:val="00DB7C7E"/>
    <w:rsid w:val="00DC178C"/>
    <w:rsid w:val="00DC4C8F"/>
    <w:rsid w:val="00DD0C58"/>
    <w:rsid w:val="00DD4886"/>
    <w:rsid w:val="00DE2836"/>
    <w:rsid w:val="00DF2BF0"/>
    <w:rsid w:val="00DF50DE"/>
    <w:rsid w:val="00DF6901"/>
    <w:rsid w:val="00DF7061"/>
    <w:rsid w:val="00E061E2"/>
    <w:rsid w:val="00E10368"/>
    <w:rsid w:val="00E10BED"/>
    <w:rsid w:val="00E20C65"/>
    <w:rsid w:val="00E23C7A"/>
    <w:rsid w:val="00E34F1B"/>
    <w:rsid w:val="00E37B8C"/>
    <w:rsid w:val="00E41920"/>
    <w:rsid w:val="00E4462C"/>
    <w:rsid w:val="00E46EEB"/>
    <w:rsid w:val="00E47566"/>
    <w:rsid w:val="00E50376"/>
    <w:rsid w:val="00E525C0"/>
    <w:rsid w:val="00E70704"/>
    <w:rsid w:val="00E73041"/>
    <w:rsid w:val="00E774FE"/>
    <w:rsid w:val="00E85EA8"/>
    <w:rsid w:val="00E91F2D"/>
    <w:rsid w:val="00E94E14"/>
    <w:rsid w:val="00EB0ADA"/>
    <w:rsid w:val="00EB48A6"/>
    <w:rsid w:val="00EB7E8A"/>
    <w:rsid w:val="00EC1F8A"/>
    <w:rsid w:val="00EC5DB1"/>
    <w:rsid w:val="00ED32AA"/>
    <w:rsid w:val="00EE2AA0"/>
    <w:rsid w:val="00EE313D"/>
    <w:rsid w:val="00EE44DC"/>
    <w:rsid w:val="00EF42A8"/>
    <w:rsid w:val="00F06E68"/>
    <w:rsid w:val="00F15662"/>
    <w:rsid w:val="00F15FAA"/>
    <w:rsid w:val="00F249A7"/>
    <w:rsid w:val="00F26376"/>
    <w:rsid w:val="00F30298"/>
    <w:rsid w:val="00F3029E"/>
    <w:rsid w:val="00F32031"/>
    <w:rsid w:val="00F32F54"/>
    <w:rsid w:val="00F37939"/>
    <w:rsid w:val="00F400A4"/>
    <w:rsid w:val="00F52EE4"/>
    <w:rsid w:val="00F61537"/>
    <w:rsid w:val="00F66FB2"/>
    <w:rsid w:val="00F67CEB"/>
    <w:rsid w:val="00F816B6"/>
    <w:rsid w:val="00F8251B"/>
    <w:rsid w:val="00F8641B"/>
    <w:rsid w:val="00F87182"/>
    <w:rsid w:val="00F907E3"/>
    <w:rsid w:val="00FA1603"/>
    <w:rsid w:val="00FA2AB7"/>
    <w:rsid w:val="00FB185F"/>
    <w:rsid w:val="00FB1D44"/>
    <w:rsid w:val="00FB21C7"/>
    <w:rsid w:val="00FB5C5D"/>
    <w:rsid w:val="00FB7BB8"/>
    <w:rsid w:val="00FD440F"/>
    <w:rsid w:val="00FD52EF"/>
    <w:rsid w:val="00FD7284"/>
    <w:rsid w:val="00FE0F29"/>
    <w:rsid w:val="00FE6ED6"/>
    <w:rsid w:val="00FE7F88"/>
    <w:rsid w:val="00FF26A5"/>
    <w:rsid w:val="00FF309F"/>
    <w:rsid w:val="017C3055"/>
    <w:rsid w:val="01883901"/>
    <w:rsid w:val="023F0C4D"/>
    <w:rsid w:val="028D6B6E"/>
    <w:rsid w:val="02B07FF7"/>
    <w:rsid w:val="02C728F6"/>
    <w:rsid w:val="032F2286"/>
    <w:rsid w:val="036D1000"/>
    <w:rsid w:val="03733BDF"/>
    <w:rsid w:val="038F71C9"/>
    <w:rsid w:val="039D7B38"/>
    <w:rsid w:val="03A308DC"/>
    <w:rsid w:val="040532BA"/>
    <w:rsid w:val="04176582"/>
    <w:rsid w:val="04860E14"/>
    <w:rsid w:val="049A4077"/>
    <w:rsid w:val="04CC1D57"/>
    <w:rsid w:val="04EE64B5"/>
    <w:rsid w:val="051259ED"/>
    <w:rsid w:val="05AB38EF"/>
    <w:rsid w:val="05AB5E10"/>
    <w:rsid w:val="05C375FE"/>
    <w:rsid w:val="0662095B"/>
    <w:rsid w:val="07041580"/>
    <w:rsid w:val="072B545A"/>
    <w:rsid w:val="07932A4C"/>
    <w:rsid w:val="07AF3996"/>
    <w:rsid w:val="08A2799E"/>
    <w:rsid w:val="08D00067"/>
    <w:rsid w:val="08DB1CFF"/>
    <w:rsid w:val="0A79472F"/>
    <w:rsid w:val="0A9E30AD"/>
    <w:rsid w:val="0B0B16BC"/>
    <w:rsid w:val="0BEB3B44"/>
    <w:rsid w:val="0C0644C0"/>
    <w:rsid w:val="0C9D55AB"/>
    <w:rsid w:val="0DFC18FF"/>
    <w:rsid w:val="0EBB3568"/>
    <w:rsid w:val="0F3A32EA"/>
    <w:rsid w:val="0F990811"/>
    <w:rsid w:val="0FEB39D9"/>
    <w:rsid w:val="10D62AA4"/>
    <w:rsid w:val="10F36FE9"/>
    <w:rsid w:val="11301FEB"/>
    <w:rsid w:val="126D4B79"/>
    <w:rsid w:val="13552B79"/>
    <w:rsid w:val="13793DF7"/>
    <w:rsid w:val="13AE71F7"/>
    <w:rsid w:val="13B123F5"/>
    <w:rsid w:val="141C4A83"/>
    <w:rsid w:val="14354A58"/>
    <w:rsid w:val="14677422"/>
    <w:rsid w:val="14C50C9C"/>
    <w:rsid w:val="15082937"/>
    <w:rsid w:val="152E6B10"/>
    <w:rsid w:val="15891CCA"/>
    <w:rsid w:val="15BF1042"/>
    <w:rsid w:val="15DD3DC4"/>
    <w:rsid w:val="160B1509"/>
    <w:rsid w:val="1656732A"/>
    <w:rsid w:val="169F1E05"/>
    <w:rsid w:val="177112EB"/>
    <w:rsid w:val="181939B9"/>
    <w:rsid w:val="18AB60A4"/>
    <w:rsid w:val="18D74DC1"/>
    <w:rsid w:val="193417EC"/>
    <w:rsid w:val="19D379B8"/>
    <w:rsid w:val="19E82D37"/>
    <w:rsid w:val="1A5E6875"/>
    <w:rsid w:val="1AED58EF"/>
    <w:rsid w:val="1C1871A3"/>
    <w:rsid w:val="1C1E6EE4"/>
    <w:rsid w:val="1C4032FE"/>
    <w:rsid w:val="1CD04682"/>
    <w:rsid w:val="1D3F58C0"/>
    <w:rsid w:val="1DC00253"/>
    <w:rsid w:val="1E64297E"/>
    <w:rsid w:val="1E885A25"/>
    <w:rsid w:val="1EAF02C7"/>
    <w:rsid w:val="1F397F3B"/>
    <w:rsid w:val="1F3A0BB5"/>
    <w:rsid w:val="1FA92FCB"/>
    <w:rsid w:val="20193BC8"/>
    <w:rsid w:val="20C840DF"/>
    <w:rsid w:val="21557597"/>
    <w:rsid w:val="220D398C"/>
    <w:rsid w:val="2301566F"/>
    <w:rsid w:val="23F75A1D"/>
    <w:rsid w:val="24026629"/>
    <w:rsid w:val="24165293"/>
    <w:rsid w:val="24311AC0"/>
    <w:rsid w:val="2482721D"/>
    <w:rsid w:val="24A10BF5"/>
    <w:rsid w:val="24D70B68"/>
    <w:rsid w:val="25436381"/>
    <w:rsid w:val="25A24F15"/>
    <w:rsid w:val="26A776E4"/>
    <w:rsid w:val="26AB07CC"/>
    <w:rsid w:val="273B6B9C"/>
    <w:rsid w:val="27AB1F74"/>
    <w:rsid w:val="286023AD"/>
    <w:rsid w:val="287B63A6"/>
    <w:rsid w:val="28F154C1"/>
    <w:rsid w:val="29613C02"/>
    <w:rsid w:val="296F21B7"/>
    <w:rsid w:val="2A225DF1"/>
    <w:rsid w:val="2A397C18"/>
    <w:rsid w:val="2A5015D5"/>
    <w:rsid w:val="2AF63392"/>
    <w:rsid w:val="2B876854"/>
    <w:rsid w:val="2BA67492"/>
    <w:rsid w:val="2BD709A7"/>
    <w:rsid w:val="2BDA4BD6"/>
    <w:rsid w:val="2C0C6D59"/>
    <w:rsid w:val="2C66791C"/>
    <w:rsid w:val="2CD44726"/>
    <w:rsid w:val="2D221D01"/>
    <w:rsid w:val="2D676A80"/>
    <w:rsid w:val="2D7A3266"/>
    <w:rsid w:val="2DB66F7C"/>
    <w:rsid w:val="2DBD030B"/>
    <w:rsid w:val="2EFE507F"/>
    <w:rsid w:val="2F3E4CD6"/>
    <w:rsid w:val="2F461FFA"/>
    <w:rsid w:val="2F5F2B72"/>
    <w:rsid w:val="2F7116DA"/>
    <w:rsid w:val="2FF10740"/>
    <w:rsid w:val="306F486B"/>
    <w:rsid w:val="312513B2"/>
    <w:rsid w:val="312B7C81"/>
    <w:rsid w:val="31B042BF"/>
    <w:rsid w:val="31E91846"/>
    <w:rsid w:val="31F12401"/>
    <w:rsid w:val="31FF5F72"/>
    <w:rsid w:val="32035D60"/>
    <w:rsid w:val="3212499D"/>
    <w:rsid w:val="326E6953"/>
    <w:rsid w:val="3301513E"/>
    <w:rsid w:val="33523A32"/>
    <w:rsid w:val="34346E4D"/>
    <w:rsid w:val="34FD7B87"/>
    <w:rsid w:val="35D5640E"/>
    <w:rsid w:val="36C721FA"/>
    <w:rsid w:val="36D23A94"/>
    <w:rsid w:val="375C0399"/>
    <w:rsid w:val="376940D0"/>
    <w:rsid w:val="38204506"/>
    <w:rsid w:val="382947EF"/>
    <w:rsid w:val="39321D68"/>
    <w:rsid w:val="3B5641D5"/>
    <w:rsid w:val="3BAE6CD9"/>
    <w:rsid w:val="3BC211E2"/>
    <w:rsid w:val="3BF7072B"/>
    <w:rsid w:val="3C033CD5"/>
    <w:rsid w:val="3C3000ED"/>
    <w:rsid w:val="3C7E15AD"/>
    <w:rsid w:val="3D232399"/>
    <w:rsid w:val="3D2E2D19"/>
    <w:rsid w:val="3D31181A"/>
    <w:rsid w:val="3DC87CB2"/>
    <w:rsid w:val="3E067AAC"/>
    <w:rsid w:val="3E171CB9"/>
    <w:rsid w:val="3F1749BD"/>
    <w:rsid w:val="3F4F365B"/>
    <w:rsid w:val="3F890995"/>
    <w:rsid w:val="3F9A5B70"/>
    <w:rsid w:val="40580367"/>
    <w:rsid w:val="40AB493B"/>
    <w:rsid w:val="40B27A77"/>
    <w:rsid w:val="41093759"/>
    <w:rsid w:val="41380196"/>
    <w:rsid w:val="41415EFF"/>
    <w:rsid w:val="416D1A71"/>
    <w:rsid w:val="41D026B4"/>
    <w:rsid w:val="41D03370"/>
    <w:rsid w:val="41F30347"/>
    <w:rsid w:val="41F80CEB"/>
    <w:rsid w:val="424B7923"/>
    <w:rsid w:val="44054362"/>
    <w:rsid w:val="441445A5"/>
    <w:rsid w:val="446F7A2D"/>
    <w:rsid w:val="44DB34EA"/>
    <w:rsid w:val="450308A1"/>
    <w:rsid w:val="452567EA"/>
    <w:rsid w:val="45EA7AB4"/>
    <w:rsid w:val="46316807"/>
    <w:rsid w:val="463827CD"/>
    <w:rsid w:val="46886BA6"/>
    <w:rsid w:val="468E6891"/>
    <w:rsid w:val="46D1677D"/>
    <w:rsid w:val="470B1C8F"/>
    <w:rsid w:val="47633F74"/>
    <w:rsid w:val="48524AAD"/>
    <w:rsid w:val="490552AA"/>
    <w:rsid w:val="4910358D"/>
    <w:rsid w:val="4A2F3CF7"/>
    <w:rsid w:val="4A5B13B4"/>
    <w:rsid w:val="4AFD2237"/>
    <w:rsid w:val="4B20306E"/>
    <w:rsid w:val="4B397B99"/>
    <w:rsid w:val="4B775B45"/>
    <w:rsid w:val="4B7A4CDC"/>
    <w:rsid w:val="4BD12F9C"/>
    <w:rsid w:val="4BDC009E"/>
    <w:rsid w:val="4C2F44B9"/>
    <w:rsid w:val="4C424A3B"/>
    <w:rsid w:val="4CA336B0"/>
    <w:rsid w:val="4D6F609D"/>
    <w:rsid w:val="4E52248E"/>
    <w:rsid w:val="4E7908AF"/>
    <w:rsid w:val="4E905EBD"/>
    <w:rsid w:val="4FCF382E"/>
    <w:rsid w:val="4FFA680C"/>
    <w:rsid w:val="50981A4B"/>
    <w:rsid w:val="511A2107"/>
    <w:rsid w:val="5153670D"/>
    <w:rsid w:val="52075749"/>
    <w:rsid w:val="52390069"/>
    <w:rsid w:val="528D1696"/>
    <w:rsid w:val="52CB2821"/>
    <w:rsid w:val="53154EDF"/>
    <w:rsid w:val="53185E60"/>
    <w:rsid w:val="53E82837"/>
    <w:rsid w:val="542F765C"/>
    <w:rsid w:val="54914939"/>
    <w:rsid w:val="54A15CDB"/>
    <w:rsid w:val="54EB5EC1"/>
    <w:rsid w:val="554D13F6"/>
    <w:rsid w:val="55B826D4"/>
    <w:rsid w:val="564725B8"/>
    <w:rsid w:val="56664712"/>
    <w:rsid w:val="56815ACA"/>
    <w:rsid w:val="56F97D56"/>
    <w:rsid w:val="573D632F"/>
    <w:rsid w:val="57580486"/>
    <w:rsid w:val="5794182D"/>
    <w:rsid w:val="57B24A3E"/>
    <w:rsid w:val="57D87A93"/>
    <w:rsid w:val="57ED0009"/>
    <w:rsid w:val="59DA41E0"/>
    <w:rsid w:val="5A2424B3"/>
    <w:rsid w:val="5A3906A0"/>
    <w:rsid w:val="5A76409B"/>
    <w:rsid w:val="5A9919E3"/>
    <w:rsid w:val="5AA47FD9"/>
    <w:rsid w:val="5B0450E9"/>
    <w:rsid w:val="5B2A7B0A"/>
    <w:rsid w:val="5B417B6B"/>
    <w:rsid w:val="5B54373E"/>
    <w:rsid w:val="5BC745F2"/>
    <w:rsid w:val="5C58673B"/>
    <w:rsid w:val="5CA161B2"/>
    <w:rsid w:val="5CC63880"/>
    <w:rsid w:val="5D2616FE"/>
    <w:rsid w:val="5D752101"/>
    <w:rsid w:val="5E4B27ED"/>
    <w:rsid w:val="5EE21916"/>
    <w:rsid w:val="5F2C40B4"/>
    <w:rsid w:val="5F4417E0"/>
    <w:rsid w:val="5F447FDD"/>
    <w:rsid w:val="5F88669E"/>
    <w:rsid w:val="5FC829BC"/>
    <w:rsid w:val="5FF52843"/>
    <w:rsid w:val="600339F4"/>
    <w:rsid w:val="60982B22"/>
    <w:rsid w:val="60F670B5"/>
    <w:rsid w:val="61E37639"/>
    <w:rsid w:val="61F77588"/>
    <w:rsid w:val="622F04A1"/>
    <w:rsid w:val="623B56C7"/>
    <w:rsid w:val="625413AD"/>
    <w:rsid w:val="62707B3A"/>
    <w:rsid w:val="62D81168"/>
    <w:rsid w:val="64001A40"/>
    <w:rsid w:val="645C0879"/>
    <w:rsid w:val="64741C1C"/>
    <w:rsid w:val="648C064A"/>
    <w:rsid w:val="656B3097"/>
    <w:rsid w:val="65AE4402"/>
    <w:rsid w:val="66AB4942"/>
    <w:rsid w:val="67F325A0"/>
    <w:rsid w:val="68091DC3"/>
    <w:rsid w:val="68355DEF"/>
    <w:rsid w:val="683C2646"/>
    <w:rsid w:val="687951D6"/>
    <w:rsid w:val="68AB69AF"/>
    <w:rsid w:val="68D653C8"/>
    <w:rsid w:val="68D85250"/>
    <w:rsid w:val="69064D21"/>
    <w:rsid w:val="698D4180"/>
    <w:rsid w:val="69C22A84"/>
    <w:rsid w:val="6A060B5A"/>
    <w:rsid w:val="6A9D0933"/>
    <w:rsid w:val="6B291C0A"/>
    <w:rsid w:val="6B405C09"/>
    <w:rsid w:val="6BA92877"/>
    <w:rsid w:val="6D1F0B58"/>
    <w:rsid w:val="6D3654A5"/>
    <w:rsid w:val="6D5C1F39"/>
    <w:rsid w:val="6E744288"/>
    <w:rsid w:val="6E8958FE"/>
    <w:rsid w:val="6EB24C26"/>
    <w:rsid w:val="702C48A1"/>
    <w:rsid w:val="70567B70"/>
    <w:rsid w:val="70645DE9"/>
    <w:rsid w:val="70904E30"/>
    <w:rsid w:val="714719CF"/>
    <w:rsid w:val="74170E85"/>
    <w:rsid w:val="75232F32"/>
    <w:rsid w:val="752C54BC"/>
    <w:rsid w:val="75DC35E9"/>
    <w:rsid w:val="76742AFE"/>
    <w:rsid w:val="77FA11D3"/>
    <w:rsid w:val="77FB15BB"/>
    <w:rsid w:val="78146346"/>
    <w:rsid w:val="789E6834"/>
    <w:rsid w:val="78A148CA"/>
    <w:rsid w:val="79AD4DA1"/>
    <w:rsid w:val="79DD67E6"/>
    <w:rsid w:val="7A3A5E0C"/>
    <w:rsid w:val="7A552C46"/>
    <w:rsid w:val="7BCF79D9"/>
    <w:rsid w:val="7BE7585F"/>
    <w:rsid w:val="7C133841"/>
    <w:rsid w:val="7C1A4C7A"/>
    <w:rsid w:val="7C211032"/>
    <w:rsid w:val="7C444892"/>
    <w:rsid w:val="7CAE7448"/>
    <w:rsid w:val="7DF36BF7"/>
    <w:rsid w:val="7E543E84"/>
    <w:rsid w:val="7E795155"/>
    <w:rsid w:val="7E845165"/>
    <w:rsid w:val="7EC90255"/>
    <w:rsid w:val="7EEA3D76"/>
    <w:rsid w:val="7F3948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240" w:lineRule="auto"/>
      <w:jc w:val="center"/>
      <w:outlineLvl w:val="0"/>
    </w:pPr>
    <w:rPr>
      <w:rFonts w:ascii="Times New Roman" w:hAnsi="Times New Roman" w:eastAsia="宋体"/>
      <w:b/>
      <w:bCs/>
      <w:kern w:val="44"/>
      <w:sz w:val="32"/>
      <w:szCs w:val="44"/>
    </w:rPr>
  </w:style>
  <w:style w:type="paragraph" w:styleId="4">
    <w:name w:val="heading 2"/>
    <w:basedOn w:val="1"/>
    <w:next w:val="1"/>
    <w:autoRedefine/>
    <w:qFormat/>
    <w:uiPriority w:val="0"/>
    <w:pPr>
      <w:spacing w:line="0" w:lineRule="atLeast"/>
      <w:jc w:val="center"/>
      <w:outlineLvl w:val="1"/>
    </w:pPr>
    <w:rPr>
      <w:kern w:val="0"/>
      <w:sz w:val="28"/>
    </w:rPr>
  </w:style>
  <w:style w:type="paragraph" w:styleId="5">
    <w:name w:val="heading 3"/>
    <w:basedOn w:val="1"/>
    <w:next w:val="1"/>
    <w:link w:val="36"/>
    <w:autoRedefine/>
    <w:qFormat/>
    <w:uiPriority w:val="0"/>
    <w:pPr>
      <w:keepNext/>
      <w:keepLines/>
      <w:spacing w:before="260" w:after="260" w:line="416" w:lineRule="auto"/>
      <w:outlineLvl w:val="2"/>
    </w:pPr>
    <w:rPr>
      <w:b/>
      <w:bCs/>
      <w:sz w:val="32"/>
      <w:szCs w:val="32"/>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next w:val="1"/>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styleId="6">
    <w:name w:val="caption"/>
    <w:basedOn w:val="1"/>
    <w:next w:val="1"/>
    <w:autoRedefine/>
    <w:qFormat/>
    <w:uiPriority w:val="0"/>
    <w:rPr>
      <w:rFonts w:ascii="Cambria" w:hAnsi="Cambria" w:eastAsia="黑体"/>
      <w:sz w:val="20"/>
    </w:rPr>
  </w:style>
  <w:style w:type="paragraph" w:styleId="7">
    <w:name w:val="Document Map"/>
    <w:basedOn w:val="1"/>
    <w:link w:val="48"/>
    <w:autoRedefine/>
    <w:qFormat/>
    <w:uiPriority w:val="0"/>
    <w:rPr>
      <w:rFonts w:ascii="宋体"/>
      <w:sz w:val="18"/>
      <w:szCs w:val="18"/>
    </w:rPr>
  </w:style>
  <w:style w:type="paragraph" w:styleId="8">
    <w:name w:val="annotation text"/>
    <w:basedOn w:val="1"/>
    <w:link w:val="47"/>
    <w:autoRedefine/>
    <w:qFormat/>
    <w:uiPriority w:val="0"/>
    <w:pPr>
      <w:jc w:val="left"/>
    </w:pPr>
  </w:style>
  <w:style w:type="paragraph" w:styleId="9">
    <w:name w:val="Body Text 3"/>
    <w:basedOn w:val="1"/>
    <w:autoRedefine/>
    <w:qFormat/>
    <w:uiPriority w:val="0"/>
    <w:pPr>
      <w:spacing w:after="120"/>
    </w:pPr>
    <w:rPr>
      <w:sz w:val="16"/>
      <w:szCs w:val="16"/>
    </w:rPr>
  </w:style>
  <w:style w:type="paragraph" w:styleId="10">
    <w:name w:val="Body Text"/>
    <w:basedOn w:val="1"/>
    <w:next w:val="2"/>
    <w:link w:val="45"/>
    <w:autoRedefine/>
    <w:qFormat/>
    <w:uiPriority w:val="99"/>
    <w:pPr>
      <w:spacing w:after="120"/>
    </w:pPr>
  </w:style>
  <w:style w:type="paragraph" w:styleId="11">
    <w:name w:val="Body Text Indent"/>
    <w:basedOn w:val="1"/>
    <w:next w:val="12"/>
    <w:autoRedefine/>
    <w:qFormat/>
    <w:uiPriority w:val="0"/>
    <w:pPr>
      <w:ind w:firstLine="632" w:firstLineChars="200"/>
    </w:pPr>
    <w:rPr>
      <w:rFonts w:ascii="仿宋_GB2312" w:hAnsi="华文楷体" w:eastAsia="仿宋_GB2312"/>
      <w:sz w:val="32"/>
    </w:rPr>
  </w:style>
  <w:style w:type="paragraph" w:styleId="12">
    <w:name w:val="envelope return"/>
    <w:basedOn w:val="1"/>
    <w:autoRedefine/>
    <w:qFormat/>
    <w:uiPriority w:val="99"/>
    <w:pPr>
      <w:snapToGrid w:val="0"/>
    </w:pPr>
    <w:rPr>
      <w:rFonts w:ascii="Arial" w:hAnsi="Arial"/>
    </w:rPr>
  </w:style>
  <w:style w:type="paragraph" w:styleId="13">
    <w:name w:val="List 2"/>
    <w:basedOn w:val="1"/>
    <w:autoRedefine/>
    <w:qFormat/>
    <w:uiPriority w:val="0"/>
    <w:pPr>
      <w:ind w:left="400" w:leftChars="200" w:hanging="200" w:hangingChars="200"/>
    </w:pPr>
  </w:style>
  <w:style w:type="paragraph" w:styleId="14">
    <w:name w:val="Plain Text"/>
    <w:basedOn w:val="1"/>
    <w:link w:val="53"/>
    <w:autoRedefine/>
    <w:qFormat/>
    <w:uiPriority w:val="99"/>
    <w:rPr>
      <w:rFonts w:ascii="宋体" w:hAnsi="Courier New"/>
      <w:szCs w:val="20"/>
    </w:rPr>
  </w:style>
  <w:style w:type="paragraph" w:styleId="15">
    <w:name w:val="Date"/>
    <w:basedOn w:val="1"/>
    <w:next w:val="1"/>
    <w:link w:val="49"/>
    <w:autoRedefine/>
    <w:qFormat/>
    <w:uiPriority w:val="0"/>
    <w:pPr>
      <w:ind w:left="100" w:leftChars="2500"/>
    </w:pPr>
  </w:style>
  <w:style w:type="paragraph" w:styleId="16">
    <w:name w:val="Body Text Indent 2"/>
    <w:basedOn w:val="1"/>
    <w:autoRedefine/>
    <w:qFormat/>
    <w:uiPriority w:val="0"/>
    <w:pPr>
      <w:spacing w:after="120" w:line="480" w:lineRule="auto"/>
      <w:ind w:left="420" w:leftChars="200"/>
    </w:pPr>
  </w:style>
  <w:style w:type="paragraph" w:styleId="17">
    <w:name w:val="Balloon Text"/>
    <w:basedOn w:val="1"/>
    <w:autoRedefine/>
    <w:qFormat/>
    <w:uiPriority w:val="0"/>
    <w:rPr>
      <w:sz w:val="18"/>
      <w:szCs w:val="18"/>
    </w:rPr>
  </w:style>
  <w:style w:type="paragraph" w:styleId="18">
    <w:name w:val="footer"/>
    <w:basedOn w:val="1"/>
    <w:link w:val="70"/>
    <w:autoRedefine/>
    <w:qFormat/>
    <w:uiPriority w:val="99"/>
    <w:pPr>
      <w:tabs>
        <w:tab w:val="center" w:pos="4153"/>
        <w:tab w:val="right" w:pos="8306"/>
      </w:tabs>
      <w:snapToGrid w:val="0"/>
      <w:jc w:val="left"/>
    </w:pPr>
    <w:rPr>
      <w:sz w:val="18"/>
      <w:szCs w:val="18"/>
    </w:rPr>
  </w:style>
  <w:style w:type="paragraph" w:styleId="19">
    <w:name w:val="header"/>
    <w:basedOn w:val="1"/>
    <w:link w:val="69"/>
    <w:autoRedefine/>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pPr>
      <w:spacing w:before="120" w:after="120"/>
      <w:jc w:val="left"/>
    </w:pPr>
    <w:rPr>
      <w:caps/>
    </w:rPr>
  </w:style>
  <w:style w:type="paragraph" w:styleId="21">
    <w:name w:val="footnote text"/>
    <w:basedOn w:val="1"/>
    <w:autoRedefine/>
    <w:qFormat/>
    <w:uiPriority w:val="99"/>
    <w:pPr>
      <w:snapToGrid w:val="0"/>
      <w:jc w:val="left"/>
    </w:pPr>
    <w:rPr>
      <w:sz w:val="18"/>
      <w:szCs w:val="18"/>
    </w:rPr>
  </w:style>
  <w:style w:type="paragraph" w:styleId="22">
    <w:name w:val="Body Text 2"/>
    <w:basedOn w:val="1"/>
    <w:link w:val="67"/>
    <w:autoRedefine/>
    <w:qFormat/>
    <w:uiPriority w:val="0"/>
    <w:pPr>
      <w:spacing w:after="120" w:line="480" w:lineRule="auto"/>
    </w:pPr>
  </w:style>
  <w:style w:type="paragraph" w:styleId="23">
    <w:name w:val="Message Header"/>
    <w:basedOn w:val="1"/>
    <w:autoRedefine/>
    <w:qFormat/>
    <w:uiPriority w:val="0"/>
    <w:pPr>
      <w:widowControl/>
      <w:shd w:val="pct20" w:color="000000" w:fill="auto"/>
      <w:ind w:left="1080" w:hanging="1080"/>
    </w:pPr>
    <w:rPr>
      <w:rFonts w:ascii="Cambria" w:hAnsi="Cambria" w:eastAsia="Cambria"/>
      <w:sz w:val="24"/>
    </w:rPr>
  </w:style>
  <w:style w:type="paragraph" w:styleId="24">
    <w:name w:val="HTML Preformatted"/>
    <w:basedOn w:val="1"/>
    <w:autoRedefine/>
    <w:unhideWhenUsed/>
    <w:qFormat/>
    <w:uiPriority w:val="99"/>
    <w:rPr>
      <w:rFonts w:ascii="Courier New" w:hAnsi="Courier New" w:cs="Courier New"/>
      <w:sz w:val="20"/>
      <w:szCs w:val="20"/>
    </w:rPr>
  </w:style>
  <w:style w:type="paragraph" w:styleId="25">
    <w:name w:val="Normal (Web)"/>
    <w:basedOn w:val="1"/>
    <w:autoRedefine/>
    <w:unhideWhenUsed/>
    <w:qFormat/>
    <w:uiPriority w:val="99"/>
    <w:pPr>
      <w:widowControl/>
      <w:spacing w:before="100" w:beforeAutospacing="1" w:after="100" w:afterAutospacing="1"/>
      <w:jc w:val="left"/>
    </w:pPr>
    <w:rPr>
      <w:rFonts w:ascii="宋体" w:hAnsi="宋体"/>
      <w:kern w:val="0"/>
      <w:sz w:val="24"/>
      <w:szCs w:val="20"/>
    </w:rPr>
  </w:style>
  <w:style w:type="paragraph" w:styleId="26">
    <w:name w:val="Body Text First Indent"/>
    <w:basedOn w:val="10"/>
    <w:link w:val="44"/>
    <w:autoRedefine/>
    <w:qFormat/>
    <w:uiPriority w:val="0"/>
    <w:pPr>
      <w:ind w:firstLine="420" w:firstLineChars="100"/>
    </w:pPr>
  </w:style>
  <w:style w:type="paragraph" w:styleId="27">
    <w:name w:val="Body Text First Indent 2"/>
    <w:basedOn w:val="1"/>
    <w:next w:val="1"/>
    <w:autoRedefine/>
    <w:qFormat/>
    <w:uiPriority w:val="99"/>
    <w:pPr>
      <w:tabs>
        <w:tab w:val="left" w:pos="0"/>
        <w:tab w:val="left" w:pos="993"/>
        <w:tab w:val="left" w:pos="1134"/>
      </w:tabs>
      <w:ind w:firstLine="420"/>
    </w:pPr>
  </w:style>
  <w:style w:type="table" w:styleId="29">
    <w:name w:val="Table Grid"/>
    <w:basedOn w:val="2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Strong"/>
    <w:autoRedefine/>
    <w:qFormat/>
    <w:uiPriority w:val="22"/>
    <w:rPr>
      <w:b/>
      <w:bCs/>
    </w:rPr>
  </w:style>
  <w:style w:type="character" w:styleId="32">
    <w:name w:val="page number"/>
    <w:basedOn w:val="30"/>
    <w:autoRedefine/>
    <w:qFormat/>
    <w:uiPriority w:val="0"/>
  </w:style>
  <w:style w:type="character" w:styleId="33">
    <w:name w:val="FollowedHyperlink"/>
    <w:basedOn w:val="30"/>
    <w:autoRedefine/>
    <w:qFormat/>
    <w:uiPriority w:val="0"/>
    <w:rPr>
      <w:color w:val="000000"/>
      <w:u w:val="none"/>
    </w:rPr>
  </w:style>
  <w:style w:type="character" w:styleId="34">
    <w:name w:val="Hyperlink"/>
    <w:autoRedefine/>
    <w:qFormat/>
    <w:uiPriority w:val="0"/>
    <w:rPr>
      <w:color w:val="333333"/>
      <w:u w:val="none"/>
    </w:rPr>
  </w:style>
  <w:style w:type="character" w:styleId="35">
    <w:name w:val="annotation reference"/>
    <w:autoRedefine/>
    <w:qFormat/>
    <w:uiPriority w:val="99"/>
    <w:rPr>
      <w:sz w:val="21"/>
    </w:rPr>
  </w:style>
  <w:style w:type="character" w:customStyle="1" w:styleId="36">
    <w:name w:val="标题 3 Char"/>
    <w:link w:val="5"/>
    <w:autoRedefine/>
    <w:semiHidden/>
    <w:qFormat/>
    <w:uiPriority w:val="0"/>
    <w:rPr>
      <w:b/>
      <w:bCs/>
      <w:kern w:val="2"/>
      <w:sz w:val="32"/>
      <w:szCs w:val="32"/>
    </w:rPr>
  </w:style>
  <w:style w:type="paragraph" w:customStyle="1" w:styleId="37">
    <w:name w:val="BodyText1I"/>
    <w:basedOn w:val="38"/>
    <w:autoRedefine/>
    <w:qFormat/>
    <w:uiPriority w:val="99"/>
    <w:pPr>
      <w:ind w:firstLine="420" w:firstLineChars="100"/>
    </w:pPr>
  </w:style>
  <w:style w:type="paragraph" w:customStyle="1" w:styleId="38">
    <w:name w:val="BodyText"/>
    <w:basedOn w:val="1"/>
    <w:next w:val="39"/>
    <w:autoRedefine/>
    <w:qFormat/>
    <w:uiPriority w:val="99"/>
    <w:pPr>
      <w:spacing w:after="120"/>
    </w:pPr>
  </w:style>
  <w:style w:type="paragraph" w:customStyle="1" w:styleId="39">
    <w:name w:val="UserStyle_217"/>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40">
    <w:name w:val="无间隔1"/>
    <w:next w:val="6"/>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1">
    <w:name w:val="font231"/>
    <w:autoRedefine/>
    <w:qFormat/>
    <w:uiPriority w:val="0"/>
    <w:rPr>
      <w:rFonts w:hint="eastAsia" w:ascii="宋体" w:hAnsi="宋体" w:eastAsia="宋体" w:cs="宋体"/>
      <w:color w:val="000000"/>
      <w:sz w:val="22"/>
      <w:szCs w:val="22"/>
      <w:u w:val="none"/>
    </w:rPr>
  </w:style>
  <w:style w:type="character" w:customStyle="1" w:styleId="42">
    <w:name w:val="font11"/>
    <w:autoRedefine/>
    <w:qFormat/>
    <w:uiPriority w:val="0"/>
    <w:rPr>
      <w:rFonts w:hint="default" w:ascii="Times New Roman" w:hAnsi="Times New Roman" w:cs="Times New Roman"/>
      <w:color w:val="000000"/>
      <w:sz w:val="18"/>
      <w:szCs w:val="18"/>
      <w:u w:val="none"/>
    </w:rPr>
  </w:style>
  <w:style w:type="character" w:customStyle="1" w:styleId="43">
    <w:name w:val="font191"/>
    <w:autoRedefine/>
    <w:qFormat/>
    <w:uiPriority w:val="0"/>
    <w:rPr>
      <w:rFonts w:hint="default" w:ascii="Calibri" w:hAnsi="Calibri" w:cs="Calibri"/>
      <w:color w:val="000000"/>
      <w:sz w:val="22"/>
      <w:szCs w:val="22"/>
      <w:u w:val="none"/>
    </w:rPr>
  </w:style>
  <w:style w:type="character" w:customStyle="1" w:styleId="44">
    <w:name w:val="正文首行缩进 Char"/>
    <w:link w:val="26"/>
    <w:autoRedefine/>
    <w:qFormat/>
    <w:uiPriority w:val="0"/>
    <w:rPr>
      <w:kern w:val="2"/>
      <w:sz w:val="21"/>
      <w:szCs w:val="24"/>
    </w:rPr>
  </w:style>
  <w:style w:type="character" w:customStyle="1" w:styleId="45">
    <w:name w:val="正文文本 Char"/>
    <w:link w:val="10"/>
    <w:autoRedefine/>
    <w:qFormat/>
    <w:uiPriority w:val="99"/>
    <w:rPr>
      <w:kern w:val="2"/>
      <w:sz w:val="21"/>
      <w:szCs w:val="24"/>
    </w:rPr>
  </w:style>
  <w:style w:type="character" w:customStyle="1" w:styleId="46">
    <w:name w:val="font151"/>
    <w:autoRedefine/>
    <w:qFormat/>
    <w:uiPriority w:val="0"/>
    <w:rPr>
      <w:rFonts w:hint="default" w:ascii="Calibri" w:hAnsi="Calibri" w:cs="Calibri"/>
      <w:color w:val="000000"/>
      <w:sz w:val="22"/>
      <w:szCs w:val="22"/>
      <w:u w:val="none"/>
    </w:rPr>
  </w:style>
  <w:style w:type="character" w:customStyle="1" w:styleId="47">
    <w:name w:val="批注文字 Char"/>
    <w:link w:val="8"/>
    <w:autoRedefine/>
    <w:qFormat/>
    <w:uiPriority w:val="0"/>
    <w:rPr>
      <w:kern w:val="2"/>
      <w:sz w:val="21"/>
      <w:szCs w:val="24"/>
    </w:rPr>
  </w:style>
  <w:style w:type="character" w:customStyle="1" w:styleId="48">
    <w:name w:val="文档结构图 Char"/>
    <w:link w:val="7"/>
    <w:autoRedefine/>
    <w:qFormat/>
    <w:uiPriority w:val="0"/>
    <w:rPr>
      <w:rFonts w:ascii="宋体"/>
      <w:kern w:val="2"/>
      <w:sz w:val="18"/>
      <w:szCs w:val="18"/>
    </w:rPr>
  </w:style>
  <w:style w:type="character" w:customStyle="1" w:styleId="49">
    <w:name w:val="日期 Char"/>
    <w:link w:val="15"/>
    <w:autoRedefine/>
    <w:qFormat/>
    <w:uiPriority w:val="0"/>
    <w:rPr>
      <w:kern w:val="2"/>
      <w:sz w:val="21"/>
      <w:szCs w:val="24"/>
    </w:rPr>
  </w:style>
  <w:style w:type="character" w:customStyle="1" w:styleId="50">
    <w:name w:val="font221"/>
    <w:autoRedefine/>
    <w:qFormat/>
    <w:uiPriority w:val="0"/>
    <w:rPr>
      <w:rFonts w:hint="eastAsia" w:ascii="宋体" w:hAnsi="宋体" w:eastAsia="宋体" w:cs="宋体"/>
      <w:color w:val="000000"/>
      <w:sz w:val="20"/>
      <w:szCs w:val="20"/>
      <w:u w:val="none"/>
    </w:rPr>
  </w:style>
  <w:style w:type="character" w:customStyle="1" w:styleId="51">
    <w:name w:val="font61"/>
    <w:autoRedefine/>
    <w:qFormat/>
    <w:uiPriority w:val="0"/>
    <w:rPr>
      <w:rFonts w:hint="eastAsia" w:ascii="宋体" w:hAnsi="宋体" w:eastAsia="宋体" w:cs="宋体"/>
      <w:color w:val="FF0000"/>
      <w:sz w:val="22"/>
      <w:szCs w:val="22"/>
      <w:u w:val="none"/>
    </w:rPr>
  </w:style>
  <w:style w:type="character" w:customStyle="1" w:styleId="52">
    <w:name w:val="font31"/>
    <w:autoRedefine/>
    <w:qFormat/>
    <w:uiPriority w:val="0"/>
    <w:rPr>
      <w:rFonts w:hint="eastAsia" w:ascii="宋体" w:hAnsi="宋体" w:eastAsia="宋体" w:cs="宋体"/>
      <w:color w:val="000000"/>
      <w:sz w:val="18"/>
      <w:szCs w:val="18"/>
      <w:u w:val="none"/>
    </w:rPr>
  </w:style>
  <w:style w:type="character" w:customStyle="1" w:styleId="53">
    <w:name w:val="纯文本 Char"/>
    <w:link w:val="14"/>
    <w:autoRedefine/>
    <w:qFormat/>
    <w:uiPriority w:val="99"/>
    <w:rPr>
      <w:rFonts w:ascii="宋体" w:hAnsi="Courier New"/>
      <w:kern w:val="2"/>
      <w:sz w:val="21"/>
    </w:rPr>
  </w:style>
  <w:style w:type="character" w:customStyle="1" w:styleId="54">
    <w:name w:val="访问过的超链接1"/>
    <w:autoRedefine/>
    <w:qFormat/>
    <w:uiPriority w:val="0"/>
    <w:rPr>
      <w:color w:val="333333"/>
      <w:u w:val="none"/>
    </w:rPr>
  </w:style>
  <w:style w:type="character" w:customStyle="1" w:styleId="55">
    <w:name w:val="font01"/>
    <w:autoRedefine/>
    <w:qFormat/>
    <w:uiPriority w:val="0"/>
    <w:rPr>
      <w:rFonts w:hint="eastAsia" w:ascii="宋体" w:hAnsi="宋体" w:eastAsia="宋体" w:cs="宋体"/>
      <w:color w:val="000000"/>
      <w:sz w:val="22"/>
      <w:szCs w:val="22"/>
      <w:u w:val="none"/>
    </w:rPr>
  </w:style>
  <w:style w:type="character" w:customStyle="1" w:styleId="56">
    <w:name w:val="font21"/>
    <w:autoRedefine/>
    <w:qFormat/>
    <w:uiPriority w:val="0"/>
    <w:rPr>
      <w:rFonts w:hint="default" w:ascii="Times New Roman" w:hAnsi="Times New Roman" w:cs="Times New Roman"/>
      <w:color w:val="000000"/>
      <w:sz w:val="18"/>
      <w:szCs w:val="18"/>
      <w:u w:val="none"/>
    </w:rPr>
  </w:style>
  <w:style w:type="paragraph" w:customStyle="1" w:styleId="57">
    <w:name w:val="p0"/>
    <w:basedOn w:val="1"/>
    <w:autoRedefine/>
    <w:qFormat/>
    <w:uiPriority w:val="0"/>
    <w:pPr>
      <w:widowControl/>
    </w:pPr>
    <w:rPr>
      <w:rFonts w:ascii="Calibri" w:hAnsi="Calibri" w:cs="宋体"/>
      <w:kern w:val="0"/>
      <w:szCs w:val="21"/>
    </w:rPr>
  </w:style>
  <w:style w:type="paragraph" w:customStyle="1" w:styleId="58">
    <w:name w:val="List Paragraph1"/>
    <w:basedOn w:val="1"/>
    <w:autoRedefine/>
    <w:qFormat/>
    <w:uiPriority w:val="0"/>
    <w:pPr>
      <w:ind w:firstLine="420" w:firstLineChars="200"/>
    </w:pPr>
  </w:style>
  <w:style w:type="paragraph" w:customStyle="1" w:styleId="59">
    <w:name w:val="样式1"/>
    <w:basedOn w:val="1"/>
    <w:autoRedefine/>
    <w:qFormat/>
    <w:uiPriority w:val="0"/>
    <w:pPr>
      <w:tabs>
        <w:tab w:val="left" w:pos="709"/>
      </w:tabs>
      <w:adjustRightInd w:val="0"/>
      <w:ind w:left="709" w:hanging="709"/>
      <w:textAlignment w:val="baseline"/>
    </w:pPr>
    <w:rPr>
      <w:rFonts w:ascii="宋体" w:hAnsi="宋体"/>
      <w:kern w:val="0"/>
    </w:rPr>
  </w:style>
  <w:style w:type="paragraph" w:customStyle="1" w:styleId="60">
    <w:name w:val="Table Paragraph"/>
    <w:basedOn w:val="1"/>
    <w:autoRedefine/>
    <w:qFormat/>
    <w:uiPriority w:val="0"/>
    <w:pPr>
      <w:autoSpaceDE w:val="0"/>
      <w:autoSpaceDN w:val="0"/>
      <w:jc w:val="left"/>
    </w:pPr>
    <w:rPr>
      <w:rFonts w:ascii="宋体" w:hAnsi="宋体" w:cs="宋体"/>
      <w:kern w:val="0"/>
      <w:sz w:val="22"/>
      <w:szCs w:val="22"/>
      <w:lang w:val="zh-CN" w:bidi="zh-CN"/>
    </w:rPr>
  </w:style>
  <w:style w:type="paragraph" w:customStyle="1" w:styleId="6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62">
    <w:name w:val="Char Char Char Char Char Char Char1 Char"/>
    <w:basedOn w:val="1"/>
    <w:autoRedefine/>
    <w:qFormat/>
    <w:uiPriority w:val="0"/>
    <w:rPr>
      <w:rFonts w:ascii="Tahoma" w:hAnsi="Tahoma"/>
      <w:sz w:val="24"/>
      <w:szCs w:val="20"/>
    </w:rPr>
  </w:style>
  <w:style w:type="paragraph" w:styleId="63">
    <w:name w:val="List Paragraph"/>
    <w:basedOn w:val="1"/>
    <w:autoRedefine/>
    <w:qFormat/>
    <w:uiPriority w:val="34"/>
    <w:pPr>
      <w:ind w:firstLine="420" w:firstLineChars="200"/>
    </w:pPr>
  </w:style>
  <w:style w:type="paragraph" w:customStyle="1" w:styleId="64">
    <w:name w:val="Char Char Char1 Char"/>
    <w:basedOn w:val="1"/>
    <w:autoRedefine/>
    <w:qFormat/>
    <w:uiPriority w:val="0"/>
    <w:pPr>
      <w:spacing w:line="360" w:lineRule="auto"/>
      <w:ind w:firstLine="200" w:firstLineChars="200"/>
    </w:pPr>
    <w:rPr>
      <w:rFonts w:ascii="宋体" w:hAnsi="宋体" w:cs="宋体"/>
      <w:sz w:val="24"/>
    </w:rPr>
  </w:style>
  <w:style w:type="paragraph" w:customStyle="1" w:styleId="65">
    <w:name w:val="默认段落字体 Para Char Char Char Char Char Char Char Char Char Char"/>
    <w:basedOn w:val="1"/>
    <w:autoRedefine/>
    <w:qFormat/>
    <w:uiPriority w:val="0"/>
    <w:pPr>
      <w:tabs>
        <w:tab w:val="right" w:pos="-2120"/>
      </w:tabs>
      <w:snapToGrid w:val="0"/>
    </w:pPr>
  </w:style>
  <w:style w:type="character" w:customStyle="1" w:styleId="66">
    <w:name w:val="generalinfo-address-text"/>
    <w:basedOn w:val="30"/>
    <w:autoRedefine/>
    <w:qFormat/>
    <w:uiPriority w:val="0"/>
  </w:style>
  <w:style w:type="character" w:customStyle="1" w:styleId="67">
    <w:name w:val="正文文本 2 Char"/>
    <w:link w:val="22"/>
    <w:autoRedefine/>
    <w:qFormat/>
    <w:uiPriority w:val="0"/>
    <w:rPr>
      <w:kern w:val="2"/>
      <w:sz w:val="21"/>
      <w:szCs w:val="24"/>
    </w:rPr>
  </w:style>
  <w:style w:type="character" w:customStyle="1" w:styleId="68">
    <w:name w:val="NormalCharacter"/>
    <w:autoRedefine/>
    <w:qFormat/>
    <w:uiPriority w:val="0"/>
  </w:style>
  <w:style w:type="character" w:customStyle="1" w:styleId="69">
    <w:name w:val="页眉 Char"/>
    <w:link w:val="19"/>
    <w:autoRedefine/>
    <w:qFormat/>
    <w:uiPriority w:val="99"/>
    <w:rPr>
      <w:kern w:val="2"/>
      <w:sz w:val="18"/>
      <w:szCs w:val="18"/>
    </w:rPr>
  </w:style>
  <w:style w:type="character" w:customStyle="1" w:styleId="70">
    <w:name w:val="页脚 Char"/>
    <w:link w:val="18"/>
    <w:autoRedefine/>
    <w:qFormat/>
    <w:uiPriority w:val="99"/>
    <w:rPr>
      <w:kern w:val="2"/>
      <w:sz w:val="18"/>
      <w:szCs w:val="18"/>
    </w:rPr>
  </w:style>
  <w:style w:type="paragraph" w:customStyle="1" w:styleId="71">
    <w:name w:val="普通(网站)1"/>
    <w:basedOn w:val="1"/>
    <w:autoRedefine/>
    <w:qFormat/>
    <w:uiPriority w:val="0"/>
    <w:pPr>
      <w:widowControl/>
      <w:spacing w:before="100" w:beforeAutospacing="1" w:after="100" w:afterAutospacing="1"/>
      <w:jc w:val="left"/>
    </w:pPr>
    <w:rPr>
      <w:rFonts w:ascii="宋体" w:hAnsi="宋体"/>
      <w:kern w:val="0"/>
      <w:sz w:val="24"/>
    </w:rPr>
  </w:style>
  <w:style w:type="character" w:customStyle="1" w:styleId="72">
    <w:name w:val="contentlabel"/>
    <w:autoRedefine/>
    <w:qFormat/>
    <w:uiPriority w:val="0"/>
  </w:style>
  <w:style w:type="paragraph" w:customStyle="1" w:styleId="73">
    <w:name w:val="Body Text First Indent1"/>
    <w:basedOn w:val="10"/>
    <w:autoRedefine/>
    <w:qFormat/>
    <w:uiPriority w:val="0"/>
    <w:pPr>
      <w:autoSpaceDE w:val="0"/>
      <w:autoSpaceDN w:val="0"/>
      <w:ind w:firstLine="420" w:firstLineChars="100"/>
      <w:jc w:val="left"/>
    </w:pPr>
    <w:rPr>
      <w:rFonts w:ascii="宋体" w:hAnsi="等线" w:eastAsia="等线" w:cs="宋体"/>
      <w:kern w:val="0"/>
      <w:lang w:val="zh-CN"/>
    </w:rPr>
  </w:style>
  <w:style w:type="paragraph" w:customStyle="1" w:styleId="74">
    <w:name w:val="D&amp;L"/>
    <w:basedOn w:val="19"/>
    <w:autoRedefine/>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75">
    <w:name w:val="icon_gys"/>
    <w:basedOn w:val="30"/>
    <w:autoRedefine/>
    <w:qFormat/>
    <w:uiPriority w:val="0"/>
    <w:rPr>
      <w:sz w:val="21"/>
      <w:szCs w:val="21"/>
    </w:rPr>
  </w:style>
  <w:style w:type="character" w:customStyle="1" w:styleId="76">
    <w:name w:val="first-child"/>
    <w:basedOn w:val="30"/>
    <w:autoRedefine/>
    <w:qFormat/>
    <w:uiPriority w:val="0"/>
    <w:rPr>
      <w:color w:val="1F3149"/>
      <w:sz w:val="24"/>
      <w:szCs w:val="24"/>
    </w:rPr>
  </w:style>
  <w:style w:type="character" w:customStyle="1" w:styleId="77">
    <w:name w:val="first-child1"/>
    <w:basedOn w:val="30"/>
    <w:autoRedefine/>
    <w:qFormat/>
    <w:uiPriority w:val="0"/>
    <w:rPr>
      <w:color w:val="1F3149"/>
      <w:sz w:val="24"/>
      <w:szCs w:val="24"/>
    </w:rPr>
  </w:style>
  <w:style w:type="character" w:customStyle="1" w:styleId="78">
    <w:name w:val="xiadan"/>
    <w:basedOn w:val="30"/>
    <w:autoRedefine/>
    <w:qFormat/>
    <w:uiPriority w:val="0"/>
    <w:rPr>
      <w:shd w:val="clear" w:color="auto" w:fill="E4393C"/>
    </w:rPr>
  </w:style>
  <w:style w:type="character" w:customStyle="1" w:styleId="79">
    <w:name w:val="fr"/>
    <w:basedOn w:val="30"/>
    <w:autoRedefine/>
    <w:qFormat/>
    <w:uiPriority w:val="0"/>
  </w:style>
  <w:style w:type="character" w:customStyle="1" w:styleId="80">
    <w:name w:val="icon_ds"/>
    <w:basedOn w:val="30"/>
    <w:autoRedefine/>
    <w:qFormat/>
    <w:uiPriority w:val="0"/>
  </w:style>
  <w:style w:type="paragraph" w:customStyle="1" w:styleId="81">
    <w:name w:val="正文1"/>
    <w:basedOn w:val="1"/>
    <w:autoRedefine/>
    <w:qFormat/>
    <w:uiPriority w:val="0"/>
    <w:pPr>
      <w:widowControl/>
      <w:topLinePunct/>
      <w:spacing w:beforeLines="50" w:afterLines="50" w:line="300" w:lineRule="auto"/>
      <w:ind w:left="420"/>
    </w:pPr>
  </w:style>
  <w:style w:type="character" w:customStyle="1" w:styleId="82">
    <w:name w:val="textarea1"/>
    <w:basedOn w:val="30"/>
    <w:autoRedefine/>
    <w:qFormat/>
    <w:uiPriority w:val="0"/>
  </w:style>
  <w:style w:type="paragraph" w:customStyle="1" w:styleId="83">
    <w:name w:val="首行缩进"/>
    <w:basedOn w:val="1"/>
    <w:autoRedefine/>
    <w:qFormat/>
    <w:uiPriority w:val="0"/>
    <w:pPr>
      <w:spacing w:line="360" w:lineRule="auto"/>
      <w:ind w:firstLine="480"/>
    </w:pPr>
    <w:rPr>
      <w:rFonts w:ascii="宋体" w:hAnsi="宋体" w:cs="宋体"/>
      <w:kern w:val="0"/>
    </w:rPr>
  </w:style>
  <w:style w:type="paragraph" w:customStyle="1" w:styleId="84">
    <w:name w:val="无间隔2"/>
    <w:basedOn w:val="1"/>
    <w:autoRedefine/>
    <w:qFormat/>
    <w:uiPriority w:val="0"/>
    <w:pPr>
      <w:spacing w:line="400" w:lineRule="exact"/>
    </w:pPr>
    <w:rPr>
      <w:rFonts w:ascii="Calibri" w:hAnsi="Calibri"/>
      <w:sz w:val="24"/>
    </w:rPr>
  </w:style>
  <w:style w:type="table" w:customStyle="1" w:styleId="85">
    <w:name w:val="Table Normal"/>
    <w:basedOn w:val="28"/>
    <w:semiHidden/>
    <w:qFormat/>
    <w:uiPriority w:val="0"/>
    <w:pPr>
      <w:spacing w:after="160" w:line="278" w:lineRule="auto"/>
    </w:pPr>
    <w:tblPr>
      <w:tblCellMar>
        <w:left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5889F62-DC44-404B-AA9E-4FABB5742B01}">
  <ds:schemaRefs/>
</ds:datastoreItem>
</file>

<file path=docProps/app.xml><?xml version="1.0" encoding="utf-8"?>
<Properties xmlns="http://schemas.openxmlformats.org/officeDocument/2006/extended-properties" xmlns:vt="http://schemas.openxmlformats.org/officeDocument/2006/docPropsVTypes">
  <Template>Normal</Template>
  <Pages>51</Pages>
  <Words>18370</Words>
  <Characters>19680</Characters>
  <Lines>123</Lines>
  <Paragraphs>34</Paragraphs>
  <TotalTime>2</TotalTime>
  <ScaleCrop>false</ScaleCrop>
  <LinksUpToDate>false</LinksUpToDate>
  <CharactersWithSpaces>20460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2020-09-11T03:28:00Z</dcterms:created>
  <dc:creator>gg1</dc:creator>
  <cp:lastModifiedBy>王园园</cp:lastModifiedBy>
  <cp:lastPrinted>2020-11-18T03:21:00Z</cp:lastPrinted>
  <dcterms:modified xsi:type="dcterms:W3CDTF">2026-05-25T07:21:37Z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2965386DE8FA4F0C835189E60D4C0D50_13</vt:lpwstr>
  </property>
  <property fmtid="{D5CDD505-2E9C-101B-9397-08002B2CF9AE}" pid="4" name="KSOTemplateDocerSaveRecord">
    <vt:lpwstr>eyJoZGlkIjoiYzQ0NTY5NWM5NDAxMmUwZmJmM2QyOGM1OGJlNmJiM2MiLCJ1c2VySWQiOiI0OTk5NTUxNDkifQ==</vt:lpwstr>
  </property>
</Properties>
</file>