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FEBA1">
      <w:pPr>
        <w:tabs>
          <w:tab w:val="left" w:pos="315"/>
          <w:tab w:val="left" w:pos="8820"/>
        </w:tabs>
        <w:spacing w:before="0" w:after="0" w:line="500" w:lineRule="auto"/>
        <w:ind w:left="0" w:right="267" w:firstLine="0"/>
        <w:jc w:val="both"/>
        <w:rPr>
          <w:rFonts w:hint="eastAsia" w:ascii="宋体" w:hAnsi="宋体" w:eastAsia="宋体" w:cs="宋体"/>
          <w:b/>
          <w:color w:val="auto"/>
          <w:spacing w:val="0"/>
          <w:position w:val="0"/>
          <w:sz w:val="52"/>
          <w:highlight w:val="none"/>
          <w:shd w:val="clear" w:fill="auto"/>
          <w:lang w:eastAsia="zh-CN"/>
        </w:rPr>
      </w:pPr>
    </w:p>
    <w:p w14:paraId="7FEDC066">
      <w:pPr>
        <w:tabs>
          <w:tab w:val="left" w:pos="315"/>
          <w:tab w:val="left" w:pos="8820"/>
        </w:tabs>
        <w:spacing w:before="0" w:after="0" w:line="500" w:lineRule="auto"/>
        <w:ind w:left="0" w:right="267" w:firstLine="0"/>
        <w:jc w:val="center"/>
        <w:rPr>
          <w:rFonts w:ascii="宋体" w:hAnsi="宋体" w:eastAsia="宋体" w:cs="宋体"/>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周口市公共资源交易中心</w:t>
      </w:r>
    </w:p>
    <w:p w14:paraId="5A41395A">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2018A3DB">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3EA39AF3">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794CB66C">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highlight w:val="none"/>
          <w:shd w:val="clear" w:fill="auto"/>
        </w:rPr>
      </w:pPr>
    </w:p>
    <w:p w14:paraId="0F65F16A">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3524190E">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4D7A67E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385E6168">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529843C0">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63ABFC7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459A2DD2">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3FFEEA6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308ACA73">
      <w:pPr>
        <w:tabs>
          <w:tab w:val="left" w:pos="315"/>
          <w:tab w:val="left" w:pos="8820"/>
        </w:tabs>
        <w:spacing w:before="0" w:after="0" w:line="240" w:lineRule="auto"/>
        <w:ind w:left="2209" w:right="267" w:hanging="1600" w:hangingChars="500"/>
        <w:jc w:val="left"/>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Times New Roman" w:hAnsi="Times New Roman" w:eastAsia="Times New Roman" w:cs="Times New Roman"/>
          <w:b w:val="0"/>
          <w:bCs/>
          <w:color w:val="auto"/>
          <w:spacing w:val="0"/>
          <w:position w:val="0"/>
          <w:sz w:val="32"/>
          <w:szCs w:val="32"/>
          <w:highlight w:val="none"/>
          <w:u w:val="none"/>
          <w:shd w:val="clear" w:fill="auto"/>
        </w:rPr>
        <w:t>周口市第一高级中学周口一高改善办学条件项目</w:t>
      </w:r>
      <w:r>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t>(2025年普通高中发展引导省级补助资金)</w:t>
      </w:r>
    </w:p>
    <w:p w14:paraId="646CDBC6">
      <w:pPr>
        <w:tabs>
          <w:tab w:val="left" w:pos="315"/>
          <w:tab w:val="left" w:pos="8820"/>
        </w:tabs>
        <w:spacing w:before="0" w:after="0" w:line="240" w:lineRule="auto"/>
        <w:ind w:left="2209" w:right="267" w:hanging="1600" w:hangingChars="500"/>
        <w:jc w:val="left"/>
        <w:rPr>
          <w:rFonts w:hint="default" w:ascii="宋体" w:hAnsi="宋体" w:eastAsia="宋体" w:cs="宋体"/>
          <w:b w:val="0"/>
          <w:bCs/>
          <w:color w:val="auto"/>
          <w:spacing w:val="0"/>
          <w:position w:val="0"/>
          <w:sz w:val="32"/>
          <w:szCs w:val="32"/>
          <w:highlight w:val="none"/>
          <w:shd w:val="clear" w:fill="auto"/>
          <w:lang w:val="en-US"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Times New Roman" w:hAnsi="Times New Roman" w:eastAsia="Times New Roman" w:cs="Times New Roman"/>
          <w:b w:val="0"/>
          <w:bCs/>
          <w:color w:val="auto"/>
          <w:spacing w:val="0"/>
          <w:position w:val="0"/>
          <w:sz w:val="32"/>
          <w:szCs w:val="32"/>
          <w:highlight w:val="none"/>
          <w:u w:val="none"/>
          <w:shd w:val="clear" w:fill="auto"/>
        </w:rPr>
        <w:t>周</w:t>
      </w:r>
      <w:r>
        <w:rPr>
          <w:rFonts w:hint="eastAsia" w:ascii="Times New Roman" w:hAnsi="Times New Roman" w:eastAsia="宋体" w:cs="Times New Roman"/>
          <w:b w:val="0"/>
          <w:bCs/>
          <w:color w:val="auto"/>
          <w:spacing w:val="0"/>
          <w:position w:val="0"/>
          <w:sz w:val="32"/>
          <w:szCs w:val="32"/>
          <w:highlight w:val="none"/>
          <w:u w:val="none"/>
          <w:shd w:val="clear" w:fill="auto"/>
          <w:lang w:val="en-US" w:eastAsia="zh-CN"/>
        </w:rPr>
        <w:t>财磋商采购-2026-52</w:t>
      </w:r>
    </w:p>
    <w:p w14:paraId="0B839F44">
      <w:pPr>
        <w:spacing w:before="0" w:after="120" w:line="240" w:lineRule="auto"/>
        <w:ind w:left="0" w:right="0" w:firstLine="0"/>
        <w:jc w:val="both"/>
        <w:rPr>
          <w:rFonts w:ascii="宋体" w:hAnsi="宋体" w:eastAsia="宋体" w:cs="宋体"/>
          <w:b w:val="0"/>
          <w:bCs/>
          <w:color w:val="auto"/>
          <w:spacing w:val="0"/>
          <w:position w:val="0"/>
          <w:sz w:val="32"/>
          <w:szCs w:val="32"/>
          <w:highlight w:val="none"/>
          <w:shd w:val="clear" w:fill="auto"/>
        </w:rPr>
      </w:pPr>
    </w:p>
    <w:p w14:paraId="0C4600FE">
      <w:pPr>
        <w:spacing w:before="0" w:after="120" w:line="240" w:lineRule="auto"/>
        <w:ind w:left="0" w:right="0" w:firstLine="2560" w:firstLineChars="800"/>
        <w:jc w:val="both"/>
        <w:rPr>
          <w:rFonts w:ascii="宋体" w:hAnsi="宋体" w:eastAsia="宋体" w:cs="宋体"/>
          <w:b/>
          <w:color w:val="auto"/>
          <w:spacing w:val="0"/>
          <w:position w:val="0"/>
          <w:sz w:val="32"/>
          <w:highlight w:val="none"/>
          <w:shd w:val="clear" w:fill="auto"/>
        </w:rPr>
      </w:pPr>
      <w:r>
        <w:rPr>
          <w:rFonts w:hint="eastAsia" w:ascii="宋体" w:hAnsi="宋体" w:eastAsia="宋体" w:cs="宋体"/>
          <w:b w:val="0"/>
          <w:bCs/>
          <w:color w:val="auto"/>
          <w:spacing w:val="0"/>
          <w:position w:val="0"/>
          <w:sz w:val="32"/>
          <w:szCs w:val="32"/>
          <w:highlight w:val="none"/>
          <w:shd w:val="clear" w:fill="auto"/>
          <w:lang w:val="en-US" w:eastAsia="zh-CN"/>
        </w:rPr>
        <w:t>2026年6月25日</w:t>
      </w:r>
    </w:p>
    <w:p w14:paraId="1EE59C0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A1CD6A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218611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12EEEA55">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634820B">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5A2E8F7F">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BCAE6AC">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w:t>
      </w:r>
    </w:p>
    <w:p w14:paraId="5A32F397">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5260A157">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周口市第一高级中学</w:t>
      </w:r>
      <w:r>
        <w:rPr>
          <w:rFonts w:hint="eastAsia" w:ascii="Times New Roman" w:hAnsi="Times New Roman" w:eastAsia="宋体" w:cs="Times New Roman"/>
          <w:color w:val="auto"/>
          <w:spacing w:val="0"/>
          <w:position w:val="0"/>
          <w:sz w:val="24"/>
          <w:highlight w:val="none"/>
          <w:u w:val="single"/>
          <w:shd w:val="clear" w:fill="auto"/>
          <w:lang w:eastAsia="zh-CN"/>
        </w:rPr>
        <w:t xml:space="preserve">周口市第一高级中学周口一高改善办学条件项目(2025年普通高中发展引导省级补助资金) </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5EFB119D">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p>
    <w:p w14:paraId="650636C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4EE86C1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rPr>
        <w:t>周</w:t>
      </w:r>
      <w:r>
        <w:rPr>
          <w:rFonts w:hint="eastAsia" w:ascii="宋体" w:hAnsi="宋体" w:eastAsia="宋体" w:cs="宋体"/>
          <w:color w:val="auto"/>
          <w:spacing w:val="0"/>
          <w:position w:val="0"/>
          <w:sz w:val="24"/>
          <w:highlight w:val="none"/>
          <w:shd w:val="clear" w:fill="auto"/>
          <w:lang w:val="en-US" w:eastAsia="zh-CN"/>
        </w:rPr>
        <w:t>财磋商采购-2026-52</w:t>
      </w:r>
    </w:p>
    <w:p w14:paraId="24A210DB">
      <w:pPr>
        <w:spacing w:before="0" w:after="0" w:line="360" w:lineRule="auto"/>
        <w:ind w:left="479" w:leftChars="228" w:right="0" w:firstLine="64" w:firstLineChars="27"/>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项目名称：</w:t>
      </w:r>
      <w:r>
        <w:rPr>
          <w:rFonts w:hint="eastAsia" w:ascii="Times New Roman" w:hAnsi="Times New Roman" w:eastAsia="Times New Roman" w:cs="Times New Roman"/>
          <w:color w:val="auto"/>
          <w:spacing w:val="0"/>
          <w:position w:val="0"/>
          <w:sz w:val="24"/>
          <w:highlight w:val="none"/>
          <w:u w:val="none"/>
          <w:shd w:val="clear" w:fill="auto"/>
        </w:rPr>
        <w:t>周口市第一高级中学周口一高改善办学条件</w:t>
      </w:r>
      <w:r>
        <w:rPr>
          <w:rFonts w:ascii="宋体" w:hAnsi="宋体" w:eastAsia="宋体" w:cs="宋体"/>
          <w:color w:val="auto"/>
          <w:spacing w:val="0"/>
          <w:position w:val="0"/>
          <w:sz w:val="24"/>
          <w:highlight w:val="none"/>
          <w:u w:val="none"/>
          <w:shd w:val="clear" w:fill="auto"/>
        </w:rPr>
        <w:t>项目</w:t>
      </w:r>
      <w:r>
        <w:rPr>
          <w:rFonts w:hint="eastAsia" w:ascii="Times New Roman" w:hAnsi="Times New Roman" w:eastAsia="宋体" w:cs="Times New Roman"/>
          <w:color w:val="auto"/>
          <w:spacing w:val="0"/>
          <w:position w:val="0"/>
          <w:sz w:val="24"/>
          <w:highlight w:val="none"/>
          <w:u w:val="none"/>
          <w:shd w:val="clear" w:fill="auto"/>
          <w:lang w:val="en-US" w:eastAsia="zh-CN"/>
        </w:rPr>
        <w:t>(2</w:t>
      </w:r>
      <w:r>
        <w:rPr>
          <w:rFonts w:hint="eastAsia" w:ascii="宋体" w:hAnsi="宋体" w:eastAsia="宋体" w:cs="宋体"/>
          <w:color w:val="auto"/>
          <w:spacing w:val="0"/>
          <w:position w:val="0"/>
          <w:sz w:val="24"/>
          <w:szCs w:val="24"/>
          <w:highlight w:val="none"/>
          <w:u w:val="non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none"/>
          <w:shd w:val="clear" w:fill="auto"/>
          <w:lang w:val="en-US" w:eastAsia="zh-CN"/>
        </w:rPr>
        <w:t>)</w:t>
      </w:r>
      <w:r>
        <w:rPr>
          <w:rFonts w:ascii="宋体" w:hAnsi="宋体" w:eastAsia="宋体" w:cs="宋体"/>
          <w:color w:val="auto"/>
          <w:spacing w:val="0"/>
          <w:position w:val="0"/>
          <w:sz w:val="24"/>
          <w:highlight w:val="none"/>
          <w:shd w:val="clear" w:fill="auto"/>
        </w:rPr>
        <w:t>采购方式：竞争性磋商</w:t>
      </w:r>
    </w:p>
    <w:p w14:paraId="7849584F">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2663000</w:t>
      </w:r>
    </w:p>
    <w:p w14:paraId="3BA6138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2663000</w:t>
      </w:r>
    </w:p>
    <w:p w14:paraId="6ABE8885">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3</w:t>
      </w:r>
      <w:r>
        <w:rPr>
          <w:rFonts w:ascii="宋体" w:hAnsi="宋体" w:eastAsia="宋体" w:cs="宋体"/>
          <w:color w:val="auto"/>
          <w:spacing w:val="0"/>
          <w:position w:val="0"/>
          <w:sz w:val="24"/>
          <w:highlight w:val="none"/>
          <w:shd w:val="clear" w:fill="auto"/>
        </w:rPr>
        <w:t>个包</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4422245B">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04A60">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79DA0">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AB2B1">
            <w:pPr>
              <w:widowControl w:val="0"/>
              <w:spacing w:before="0" w:after="0" w:line="360" w:lineRule="auto"/>
              <w:ind w:left="0" w:right="0" w:firstLine="0"/>
              <w:jc w:val="center"/>
              <w:rPr>
                <w:rFonts w:hint="eastAsia" w:ascii="宋体" w:hAnsi="宋体" w:eastAsia="宋体" w:cs="宋体"/>
                <w:color w:val="auto"/>
                <w:spacing w:val="0"/>
                <w:position w:val="0"/>
                <w:highlight w:val="none"/>
                <w:lang w:eastAsia="zh-CN"/>
              </w:rPr>
            </w:pPr>
            <w:r>
              <w:rPr>
                <w:rFonts w:ascii="宋体" w:hAnsi="宋体" w:eastAsia="宋体" w:cs="宋体"/>
                <w:color w:val="auto"/>
                <w:spacing w:val="0"/>
                <w:position w:val="0"/>
                <w:sz w:val="24"/>
                <w:highlight w:val="none"/>
                <w:shd w:val="clear" w:fill="FFFFFF"/>
              </w:rPr>
              <w:t>包最高限价</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万元</w:t>
            </w:r>
            <w:r>
              <w:rPr>
                <w:rFonts w:hint="eastAsia" w:ascii="宋体" w:hAnsi="宋体" w:eastAsia="宋体" w:cs="宋体"/>
                <w:color w:val="auto"/>
                <w:spacing w:val="0"/>
                <w:position w:val="0"/>
                <w:sz w:val="24"/>
                <w:highlight w:val="none"/>
                <w:shd w:val="clear" w:fill="FFFFFF"/>
                <w:lang w:eastAsia="zh-CN"/>
              </w:rPr>
              <w:t>）</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71D04">
            <w:pPr>
              <w:widowControl w:val="0"/>
              <w:spacing w:before="0" w:after="0" w:line="360" w:lineRule="auto"/>
              <w:ind w:left="0" w:right="0" w:firstLine="0"/>
              <w:jc w:val="center"/>
              <w:rPr>
                <w:rFonts w:hint="default"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备注</w:t>
            </w:r>
          </w:p>
        </w:tc>
      </w:tr>
      <w:tr w14:paraId="665ADC3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9BA79">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D93E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5838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3A3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教室黑板更新</w:t>
            </w:r>
          </w:p>
        </w:tc>
      </w:tr>
      <w:tr w14:paraId="3A8FC727">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DC26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E829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84F2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BD16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科技类等</w:t>
            </w:r>
          </w:p>
        </w:tc>
      </w:tr>
      <w:tr w14:paraId="2BD95C59">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A9A7">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A245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CE8F">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608AB">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高一、高二教学楼及高三男女寝室</w:t>
            </w:r>
          </w:p>
        </w:tc>
      </w:tr>
    </w:tbl>
    <w:p w14:paraId="0552D91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采购需求：（包括但不限于标的的名称、数量、简要技术需求或服务要求等）</w:t>
      </w:r>
    </w:p>
    <w:p w14:paraId="33FAD11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618538D8">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A95A1">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341B">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B0346">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560C6">
            <w:pPr>
              <w:widowControl w:val="0"/>
              <w:spacing w:before="0" w:after="0" w:line="360" w:lineRule="auto"/>
              <w:ind w:left="0" w:right="0" w:firstLine="0"/>
              <w:jc w:val="center"/>
              <w:rPr>
                <w:rFonts w:hint="default"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备注</w:t>
            </w:r>
          </w:p>
        </w:tc>
      </w:tr>
      <w:tr w14:paraId="469D2EB5">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35A7C">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1B81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671A">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545D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2D8DE05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0448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A046F">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9CFEA">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color w:val="auto"/>
                <w:spacing w:val="0"/>
                <w:position w:val="0"/>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0301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4A849ECF">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4278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F4C52">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3C3A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4C6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bl>
    <w:p w14:paraId="5D1F73F9">
      <w:pPr>
        <w:pStyle w:val="17"/>
        <w:rPr>
          <w:color w:val="auto"/>
          <w:highlight w:val="none"/>
        </w:rPr>
      </w:pPr>
    </w:p>
    <w:p w14:paraId="50EE70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3A6CF6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CA45E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01F4BE9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5B7D373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6261076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679DA7F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00D1E9B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66B88B1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6849D39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36DD07D6">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112F38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55ED6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3E26288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493CE827">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25</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1E854B0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69E2C11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1B753E9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241E476D">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1C24A5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7494CC7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pacing w:val="0"/>
          <w:position w:val="0"/>
          <w:sz w:val="24"/>
          <w:highlight w:val="none"/>
          <w:u w:val="single"/>
          <w:shd w:val="clear" w:fill="auto"/>
        </w:rPr>
        <w:t>http://jyzx.zhoukou.gov.cn</w:t>
      </w:r>
      <w:r>
        <w:rPr>
          <w:rFonts w:ascii="Times New Roman" w:hAnsi="Times New Roman" w:eastAsia="Times New Roman" w:cs="Times New Roman"/>
          <w:color w:val="auto"/>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3C3D52F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0568B4D3">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9</w:t>
      </w:r>
      <w:bookmarkStart w:id="0" w:name="_GoBack"/>
      <w:bookmarkEnd w:id="0"/>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5D2F75FE">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5EF28089">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7727683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76DFC0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0F29A07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67ABF08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D27CC4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rPr>
        <w:t>周口市第一高级中学</w:t>
      </w:r>
      <w:r>
        <w:rPr>
          <w:rFonts w:ascii="宋体" w:hAnsi="宋体" w:eastAsia="宋体" w:cs="宋体"/>
          <w:color w:val="auto"/>
          <w:spacing w:val="0"/>
          <w:position w:val="0"/>
          <w:sz w:val="24"/>
          <w:highlight w:val="none"/>
          <w:shd w:val="clear" w:fill="auto"/>
        </w:rPr>
        <w:t>　　　　　　　　　　　　</w:t>
      </w:r>
    </w:p>
    <w:p w14:paraId="442C59F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rPr>
        <w:t>周口市银珠路 1 号</w:t>
      </w:r>
      <w:r>
        <w:rPr>
          <w:rFonts w:ascii="宋体" w:hAnsi="宋体" w:eastAsia="宋体" w:cs="宋体"/>
          <w:color w:val="auto"/>
          <w:spacing w:val="0"/>
          <w:position w:val="0"/>
          <w:sz w:val="24"/>
          <w:highlight w:val="none"/>
          <w:shd w:val="clear" w:fill="auto"/>
        </w:rPr>
        <w:t>　　　　　　　　　　　　</w:t>
      </w:r>
    </w:p>
    <w:p w14:paraId="688141C5">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4"/>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5FE4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373C54D">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06D48809">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7D680FEF">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275A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2468A10">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12BFEA6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26CA569E">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599B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6A9559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6FFAC343">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26B4ECB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117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F3736C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0EF7684F">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2B11C1B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63B0A993">
      <w:pPr>
        <w:spacing w:before="0" w:after="0" w:line="360" w:lineRule="auto"/>
        <w:ind w:right="0"/>
        <w:jc w:val="left"/>
        <w:rPr>
          <w:rFonts w:ascii="宋体" w:hAnsi="宋体" w:eastAsia="宋体" w:cs="宋体"/>
          <w:color w:val="auto"/>
          <w:spacing w:val="0"/>
          <w:position w:val="0"/>
          <w:sz w:val="24"/>
          <w:highlight w:val="none"/>
          <w:shd w:val="clear" w:fill="auto"/>
        </w:rPr>
      </w:pPr>
    </w:p>
    <w:p w14:paraId="31A0EDC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68785FB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3763790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42E95EE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 xml:space="preserve">0394-8106517、17839489001  </w:t>
      </w:r>
    </w:p>
    <w:p w14:paraId="723188C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rPr>
        <w:t>周口市财政局</w:t>
      </w:r>
    </w:p>
    <w:p w14:paraId="0CC2E3A7">
      <w:pPr>
        <w:spacing w:before="0" w:after="0" w:line="36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0394-8106976</w:t>
      </w:r>
      <w:r>
        <w:rPr>
          <w:rFonts w:ascii="宋体" w:hAnsi="宋体" w:eastAsia="宋体" w:cs="宋体"/>
          <w:color w:val="auto"/>
          <w:spacing w:val="0"/>
          <w:position w:val="0"/>
          <w:sz w:val="24"/>
          <w:highlight w:val="none"/>
          <w:shd w:val="clear" w:fill="auto"/>
        </w:rPr>
        <w:t xml:space="preserve">  </w:t>
      </w:r>
    </w:p>
    <w:p w14:paraId="1878F4E3">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B565D0F">
      <w:pPr>
        <w:pStyle w:val="18"/>
        <w:ind w:left="0" w:leftChars="0" w:firstLine="0" w:firstLineChars="0"/>
        <w:rPr>
          <w:rFonts w:ascii="宋体" w:hAnsi="宋体" w:eastAsia="宋体" w:cs="宋体"/>
          <w:color w:val="auto"/>
          <w:spacing w:val="0"/>
          <w:position w:val="0"/>
          <w:sz w:val="24"/>
          <w:highlight w:val="none"/>
          <w:shd w:val="clear" w:fill="auto"/>
        </w:rPr>
      </w:pPr>
    </w:p>
    <w:p w14:paraId="4B9D40E0">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br w:type="page"/>
      </w:r>
    </w:p>
    <w:p w14:paraId="5BF924B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22158926">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62B6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5CC0F00E">
        <w:tblPrEx>
          <w:tblCellMar>
            <w:top w:w="0" w:type="dxa"/>
            <w:left w:w="10" w:type="dxa"/>
            <w:bottom w:w="0" w:type="dxa"/>
            <w:right w:w="10" w:type="dxa"/>
          </w:tblCellMar>
        </w:tblPrEx>
        <w:trPr>
          <w:trHeight w:val="36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8B4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0D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711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1FC94B3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C2FBC">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6BF4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4B799">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1）项目名称：</w:t>
            </w:r>
            <w:r>
              <w:rPr>
                <w:rFonts w:hint="eastAsia" w:ascii="Times New Roman" w:hAnsi="Times New Roman" w:eastAsia="Times New Roman" w:cs="Times New Roman"/>
                <w:color w:val="auto"/>
                <w:spacing w:val="0"/>
                <w:position w:val="0"/>
                <w:sz w:val="24"/>
                <w:highlight w:val="none"/>
                <w:u w:val="single"/>
                <w:shd w:val="clear" w:fill="auto"/>
              </w:rPr>
              <w:t>周口市第一高级中学周口一高改善办学条件</w:t>
            </w:r>
            <w:r>
              <w:rPr>
                <w:rFonts w:ascii="宋体" w:hAnsi="宋体" w:eastAsia="宋体" w:cs="宋体"/>
                <w:color w:val="auto"/>
                <w:spacing w:val="0"/>
                <w:position w:val="0"/>
                <w:sz w:val="24"/>
                <w:highlight w:val="none"/>
                <w:shd w:val="clear" w:fill="auto"/>
              </w:rPr>
              <w:t>项目</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szCs w:val="24"/>
                <w:highlight w:val="none"/>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single"/>
                <w:shd w:val="clear" w:fill="auto"/>
                <w:lang w:val="en-US" w:eastAsia="zh-CN"/>
              </w:rPr>
              <w:t>)</w:t>
            </w:r>
            <w:r>
              <w:rPr>
                <w:rFonts w:ascii="Times New Roman" w:hAnsi="Times New Roman" w:eastAsia="Times New Roman" w:cs="Times New Roman"/>
                <w:color w:val="auto"/>
                <w:spacing w:val="0"/>
                <w:position w:val="0"/>
                <w:sz w:val="24"/>
                <w:highlight w:val="none"/>
                <w:shd w:val="clear" w:fill="auto"/>
              </w:rPr>
              <w:t xml:space="preserve"> </w:t>
            </w:r>
          </w:p>
          <w:p w14:paraId="30F2944E">
            <w:pPr>
              <w:numPr>
                <w:ilvl w:val="0"/>
                <w:numId w:val="0"/>
              </w:numPr>
              <w:spacing w:before="0" w:after="0" w:line="240" w:lineRule="auto"/>
              <w:ind w:leftChars="0" w:right="0" w:rightChars="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lang w:val="en-US" w:eastAsia="zh-CN"/>
              </w:rPr>
              <w:t>生物吊装实验室和生物学科教室工程</w:t>
            </w:r>
          </w:p>
          <w:p w14:paraId="3C36C82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rPr>
              <w:t>周口市第一高级中学</w:t>
            </w:r>
          </w:p>
          <w:p w14:paraId="60504C4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4）采购代理机构：周口市公共资源交易中心政府采购中心</w:t>
            </w:r>
          </w:p>
        </w:tc>
      </w:tr>
      <w:tr w14:paraId="6811EF0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7D817">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2F6A1">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2F1EE">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11D0685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F045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8EF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0CBD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7AE21CE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1BDC">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FB8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DC73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02A9C0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426C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66AE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894C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16BD5F3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E202C">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394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6F15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报价包括本项目所招标的货物、保险、税费、包装、加工及加工损耗、运输、现场落地、安装、验收等（采购项目技术规格、参数及要求）</w:t>
            </w:r>
          </w:p>
        </w:tc>
      </w:tr>
      <w:tr w14:paraId="6BAEA2F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649A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C1C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2D18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w:t>
            </w:r>
            <w:r>
              <w:rPr>
                <w:rFonts w:hint="eastAsia" w:ascii="宋体" w:hAnsi="宋体" w:eastAsia="宋体" w:cs="宋体"/>
                <w:color w:val="auto"/>
                <w:spacing w:val="0"/>
                <w:position w:val="0"/>
                <w:sz w:val="24"/>
                <w:highlight w:val="none"/>
                <w:shd w:val="clear" w:fill="auto"/>
                <w:lang w:val="en-US" w:eastAsia="zh-CN"/>
              </w:rPr>
              <w:t>日历</w:t>
            </w:r>
            <w:r>
              <w:rPr>
                <w:rFonts w:ascii="宋体" w:hAnsi="宋体" w:eastAsia="宋体" w:cs="宋体"/>
                <w:color w:val="auto"/>
                <w:spacing w:val="0"/>
                <w:position w:val="0"/>
                <w:sz w:val="24"/>
                <w:highlight w:val="none"/>
                <w:shd w:val="clear" w:fill="auto"/>
              </w:rPr>
              <w:t>日内有效</w:t>
            </w:r>
          </w:p>
        </w:tc>
      </w:tr>
      <w:tr w14:paraId="5D99A63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88A1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B89B">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B20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E270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BAEB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580AD">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B42A4">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28783CE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C4FF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78DE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4AAD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2BB46B7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64221">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7B76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6D44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B01F98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BC0A0">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215D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9BBE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A14749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7D5E72C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2D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AFCD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4289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3329E5E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453BC">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151F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88A25">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4888476D">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78A8D8AD">
            <w:pPr>
              <w:spacing w:before="0" w:after="0" w:line="56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2D4C7B7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2B436">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8859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1D61A">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4E8EF4D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C446">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EC1E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CCE05">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64E4881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D90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7002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16FE6">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74ACD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A21C">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BCAC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4B035">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37A2110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936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7FB00">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341A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7B9F9E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6684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15BD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9F284">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30</w:t>
            </w:r>
            <w:r>
              <w:rPr>
                <w:rFonts w:ascii="宋体" w:hAnsi="宋体" w:eastAsia="宋体" w:cs="宋体"/>
                <w:color w:val="auto"/>
                <w:spacing w:val="0"/>
                <w:position w:val="0"/>
                <w:sz w:val="24"/>
                <w:highlight w:val="none"/>
                <w:shd w:val="clear" w:fill="auto"/>
              </w:rPr>
              <w:t>日历天</w:t>
            </w:r>
          </w:p>
        </w:tc>
      </w:tr>
      <w:tr w14:paraId="4F9FFCF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3C29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3EA42">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C2BF">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cs="宋体"/>
                <w:color w:val="auto"/>
                <w:sz w:val="24"/>
                <w:highlight w:val="none"/>
                <w:lang w:val="en-US" w:eastAsia="zh-CN"/>
              </w:rPr>
              <w:t>项目验收合格后付款。</w:t>
            </w:r>
          </w:p>
        </w:tc>
      </w:tr>
      <w:tr w14:paraId="4EDC95A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74F1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8F76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94C6">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需勘查</w:t>
            </w:r>
          </w:p>
          <w:p w14:paraId="3D53C487">
            <w:pPr>
              <w:pStyle w:val="11"/>
              <w:rPr>
                <w:color w:val="auto"/>
                <w:highlight w:val="none"/>
              </w:rPr>
            </w:pPr>
            <w:r>
              <w:rPr>
                <w:rFonts w:hint="eastAsia" w:ascii="宋体" w:hAnsi="宋体" w:cs="宋体"/>
                <w:bCs/>
                <w:color w:val="auto"/>
                <w:sz w:val="24"/>
                <w:highlight w:val="none"/>
              </w:rPr>
              <w:t>勘察时间为</w:t>
            </w:r>
            <w:r>
              <w:rPr>
                <w:rFonts w:ascii="宋体" w:hAnsi="宋体" w:cs="宋体"/>
                <w:color w:val="auto"/>
                <w:sz w:val="24"/>
                <w:highlight w:val="none"/>
              </w:rPr>
              <w:t>在项目</w:t>
            </w:r>
            <w:r>
              <w:rPr>
                <w:rFonts w:hint="eastAsia" w:ascii="宋体" w:hAnsi="宋体" w:cs="宋体"/>
                <w:color w:val="auto"/>
                <w:sz w:val="24"/>
                <w:highlight w:val="none"/>
              </w:rPr>
              <w:t>获取招标文件截止时间后第二天开始3个工作日内进行</w:t>
            </w:r>
            <w:r>
              <w:rPr>
                <w:rFonts w:ascii="宋体" w:hAnsi="宋体" w:cs="宋体"/>
                <w:color w:val="auto"/>
                <w:sz w:val="24"/>
                <w:highlight w:val="none"/>
              </w:rPr>
              <w:t>，及时到项目所在地进行实地勘</w:t>
            </w:r>
            <w:r>
              <w:rPr>
                <w:rFonts w:hint="eastAsia" w:ascii="宋体" w:hAnsi="宋体" w:cs="宋体"/>
                <w:color w:val="auto"/>
                <w:sz w:val="24"/>
                <w:highlight w:val="none"/>
              </w:rPr>
              <w:t>察</w:t>
            </w:r>
            <w:r>
              <w:rPr>
                <w:rFonts w:ascii="宋体" w:hAnsi="宋体" w:cs="宋体"/>
                <w:color w:val="auto"/>
                <w:sz w:val="24"/>
                <w:highlight w:val="none"/>
              </w:rPr>
              <w:t>，经采购人证实供应商已到现场勘察后，开具加盖采购单位公章的勘察证明函</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投标</w:t>
            </w:r>
            <w:r>
              <w:rPr>
                <w:rFonts w:ascii="宋体" w:hAnsi="宋体" w:cs="宋体"/>
                <w:color w:val="auto"/>
                <w:sz w:val="24"/>
                <w:highlight w:val="none"/>
              </w:rPr>
              <w:t>供应商应将证明函原件扫描件放在投标文件中</w:t>
            </w:r>
            <w:r>
              <w:rPr>
                <w:rFonts w:hint="eastAsia" w:ascii="宋体" w:hAnsi="宋体" w:cs="宋体"/>
                <w:color w:val="auto"/>
                <w:sz w:val="24"/>
                <w:highlight w:val="none"/>
                <w:lang w:eastAsia="zh-CN"/>
              </w:rPr>
              <w:t>。</w:t>
            </w:r>
            <w:r>
              <w:rPr>
                <w:rFonts w:ascii="宋体" w:hAnsi="宋体" w:eastAsia="宋体" w:cs="宋体"/>
                <w:color w:val="auto"/>
                <w:spacing w:val="0"/>
                <w:position w:val="0"/>
                <w:sz w:val="24"/>
                <w:highlight w:val="none"/>
                <w:shd w:val="clear" w:fill="auto"/>
              </w:rPr>
              <w:t>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c>
      </w:tr>
      <w:tr w14:paraId="7FA71F8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E215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292FF">
            <w:pPr>
              <w:spacing w:beforeLines="50"/>
              <w:ind w:firstLine="252" w:firstLineChars="105"/>
              <w:jc w:val="both"/>
              <w:rPr>
                <w:rFonts w:ascii="宋体" w:hAnsi="宋体" w:eastAsia="宋体" w:cs="宋体"/>
                <w:b w:val="0"/>
                <w:bCs w:val="0"/>
                <w:color w:val="auto"/>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87341">
            <w:pPr>
              <w:tabs>
                <w:tab w:val="left" w:pos="8640"/>
              </w:tabs>
              <w:jc w:val="left"/>
              <w:rPr>
                <w:rFonts w:ascii="宋体" w:hAnsi="宋体" w:eastAsia="宋体" w:cs="宋体"/>
                <w:b w:val="0"/>
                <w:bCs w:val="0"/>
                <w:color w:val="auto"/>
                <w:spacing w:val="0"/>
                <w:position w:val="0"/>
                <w:highlight w:val="none"/>
                <w:shd w:val="clear" w:fill="auto"/>
              </w:rPr>
            </w:pPr>
            <w:r>
              <w:rPr>
                <w:rFonts w:hint="eastAsia" w:ascii="宋体" w:hAnsi="宋体" w:cs="宋体"/>
                <w:b w:val="0"/>
                <w:bCs w:val="0"/>
                <w:color w:val="auto"/>
                <w:sz w:val="24"/>
                <w:highlight w:val="none"/>
                <w:lang w:val="en-US" w:eastAsia="zh-CN"/>
              </w:rPr>
              <w:t xml:space="preserve">二次报价 </w:t>
            </w:r>
          </w:p>
        </w:tc>
      </w:tr>
      <w:tr w14:paraId="08A8741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74E96">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9D2DE">
            <w:pPr>
              <w:keepNext w:val="0"/>
              <w:keepLines w:val="0"/>
              <w:pageBreakBefore w:val="0"/>
              <w:widowControl w:val="0"/>
              <w:kinsoku/>
              <w:wordWrap/>
              <w:overflowPunct/>
              <w:topLinePunct w:val="0"/>
              <w:bidi w:val="0"/>
              <w:spacing w:line="400" w:lineRule="exact"/>
              <w:ind w:left="0" w:leftChars="0" w:firstLine="0" w:firstLineChars="0"/>
              <w:jc w:val="center"/>
              <w:rPr>
                <w:rFonts w:hint="default" w:ascii="宋体" w:hAnsi="宋体" w:eastAsiaTheme="minorEastAsia" w:cstheme="minorBidi"/>
                <w:b w:val="0"/>
                <w:bCs w:val="0"/>
                <w:color w:val="auto"/>
                <w:sz w:val="24"/>
                <w:szCs w:val="24"/>
                <w:highlight w:val="none"/>
                <w:lang w:val="en-US" w:eastAsia="zh-CN" w:bidi="ar-SA"/>
              </w:rPr>
            </w:pPr>
            <w:r>
              <w:rPr>
                <w:rFonts w:hint="eastAsia" w:ascii="宋体" w:hAnsi="宋体" w:eastAsiaTheme="minorEastAsia" w:cstheme="minorBidi"/>
                <w:b w:val="0"/>
                <w:bCs w:val="0"/>
                <w:color w:val="auto"/>
                <w:sz w:val="24"/>
                <w:szCs w:val="24"/>
                <w:highlight w:val="none"/>
                <w:lang w:val="en-US" w:eastAsia="zh-CN" w:bidi="ar-SA"/>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18D8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eastAsiaTheme="minorEastAsia" w:cstheme="minorBidi"/>
                <w:b w:val="0"/>
                <w:bCs w:val="0"/>
                <w:color w:val="auto"/>
                <w:sz w:val="24"/>
                <w:szCs w:val="24"/>
                <w:highlight w:val="none"/>
                <w:lang w:val="en-US" w:eastAsia="zh-CN" w:bidi="ar-SA"/>
              </w:rPr>
              <w:t>工业</w:t>
            </w:r>
          </w:p>
        </w:tc>
      </w:tr>
      <w:tr w14:paraId="03FA5BE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E83AD">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E4E03">
            <w:pPr>
              <w:keepNext w:val="0"/>
              <w:keepLines w:val="0"/>
              <w:pageBreakBefore w:val="0"/>
              <w:widowControl w:val="0"/>
              <w:kinsoku/>
              <w:wordWrap/>
              <w:overflowPunct/>
              <w:topLinePunct w:val="0"/>
              <w:bidi w:val="0"/>
              <w:spacing w:line="400" w:lineRule="exact"/>
              <w:ind w:left="0" w:leftChars="0" w:firstLine="0" w:firstLineChars="0"/>
              <w:jc w:val="center"/>
              <w:rPr>
                <w:rFonts w:hint="default" w:ascii="宋体" w:hAnsi="宋体" w:eastAsiaTheme="minorEastAsia" w:cstheme="minorBidi"/>
                <w:b w:val="0"/>
                <w:bCs w:val="0"/>
                <w:color w:val="auto"/>
                <w:sz w:val="24"/>
                <w:szCs w:val="24"/>
                <w:highlight w:val="none"/>
                <w:lang w:val="en-US" w:eastAsia="zh-CN" w:bidi="ar-SA"/>
              </w:rPr>
            </w:pPr>
            <w:r>
              <w:rPr>
                <w:rFonts w:hint="eastAsia" w:ascii="宋体" w:hAnsi="宋体" w:cstheme="minorBidi"/>
                <w:b w:val="0"/>
                <w:bCs w:val="0"/>
                <w:color w:val="auto"/>
                <w:sz w:val="24"/>
                <w:szCs w:val="24"/>
                <w:highlight w:val="none"/>
                <w:lang w:val="en-US" w:eastAsia="zh-CN" w:bidi="ar-SA"/>
              </w:rPr>
              <w:t>核心产品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3F3E6">
            <w:pPr>
              <w:keepNext w:val="0"/>
              <w:keepLines w:val="0"/>
              <w:pageBreakBefore w:val="0"/>
              <w:widowControl w:val="0"/>
              <w:kinsoku/>
              <w:wordWrap/>
              <w:overflowPunct/>
              <w:topLinePunct w:val="0"/>
              <w:bidi w:val="0"/>
              <w:spacing w:line="400" w:lineRule="exact"/>
              <w:ind w:left="0" w:leftChars="0" w:firstLine="0" w:firstLineChars="0"/>
              <w:jc w:val="both"/>
              <w:rPr>
                <w:rFonts w:hint="default" w:ascii="宋体" w:hAnsi="宋体" w:eastAsiaTheme="minorEastAsia" w:cstheme="minorBidi"/>
                <w:b w:val="0"/>
                <w:bCs w:val="0"/>
                <w:color w:val="auto"/>
                <w:sz w:val="24"/>
                <w:szCs w:val="24"/>
                <w:highlight w:val="none"/>
                <w:lang w:val="en-US" w:eastAsia="zh-CN" w:bidi="ar-SA"/>
              </w:rPr>
            </w:pPr>
            <w:r>
              <w:rPr>
                <w:rFonts w:hint="eastAsia" w:ascii="宋体" w:hAnsi="宋体" w:cstheme="minorBidi"/>
                <w:b w:val="0"/>
                <w:bCs w:val="0"/>
                <w:color w:val="auto"/>
                <w:sz w:val="24"/>
                <w:szCs w:val="24"/>
                <w:highlight w:val="none"/>
                <w:lang w:val="en-US" w:eastAsia="zh-CN" w:bidi="ar-SA"/>
              </w:rPr>
              <w:t>实验台</w:t>
            </w:r>
          </w:p>
        </w:tc>
      </w:tr>
      <w:tr w14:paraId="0484F73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15CD0D">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B29A1">
            <w:pPr>
              <w:keepNext w:val="0"/>
              <w:keepLines w:val="0"/>
              <w:pageBreakBefore w:val="0"/>
              <w:widowControl w:val="0"/>
              <w:kinsoku/>
              <w:wordWrap/>
              <w:overflowPunct/>
              <w:topLinePunct w:val="0"/>
              <w:bidi w:val="0"/>
              <w:spacing w:line="400" w:lineRule="exact"/>
              <w:ind w:left="0" w:leftChars="0" w:firstLine="0" w:firstLineChars="0"/>
              <w:jc w:val="center"/>
              <w:rPr>
                <w:rFonts w:hint="default" w:ascii="宋体" w:hAnsi="宋体" w:cstheme="minorBidi"/>
                <w:b w:val="0"/>
                <w:bCs w:val="0"/>
                <w:color w:val="auto"/>
                <w:sz w:val="24"/>
                <w:szCs w:val="24"/>
                <w:highlight w:val="none"/>
                <w:lang w:val="en-US" w:eastAsia="zh-CN" w:bidi="ar-SA"/>
              </w:rPr>
            </w:pPr>
            <w:r>
              <w:rPr>
                <w:rFonts w:hint="eastAsia" w:ascii="宋体" w:hAnsi="宋体" w:cstheme="minorBidi"/>
                <w:b w:val="0"/>
                <w:bCs w:val="0"/>
                <w:color w:val="auto"/>
                <w:sz w:val="24"/>
                <w:szCs w:val="24"/>
                <w:highlight w:val="none"/>
                <w:lang w:val="en-US" w:eastAsia="zh-CN" w:bidi="ar-SA"/>
              </w:rPr>
              <w:t>同品牌产品评审</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61C04">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cstheme="minorBidi"/>
                <w:b w:val="0"/>
                <w:bCs w:val="0"/>
                <w:color w:val="auto"/>
                <w:sz w:val="24"/>
                <w:szCs w:val="24"/>
                <w:highlight w:val="none"/>
                <w:lang w:val="en-US" w:eastAsia="zh-CN" w:bidi="ar-SA"/>
              </w:rPr>
            </w:pPr>
            <w:r>
              <w:rPr>
                <w:rFonts w:hint="eastAsia" w:ascii="宋体" w:hAnsi="宋体" w:cstheme="minorBidi"/>
                <w:b w:val="0"/>
                <w:bCs w:val="0"/>
                <w:color w:val="auto"/>
                <w:sz w:val="24"/>
                <w:szCs w:val="24"/>
                <w:highlight w:val="none"/>
                <w:lang w:val="en-US" w:eastAsia="zh-CN" w:bidi="ar-SA"/>
              </w:rPr>
              <w:t>多家供应商提供的核心产品品牌相同，且通过资格审查、符合性审查的不同供应商参加同一合同项下投标的，按一家供应商计算，评审后得分最高的同品牌供应商获得中标人推荐资格;评审得分相同的，投标报价低的供应商获得中标人推荐资格;投标报价也相同的，采取随机抽取方式确定一家供应商获得中标人推荐资格，其他同品牌供应商不作为中标候选人。</w:t>
            </w:r>
          </w:p>
        </w:tc>
      </w:tr>
      <w:tr w14:paraId="57C3A14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2C652">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1DC3B">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b w:val="0"/>
                <w:bCs w:val="0"/>
                <w:color w:val="auto"/>
                <w:sz w:val="24"/>
                <w:szCs w:val="24"/>
                <w:highlight w:val="none"/>
                <w:lang w:val="en-US" w:eastAsia="zh-CN"/>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F9D0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b w:val="0"/>
                <w:bCs w:val="0"/>
                <w:color w:val="auto"/>
                <w:sz w:val="24"/>
                <w:szCs w:val="24"/>
                <w:highlight w:val="none"/>
                <w:lang w:val="en-US" w:eastAsia="zh-CN"/>
              </w:rPr>
              <w:t>供应商对其提供的产品请出具《关于符合本国产品标准的声明函》或财政部会同有关部门规定的有关证明文件。</w:t>
            </w:r>
          </w:p>
        </w:tc>
      </w:tr>
    </w:tbl>
    <w:p w14:paraId="2CE01247">
      <w:pPr>
        <w:pStyle w:val="17"/>
        <w:rPr>
          <w:rFonts w:hint="eastAsia" w:ascii="Times New Roman" w:hAnsi="Times New Roman" w:eastAsia="宋体" w:cs="Times New Roman"/>
          <w:color w:val="auto"/>
          <w:spacing w:val="0"/>
          <w:position w:val="0"/>
          <w:sz w:val="24"/>
          <w:highlight w:val="none"/>
          <w:shd w:val="clear" w:color="FFFFFF" w:fill="D9D9D9"/>
          <w:lang w:val="en-US" w:eastAsia="zh-CN"/>
        </w:rPr>
      </w:pPr>
    </w:p>
    <w:p w14:paraId="0FE985E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49CC982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890026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9FD4684">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4CAFBE8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w:t>
      </w:r>
      <w:r>
        <w:rPr>
          <w:rFonts w:hint="eastAsia" w:ascii="宋体" w:hAnsi="宋体" w:eastAsia="宋体" w:cs="宋体"/>
          <w:color w:val="auto"/>
          <w:spacing w:val="0"/>
          <w:position w:val="0"/>
          <w:sz w:val="24"/>
          <w:highlight w:val="none"/>
          <w:shd w:val="clear" w:fill="auto"/>
          <w:lang w:val="en-US" w:eastAsia="zh-CN"/>
        </w:rPr>
        <w:t>日历日</w:t>
      </w:r>
      <w:r>
        <w:rPr>
          <w:rFonts w:ascii="宋体" w:hAnsi="宋体" w:eastAsia="宋体" w:cs="宋体"/>
          <w:color w:val="auto"/>
          <w:spacing w:val="0"/>
          <w:position w:val="0"/>
          <w:sz w:val="24"/>
          <w:highlight w:val="none"/>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14.3供应商提交的资料应证明其满足竞争性磋商文件要求，该文件可以是文字资料、图纸和数据等详细描述的资料。</w:t>
      </w:r>
    </w:p>
    <w:p w14:paraId="6D5CA41C">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37C2586F">
      <w:pPr>
        <w:pStyle w:val="18"/>
        <w:rPr>
          <w:color w:val="auto"/>
          <w:highlight w:val="none"/>
        </w:rPr>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0D7505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26E8B55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131EDC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auto"/>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1C710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07DDC2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37C3F5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FCA2B">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0B4E34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050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A8DF3">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53FD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D1DFE">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6D4F209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92309">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1832237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0A6CA61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0BCE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A9CC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94BF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33E5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5828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055F01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C9B9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139A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0B87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A740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9773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1E8398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8EDF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0717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59F9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4AC7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FCB3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512D94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4AF9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1FB8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73E3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D986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123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95CEE4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DBF9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3FC8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2E61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1342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3E82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506293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5A61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D113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971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F9B5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DA69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35679C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084C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5B32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0394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536A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6ED5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649147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9638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B7E6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C97F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557F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5B98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922931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C2AB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A779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26B7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9AE0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1332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ACD149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AA68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30F2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75A2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FA46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92EF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B0A574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3100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F7DE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BE0D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E3A0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DA4A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7683FC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76F3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003FF">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E3C1">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1B5E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59FA8">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7E79B6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7442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2F1D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6C375">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9B02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9617B">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62EFD8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3F5E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E02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6CBB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4496B7C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0F5A4C7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264F07D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760810E8">
      <w:pPr>
        <w:spacing w:line="560" w:lineRule="exact"/>
        <w:ind w:firstLine="480" w:firstLineChars="200"/>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8BCBB8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7683D7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tbl>
      <w:tblPr>
        <w:tblStyle w:val="13"/>
        <w:tblpPr w:leftFromText="180" w:rightFromText="180" w:vertAnchor="text" w:horzAnchor="page" w:tblpX="1256" w:tblpY="428"/>
        <w:tblOverlap w:val="never"/>
        <w:tblW w:w="9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125"/>
        <w:gridCol w:w="1250"/>
        <w:gridCol w:w="5962"/>
      </w:tblGrid>
      <w:tr w14:paraId="65FE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88" w:type="dxa"/>
            <w:vMerge w:val="restart"/>
            <w:noWrap w:val="0"/>
            <w:vAlign w:val="center"/>
          </w:tcPr>
          <w:p w14:paraId="012407D9">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序</w:t>
            </w:r>
            <w:r>
              <w:rPr>
                <w:rFonts w:hint="eastAsia" w:ascii="宋体" w:hAnsi="宋体" w:eastAsia="宋体" w:cs="宋体"/>
                <w:color w:val="auto"/>
                <w:kern w:val="0"/>
                <w:sz w:val="21"/>
                <w:szCs w:val="21"/>
                <w:highlight w:val="none"/>
              </w:rPr>
              <w:t xml:space="preserve">号       </w:t>
            </w:r>
          </w:p>
        </w:tc>
        <w:tc>
          <w:tcPr>
            <w:tcW w:w="1125" w:type="dxa"/>
            <w:vMerge w:val="restart"/>
            <w:noWrap w:val="0"/>
            <w:vAlign w:val="center"/>
          </w:tcPr>
          <w:p w14:paraId="7EF64FB6">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内容</w:t>
            </w:r>
          </w:p>
        </w:tc>
        <w:tc>
          <w:tcPr>
            <w:tcW w:w="1250" w:type="dxa"/>
            <w:vMerge w:val="restart"/>
            <w:noWrap w:val="0"/>
            <w:vAlign w:val="center"/>
          </w:tcPr>
          <w:p w14:paraId="246A1C57">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w:t>
            </w:r>
          </w:p>
        </w:tc>
        <w:tc>
          <w:tcPr>
            <w:tcW w:w="5962" w:type="dxa"/>
            <w:vMerge w:val="restart"/>
            <w:noWrap w:val="0"/>
            <w:vAlign w:val="center"/>
          </w:tcPr>
          <w:p w14:paraId="1523DFA0">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评分标准</w:t>
            </w:r>
          </w:p>
        </w:tc>
      </w:tr>
      <w:tr w14:paraId="7F54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88" w:type="dxa"/>
            <w:vMerge w:val="continue"/>
            <w:noWrap w:val="0"/>
            <w:vAlign w:val="center"/>
          </w:tcPr>
          <w:p w14:paraId="4CB1B2D1">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c>
          <w:tcPr>
            <w:tcW w:w="1125" w:type="dxa"/>
            <w:vMerge w:val="continue"/>
            <w:noWrap w:val="0"/>
            <w:vAlign w:val="center"/>
          </w:tcPr>
          <w:p w14:paraId="08DC663F">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c>
          <w:tcPr>
            <w:tcW w:w="1250" w:type="dxa"/>
            <w:vMerge w:val="continue"/>
            <w:noWrap w:val="0"/>
            <w:vAlign w:val="center"/>
          </w:tcPr>
          <w:p w14:paraId="545E831A">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c>
          <w:tcPr>
            <w:tcW w:w="5962" w:type="dxa"/>
            <w:vMerge w:val="continue"/>
            <w:noWrap w:val="0"/>
            <w:vAlign w:val="center"/>
          </w:tcPr>
          <w:p w14:paraId="4D045A37">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r>
      <w:tr w14:paraId="6DA4A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88" w:type="dxa"/>
            <w:noWrap w:val="0"/>
            <w:vAlign w:val="center"/>
          </w:tcPr>
          <w:p w14:paraId="0561F48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1125" w:type="dxa"/>
            <w:noWrap w:val="0"/>
            <w:vAlign w:val="center"/>
          </w:tcPr>
          <w:p w14:paraId="2D6BE3B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投标报价（30）</w:t>
            </w:r>
          </w:p>
        </w:tc>
        <w:tc>
          <w:tcPr>
            <w:tcW w:w="1250" w:type="dxa"/>
            <w:noWrap w:val="0"/>
            <w:vAlign w:val="center"/>
          </w:tcPr>
          <w:p w14:paraId="3AD5822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投标报价</w:t>
            </w:r>
          </w:p>
          <w:p w14:paraId="306D5177">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30分</w:t>
            </w:r>
          </w:p>
        </w:tc>
        <w:tc>
          <w:tcPr>
            <w:tcW w:w="5962" w:type="dxa"/>
            <w:noWrap w:val="0"/>
            <w:vAlign w:val="center"/>
          </w:tcPr>
          <w:p w14:paraId="21BC2E9A">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满足磋商文件要求且最后报价最低的供应商的价格为磋商基准价，其价格分为满分。其他供应商的价格分统一按照下列公式计算：磋商报价得分=（磋商基准价/最后磋商报价） ×价格权值×100 备注：价格分计算保留小数点后二位。</w:t>
            </w:r>
          </w:p>
          <w:p w14:paraId="2A8A0F84">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注：1.若投标人投标价格均超过控制价，做废标处理。</w:t>
            </w:r>
          </w:p>
          <w:p w14:paraId="0D84EEF5">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2.对小型、微型、监狱企业、残疾人福利性单位投标报价给予</w:t>
            </w: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%的扣除，用扣除后的价格参与评审。</w:t>
            </w:r>
          </w:p>
          <w:p w14:paraId="46E15463">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 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9CA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8" w:type="dxa"/>
            <w:noWrap w:val="0"/>
            <w:vAlign w:val="center"/>
          </w:tcPr>
          <w:p w14:paraId="27852C8C">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1125" w:type="dxa"/>
            <w:noWrap w:val="0"/>
            <w:vAlign w:val="center"/>
          </w:tcPr>
          <w:p w14:paraId="79F8A93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技术部分（</w:t>
            </w:r>
            <w:r>
              <w:rPr>
                <w:rFonts w:hint="eastAsia" w:ascii="宋体" w:hAnsi="宋体" w:eastAsia="宋体" w:cs="宋体"/>
                <w:color w:val="auto"/>
                <w:kern w:val="0"/>
                <w:sz w:val="21"/>
                <w:szCs w:val="21"/>
                <w:highlight w:val="none"/>
                <w:lang w:val="en-US" w:eastAsia="zh-CN"/>
              </w:rPr>
              <w:t>5</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分）</w:t>
            </w:r>
          </w:p>
        </w:tc>
        <w:tc>
          <w:tcPr>
            <w:tcW w:w="1250" w:type="dxa"/>
            <w:noWrap w:val="0"/>
            <w:vAlign w:val="center"/>
          </w:tcPr>
          <w:p w14:paraId="64B2B41A">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技术指标</w:t>
            </w:r>
            <w:r>
              <w:rPr>
                <w:rFonts w:hint="eastAsia" w:ascii="宋体" w:hAnsi="宋体" w:eastAsia="宋体" w:cs="宋体"/>
                <w:color w:val="auto"/>
                <w:kern w:val="0"/>
                <w:sz w:val="21"/>
                <w:szCs w:val="21"/>
                <w:highlight w:val="none"/>
                <w:lang w:val="en-US" w:eastAsia="zh-CN"/>
              </w:rPr>
              <w:t>5</w:t>
            </w:r>
            <w:r>
              <w:rPr>
                <w:rFonts w:hint="eastAsia" w:ascii="宋体" w:hAnsi="宋体" w:cs="宋体"/>
                <w:color w:val="auto"/>
                <w:kern w:val="0"/>
                <w:sz w:val="21"/>
                <w:szCs w:val="21"/>
                <w:highlight w:val="none"/>
                <w:lang w:val="en-US" w:eastAsia="zh-CN"/>
              </w:rPr>
              <w:t>0分</w:t>
            </w:r>
          </w:p>
        </w:tc>
        <w:tc>
          <w:tcPr>
            <w:tcW w:w="5962" w:type="dxa"/>
            <w:noWrap w:val="0"/>
            <w:vAlign w:val="center"/>
          </w:tcPr>
          <w:p w14:paraId="101A8CAF">
            <w:pPr>
              <w:tabs>
                <w:tab w:val="left" w:pos="5130"/>
              </w:tabs>
              <w:adjustRightInd w:val="0"/>
              <w:snapToGrid w:val="0"/>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投标人完全满足</w:t>
            </w:r>
            <w:r>
              <w:rPr>
                <w:rFonts w:hint="eastAsia" w:ascii="宋体" w:hAnsi="宋体" w:cs="宋体"/>
                <w:color w:val="auto"/>
                <w:kern w:val="0"/>
                <w:sz w:val="21"/>
                <w:szCs w:val="21"/>
                <w:highlight w:val="none"/>
                <w:lang w:val="en-US" w:eastAsia="zh-CN"/>
              </w:rPr>
              <w:t>或高于</w:t>
            </w:r>
            <w:r>
              <w:rPr>
                <w:rFonts w:hint="eastAsia" w:ascii="宋体" w:hAnsi="宋体" w:eastAsia="宋体" w:cs="宋体"/>
                <w:color w:val="auto"/>
                <w:kern w:val="0"/>
                <w:sz w:val="21"/>
                <w:szCs w:val="21"/>
                <w:highlight w:val="none"/>
                <w:lang w:val="en-US" w:eastAsia="zh-CN"/>
              </w:rPr>
              <w:t>所有技术指标得5</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lang w:val="en-US" w:eastAsia="zh-CN"/>
              </w:rPr>
              <w:t>分；所投产品参数中标▲的为关键性指标，每项不满足，扣2分；非标▲参数每项不满足，扣1分；扣完为止。</w:t>
            </w:r>
            <w:r>
              <w:rPr>
                <w:rFonts w:hint="eastAsia" w:ascii="宋体" w:hAnsi="宋体" w:cs="宋体"/>
                <w:color w:val="auto"/>
                <w:kern w:val="0"/>
                <w:sz w:val="21"/>
                <w:szCs w:val="21"/>
                <w:highlight w:val="none"/>
                <w:lang w:val="en-US" w:eastAsia="zh-CN"/>
              </w:rPr>
              <w:t>（按照磋商文件要求提供相关证明材料）</w:t>
            </w:r>
          </w:p>
        </w:tc>
      </w:tr>
      <w:tr w14:paraId="43A3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788" w:type="dxa"/>
            <w:vMerge w:val="restart"/>
            <w:noWrap w:val="0"/>
            <w:vAlign w:val="center"/>
          </w:tcPr>
          <w:p w14:paraId="626FD58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w:t>
            </w:r>
          </w:p>
        </w:tc>
        <w:tc>
          <w:tcPr>
            <w:tcW w:w="1125" w:type="dxa"/>
            <w:vMerge w:val="restart"/>
            <w:noWrap w:val="0"/>
            <w:vAlign w:val="center"/>
          </w:tcPr>
          <w:p w14:paraId="0190ACC5">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商务部分（</w:t>
            </w:r>
            <w:r>
              <w:rPr>
                <w:rFonts w:hint="eastAsia" w:ascii="宋体" w:hAnsi="宋体" w:eastAsia="宋体" w:cs="宋体"/>
                <w:color w:val="auto"/>
                <w:kern w:val="0"/>
                <w:sz w:val="21"/>
                <w:szCs w:val="21"/>
                <w:highlight w:val="none"/>
                <w:lang w:val="en-US" w:eastAsia="zh-CN"/>
              </w:rPr>
              <w:t>2</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分）</w:t>
            </w:r>
          </w:p>
        </w:tc>
        <w:tc>
          <w:tcPr>
            <w:tcW w:w="1250" w:type="dxa"/>
            <w:noWrap w:val="0"/>
            <w:vAlign w:val="center"/>
          </w:tcPr>
          <w:p w14:paraId="53AF63CD">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商务</w:t>
            </w:r>
          </w:p>
          <w:p w14:paraId="19BAEA7D">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10分</w:t>
            </w:r>
          </w:p>
        </w:tc>
        <w:tc>
          <w:tcPr>
            <w:tcW w:w="5962" w:type="dxa"/>
            <w:noWrap w:val="0"/>
            <w:vAlign w:val="center"/>
          </w:tcPr>
          <w:p w14:paraId="39F2B682">
            <w:pPr>
              <w:pStyle w:val="11"/>
              <w:numPr>
                <w:ilvl w:val="0"/>
                <w:numId w:val="25"/>
              </w:numPr>
              <w:ind w:left="0" w:leftChars="0" w:right="-21" w:firstLine="0" w:firstLineChars="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投标人</w:t>
            </w:r>
            <w:r>
              <w:rPr>
                <w:rFonts w:hint="eastAsia" w:ascii="宋体" w:hAnsi="宋体" w:eastAsia="宋体" w:cs="宋体"/>
                <w:color w:val="auto"/>
                <w:kern w:val="2"/>
                <w:sz w:val="21"/>
                <w:szCs w:val="21"/>
                <w:highlight w:val="none"/>
                <w:lang w:val="en-US" w:eastAsia="zh-CN"/>
              </w:rPr>
              <w:t>提供</w:t>
            </w:r>
            <w:r>
              <w:rPr>
                <w:rFonts w:hint="eastAsia" w:ascii="宋体" w:hAnsi="宋体" w:eastAsia="宋体" w:cs="宋体"/>
                <w:color w:val="auto"/>
                <w:kern w:val="2"/>
                <w:sz w:val="21"/>
                <w:szCs w:val="21"/>
                <w:highlight w:val="none"/>
              </w:rPr>
              <w:t>核心产品制造商通过 ISO 9001 质量管理体系、 ISO 14001 环境管理体系认证、ISO 45001 职业健康安全管理体系认证，全部满足得</w:t>
            </w:r>
            <w:r>
              <w:rPr>
                <w:rFonts w:hint="eastAsia" w:ascii="宋体" w:hAnsi="宋体" w:eastAsia="宋体" w:cs="宋体"/>
                <w:color w:val="auto"/>
                <w:kern w:val="2"/>
                <w:sz w:val="21"/>
                <w:szCs w:val="21"/>
                <w:highlight w:val="none"/>
                <w:lang w:val="en-US" w:eastAsia="zh-CN"/>
              </w:rPr>
              <w:t>6</w:t>
            </w:r>
            <w:r>
              <w:rPr>
                <w:rFonts w:hint="eastAsia" w:ascii="宋体" w:hAnsi="宋体" w:eastAsia="宋体" w:cs="宋体"/>
                <w:color w:val="auto"/>
                <w:kern w:val="2"/>
                <w:sz w:val="21"/>
                <w:szCs w:val="21"/>
                <w:highlight w:val="none"/>
              </w:rPr>
              <w:t>分，缺一项扣</w:t>
            </w: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分。</w:t>
            </w:r>
            <w:r>
              <w:rPr>
                <w:rFonts w:hint="eastAsia" w:ascii="宋体" w:hAnsi="宋体" w:eastAsia="宋体" w:cs="宋体"/>
                <w:color w:val="auto"/>
                <w:kern w:val="2"/>
                <w:sz w:val="21"/>
                <w:szCs w:val="21"/>
                <w:highlight w:val="none"/>
                <w:lang w:eastAsia="zh-CN"/>
              </w:rPr>
              <w:t>(需提供有效证明材料复印件或扫描件并加盖生产厂家公章)</w:t>
            </w:r>
          </w:p>
          <w:p w14:paraId="62C71FBF">
            <w:pPr>
              <w:pStyle w:val="11"/>
              <w:numPr>
                <w:ilvl w:val="0"/>
                <w:numId w:val="25"/>
              </w:numPr>
              <w:ind w:left="0" w:leftChars="0" w:right="-21" w:rightChars="-10" w:firstLine="0" w:firstLineChars="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2"/>
                <w:sz w:val="21"/>
                <w:szCs w:val="21"/>
                <w:highlight w:val="none"/>
                <w:lang w:val="en-US" w:eastAsia="zh-CN"/>
              </w:rPr>
              <w:t>为保证产品质量，投标人提供核心产品制造商通过中国环境标志产品认证的，得4分，不提供不得分。</w:t>
            </w:r>
            <w:r>
              <w:rPr>
                <w:rFonts w:hint="eastAsia" w:ascii="宋体" w:hAnsi="宋体" w:eastAsia="宋体" w:cs="宋体"/>
                <w:color w:val="auto"/>
                <w:kern w:val="2"/>
                <w:sz w:val="21"/>
                <w:szCs w:val="21"/>
                <w:highlight w:val="none"/>
                <w:lang w:eastAsia="zh-CN"/>
              </w:rPr>
              <w:t>(需提供有效证明材料复印件或扫描件并加盖生产厂家公章)</w:t>
            </w:r>
          </w:p>
        </w:tc>
      </w:tr>
      <w:tr w14:paraId="1D7C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788" w:type="dxa"/>
            <w:vMerge w:val="continue"/>
            <w:noWrap w:val="0"/>
            <w:vAlign w:val="center"/>
          </w:tcPr>
          <w:p w14:paraId="731B5E5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val="en-US" w:eastAsia="zh-CN"/>
              </w:rPr>
            </w:pPr>
          </w:p>
        </w:tc>
        <w:tc>
          <w:tcPr>
            <w:tcW w:w="1125" w:type="dxa"/>
            <w:vMerge w:val="continue"/>
            <w:noWrap w:val="0"/>
            <w:vAlign w:val="center"/>
          </w:tcPr>
          <w:p w14:paraId="11262150">
            <w:pPr>
              <w:pStyle w:val="4"/>
              <w:keepNext w:val="0"/>
              <w:keepLines w:val="0"/>
              <w:pageBreakBefore w:val="0"/>
              <w:kinsoku/>
              <w:wordWrap/>
              <w:overflowPunct/>
              <w:topLinePunct w:val="0"/>
              <w:bidi w:val="0"/>
              <w:spacing w:line="400" w:lineRule="exact"/>
              <w:textAlignment w:val="auto"/>
              <w:rPr>
                <w:rFonts w:hint="eastAsia" w:ascii="宋体" w:hAnsi="宋体" w:eastAsia="宋体" w:cs="宋体"/>
                <w:color w:val="auto"/>
                <w:sz w:val="21"/>
                <w:szCs w:val="21"/>
                <w:highlight w:val="none"/>
              </w:rPr>
            </w:pPr>
          </w:p>
        </w:tc>
        <w:tc>
          <w:tcPr>
            <w:tcW w:w="1250" w:type="dxa"/>
            <w:vMerge w:val="restart"/>
            <w:noWrap w:val="0"/>
            <w:vAlign w:val="center"/>
          </w:tcPr>
          <w:p w14:paraId="7F7CE012">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售后服务</w:t>
            </w:r>
          </w:p>
          <w:p w14:paraId="74093589">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10分</w:t>
            </w:r>
          </w:p>
        </w:tc>
        <w:tc>
          <w:tcPr>
            <w:tcW w:w="5962" w:type="dxa"/>
            <w:noWrap w:val="0"/>
            <w:vAlign w:val="center"/>
          </w:tcPr>
          <w:p w14:paraId="1C6FC516">
            <w:pPr>
              <w:keepNext w:val="0"/>
              <w:keepLines w:val="0"/>
              <w:pageBreakBefore w:val="0"/>
              <w:widowControl/>
              <w:kinsoku/>
              <w:wordWrap/>
              <w:overflowPunct/>
              <w:topLinePunct w:val="0"/>
              <w:bidi w:val="0"/>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Cs w:val="21"/>
                <w:highlight w:val="none"/>
                <w:lang w:val="en-US" w:eastAsia="zh-CN"/>
              </w:rPr>
              <w:t>提供安装、调试实施方案，承诺故障维修12 小时达现场 24 小时修复(包含供货安装调试方案、安装进度计划编制、人员安排、进度保证措施等)得6分;提供不全的得0分。</w:t>
            </w:r>
          </w:p>
        </w:tc>
      </w:tr>
      <w:tr w14:paraId="3408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788" w:type="dxa"/>
            <w:vMerge w:val="continue"/>
            <w:noWrap w:val="0"/>
            <w:vAlign w:val="center"/>
          </w:tcPr>
          <w:p w14:paraId="72AE441B">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p>
        </w:tc>
        <w:tc>
          <w:tcPr>
            <w:tcW w:w="1125" w:type="dxa"/>
            <w:vMerge w:val="continue"/>
            <w:noWrap w:val="0"/>
            <w:vAlign w:val="center"/>
          </w:tcPr>
          <w:p w14:paraId="7A4B5C4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eastAsia="zh-CN"/>
              </w:rPr>
            </w:pPr>
          </w:p>
        </w:tc>
        <w:tc>
          <w:tcPr>
            <w:tcW w:w="1250" w:type="dxa"/>
            <w:vMerge w:val="continue"/>
            <w:noWrap w:val="0"/>
            <w:vAlign w:val="center"/>
          </w:tcPr>
          <w:p w14:paraId="74A46895">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p>
        </w:tc>
        <w:tc>
          <w:tcPr>
            <w:tcW w:w="5962" w:type="dxa"/>
            <w:noWrap w:val="0"/>
            <w:vAlign w:val="center"/>
          </w:tcPr>
          <w:p w14:paraId="35D74BC7">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投标</w:t>
            </w:r>
            <w:r>
              <w:rPr>
                <w:rFonts w:hint="eastAsia" w:ascii="宋体" w:hAnsi="宋体" w:eastAsia="宋体" w:cs="宋体"/>
                <w:color w:val="auto"/>
                <w:kern w:val="0"/>
                <w:sz w:val="21"/>
                <w:szCs w:val="21"/>
                <w:highlight w:val="none"/>
              </w:rPr>
              <w:t>供应商在招标文件获取截止次日起 3 个工作日内</w:t>
            </w:r>
            <w:r>
              <w:rPr>
                <w:rFonts w:hint="eastAsia" w:ascii="宋体" w:hAnsi="宋体" w:eastAsia="宋体" w:cs="宋体"/>
                <w:color w:val="auto"/>
                <w:kern w:val="0"/>
                <w:sz w:val="21"/>
                <w:szCs w:val="21"/>
                <w:highlight w:val="none"/>
                <w:lang w:val="en-US" w:eastAsia="zh-CN"/>
              </w:rPr>
              <w:t>自行</w:t>
            </w:r>
            <w:r>
              <w:rPr>
                <w:rFonts w:hint="eastAsia" w:ascii="宋体" w:hAnsi="宋体" w:eastAsia="宋体" w:cs="宋体"/>
                <w:color w:val="auto"/>
                <w:kern w:val="0"/>
                <w:sz w:val="21"/>
                <w:szCs w:val="21"/>
                <w:highlight w:val="none"/>
              </w:rPr>
              <w:t>前往项目现场实地勘查，</w:t>
            </w:r>
            <w:r>
              <w:rPr>
                <w:rFonts w:hint="eastAsia" w:ascii="宋体" w:hAnsi="宋体" w:eastAsia="宋体" w:cs="宋体"/>
                <w:color w:val="auto"/>
                <w:kern w:val="0"/>
                <w:sz w:val="21"/>
                <w:szCs w:val="21"/>
                <w:highlight w:val="none"/>
                <w:lang w:val="en-US" w:eastAsia="zh-CN"/>
              </w:rPr>
              <w:t>投标文件内附采购人加盖公章的现场勘察证明函原件扫描件，（格式自拟，含</w:t>
            </w:r>
            <w:r>
              <w:rPr>
                <w:rFonts w:hint="eastAsia" w:ascii="宋体" w:hAnsi="宋体" w:eastAsia="宋体" w:cs="宋体"/>
                <w:color w:val="auto"/>
                <w:kern w:val="0"/>
                <w:sz w:val="21"/>
                <w:szCs w:val="21"/>
                <w:highlight w:val="none"/>
              </w:rPr>
              <w:t>勘察时间、地点、</w:t>
            </w:r>
            <w:r>
              <w:rPr>
                <w:rFonts w:hint="eastAsia" w:ascii="宋体" w:hAnsi="宋体" w:eastAsia="宋体" w:cs="宋体"/>
                <w:color w:val="auto"/>
                <w:kern w:val="0"/>
                <w:sz w:val="21"/>
                <w:szCs w:val="21"/>
                <w:highlight w:val="none"/>
                <w:lang w:val="en-US" w:eastAsia="zh-CN"/>
              </w:rPr>
              <w:t>采购人</w:t>
            </w:r>
            <w:r>
              <w:rPr>
                <w:rFonts w:hint="eastAsia" w:ascii="宋体" w:hAnsi="宋体" w:eastAsia="宋体" w:cs="宋体"/>
                <w:color w:val="auto"/>
                <w:kern w:val="0"/>
                <w:sz w:val="21"/>
                <w:szCs w:val="21"/>
                <w:highlight w:val="none"/>
              </w:rPr>
              <w:t>签字盖章</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，得 4 分；提供不全的得 0 分。</w:t>
            </w:r>
          </w:p>
        </w:tc>
      </w:tr>
    </w:tbl>
    <w:p w14:paraId="31CBC07D">
      <w:pPr>
        <w:pStyle w:val="17"/>
        <w:numPr>
          <w:ilvl w:val="0"/>
          <w:numId w:val="0"/>
        </w:numPr>
        <w:rPr>
          <w:rFonts w:hint="eastAsia"/>
          <w:color w:val="auto"/>
          <w:highlight w:val="none"/>
        </w:rPr>
      </w:pPr>
    </w:p>
    <w:p w14:paraId="62B65DFE">
      <w:pPr>
        <w:pStyle w:val="17"/>
        <w:numPr>
          <w:ilvl w:val="0"/>
          <w:numId w:val="0"/>
        </w:numPr>
        <w:rPr>
          <w:rFonts w:ascii="宋体" w:hAnsi="宋体" w:eastAsia="宋体" w:cs="宋体"/>
          <w:b/>
          <w:color w:val="auto"/>
          <w:spacing w:val="0"/>
          <w:kern w:val="0"/>
          <w:position w:val="0"/>
          <w:sz w:val="24"/>
          <w:szCs w:val="22"/>
          <w:highlight w:val="none"/>
          <w:shd w:val="clear" w:fill="auto"/>
        </w:rPr>
      </w:pPr>
      <w:r>
        <w:rPr>
          <w:rFonts w:hint="eastAsia" w:ascii="宋体" w:hAnsi="宋体" w:eastAsia="宋体" w:cs="宋体"/>
          <w:b/>
          <w:color w:val="auto"/>
          <w:spacing w:val="0"/>
          <w:kern w:val="0"/>
          <w:position w:val="0"/>
          <w:sz w:val="24"/>
          <w:szCs w:val="22"/>
          <w:highlight w:val="none"/>
          <w:shd w:val="clear" w:fill="auto"/>
        </w:rPr>
        <w:t>注：本项目核心产品为“实验台”。</w:t>
      </w:r>
    </w:p>
    <w:p w14:paraId="1DBE22C8">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E21FF7F">
      <w:pPr>
        <w:numPr>
          <w:ilvl w:val="0"/>
          <w:numId w:val="26"/>
        </w:num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采购项目内容及要求</w:t>
      </w:r>
    </w:p>
    <w:p w14:paraId="4683DA48">
      <w:pPr>
        <w:pStyle w:val="3"/>
        <w:numPr>
          <w:ilvl w:val="0"/>
          <w:numId w:val="0"/>
        </w:numPr>
        <w:rPr>
          <w:rFonts w:hint="default"/>
          <w:color w:val="auto"/>
          <w:highlight w:val="none"/>
          <w:lang w:val="en-US" w:eastAsia="zh-CN"/>
        </w:rPr>
      </w:pPr>
    </w:p>
    <w:p w14:paraId="2D7B4827">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szCs w:val="22"/>
          <w:highlight w:val="none"/>
          <w:shd w:val="clear" w:fill="auto"/>
          <w:lang w:val="en-US" w:eastAsia="zh-CN"/>
        </w:rPr>
        <w:t>生物教室工程技术参数及数量</w:t>
      </w:r>
    </w:p>
    <w:tbl>
      <w:tblPr>
        <w:tblStyle w:val="1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7"/>
        <w:gridCol w:w="1183"/>
        <w:gridCol w:w="5770"/>
        <w:gridCol w:w="616"/>
        <w:gridCol w:w="533"/>
      </w:tblGrid>
      <w:tr w14:paraId="161C2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E753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9343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产品名称</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CAC3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基础参数</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0AE4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3163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r>
      <w:tr w14:paraId="28844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D6D6C">
            <w:pPr>
              <w:jc w:val="center"/>
              <w:rPr>
                <w:rFonts w:hint="eastAsia" w:ascii="宋体" w:hAnsi="宋体" w:eastAsia="宋体" w:cs="宋体"/>
                <w:b/>
                <w:bCs/>
                <w:i w:val="0"/>
                <w:iCs w:val="0"/>
                <w:color w:val="auto"/>
                <w:sz w:val="20"/>
                <w:szCs w:val="20"/>
                <w:highlight w:val="none"/>
                <w:u w:val="none"/>
              </w:rPr>
            </w:pPr>
          </w:p>
        </w:tc>
        <w:tc>
          <w:tcPr>
            <w:tcW w:w="478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D9D20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吊装实验室</w:t>
            </w:r>
          </w:p>
        </w:tc>
      </w:tr>
      <w:tr w14:paraId="60C14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05D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989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教师演示台</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0BEE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Style w:val="25"/>
                <w:color w:val="auto"/>
                <w:highlight w:val="none"/>
                <w:lang w:val="en-US" w:eastAsia="zh-CN" w:bidi="ar"/>
              </w:rPr>
              <w:t>规格：长2800mm×宽700mm×高850mm</w:t>
            </w:r>
            <w:r>
              <w:rPr>
                <w:rStyle w:val="25"/>
                <w:color w:val="auto"/>
                <w:highlight w:val="none"/>
                <w:lang w:val="en-US" w:eastAsia="zh-CN" w:bidi="ar"/>
              </w:rPr>
              <w:br w:type="textWrapping"/>
            </w:r>
            <w:r>
              <w:rPr>
                <w:rStyle w:val="25"/>
                <w:color w:val="auto"/>
                <w:highlight w:val="none"/>
                <w:lang w:val="en-US" w:eastAsia="zh-CN" w:bidi="ar"/>
              </w:rPr>
              <w:t>1.台面采用12.7mm厚实芯理化板，外露边沿修圆弧，整体美观大方，耐高温、耐酸碱、耐腐蚀、不吸水、防火、阻燃、防静电、抗老化、无毒、无褪色、材质坚硬，牢固可靠。</w:t>
            </w:r>
            <w:r>
              <w:rPr>
                <w:rStyle w:val="25"/>
                <w:color w:val="auto"/>
                <w:highlight w:val="none"/>
                <w:lang w:val="en-US" w:eastAsia="zh-CN" w:bidi="ar"/>
              </w:rPr>
              <w:br w:type="textWrapping"/>
            </w:r>
            <w:r>
              <w:rPr>
                <w:rStyle w:val="25"/>
                <w:color w:val="auto"/>
                <w:highlight w:val="none"/>
                <w:lang w:val="en-US" w:eastAsia="zh-CN" w:bidi="ar"/>
              </w:rPr>
              <w:t>2.桌柜采用16mm厚聚木屑三聚氰胺双面板。</w:t>
            </w:r>
            <w:r>
              <w:rPr>
                <w:rStyle w:val="25"/>
                <w:color w:val="auto"/>
                <w:highlight w:val="none"/>
                <w:lang w:val="en-US" w:eastAsia="zh-CN" w:bidi="ar"/>
              </w:rPr>
              <w:br w:type="textWrapping"/>
            </w:r>
            <w:r>
              <w:rPr>
                <w:rStyle w:val="25"/>
                <w:color w:val="auto"/>
                <w:highlight w:val="none"/>
                <w:lang w:val="en-US" w:eastAsia="zh-CN" w:bidi="ar"/>
              </w:rPr>
              <w:t>3.桌架采用40mm×60mm×1.2mm方钢管。</w:t>
            </w:r>
            <w:r>
              <w:rPr>
                <w:rStyle w:val="25"/>
                <w:color w:val="auto"/>
                <w:highlight w:val="none"/>
                <w:lang w:val="en-US" w:eastAsia="zh-CN" w:bidi="ar"/>
              </w:rPr>
              <w:br w:type="textWrapping"/>
            </w:r>
            <w:r>
              <w:rPr>
                <w:rStyle w:val="25"/>
                <w:color w:val="auto"/>
                <w:highlight w:val="none"/>
                <w:lang w:val="en-US" w:eastAsia="zh-CN" w:bidi="ar"/>
              </w:rPr>
              <w:t>4.五金配件</w:t>
            </w:r>
            <w:r>
              <w:rPr>
                <w:rStyle w:val="25"/>
                <w:color w:val="auto"/>
                <w:highlight w:val="none"/>
                <w:lang w:val="en-US" w:eastAsia="zh-CN" w:bidi="ar"/>
              </w:rPr>
              <w:br w:type="textWrapping"/>
            </w:r>
            <w:r>
              <w:rPr>
                <w:rStyle w:val="25"/>
                <w:color w:val="auto"/>
                <w:highlight w:val="none"/>
                <w:lang w:val="en-US" w:eastAsia="zh-CN" w:bidi="ar"/>
              </w:rPr>
              <w:t>1）拉手：采用一字型铝合金拉手。</w:t>
            </w:r>
            <w:r>
              <w:rPr>
                <w:rStyle w:val="25"/>
                <w:color w:val="auto"/>
                <w:highlight w:val="none"/>
                <w:lang w:val="en-US" w:eastAsia="zh-CN" w:bidi="ar"/>
              </w:rPr>
              <w:br w:type="textWrapping"/>
            </w:r>
            <w:r>
              <w:rPr>
                <w:rStyle w:val="25"/>
                <w:color w:val="auto"/>
                <w:highlight w:val="none"/>
                <w:lang w:val="en-US" w:eastAsia="zh-CN" w:bidi="ar"/>
              </w:rPr>
              <w:t>2）铰链：采用铰链，最大开启角度110°，开启15º以内具有自闭功能。耐腐蚀、承重、经久耐用。</w:t>
            </w:r>
            <w:r>
              <w:rPr>
                <w:rStyle w:val="25"/>
                <w:color w:val="auto"/>
                <w:highlight w:val="none"/>
                <w:lang w:val="en-US" w:eastAsia="zh-CN" w:bidi="ar"/>
              </w:rPr>
              <w:br w:type="textWrapping"/>
            </w:r>
            <w:r>
              <w:rPr>
                <w:rStyle w:val="25"/>
                <w:color w:val="auto"/>
                <w:highlight w:val="none"/>
                <w:lang w:val="en-US" w:eastAsia="zh-CN" w:bidi="ar"/>
              </w:rPr>
              <w:t>3）导轨：采用超静音三节滚珠滑轨。</w:t>
            </w:r>
            <w:r>
              <w:rPr>
                <w:rStyle w:val="25"/>
                <w:color w:val="auto"/>
                <w:highlight w:val="none"/>
                <w:lang w:val="en-US" w:eastAsia="zh-CN" w:bidi="ar"/>
              </w:rPr>
              <w:br w:type="textWrapping"/>
            </w:r>
            <w:r>
              <w:rPr>
                <w:rStyle w:val="25"/>
                <w:color w:val="auto"/>
                <w:highlight w:val="none"/>
                <w:lang w:val="en-US" w:eastAsia="zh-CN" w:bidi="ar"/>
              </w:rPr>
              <w:t>4）地脚：ABS工程塑料可调脚，螺杆≥Φ10mm，具有减缓冲击力功能。</w:t>
            </w:r>
            <w:r>
              <w:rPr>
                <w:rStyle w:val="25"/>
                <w:color w:val="auto"/>
                <w:highlight w:val="none"/>
                <w:lang w:val="en-US" w:eastAsia="zh-CN" w:bidi="ar"/>
              </w:rPr>
              <w:br w:type="textWrapping"/>
            </w:r>
            <w:r>
              <w:rPr>
                <w:rStyle w:val="25"/>
                <w:color w:val="auto"/>
                <w:highlight w:val="none"/>
                <w:lang w:val="en-US" w:eastAsia="zh-CN" w:bidi="ar"/>
              </w:rPr>
              <w:t>结构：</w:t>
            </w:r>
            <w:r>
              <w:rPr>
                <w:rStyle w:val="25"/>
                <w:color w:val="auto"/>
                <w:highlight w:val="none"/>
                <w:lang w:val="en-US" w:eastAsia="zh-CN" w:bidi="ar"/>
              </w:rPr>
              <w:br w:type="textWrapping"/>
            </w:r>
            <w:r>
              <w:rPr>
                <w:rStyle w:val="25"/>
                <w:color w:val="auto"/>
                <w:highlight w:val="none"/>
                <w:lang w:val="en-US" w:eastAsia="zh-CN" w:bidi="ar"/>
              </w:rPr>
              <w:t>1.钢木左右结构；</w:t>
            </w:r>
            <w:r>
              <w:rPr>
                <w:rStyle w:val="25"/>
                <w:color w:val="auto"/>
                <w:highlight w:val="none"/>
                <w:lang w:val="en-US" w:eastAsia="zh-CN" w:bidi="ar"/>
              </w:rPr>
              <w:br w:type="textWrapping"/>
            </w:r>
            <w:r>
              <w:rPr>
                <w:rStyle w:val="25"/>
                <w:color w:val="auto"/>
                <w:highlight w:val="none"/>
                <w:lang w:val="en-US" w:eastAsia="zh-CN" w:bidi="ar"/>
              </w:rPr>
              <w:t>2.钢架采用“工”字形结构，前面放置木柜，木柜下设钢管托撑，并有M8mm螺丝顶固，带可调地脚；</w:t>
            </w:r>
            <w:r>
              <w:rPr>
                <w:rStyle w:val="25"/>
                <w:color w:val="auto"/>
                <w:highlight w:val="none"/>
                <w:lang w:val="en-US" w:eastAsia="zh-CN" w:bidi="ar"/>
              </w:rPr>
              <w:br w:type="textWrapping"/>
            </w:r>
            <w:r>
              <w:rPr>
                <w:rStyle w:val="25"/>
                <w:color w:val="auto"/>
                <w:highlight w:val="none"/>
                <w:lang w:val="en-US" w:eastAsia="zh-CN" w:bidi="ar"/>
              </w:rPr>
              <w:t>3.桌柜上设抽屉，下设储物柜；水槽柜设检修门；</w:t>
            </w:r>
            <w:r>
              <w:rPr>
                <w:rStyle w:val="25"/>
                <w:color w:val="auto"/>
                <w:highlight w:val="none"/>
                <w:lang w:val="en-US" w:eastAsia="zh-CN" w:bidi="ar"/>
              </w:rPr>
              <w:br w:type="textWrapping"/>
            </w:r>
            <w:r>
              <w:rPr>
                <w:rStyle w:val="25"/>
                <w:color w:val="auto"/>
                <w:highlight w:val="none"/>
                <w:lang w:val="en-US" w:eastAsia="zh-CN" w:bidi="ar"/>
              </w:rPr>
              <w:t>工艺：</w:t>
            </w:r>
            <w:r>
              <w:rPr>
                <w:rStyle w:val="25"/>
                <w:color w:val="auto"/>
                <w:highlight w:val="none"/>
                <w:lang w:val="en-US" w:eastAsia="zh-CN" w:bidi="ar"/>
              </w:rPr>
              <w:br w:type="textWrapping"/>
            </w:r>
            <w:r>
              <w:rPr>
                <w:rStyle w:val="25"/>
                <w:color w:val="auto"/>
                <w:highlight w:val="none"/>
                <w:lang w:val="en-US" w:eastAsia="zh-CN" w:bidi="ar"/>
              </w:rPr>
              <w:t>1.板材截面采用pvc封边条机械高温封边；</w:t>
            </w:r>
            <w:r>
              <w:rPr>
                <w:rStyle w:val="25"/>
                <w:color w:val="auto"/>
                <w:highlight w:val="none"/>
                <w:lang w:val="en-US" w:eastAsia="zh-CN" w:bidi="ar"/>
              </w:rPr>
              <w:br w:type="textWrapping"/>
            </w:r>
            <w:r>
              <w:rPr>
                <w:rStyle w:val="25"/>
                <w:color w:val="auto"/>
                <w:highlight w:val="none"/>
                <w:lang w:val="en-US" w:eastAsia="zh-CN" w:bidi="ar"/>
              </w:rPr>
              <w:t>2.钢材采用CO</w:t>
            </w:r>
            <w:r>
              <w:rPr>
                <w:rStyle w:val="26"/>
                <w:rFonts w:eastAsia="宋体"/>
                <w:color w:val="auto"/>
                <w:highlight w:val="none"/>
                <w:lang w:val="en-US" w:eastAsia="zh-CN" w:bidi="ar"/>
              </w:rPr>
              <w:t>₂</w:t>
            </w:r>
            <w:r>
              <w:rPr>
                <w:rStyle w:val="25"/>
                <w:color w:val="auto"/>
                <w:highlight w:val="none"/>
                <w:lang w:val="en-US" w:eastAsia="zh-CN" w:bidi="ar"/>
              </w:rPr>
              <w:t>保护焊焊接，钢材表面经喷砂抛丸去油除锈，静电喷涂；</w:t>
            </w:r>
            <w:r>
              <w:rPr>
                <w:rStyle w:val="25"/>
                <w:color w:val="auto"/>
                <w:highlight w:val="none"/>
                <w:lang w:val="en-US" w:eastAsia="zh-CN" w:bidi="ar"/>
              </w:rPr>
              <w:br w:type="textWrapping"/>
            </w:r>
            <w:r>
              <w:rPr>
                <w:rStyle w:val="25"/>
                <w:color w:val="auto"/>
                <w:highlight w:val="none"/>
                <w:lang w:val="en-US" w:eastAsia="zh-CN" w:bidi="ar"/>
              </w:rPr>
              <w:t>性能：1.台面双面膜耐腐蚀实芯理化板，耐酸、耐碱、耐高温，坚固耐用，防潮、无细孔、不膨胀、不龟裂、不变形、不导电、便于维护及具有良好的承重性；</w:t>
            </w:r>
            <w:r>
              <w:rPr>
                <w:rStyle w:val="25"/>
                <w:color w:val="auto"/>
                <w:highlight w:val="none"/>
                <w:lang w:val="en-US" w:eastAsia="zh-CN" w:bidi="ar"/>
              </w:rPr>
              <w:br w:type="textWrapping"/>
            </w:r>
            <w:r>
              <w:rPr>
                <w:rStyle w:val="25"/>
                <w:color w:val="auto"/>
                <w:highlight w:val="none"/>
                <w:lang w:val="en-US" w:eastAsia="zh-CN" w:bidi="ar"/>
              </w:rPr>
              <w:t>3.桌柜离地150mm左右，方便打扫卫生；</w:t>
            </w:r>
            <w:r>
              <w:rPr>
                <w:rStyle w:val="25"/>
                <w:color w:val="auto"/>
                <w:highlight w:val="none"/>
                <w:lang w:val="en-US" w:eastAsia="zh-CN" w:bidi="ar"/>
              </w:rPr>
              <w:br w:type="textWrapping"/>
            </w:r>
            <w:r>
              <w:rPr>
                <w:rStyle w:val="25"/>
                <w:color w:val="auto"/>
                <w:highlight w:val="none"/>
                <w:lang w:val="en-US" w:eastAsia="zh-CN" w:bidi="ar"/>
              </w:rPr>
              <w:t>4.水池柜：演示台一侧应设置水池柜，安放高密度黑色PPR一体化水槽，其内腔尺寸（长宽高）480mm×380mm×280mm。并设置活动检修门，便于进行维护。</w:t>
            </w:r>
            <w:r>
              <w:rPr>
                <w:rStyle w:val="25"/>
                <w:color w:val="auto"/>
                <w:highlight w:val="none"/>
                <w:lang w:val="en-US" w:eastAsia="zh-CN" w:bidi="ar"/>
              </w:rPr>
              <w:br w:type="textWrapping"/>
            </w:r>
            <w:r>
              <w:rPr>
                <w:rStyle w:val="25"/>
                <w:color w:val="auto"/>
                <w:highlight w:val="none"/>
                <w:lang w:val="en-US" w:eastAsia="zh-CN" w:bidi="ar"/>
              </w:rPr>
              <w:t>5.水嘴：喷塑三联式高位水嘴、陶瓷芯片水阀水槽。</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CC0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8D4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69858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3C5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BE2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生物实验室总控电源</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666F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产品外壳采用镀锌板折弯焊接成型，表面喷塑。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1.电源面板表面贴面膜，设有漏电总开关、交流220V五孔带防护插座。</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63D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311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B3A2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86C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E4A9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实验台</w:t>
            </w:r>
            <w:r>
              <w:rPr>
                <w:rFonts w:hint="eastAsia" w:ascii="宋体" w:hAnsi="宋体" w:eastAsia="宋体" w:cs="宋体"/>
                <w:b/>
                <w:bCs/>
                <w:i w:val="0"/>
                <w:iCs w:val="0"/>
                <w:color w:val="auto"/>
                <w:kern w:val="0"/>
                <w:sz w:val="20"/>
                <w:szCs w:val="20"/>
                <w:highlight w:val="none"/>
                <w:u w:val="none"/>
                <w:lang w:val="en-US" w:eastAsia="zh-CN" w:bidi="ar"/>
              </w:rPr>
              <w:br w:type="textWrapping"/>
            </w:r>
            <w:r>
              <w:rPr>
                <w:rFonts w:hint="eastAsia" w:ascii="宋体" w:hAnsi="宋体" w:eastAsia="宋体" w:cs="宋体"/>
                <w:b/>
                <w:bCs/>
                <w:i w:val="0"/>
                <w:iCs w:val="0"/>
                <w:color w:val="auto"/>
                <w:kern w:val="0"/>
                <w:sz w:val="20"/>
                <w:szCs w:val="20"/>
                <w:highlight w:val="none"/>
                <w:u w:val="none"/>
                <w:lang w:val="en-US" w:eastAsia="zh-CN" w:bidi="ar"/>
              </w:rPr>
              <w:t>（核心产品）</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8797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规格：长1200mm×宽600mm×高780mm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1.台面：台面采用≥12mm 双面膜理化板台面，学生位置设圆弧造型 两侧设阻水边。台面后方卡入学生桌铝型槽内。耐酸、耐碱、耐高温，坚固耐用，防潮、无细孔、不膨胀、不龟裂、不变形、不导电、便于维护及具有良好的承重性能。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2.结构：新型钢塑结构，符合人体工程学设计，美观大方。专用书包斗采用 ABS 工程塑料一次性注塑成型结合，内净尺寸≥365mm×280mm×120mm。镂空设计，底部设有排水孔，便于清理，不屯垃圾，中间设挂凳卡。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3.桌架：桌腿采用≥90mm×60mm×2mm 椭圆管模具一体成型为”Y”字型（不得二次焊接），下开口采用磨具成型改性工程塑料材料装饰，上端连接件采用铸铝一体成型，上框采用 20mm×30mm矩形管焊接成型，并用高强度内六角螺丝连接，便于组装及拆卸，外观流线形设计，简洁美观，易碰撞处全部采用倒圆角，产品款式要求整体设计美观、合理、安全、牢固、耐用。金属表面经静电粉沫喷涂处理。要做到承重性能强和耐酸碱、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4.挡水板：后挡水板采用≥1150mm×140mm×20mm 厚一体成型铝合金，左右堵头连接件采用ABS模具一体成型，固定于台架不易脱落，便于组装及拆卸，外观流线形设计，简洁美观,易碰撞处全部采用倒圆角，产品款式要求整体设计美观、合理、安全牢固、耐用。金属表面经静电粉沫喷涂处理。要做到承重性能强和耐酸碱、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5.桌脚：采用一体注塑模具成型，结构美观牢固，并设有防滑调整脚，同时可以与地面固定，防止桌体移动。采用专用注塑模具件装饰。</w:t>
            </w:r>
          </w:p>
          <w:p w14:paraId="445AEC8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▲依据GB6675.1-2014、GB6675.4-2014、GB/T32487-2016、GB/T17657-2022、GB 8624-2012、GB/T 2408-2021、GB/T 21747-2008、JC/T2039-2010标准对实验台的邻苯二甲酸酯未检出、特定元素迁移未检出；书包斗的冲击强度（19J/m²）、书包斗耐老化性（冲击强度保持率97%，外观颜色变色评级5级）、书包斗硬度（69HD）；台面耐强酸碱、耐腐蚀、耐有机溶剂5级、14种菌种抗菌率≥99.9%、抗污染5级、防水（0.3%）、防火（水平燃烧HB级/垂直燃烧V-0级）、承载能力（110kg）、燃烧性能A级进行检测，所检项目结果均符合标准要求。响应文件中需提供国家认可的检测机构出具的检测报告（复印件加盖厂家公章）</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ED6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154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05095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3"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01E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981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实验凳</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B3C8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规格：≥Φ315mm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1.螺旋式升降。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2.凳脚材质：4个凳脚采用≥17mm×34mm×1.2mm无缝钢管模具一次弯管成型。二氧化碳保护焊焊接，结构牢固，金属表面经静电粉沫喷涂处理。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3.凳面材质：采用聚丙烯共聚级注塑,厚5mm。表面细纹咬花，防滑不发光。凳面底部镶嵌4枚铜质螺纹，采用螺丝与圆型托盘固定。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4.脚垫材质：采用PP加耐磨纤维质塑料，实心倒勾式一体射出成型凳面与凳脚留有一定的空间便于凳子挂在挂凳扣上。方便教室的打扫。</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459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57</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58C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4CC2C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C09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306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移动水槽台</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1B01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规格：长600mm×宽460mm×高820mm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1.由柜体和水槽底座部分组成。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水槽内规格≥400mm×300mm×240mm,柜体底座采用ABS注塑成型，水槽采用PP塑料一次模具成型，确保柜体结构稳固；柜体前后带有磁吸检修门，方便日后维修，前沿带有围边挡水，带有防溢水孔，水槽预留安装水嘴孔，洗眼器孔，按压洗手液孔，柜体内设有隐藏式抽屉方便放置洗涤用品，水封式水塞可防止废水回流和堵塞。</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3.水嘴：喷塑三联式高位水嘴。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4.水槽专配型排水管，不锈钢卡扣连接，安装方便不渗漏，储水罐PP材质。</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4BC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EFF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4C89F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A51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C13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控制机柜</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184E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1、外观设计整洁美观，采用1.0mm厚钢板经数控折弯加工，表面硅烷处理、喷塑。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2、箱门上安裝控制屏、启动开关，急停开关。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制箱内置3P总电源开关，智能控制总开关，漏电、过载、短路保护开关，485通讯输出，微电脑控制器及功能扩展模块，微电脑保护模块，急停控制系统，电源分组控制系统，照明分组控制系统，给排水控制系统，吊臂控制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0AA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A8F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47EEF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011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BFD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总控软件系统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B383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1、开机即用，无系统启动时间。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2、经密码验证之后，方可进入控制系统界面，以增加控制安全性。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3、接通总开关和支路开关，可集中或分组控制吊臂的升降、照明灯亮与灭、交流220V插座、给排水控制（排水自动检测并及时排水）、低压交直流电压输出并可控。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4、系统时间可设置、可延时关机、可定时关机。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5、可支持拓展远程控制系统使用。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6、控制柜与各个吊臂之间采用高可靠性的Modbus-RTU通讯协议下进行控制：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a、吊臂控制系统：教师通过智能控制屏对实验室进行单独、分组、全部控制，升、降、暂停，升、降到位后会自动停止。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b、电源控制系统：教师通过智能控制屏对实验室进行单独、分组、全部控制交流220V输出和学生用低压输出。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c、照明控制系统：教师通过智能控制屏对实验室吊仓上的照明进行单独、分组、全部控制。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d、给排水控制系统：每个学生终端配置一组水流自动检测传感器，当给水时自动进行排水控制；吊臂下方配有插拔式自动锁紧排水接口，接口与学生水槽柜下方水箱连接通过具有耐酸碱、耐腐蚀功能的改性PVC橡胶塑料软管连接，即插即用，用完拔下收起，给排水管具有到位检测功能，在没有拔下水管，吊臂不能收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7、总电源控制：可以通过选择触摸控制屏的电源界面，按下屏幕中间的“总电源”按键开机，再按关机。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8、吊臂升降控制：可以通过单选按键或屏下方的“全选”“反选”按键，选中位置号，按下吊臂升、吊臂暂停、吊臂降按键，吊臂执行相应操作，并在升降过程中，到达顶部和底部停止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照明灯控制：可以通过单选按键或屏下方的“全选”、“反选”按键，选中位置号，按下照明键，打开照明灯电源，再按下关闭照明灯电源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9、220V插座控制：可以通过单选按键或屏下方的“全选反选”按键，选中位置号，按 220V 电按键，打开220V插电源，再按下关闭220V插座电源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低压电源控制：可以通过单选按键或屏下方“全选”、“反选”按键，选中位置号，按下直流区域/交流区域，按下“锁电压”或“锁上限”弹出对话框，拖动电压条到设定位置，按确定输出直流/交流;可以在上限锁定后，学生在锁定范围内调整电压:可以在过载后进入恒流状态并关闭输出;可以在排除故障后，按学生端任意键复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11、给排水控制：可以通过单选按键或屏下方的“全选”、“反选”按键，选中位置号，按下给水开按键，打开给水，并进行排水;可以按下给水关按键，关闭给水，排水在废水排完后停止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12、通风控制：可以通过选择触摸屏的排风界面，按下“排风”按键，启动通风风机;可以滑动风速变化条改变风量大小;可以显示风量百分比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▲产品应符合GB/T 25000.51-2016《系统与软件工程系统与软件质量要求和评价(SQuaRE)第51部分:就绪可用软件产品(RUSP)的质量要求和测试细则》的检测要求，需提供国家认可的检测机构出具的检测报告（复印件加盖厂家公章）。</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BA0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5A7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9C09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E91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740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控制屏</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CC6F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1、控制屏幕采用12.1寸，外部用铝合金包边，分辨率为1024*768。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2、屏幕为电容触摸，支持单点、滑动触摸。</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A12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663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0FBE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F48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8EC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远程控制系统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844D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1、远程控制系统自适应PC、平板、手机端，兼顾不同系统不同终端的使用需求。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2、远程控制系统采用终端账号统一管理，实现账号与实验室一一对应，避免误操作和账号管理分散，登录验证唯一性，保证安全。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3、远程控制系统与总控软件系统实时通信，保证状态实时同步，实现远程实时对总控软件系统的远程操作。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4、具有良好的拓展性，可以接入其他标准系统接口，实现对实验室产品控制功能的拓展。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总电源控制：可以通过选择触摸控制屏的电源界面，按下屏幕中间的“总电源”按键开机，再按关机。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5、吊臂升降控制：可以通过单选按键或屏下方的“全选”“反选”按键，选中位置号，按下吊臂升、吊臂暂停、吊臂降按键，吊臂执行相应操作，并在升降过程中，到达顶部和底部停止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照明灯控制：可以通过单选按键或屏下方的“全选”、“反选”按键，选中位置号，按下照明键，打开照明灯电源，再按下关闭照明灯电源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6、220V插座控制：可以通过单选按键或屏下方的“全选反选”按键，选中位置号，按 220V 电按键，打开220V插电源，再按下关闭220V插座电源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低压电源控制：可以通过单选按键或屏下方“全选”、“反选”按键，选中位置号，按下直流区域/交流区域，按下“锁电压”或“锁上限”弹出对话框，拖动电压条到设定位置，按确定输出直流/交流;可以在上限锁定后，学生在锁定范围内调整电压:可以在过载后进入恒流状态并关闭输出;可以在排除故障后，按学生端任意键复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8、给排水控制：可以通过单选按键或屏下方的“全选”、“反选”按键，选中位置号，按下给水开按键，打开给水，并进行排水;可以按下给水关按键，关闭给水，排水在废水排完后停止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9、通风控制：可以通过选择触摸屏的排风界面，按下“排风”按键，启动通风风机;可以滑动风速变化条改变风量大小;可以显示风量百分比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10、系统设置：可以修改密码数据;可以设置开关机时间;可以查看报警日志、运行日志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▲产品应符合GB/T 25000.51-2016《系统与软件工程系统与软件质量要求和评价(SOuaRE)第51部分:就绪可用软件产品(RUSP的质量要求和测试细则》，需提供国家认可的检测机构出具的检测报告（复印件加盖厂家公章）。</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152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2D2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62D8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E8F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778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环境检测套件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38B4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可在实验室加装温度、湿度等传感装置，实时监控房间内的温度和湿度，保障室内舒适的环境舒适性，在控制系统中进行显示</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92E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F5F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4019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D9C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A29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吊舱模组</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D9AC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Style w:val="25"/>
                <w:color w:val="auto"/>
                <w:highlight w:val="none"/>
                <w:lang w:val="en-US" w:eastAsia="zh-CN" w:bidi="ar"/>
              </w:rPr>
              <w:t>规格：1200mm×550mm×240mm</w:t>
            </w:r>
            <w:r>
              <w:rPr>
                <w:rStyle w:val="25"/>
                <w:color w:val="auto"/>
                <w:highlight w:val="none"/>
                <w:lang w:val="en-US" w:eastAsia="zh-CN" w:bidi="ar"/>
              </w:rPr>
              <w:br w:type="textWrapping"/>
            </w:r>
            <w:r>
              <w:rPr>
                <w:rStyle w:val="25"/>
                <w:color w:val="auto"/>
                <w:highlight w:val="none"/>
                <w:lang w:val="en-US" w:eastAsia="zh-CN" w:bidi="ar"/>
              </w:rPr>
              <w:t>1、材质：吊舱整体采用1mm冷轧钢板经数控折弯成型，连接处采用3mm冷轧钢板加固，金属框架部分为一体式结构，比分体式或拼插式结构具有更高的结构强度，内部设有20*40*1.2mm矩管做为加强龙骨，两侧设有LED灯，照度不小于150lx，下方设有可拆卸挡板，方便检修；工艺：钢材采用焊接机器人CO</w:t>
            </w:r>
            <w:r>
              <w:rPr>
                <w:rStyle w:val="26"/>
                <w:rFonts w:eastAsia="宋体"/>
                <w:color w:val="auto"/>
                <w:highlight w:val="none"/>
                <w:lang w:val="en-US" w:eastAsia="zh-CN" w:bidi="ar"/>
              </w:rPr>
              <w:t>₂</w:t>
            </w:r>
            <w:r>
              <w:rPr>
                <w:rStyle w:val="25"/>
                <w:color w:val="auto"/>
                <w:highlight w:val="none"/>
                <w:lang w:val="en-US" w:eastAsia="zh-CN" w:bidi="ar"/>
              </w:rPr>
              <w:t>保护焊焊接，表层采用去油、除锈、打磨、喷塑工艺处理。</w:t>
            </w:r>
            <w:r>
              <w:rPr>
                <w:rStyle w:val="25"/>
                <w:color w:val="auto"/>
                <w:highlight w:val="none"/>
                <w:lang w:val="en-US" w:eastAsia="zh-CN" w:bidi="ar"/>
              </w:rPr>
              <w:br w:type="textWrapping"/>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1DA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4BA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EB78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27F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92D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吊臂模组</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C377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1、吊臂由铝合金加工成型，表面和经环氧树脂粉末静电喷涂、高温固化处理，耐腐蚀，吊臂截面尺寸为80*40的D型管材，壁厚2mm；长度645mm。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2、吊臂模组可由总控系统控制升降，不使用时可收于吊舱之内，起到防止阻挡视线的功能。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3、吊臂模组可以实现单独控制、分组控制和整体控制。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4、在吊臂升降中，如遇障碍物可以实现回弹、或停止，避免出现机械故障或人员夹伤。</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0B7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C7F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0DAF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B75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CE6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吊臂控制系统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A770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摇臂接收智能控制系统信号实现远程遥控，动力采用直流24V减速低压电机。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1、可通过总控系统对实验室的吊臂进行控制，可以实现单独控制、分组控制。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2、系统自带障碍物保护功能，具有防夹，防卡功能，当摇臂在运动的过程中遇到障碍物时会自动停止，具有过流保护功能。</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4D5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10C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5A018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5A2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876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吊舱端头模组</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960D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规格：300mm×550mm×240mm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整体采用1mm冷轧钢板经数控折弯成型。连接处采用3mm冷轧钢板加固，整体框架为一体式结构.</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B0F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6DF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323A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897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1BB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电源分组控制系统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6B47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1、可通过电源控制系统控制学生电源的220V供电的开启和关闭，可以实现单独控制、分组控制。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2、可通过电源控制系统控制选择学生电源的电源交、直流输出的开关。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3、可通过电源控制系统锁定学生电源的低压交直流输出，锁定后受控学生电源不能修改。可锁定学生低压交直流输出上限，锁定后只可向下调整电压，解锁后学生方可自由调节。</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EA1D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75B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A473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B56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A7A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学生电源</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5CA8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1、学生电源安装于吊臂模组末端ABS塑料壳体之上。美观大方，壳体正面由钢板加工成型并贴面板膜，文字符号清晰，按键分布合理。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每个吊臂上安装两组学生电源，分别有低压交、直流输出香焦插座，五孔插座4个、过载短路复位开关1个，网线插孔2个，急停按钮1个。学生用电源设（∧、V、AC/DC按键、过载按任意键复位），2组1.3寸OLED显示屏，显示电压和电流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学生用电源参数符合JY/T0374一2004标准中低压输出标准要求。符合以下性能要求：a.交流输出：电压0∨-30Ⅴ、显示±0.5V，每0.5V一档，可随负载变化自动稳压，0V-18V额定电流3A，18V-30V额定电流2A。b.直流稳压输出：电压0V-36Ⅴ、显示±0.2V，连续无极可调，每0.1V递增，0V-16V额定电流2A，16.1V-36V额定电流1A。电压稳定性：≤2%U标+0.1Ⅴ，负载稳定性：≤2%U标+0.1Ⅴ，波纹电压：电源电压保持220V，达到额定电流时&lt;3mV。c.电压电流：可实时输出电压和电流，电压分辩率0.1V，电流分辩率0.01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备过载保护功能：交流输出0V-18V输出3.2A、16.1V-30∨输出2.2A，直流稳压输出0∨-16V输出2.1A、16.1V-36V输出1.1A，当输出过载或短路时电源进入恒流状态延时1分钟后自动关闭输出，并能启动不大于额定电流的白炽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5、电源输入：AC220Ⅴ±22V，50H±0.5Hz。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6、工作环境条件，温度0~40℃；湿度≤90%（40℃），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7、连续工作时间：输出电流在额定电流范围内，允许8小时连续使用。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8、急停按钮：单个吊臂使用端用电异常时，可快速切断此吊臂高低压电源。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9、国标五孔插座：带安全防护门，额定电流5A。交流220V输出有过载短路复位开关，避免因保险丝熔断更换造成的麻烦。</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359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707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r>
      <w:tr w14:paraId="67D93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B1F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828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给排水控制系统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DFC5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自动排水模块1组、水模拟量控制器1组、电源控制器1套、自动保护系统1组。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所有排水由智能化控制系统集中控制，接口均采用自动锁紧插拔式连接方式（拔掉时没有污水流出），用时接上，不用时可收起。连接软管采用防爆PVC橡胶塑料，具有防酸、防碱、耐腐蚀功能，当学生水槽柜下方水箱水量达到一定值时系统自动排水、污水经过连接管排至顶部排水管总管后流出，当水槽柜下方水箱污水排净后排水系统自动关闭。控制系统设置一键排空功能，可一键将管道内所有的污水排空。</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BC2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152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9AD9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1B7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4D0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给排水模组</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52F1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1、给排水接口采用PVC材质，具有耐酸碱，拔插轻松，不生锈；即插即用，具有高密封性能，即使在供水排水工作时，随时拔掉接口不会有任何滴漏现象。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2、给水主管选用φ20-32mmPP-R给水管，模块化设计，每组模块间采用活接式连接，方便安装、检修。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3、排水管选用加厚φ50-75mmPVC-U国标管（具有防酸、防碱、耐腐蚀功能），模块化设计，每组模块间采用活接式连接，方便安装、检修。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4、给水主管前端为减少水中颗粒物设置前置过滤器。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5、单个模组设置4分电磁阀。</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A0E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963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E613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5A6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C5B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实验室灯</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D274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规格：长1200mm×宽300mm×高15mm/长600mm×宽600mm×高15mm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1、功率：36W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2、色温：5000K±200K</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3、显指：Ra≥95,R9≥80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4、整灯光通量：≥3200LM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5、蓝光：RG0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6、频闪：无显著影响水平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7、防护等级：IP40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8、寿命：50000h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9、质保：5年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10、结构：金属底壳+微晶出光板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11、安装方式：吊装/嵌装</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AB2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9F6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盏</w:t>
            </w:r>
          </w:p>
        </w:tc>
      </w:tr>
      <w:tr w14:paraId="3B035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B7E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E39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安装支架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DA4E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采用专业连接件、吊装专用支架、三角连接件、吊装实验室专用安装支架和墙顶连接件、吊装挂件等。</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675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E36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w:t>
            </w:r>
          </w:p>
        </w:tc>
      </w:tr>
      <w:tr w14:paraId="63F3D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442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9DC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系统调试</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82EE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1.吊顶式安装系统采用模块化结构设计，采用吊装安装方式。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2.系统结构调试。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3.系统控制调试。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4.供电系统调试。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5.照明系统调试。</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7DC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DBA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6EDA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FCC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1E7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系统安装辅件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A7D2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采用门型框架安装方式，减少楼板承重，防止左右晃动。主要辅件有：吊装专用支架、三角连接件、吊装实验室专用安装支架和墙顶连接件、吊装挂件等。</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BC4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CAD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1AC47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571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F64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安装与实施</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AA5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需要提供根据项目地的设计布局图、水电风路图等施工图纸。实验室水路布线系统铺设、电源布线系统铺设、台案安装，不包含土建。</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540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BE8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ACF4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6C7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906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仪器柜</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12FD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规格：长1000mm×宽500mm×高2000mm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1.柜体：侧板、顶底板采用改性PP材料模具一次成型，表面沙面和光面相结合处理，保证柜体之坚固及密封性，耐腐蚀性强，顶板、底板预留模具成型排风孔。底部镶嵌15mm*30*1.2mm钢制横梁，承重力强。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2.下柜柜门：内框采用改性PP材质模具一次成型，外嵌5mm厚钢化烤漆玻璃。上下拉手及三角对称五点固定，防止玻璃的松动或开合。伸缩式PP旋转门轴，四角圆弧倒角，内侧弧形圆边，配锁。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3.上柜柜门：内框采用改性PP材质模具一次成型，外嵌5mm厚钢化烤漆玻璃，中间烤漆镂空制作。上下拉手及三角对称五点固定，防止玻璃的松动或开合。伸缩式PP旋转门轴，四角圆弧倒角，内侧弧形圆边。配锁。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层板：上柜配置两块活动层板，下柜配置一块活动层板，层板全部采用改性PP材料模具一次成型，表面沙面和光面相结合处理，四周有阻水边，底部镶嵌两根15mm*30*1.2mm钢制横梁，承重力强。整体设计为活动式，可随意抽取放在合适的隔层，自由组合各层空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5.拉手：采用改性PP材料模具一次成型，直角梯形四周倒圆与柜门平行，开启方便。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6.门铰链：采用改性PP材料模具一次成型，伸缩式PP旋转门轴，永不生锈，耐腐蚀性好。</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55F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151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r>
      <w:tr w14:paraId="4078B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3282E">
            <w:pPr>
              <w:jc w:val="center"/>
              <w:rPr>
                <w:rFonts w:hint="eastAsia" w:ascii="宋体" w:hAnsi="宋体" w:eastAsia="宋体" w:cs="宋体"/>
                <w:i w:val="0"/>
                <w:iCs w:val="0"/>
                <w:color w:val="auto"/>
                <w:sz w:val="20"/>
                <w:szCs w:val="20"/>
                <w:highlight w:val="none"/>
                <w:u w:val="none"/>
              </w:rPr>
            </w:pPr>
          </w:p>
        </w:tc>
        <w:tc>
          <w:tcPr>
            <w:tcW w:w="478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12F482">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生物学创新实验仪器</w:t>
            </w:r>
          </w:p>
        </w:tc>
      </w:tr>
      <w:tr w14:paraId="7088D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920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51A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电子显微镜</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392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一、显微镜参数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1.目镜：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①宽视野WF10X目镜；视野直径18mm,工作距离24.95mm。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②目镜放大率准确度不超过±4.67%。</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2.物镜：DIN消色差物镜系统。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①成像清晰圆直径：4X:≥13.7；  10X:≥14；40X:≥13.6；100X:≥11.0。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②齐焦允差：10X→4X: ≤±0.028；10X→40X: ≤±0.018；40X→100X: ≤±0.015。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③10X物镜景深内偏摆：≤0.05mm。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④显微镜物镜放大准确度：≤±2.8%。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3.物镜共轭距离：195mm。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4.观察头：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铰链式三目头，30°倾斜，可以360°自由转动。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双筒的调节范围为55mm-75mm。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倾斜式目镜筒作360°旋转时目镜焦平面上像中心的位移≤0.45mm。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5.转换器：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滚动轴承结构，定位准确保证显微镜齐焦和中心统一。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转换器稳定性：≤0.020mm。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6.载物台：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双层机械式载物台，面积125*125mm。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X,Y方向移动范围40*60mm;移动精度0.1mm。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用机械使标本在5mm*5mm范围内移动时的离焦量≤0.010mm。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载物台侧向受5N水平方向作用力最大位移≤0.005mm；不重复性≤0.005mm。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7.聚光镜：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阿贝聚光镜(N.A:1.25)。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聚光镜上升到最高位置，顶端低于载物台表面的距离≤0.26mm。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8.调焦系统：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采用粗、微同轴的齿轮齿条调焦机构。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微调机构空回≤0.008mm。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9.光源系统：3.5V/1W LED光源，可通过调光拨盘调节照明亮度， LED灯光柔和寿命长（约100000小时）安全性好，发热少。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10.双目系统：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左右两系统放大率差≤1.35%。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双目系统左右两像面光谱色一致，明暗差≤12.8%。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双目系统左右视场中心偏差：上下≤0.14mm;左右外侧≤0.20mm；左右内侧≤0.20mm。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双目系统左右光轴平行度：水平发散≤36′；水平汇聚≤16′；垂直交叉≤22′。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⑤ 零视度时，左右系统的目镜端面位置差≤0.20mm。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二、一体式数码液晶屏摄像系统: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11、机身一体化设计,仪器打开包装箱通上电源即可呈现镜下图像，无需再进行目镜、物镜及其他部件的组装；液晶屏与机身一体式设计，拆开包装，液晶屏与机身已完好连接非分体式设计。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12、一体化数码摄像系统，1/2.8 英寸逐行扫描传感器，高清晰彩色芯片， 2592*1944 像素 CMOS 感光芯片。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13、10.1 寸液晶显示屏，分辨率≥1920*1200；支持UVC、 USB 、HDMI接口输出。USB座可以正常连接电脑，实现电脑与显微镜之间的数据传输；支持 UVC 和显示屏同时输出；HDMI导出全高清数字信号。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14、嵌入式LINUX系统；运行更简单，操作更便捷。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15、具备WIFI6功能，支持AP模式和STA模式；AP模式可以无线连接手机、平板等智能终端设备，STA模式下可以组成无线互动系统。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学生端直接通过图像传感器经CPU处理后直接驱动LCD屏幕显示；有效防止因学生误操作断开网络等原因中断信号，确保图像品质以及稳定性。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内置式显微镜数码头具备网络数据连接功能，可将将64台数码显微镜图像，经过高速传输处理器汇聚处理后，教师可通过图像互动系统，实现多视频实时传输、实时显示，保证速度流畅、画质清晰。</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C5FA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B8C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78181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442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B2F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光学显微镜</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6664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1.目镜：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①宽视野WF10X目镜；视野直径18mm,工作距离24.95mm。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②目镜放大率准确度不超过±4.67%。</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2.物镜：DIN消色差物镜系统；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①成像清晰圆直径：4X:≥7.2；  10X:≥7.4；40X:≥6.8；100X:≥4.8；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②齐焦允差：10X➝ 4X: ≤±0.035；10X➝ 40X: ≤±0.028；40X➝100X: ≤ ±0.028；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③10X物镜景深内偏摆：≤0.05mm；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④显微镜物镜放大准确度：≤±1.2%。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3.物镜共轭距离：195mm。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4.观察头：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铰链式双目头，30°倾斜，可以360°自由转动；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双筒的调节范围为55mm-75mm；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倾斜式目镜筒作360°旋转时目镜焦平面上像中心的位移≤0.48mm。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5.转换器：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滚动轴承结构，定位准确保证显微镜齐焦和中心统一；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转换器稳定性：≤0.025mm。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6.载物台：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双层机械式载物台，面积125*125mm;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X,Y方向移动范围40*60mm;移动精度0.1mm；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用机械使标本在5mm*5mm范围内移动时的离焦量≤0.012mm；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载物台侧向受5N水平方向作用力最大位移≤0.05mm；不重复性≤0.005mm。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7.聚光镜：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阿贝聚光镜(N.A:1.25)；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聚光镜上升到最高位置，顶端低于载物台表面的距离≤0.4mm。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8.调焦系统：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采用粗、微同轴的齿轮齿条调焦机构；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微调机构空回≤0.006mm；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9.光源系统：3.5V/1W LED光源，可通过调光拨盘调节照明亮度， LED灯光柔和寿命长（约100000小时）安全性好，发热少。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10.双目系统：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左右两系统放大率差≤0.40%；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双目系统左右两像面光谱色一致，明暗差≤16.5%；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双目系统左右视场中心偏差：上下≤0.12mm;左右外侧≤0.12mm；左右内侧≤0.10mm；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双目系统左右光轴平行度：水平发散≤26′；水平汇聚≤18′；垂直交叉≤15′；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⑤ 零视度时，左右系统的目镜端面位置差≤0.18mm。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16.两镜臂中间设置有DC5.5*—2.5mm母头，可插入外置LED上光源做体视显微镜使用。</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F086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ECF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1881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D37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CB4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数据采集器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C898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1、模块化结构，透明外壳设计，内含状态、电源指示灯；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2、与计算机采用USB2.0通讯协议，四路全数字通道，单通道最大采样率20KByte，采集器最大采样率80KByte，数字通道采样精度达5微妙；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3、通过USB接口供电，无需外接电源，所有端口具备防静电保护功能；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4、与传感器采用BT自锁接口，支持热插拔，即插即用，传感器可以任意组合，采集分辨率12bits；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5、内置双处理器主板，CPU主频48Mhz；支持有线/无线状态下的四通道并行采集；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6、采用插接式结构，可根据实验教学需要，方便有线、无线工作模式切换。</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23FE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A5D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1C675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D16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42B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无线接口</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B75A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1、模块化结构；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2、采用无线方式接入四种相同或不同的传感器并支持四通道并行采集，全数字通道；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3、与数据采集采用SATA接口连接；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4、无线接口自带指示灯，可指示传感器连接通道。</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2193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CC4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5EB1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604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FEF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传感器无线发射模块</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C874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1、模块化结构，独立无线传输模块，协议传输，20m内互不干扰。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2、自动识别，通过与各种传感器组合使之具备与采集器的无线通讯功能，可实现多通道长距离无线传输，满足实验教学需求。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3、连接插口采用通用BT接口，具有方向性和自锁功能，可以防止传感器脱落保证数据传输稳定，支持热插拔，可连接专用充电线进行充电。</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B4EC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9CA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54F8B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A78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FC4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传感器数据显示模块</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29B1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1、模块化设计既可以与传感器通过BT接口连接，也可以与计算机通过USB直接连接。数据的获取和上传无需通过数据采集器即可实现；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2、自带≥1.8寸彩色LED屏，可实时显示传感器数据；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3、自动识别传感器及测量范围和分度。无需按键调控，简洁、美观、实用，减少因按键失灵造成的实验功能缺失；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4、接口采用BT接口连接，自带锁扣，有效防止脱落。同时具有单向连接属性，避免因连接失误导致的数据传输失败。支持热插拔，使用寿命：≥10000次插拔；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5、自带≥8M内存；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数据上传有线模式：数据显示模块自带miniUSB接口，可与计算机连接。通过软件将数据上传并自动绘制变化图像。导出数据以Excel形式保存，图像可以图片的形式保存。可用于编制实验报告上传至实验评测系统进行数据统计及分析（也可结合学校实际情况上传至云端服务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7、数据上传无线模式：设备自带X二维码，可用移动手持终端（手机、平板等）通过移动端实验软件扫描，导出实验数据，并绘制变化图线；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8、自带可充电锂电池，最大电池容量不低于1100MAh。全铜触点，双保电芯，自动锁电。3.7V。满电最大待机续航时间≥240h。可通过专用充电器完成充电，也可通过数据上传有线模式完成充电。</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70C7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3E5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A933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803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D7C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传感器转接模块</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625E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两端分别是BT接头与BT接口转换器，用于特种传感器与无线发射模块或数据显示模块的转接</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83B6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994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4A1B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0FF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98D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温度传感器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26A1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1、测量范围：-50℃～200℃；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3、不锈钢探针，可测各种物体或溶液的温度；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7615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970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30D3F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346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558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相对压强传感器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4DDC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1、测量范围：-20kPa~+20kPa；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 kPa；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3、可用于测量气体的相对压强；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1998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35D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286AF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978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7F6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相对湿度传感器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1A3D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1、测量范围：0～100%；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3、测量灵感件置于探管中，便于测量罐体的湿度值；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D44A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434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C5AF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5DE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B64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pH传感器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3313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1、测量范围：0-14；</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3、具有快速响应的特点，测量数据能在5秒内达到真实值的90%， 10秒内稳定；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754C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B77D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1FE1A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588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763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多量程电导率传感器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ED51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1、测量范围：0~20000μS/cm；分度：10μS/cm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测量范围：0~2000μS/cm；分度：1μS/cm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测量范围：0~200μS/cm；分度：0.1μS/cm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CCB0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388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77EB0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BF3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8E7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氧气传感器B</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B180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1、测量范围：0～30%；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3、自带硬件校准按钮；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34A2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55E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25548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31E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303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溶解氧传感器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4A75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mg/L～20mg/L；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 mg/L；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3、带有温补功能；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5DA8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BC7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0EFE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D9B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6F3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二氧化碳传感器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3D8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ppm～50000ppm；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2、分度1ppm；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3、红外原理，为保证测量数据准确性和时效性，要求该传感器采用泵动循环，方便气体循环；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1D63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346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4B2D3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C40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9E2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色度传感器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3D63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1、测量范围：透光率0～100％；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2、分度：0.1％，三波长光源（R、G、B）测量；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544C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AA2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48D0F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1AE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4CF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二氧化硫传感器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EC53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ppm～20ppm，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 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210C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F74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3D3C2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72A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960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气态酒精传感器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8FF4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1、测量范围：0mg/L～2mg/L；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09E6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F2F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07F1C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185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67D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心电图传感器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611A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1、测量范围：-5mV ～5mV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2、用于生成EKG曲线，能清晰的显示出人体P波、QRS波、T波与U波，可通过RR间期计算出心率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3、尺寸：不大于80mm*41mm*25（±5mm,不含电极夹具）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382F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B3A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67B0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15B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264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心率传感器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9FF1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1、测量范围：0次～200次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2、可通过专用软件实时显示心率大小以及心电心率波形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3、尺寸：不大于80mm*41mm*25（±5mm,不含电极夹具）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▲提供省级或以上教育相关部门出具的检测报告（复印件加盖厂家公章）</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C46E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01C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AA83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280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F01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呼吸率传感器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3744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1、满足人体生理特征；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7842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025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BDBD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A85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9CF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红外温度传感器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D40C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1、测量范围：-70℃~+380℃；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3、不锈钢探针，可测各种物体或溶液的温度；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3376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621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4A932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017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08F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压强传感器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AFF6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kPa～700 kPa；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 kPa；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3、自带传感器固定卡槽和螺口，便于和配套实验器材固定；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配件：20ml注射器</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DCA4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AB8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47B7D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7AC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19A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微电流传感器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1421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1、测量范围：-5μA～5μA；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2、分度：0.01μA；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3、鳄鱼夹导线，便于与多种电学仪器连接；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8DEE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5D9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77B2B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A13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CE9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氧气传感器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5C49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1、测量范围：1～100%；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3、自带硬件校准按钮；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7953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037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19817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060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834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二氧化碳传感器B</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1FED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1、测量范围：0~100000mL/m3；</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2、分度：1mL/m3用于检测气体中二氧化碳含量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3、自带硬件校准按钮；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31C0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068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5C577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5C0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16F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溶解二氧化碳传感器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D456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1、测量范围：4.4 ppm ~1800ppm；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 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3、可检测水中二氧化碳含量；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131C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5CF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5D91D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774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C8E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双量程光照度传感器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BBA4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lx～5000lx～50000lx，分度：1 lx、10 lx；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2、连接插口采用BT接口，具有方向性和自锁功能，可以防止传感器脱落保证数据传输稳定；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3、支持与采集器的有线通讯、无线通讯和彩屏独立数据显示三种工作方式，支持热插拔；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4、可在windows、iOS、鸿蒙和安卓系统（手机或平板）下分别进行实验。</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520E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CE4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31208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94F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FF9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甲烷传感器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2AF8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3、可检测气体中甲烷含量；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A302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071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400AA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6DF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988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一氧化碳传感器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81C4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1、测量范围：0～1000ppm；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2、分度：1ppm；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A235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917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32A39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C54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8EB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学生健康指标测量系统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CD1D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由采集器、呼吸率传感器、皮肤电阻传感器、心电图传感器、血压/心率传感器、耳蜗式无线体温传感器、充电器、数据线、收纳袋及APP组成。可同时测量体温、血压、心率、呼吸率、皮肤电阻、心电图共6项人体生理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307A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2D5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12C98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CC5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C1E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磁力固定座</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D4B5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三角型底座配三个强力磁铁，铝合金支柱，适用于固定较大型实验器材</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C317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76D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A8D1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40B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453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多用途生化传感器支架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BE02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41BA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05B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1FCF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A5A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9C0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多向转接头</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DE6E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配合各类传感器和辅材可进行多向固定</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81F9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7FB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9439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20E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71B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磁力搅拌器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57C8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电源：AC220V±10%；搅拌转速：0～1500r/min；最大搅拌容量：1000ml；加热功率：200W；适合中和滴定、溶液多种参数测量实验。</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D35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A90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C0D9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758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358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溶液稀释池</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9DFA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倒置三角烧杯结构，上端开口，底端封闭，配合实验室匀速滴管使用。用于稀释倍数较大，且对初始溶解有一定量要求的化学实验;</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F624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26D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BD37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715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6F9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气液相密封实验器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948F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与生物化学传感器密闭连接，可完成陆水生植物光合作用、种子萌发、呼吸作用、酶的特性等实验；</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461A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912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5E5F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15C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256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袖珍生化密封实验器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2EB6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与生物化学传感器密闭连接，可完成陆水生植物光合作用、种子萌发、呼吸作用、酶的特性等实验</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56B3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487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0AEF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C5A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E9E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酶的高效性实验器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6FE9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由Y型管和胶塞总成构成，配合相对压强传感器使用进行生物酶的特性等实验。</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53D0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6D6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58B2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B0F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848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多用途密封塞</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FA49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配合压强传感器、温度传感器、二氧化碳传感器、氧气传感器使用，可以与实验室常用玻璃容器结合。</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B091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ACE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5C46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F09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8D7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数字化实验软件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0205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1、为数字化实验分析软件软件。用于数据收集和结果分析。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2、包含教材通用软件、物理教材专用软件、化学专用软件、生物专用软件、传感器校准软件与数据导入软件六个部分。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2.1、通用软件：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还支持打印机直接引用（无需退出实验软件），进行结果打印。实验结果可通过Excel形式进行保存。也可将保存的数据多次调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（4）实验录制：可同时将实验操作过程和软件的实验界面进行同屏录制，实现了实验现象和数据的对应。解决了数字实验无现象的难题（为减少软件操作复杂性，用其他软件录屏视为功能性缺失。）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物理专用软件：界面简洁、风格独特、一键OK的特点。思涵盖了人教、粤教、鲁科等教材的重点实验。明确了实验题目，使用时直接接入传感器即可。大大的方便了课堂教学。实验完全符合现行教材，用户可直接根据教材进行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2.3、化学专用软件：涵盖了初高中重点实验，起到温故知新的作用。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2.4、生物专用软件：涵盖了初高中重点实验，起到温故知新的作用。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2.5、传感器校准软件：根据国际计量公用应用规范，针对生物、化学传感器进行校准，以减少误差，提高精度。应用于PH、溶解氧、色度、浊度、氧化还原等传感器。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2.6、数据导入软件：和数据显示模块配合使用，将数据显示模块的数据导入电脑进行长期保存和数据处理。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3、应用平台：支持windows、Android、iOS系统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82B0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923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4875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04C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912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附件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F9F7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1、含USB通讯线1条、转接器4只、传感器线4条；两端为BT插头，插口具有方向性和自锁功能插接方便、配合严密、方便教学；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2、彩色印刷版高中实验指南书，有详细实验案例介绍（实验器材、实验装置图、实验操作步骤等）。</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AF3D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B1D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EE5A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C96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8D0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铝合金箱</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C628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尺寸≥510*340*175（mm），由铝合金主架、铝塑板面构成，内设隔断海棉内衬传感器铝合金实验箱</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7593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FCF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E88E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B72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24F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计算机数据采集处理系统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3376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CPU：不低于Intel酷睿13代I7处理器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液晶屏：≥15.6” FHD LED防眩光液晶显示屏（1920x1080），配置合金转轴，屏幕180度开合，更加牢固、美观、耐用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卡：支持高保真, 内置麦克风，双扬声器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内存：≥16G DDR5 5200MHz内存，双内存插槽设计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硬盘：≥512G SSD PCIe-NVME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无线网卡：RJ45千兆有线网卡，802.11 AX 2x2无线网卡（支持WIFI6协议）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标准接口：不少于3个USB接口（含1个全功能type-c接口）HDMI接口、耳麦二合一接口、HDMI2.0接口、耳麦二合一接口、RJ45接口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摄像头：720P高清摄像头，支持物理防窥功能，保护个人隐私安全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标配电池: 内置≥47WHr锂电池电池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操作系统：原厂正版Windows 11 或以上操作系统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6576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0BA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F260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2AE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C1F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超净工作台</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457D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1、主体采用冷轧钢板静电喷涂工艺，耐酸碱，美观大方，垂直层流送风，防止操作室内部样品相互交叉污染，45度下倾式操作面板，便于实验操作时进行调节；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2、工作台面选用优质304不锈钢材质，美观、易清理、耐腐蚀；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3、4.3寸嵌入式液晶彩色触摸屏控制,可显示温度、湿度、光照度，具有温度补偿功能，开启温度补偿键，进行温度补偿，便于湿冷环境的操作；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4、显示开机时间和持续运行时间；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5、可以预约杀菌时间，节约实验准备时间，具有杀菌定时功能；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6、洁净等级：100级，0.5μm；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7、菌落数：0.5个/皿·时(Φ90mm 培养平皿)；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8、光照度：300LX；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9、单向交流：220V/50Hz；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10、最大功耗：0.3kW，内有紫外杀菌接种器接入电源，振动半峰值 ≤0.5μm(X.Y.Z方向)；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11、高效过滤器规格及数量：715mm×460mm×46mm（±20mm），一个；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12、荧光灯15W一个，紫外灯15W一个；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13、风速：0.25-0.45m/s(标配高、中、低档三速)；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14、噪声：62dB；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15、外型尺寸（长*宽*高）：850mm×600mm×1600mm（±20mm）；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16、工作区尺寸（长*宽*高）：700mm×550mm×520mm（±20mm）；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17、电源：AC220V/50Hz；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18、功率：不大于200W。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▲提供省级以上（含省级）质量检测机构检测报告复印件加盖厂家公章，参数第3、4、5、13、14、17、18项必须在出具的检测报告中体现。</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BB54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96D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8C37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77B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FE4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磁力搅拌恒温水浴锅</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70F8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1、孔数：四孔；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2、功率：800W；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3、控温范围：室温+5℃～99.9℃，温度均匀性：±0.5℃，水温波动±0.5℃；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4、数显；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5、外壳：不锈钢。不锈钢内胆拉伸成型，外壳静电绝缘喷塑；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6、控温系统：微机PID智能控制。延时控温装置。</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65EE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E00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40058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4CD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600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紫外线消毒灯</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7053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无菌室闪烁警示灯提醒装置，单独控制，独立线路，含安装。</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2349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700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2A9F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0D4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D8E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榨汁机</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4B6C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≥18000r/min，≥1.0L</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7532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824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68897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94F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66F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梯度基因扩增仪（科研型）</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E1B6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1、6个温度循环器专用长寿命Peltier模块，组成3组回路可独立控制3个温区；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2、模块类型：0.2ml×96孔；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3、适用管型：0.2ml，8联排管，12联排管，96孔微孔板，兼容无裙边、半裙边96孔PCR反应板；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4、温度范围：在0-105℃范围可调；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5、变温速率：：在0-5℃/秒可调；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6、温度均匀性：≤±0.2℃；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7、温度准确度：≤±0.1℃；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8、梯度宽度： 1-42℃；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9、控温方式：模拟管+模块；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10、电源适应性：仪器在220V±10%，AC50/60Hz供电条件下正常工作；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11、变温速度可调：是；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12、液晶显示：10.1英寸液晶屏+电容式触摸屏；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13、可存储程序数：机内20000+U盘储存无限制；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14、最大循环数：200；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15、断电保护：有；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16、宽电压范围：100-240VAC, 50/60Hz；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17、热盖温度：30℃-115℃可调；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18、热盖结构：自适应压杆式热盖，能完成合盖紧盖功能；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19、风道结构：前进后出式风道；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20、运行指示灯带：有循环亮和常亮模式可选；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21、操作方式：采用安卓操作系统，可使用触摸屏和鼠标操作使用；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22、实时显示程序进展及剩余时间，支持PCR仪运行中间编程；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23、一键快速孵育功能，满足变性、酶切/酶连、ELISA等实验需要；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24、内置多个标准程序文件模板，能快速编辑所需文件；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25、支持实验程序结束发送邮件提醒功能；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26、内置WIFI模块，用电脑或手机通过网络连接可实现一机同时控制多台PCR仪；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27、支持U盘升级软件；终生维护。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▲提供质量检测机构检测报告扫描件，参数第4、5、8、10、18、19、20、21项必须在出具的检测报告中体现；并提供厂家质保书复印件及加盖公章彩页样本。</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5DA0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4FF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0098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02C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C82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电泳仪</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15FF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四组输出，输出电压：2V～200V、输出电流：2mA～200mA，具有36V电压限制、稳压和稳流功能</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6F81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A3A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681B5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92C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863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DNA电泳图谱观察仪</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323A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非紫外光源，观察凝胶面积＞100mm×100mm</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66E6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37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7A449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444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734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水平电泳槽</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8699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1、适用鉴定、分离、制备DNA及测定其分子量；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2、专用制胶器模具成型，制胶方便；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3、透明上盖开孔式设计，便于散热，方便观察；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4、凝胶托盘带有荧光标尺，便于观察；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5、高柔韧性双色导线，开盖断电，确保安全；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6、聚碳酸酯注塑成型，无渗漏桥式设计，节省缓冲液；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7、耐高温，不变形限位功能，操作准确；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8、可拆卸电极架及电极头，方便彻底清洗和维修；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9、凝胶面积（W×L）：60×60（mm）；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10、样品通量：（1.0mm厚）8、14；（1.5mm厚）8、14齿；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11、缓冲液容积：～260（ml）；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12、外形尺寸（长*宽*高）： 270mm×115mm×110mm（±20mm）。</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ACE1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7BC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0C5C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277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5A2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微量移液器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30C0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1、人体学的手柄挂钩设计,；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2、管嘴弹出按钮设计轻巧，PP退管装置；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3、清晰的显示读数窗口，量程连续可调；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4、管嘴化学材料具有极好的耐化学腐蚀性，整支灭菌；</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5、五种规格为一套，量程分别为：0.5-10μL、10-100μL、20-200μL、100-1000μL、1000-5000μL。</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B8BB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FC8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5DBB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997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BA5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微量离心管（0.2ml和0.5ml）</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6E28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0.2ml和0.5ml各1000个</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F5D3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BE4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r>
      <w:tr w14:paraId="17373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F5F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C3E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台式高速离心机</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3B00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1、整机设计符合人机工程学，流线型设计，全钢结构，不锈钢离心腔，安全美观实用；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2、TFT真彩大屏幕触控液晶显示，智能化控制、简单方便地操作、触摸面板，同时显示设定参数和运行参数；                                                                                                                 3、无刷直流变频电机驱动，运行宁静；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4、设有离心力切换专用键；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5、采用静音机电，一体化电机门锁；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6、设有减震装置，减少振动，运行平稳，噪音≤54 dBA；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7、10种升、降速率选择，最快升速30秒，最快降速30秒；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8、技术参数：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标配角转子：12×1.5ml；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最高转速:16500r/min；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最大离心力:18780xg；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电机：无刷直流变频电机；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定时范围:0-99h59min。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▲提供省级以上（含省级）质量检测机构检测报告复印件加盖厂家公章，参数第4、5、8项参数必须在出具的检测报告中体现。</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2D22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0D0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1D17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8E8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8B5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台式低速离心机</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C376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1、采用直流无刷电机，单片机控制,转速,时间全数显,全触摸,可预选，自动平衡,电动门锁,操作简便；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2、最高转速：4000r/min；</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3、最大相对离心力：2100xg；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4、定时范围：0-99min；</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5、离心最大容量：12*5ml；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6、电源：AC220V 50Hz 10A 450w。</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F9E3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DEE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6C396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6BF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746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微波炉</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B31C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≥20L</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7E68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4EA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65C0D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FCD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A22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分析天平</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66E8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1、大屏幕：大屏幕TFT液晶显示器，提供丰富的称量显示信息，方便读取；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2、完全拆卸式结构设计，方便运输，用户使用时清洁方便；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3、显示模块、CPU数字处理模块、电磁机械传感器部分分离式结构设计，可避免相互干扰影响，提高仪器抗干扰精度；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4、用户操作：丰富的操作信息提示，帮助用户更高效的完成工作流程；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5、内置程序：标配的便于使用的内置应用程序，以用于各种称量任务具有零点跟踪和自动去皮功能；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6、卓越的红外感应操作系统，能让您“左右”互搏之间，可设置操作自动校正和去皮功能；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7、电磁平衡式传感器，仪器稳定性和运算速度都得到了提升；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8、全铝制底座设计，防止低频震动，增强称量稳定性；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9、实际分度值：0.1mg；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10、最大称量范围：200g；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11、可重复性标准偏差：0.0001g；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12、校准砝码值：200g；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13、类型：外部自动校准；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14、天平的外形尺寸：365mm×223mm×338mm（±20mm）；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15、天平的包装尺寸：500mm×310mm×450mm（±20mm）；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16、秤盘尺寸：Ф80mm；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17、风罩有效容积：160mm×165mm×200mm。</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AF99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B79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90AC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481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74F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研磨过滤器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E06F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容量20mL</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8DE7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88A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50214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46D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093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生物玻片</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FAD1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蚕豆叶下表皮装片、胞间连丝切片、迎春叶横切、黑藻叶装片、线粒体切片、酵母菌装片、水绵装片、大肠杆菌涂片、细菌三型涂片、草履虫分裂生殖装片、人血涂片、蛙血涂片、动物上皮细胞装片、骨骼肌纵横切、平滑肌分离装片、心肌切片、运动神经元装片、蝗虫精巢减数分裂切片、植物花粉减数分裂装片、正常人染色体装片各60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38E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B6D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r>
      <w:tr w14:paraId="1F645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85D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D44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植物细胞模型</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47B9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以洋葱表皮细胞为参考材料，长260mm，宽120mm，高65mm，材料釆用PvC环保树脂制作，置于白塑料色底板上。产品示细胞辟，细胞膜，细胞核，核仁和液泡等结构。</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8D4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EC0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6B77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299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D20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植物细胞模型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（真核细胞）</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BFA5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材料釆用PvC环保树脂制作，置于白塑料色底板上。产品示细胞辟，细胞膜，细胞核，核仁、粗面内质网、光滑面内质网、叶绿体、线立体、和中央液泡等结构。长115mm，宽40mm，高16mm，</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4CC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35A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9360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572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D91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植物细胞模型</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3E6A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PvC吸塑制造</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A71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03A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8A88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3B6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6F2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细胞器结构模型6件组成</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94C4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pvC环保硬树脂制造，叶绿体长240mm高150mm，高尔基体长250mm高100mm，线立体长160mm高80mm，内质网长90mm，宽90mm</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DDC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600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E8C8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34C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71B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动植物细胞有丝分裂及减数分裂模型</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3208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动物细胞﹕1间期、2前期早期、3前期、4中期、5后期、6未期、各个别阶段组成。植物细胞﹕1间期、2前期联会阶段、3四分体阶段、4中期、5后期、6未期各个阶段组成。</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2A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E9B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BC83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9FA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F8E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细胞亚显微结构模型</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682E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PVC材质。显示细胞核、细胞质等，产品尺寸﹕175mm*210mm*230mm产品釆用环保PvC硬树脂制造。</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A26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5DC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1B96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1D9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82B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动植物细胞对比模型</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CDA2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动植物细胞对比模型 PVC制。植物模型长15cm，宽9cm；动物模型长14cm，宽11cm。</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8FE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481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73F0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9C8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FFB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细胞膜结构模型</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0F6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生物模型，放大1千倍用于讲解细胞膜结构结构。材质为PVC，无毒且环保耐用。产品尺寸；220mm*180mm*110mm。产品纹路清晰。</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8BB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C0D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A9CF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FC9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FC3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细胞膜结构模型</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E9D5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生物模型，用于讲解细胞膜结构结构。材质为PVC，无毒且环保耐用。产品尺寸；220mm*180mm*110mm。产品纹路清晰。</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7C0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F14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8B93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62D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C95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细胞膜流动镶嵌模型</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D63B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适用于高中生物课堂演示实验用；产品釆用环保PvC硬树脂制造。产品尺寸﹕340mm*150mm*150mm</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C6F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2F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FB64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E69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5BA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动物细胞模型</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B4AA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放大2000倍，1；原生质膜。2；细胞质。3；核。4；核膜，5；核仁，6；染色质，7；中心体，8；高尔基体，9；内质网，10；光滑的内质网，11；线立体，12；溶酶体，13；脂滴，14核糖体。产品尺寸﹕290mm*200mm*100mm,pvC环保硬树脂制造.</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32B3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EC1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件</w:t>
            </w:r>
          </w:p>
        </w:tc>
      </w:tr>
      <w:tr w14:paraId="3C883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8BB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1DC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动物细胞模型</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2667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放大数百倍，1；原生质膜。2；细胞质。3；核。4；核膜，5；核仁，6；染色质，7；中心体，8；高尔基体，9；内质网，10；光滑的内质网，11；线立体，12；溶酶体，13；脂滴，14﹕核糖体。产品尺寸﹕120mm*60mm*140mm,pvC环保硬树脂制造.</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0AF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22C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件</w:t>
            </w:r>
          </w:p>
        </w:tc>
      </w:tr>
      <w:tr w14:paraId="31131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AC9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D58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浸制标本</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84EE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脊椎动物五纲脑比较标本、脊椎动物五纲心比较标本、蛙的消化泄殖系统标本、鸽的消化泄殖系统标本、兔生殖系统标本、兔消化系统标本、兔神经系统标本、河蚌解剖标本、蚯蚓解剖标本、水蛭标本、沙蚕标本、海盘车标本、马面鲀标本、鲨鱼标本、比目鱼标本、沼虾标本、真鲷鱼标本、缁鱼标本、圆蛛浸制标本、蜈蚣标本、尺蠖拟态标本、珍贵植物标本各一件，菌类植物保色浸制10种。</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C68E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10E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r>
      <w:tr w14:paraId="52787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B7E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D38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温室改造</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1F89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1、拆除人行道：6cm透水砖140m2；新建厚10cm 宽度 0.8-1.2m 透水砖140m2；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2、金属（塑钢、断桥）窗更换2樘；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3、栽植高杆月季110株；塑料种植皿11组；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4、拆除及安装梯形塑料种植皿80m；塔形种植皿安装6组；螺旋形种植皿安装2组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5、安装50供水管30m；安装室内32供水管6m；过滤器1组；水喷淋(雾）DN25喷头21个；鱼水共生系统清理安装1组；防爆日光灯安装3套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6、程控柜调整调试1台；温室配套1组；其它费用</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C3C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B67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0D67D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22294">
            <w:pPr>
              <w:jc w:val="center"/>
              <w:rPr>
                <w:rFonts w:hint="eastAsia" w:ascii="宋体" w:hAnsi="宋体" w:eastAsia="宋体" w:cs="宋体"/>
                <w:i w:val="0"/>
                <w:iCs w:val="0"/>
                <w:color w:val="auto"/>
                <w:sz w:val="20"/>
                <w:szCs w:val="20"/>
                <w:highlight w:val="none"/>
                <w:u w:val="none"/>
              </w:rPr>
            </w:pPr>
          </w:p>
        </w:tc>
        <w:tc>
          <w:tcPr>
            <w:tcW w:w="478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D8124E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远程教学中心</w:t>
            </w:r>
          </w:p>
        </w:tc>
      </w:tr>
      <w:tr w14:paraId="5DD6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475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B97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高清AI录播主机</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749A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1.主机需具备录制、导播、自动跟踪、音频编码、视频编码、音频处理、视频处理、存储、点播、互动等功能；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▲2.视频接口：数字视频接口D-Video（RJ45）≥6，HDMI输入≥2，HDMI输出≥2路，分辨率均支持1080P@30fps(提供具有国家权威检测机构出具的检测报告复印件并加盖厂家公章);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▲3.音频接口：Linein接口≥2，Lineout≥2，数字音频接口D-Mic（RJ45）≥6(提供具有国家权威检测机构出具的检测报告复印件并加盖厂家公章)；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4.主机架构：整体采用嵌入式、标准1U机架式设计；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5.网络接口：RJ45≥1，支持100/1000M网络自适应及IPv4、IPv6双协议栈；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6.控制接口：RJ45≥2，支持RS232串行通信协议进行外接控制；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7.外设接口：USB2.0≥2；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8.系统存储≥2T；</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▲9.支持视频一线通，支持同品牌摄像机到录播主机端的视频采集和传输过程无需编解码、无画质损耗并实现≤100ms的声画同步(提供具有国家权威检测机构出具的检测报告复印件并加盖厂家公章)；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10.支持音频一线通；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11.视频录制兼容标准H.264，支持4K@30fps、1080P@30fps、720P@30fps，以及AAC音频编解码协议标准；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12.支持AI全场景跟踪；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13.支持录播主机配套同品牌摄像机支持在多机位接入的情况下所有画面高度同步；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14.支持标签设置；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15.支持录制模式和互动模式等独立音频场景设置；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16.支持内置互动模块，实现互动课堂教学应用，支持会议互动模式，可创建或加入大规模视音频实时互动；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17.支持FTP文件传输协议，主机录制生成的视频文件与应用平台实现自动归档上传；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▲18.为方便教师设计与制作精品课，所投录播主机生产厂家具有与国家级精品课程团队联合编写过针对“精品课”活动的立体化教材。(投标文件中提供图书在版编目（CIP）数据截图并加盖生产厂家公章)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▲19.高清录播主机提供厂家对此项目的参数证明函和售后服务承诺函。（投标文件中提供证明函并加盖生产厂家公章，格式自拟）</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1CD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045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6D113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0DD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49C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AI录播导播软件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2F85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1.便捷导播：软件需采用B/S架构设计，支持通过浏览器即可进行管理配置与操作，而无需额外安装客户端或APP；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2.分段录制：支持30分钟分段、60分钟分段两种分段录制方式，系统可在不结束录制的条件下根据分段时长自动将视频录制为多个分段文件；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3.录制存储：采用H.264/H.265的视频编码格式和MP4的视频封装格式，支持在断网情况下也可以进行视频录制并存储于录播主机中，也支持在联网情况下通过FTP自动上传视频文件；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4.导播模式：支持全自动、半自动、手动三种导播模式，且支持在录制、直播和互动过程中任意切换导播模式；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5.导播预览：支持对接入的所有画面进行导播预览，包括教师特写、教师全景、学生全景、学生特写、电脑画面等，电脑画面包括两路HDMI画面可切换，并支持点击预览画面即可切换为导播输出画面；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6.视频布局：支持二分屏、三分屏、画中画等布局，也支持自定义布局方式，且支持对布局内的每个画面窗口进行拖动、叠加、缩放和指定视频源的操作，实现灵活调整；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7.台标字幕：需支持在导播预览界面添加Logo台标与字幕，可自主上传Logo图标、设置logo位置、编辑字幕内容、选择字幕字体颜色与是否滚动显示，且后台管理设置可预设字幕作为备选，方便灵活调整与切换；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8.片头片尾：需支持片头片尾设置，可上传JPG格式图片作为录制默认的片头片尾画面，并可自定义片头片尾显示时长，支持片头片尾显示视频信息；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摄像机控制：支持对接入摄像机特写画面进行电子云台控制，包括画面上下左右移动、放大缩小变焦等操作。云台控制功能应具有鼠标快速定位功能，通过鼠标点击快速居中画面区域。也支持设置和调用摄像机预置位，支持不少于8个预置位；</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ECC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94E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C69D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AA6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28B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AI录播流媒体处理软件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8B30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1.要求软件在出厂时内嵌于录播主机中，且应具备自主知识产权；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2.录制模式：支持电影模式和资源模式两种录制模式。电影模式下支持将多路视频信号的复合成一路画面进行录制；资源模式下支持将接入的摄像机画面和电脑画面进行独立录制；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2.同步录制：支持外接存储设备（如U盘），实现在视频录制的过程中，自动同步录制多一份并存储至U盘中；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3.录制关联：支持在录制启动时自动关联开启直播和全自动跟踪模式；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4.视频管理：支持查看已录制的视频文件，并可按录制时间进行排序和按关键字检索查看，也支持对视频文件进行在线播放、下载、删除和FTP上传；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5.网络导播：支持通过浏览器即可访问并使用导播功能，而无需额外安装客户端或APP；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6.音量控制：支持在导播过程中进行音量控制，可调整相关输入输出的音量大小，且支持一键静音功能；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7.直播码流：需支持主码流和子码流高低双码流，且支持自定义清晰度、帧率和码流，主码流清晰度不小于1080P；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8.直播推流：支持不少于4路RTMP同步推流直播，并可自定义选择主码流或子码流进行推流直播；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9.直播模式：需支持RTMP直播、TS直播、集控推流直播等不少于3种不同直播模式，以适应不同场景直播需求；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10.权限管理：需支持对主机后台设置管理员用户与普通用户两种使用权限，普通用户无法进行相关参数与配置修改；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11.系统状态：支持在导播界面实时查看主机当前CPU温度、磁盘空间占用情况、视频录制的参数配置和正在录制的视频时长与大小等信息；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12.UVC/UAC功能：要求主机具备通过USB口直接输出音视频信号的能力，实现便捷的视频会议软件接入；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13.智能音频处理：支持音频采样率的设置，且支持AGC自动增益、ANS噪声抑制、EQ均衡、AEC回声抑制等音频处理功能；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14.录制码流：支持主码流和子码流的高低双码流录制，且支持自定义清晰度、帧率、码率和I帧间隔，支持动态比特率或静态比特率两种模式；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15.存储管理：需支持录像文件循环覆盖功能，开启循环覆盖功能后，录播硬盘在已存储90%的空间时，再次启动录制将删除录播内现存时间最早的录像文件以应对录制频率比较高的情况；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16.中英双语：需支持中英双语版本切换，适合不同用户的应用需求。要求通过网络导播界面即可便捷切换，无需进行更改授权、系统升级等复杂操作；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17.上电模式：需支持通电模式选择，实现主机通电后自动进入相应模式，包含但不限于自动开机、开机且休眠、不开机等模式；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18.版本管理：支持查看系统软件版本， 提供离线文件升级、网络在线升级和定时自动升级三种升级方式，且支持导出和导入系统配置文件；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19.安装信息：支持填写设备的安装信息，包括位置、所在学校、安装地点、联系人等；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20.休眠唤醒：需支持定时休眠唤醒功能， 提供精确到秒的自定义时间设置，可以单独设置是否定时休眠或者定时唤醒；</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377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51C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FFD9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05B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576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AI录播在线互动软件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E025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1.互动协议：需支持H.323、SIP 、BFCP、WebRTC等视音频互动协议技术，也支持内置互动模块，无需额外MCU类设备即可进行远程互动教学应用；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2.互动画质：支持1080P@30fps的高清互动画质，且支持设置互动码流，并支持基于SVC技术实现在不同网络状况下的画面质量自适应；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3.互动模式：支持互动授课模式和多方视频会议模式，授课模式支持主讲端查看所有听讲端画面并可控制听讲端的互动画面显示，会议模式支持二分屏、三分屏、四分屏等布局，也支持选择参会方进行轮巡显示；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双流互动：支持在实时互动过程中，可将教学场景信号与电脑课件信号以互相独立的信号进行传输，并最终在接收端可通过两路独立HDMI接口将接收到的教学场景画面与电脑课件画面同时分别输出到两个显示设备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5.发言权限控制：支持通过网络导播界面，主讲端在互动过程中对其余互动参与者的发言权限进行控制，支持单人禁言/开启以及全场禁言/开启的控制方式；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6.呼叫应答：需支持呼叫应答设置，满足不同互动场景的需要，包括自动应答与勾选手动应答两种方式；</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051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5A6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3B1A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F52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29F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高清全景AI摄像机</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1181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1.采用CMOS类型图像传感器，尺寸≥1/2.5英寸；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▲2.有效像素≥800万；视频分辨率：最大可支持3840×2160并向下兼容(提供具有国家权威检测机构出具的检测报告复印件并加盖厂家公章)；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3.支持自动和手动变焦，光学变焦倍数≥22倍；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4.具备机械云台可进行转动跟踪，水平转动速度范围不少于1.0°~94.2°/s，垂直转动速度范围不少于1.0°~74.8°/s；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5.支持H.265/H.264高清视频编码协议；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6.具备数字视频输出口（RJ45）≥1，HDMI视频输出口≥1；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7.具备RS232/RS422≥1、RJ45网络接口≥1，并支持100M/1000M自适应以太网接入与RTSP协议网络视频输出、Linein输入口≥1、具备USBType-A≥1；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8.支持VISCA/ONVIF协议；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9.具备背光补偿；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10.支持2D/3D数字降噪，信噪比≥55dB；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11.支持一线通，同品牌录播主机实现≤100ms的声画同步；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12.支持AI跟踪，根据AI智能算法，实现同一摄像机根据部署使用场景不同自动设置为教师、学生跟踪模式；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13.支持对锁定跟拍对象进行人脸特征与肢体双重认证识别；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14.支持在拍摄画面有显示设备或其他动态视频播放的情况下，自动启用AI抗干扰能力；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15.支持PTZ实时跟焦；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16.支持录播主机供电和DC12V电源适配器等供电方式；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17.要求摄像机与录播主机为同一品牌。</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F75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0E9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348E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EA1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BAE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高清全景AI摄像机跟踪拍摄软件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5414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1.采用B/S架构，支持通用浏览器直接访问进行管理；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2.支持曝光模式设置功能，包括自动、手动；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3.支持抗闪烁频率、动态范围、光圈、快门参数设置；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4.支持自动白平衡设置功能，红、蓝增益可调；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5.支持噪声抑制设置功能，支持2D、3D降噪；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6.支持摄像机图像质量调节功能，包括亮度、对比度、色调、饱和度；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7.支持图像水平、垂直翻转，适应摄像机不同的安装方式要求；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8.支持摄像机控制功能，包括云台控制、预置位设置与调用、焦距调节等，预置位数≥255；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依据录播主机设置的跟踪目标更新周期时间，被跟拍人员脱离跟踪拍摄区域后开始计时，到达更新周期时间后自动解除目标跟拍锁定，回归默认状态，待下一位人员进入画面中开始重新锁定跟踪(提供具有国家权威检测机构出具的检测报告复印件并加盖厂家公章)；</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D8E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227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19B3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D21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44A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高清特写AI摄像机</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0D34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1.采用CMOS类型图像传感器，尺寸≥1/2.5英寸；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2.有效像素≥800万；视频分辨率：最大可支持3840×2160并向下兼容；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3.支持自动和手动变焦，光学变焦倍数≥22倍；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4.具备机械云台可进行转动跟踪。水平转动速度范围不少于1.0°~94.2°/s，垂直转动速度范围不少于1.0°~74.8°/s；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5.支持H.265/H.264高清视频编码协议；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6.具备数字视频输出口（RJ45）≥1，HDMI视频输出口≥1；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7.具备RS232/RS422≥1、.RJ45网络接口≥1，并支持100M/1000M自适应以太网接入与RTSP协议网络视频输出、音频接口：Linein输入口≥1、USB接口：要求具备USBType-A≥1；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8.支持VISCA/ONVIF协议满足多种场景控制要求；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9.具备背光补偿；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10.支持2D/3D数字降噪，信噪比≥55dB；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11.支持一线通连接，摄像机供电、控制以及视频信号传输，同品牌录播主机实现≤100ms的声画同步；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AI跟踪，实现水平运动、俯仰运动、变焦、聚焦四维实时跟踪等人像自动跟踪功能；根据AI智能算法，实现同一摄像机根据部署使用场景不同自动设置为教师、学生跟踪模式(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13.支持对锁定跟拍对象进行人脸特征与肢体双重认证的交叉识别，在多人同时进入拍摄画面的情况下，持续锁定跟踪对象，不出现跟丢和误跟的情况；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▲14.支持在拍摄画面有显示设备或其他动态视频播放的情况下，自动启用AI抗干扰能力(提供具有国家权威检测机构出具的检测报告复印件并加盖厂家公章)；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15.支持PTZ实时跟焦；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16.支持录播主机供电和DC12V电源适配器等供电方式；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17.要求摄像机与录播主机为同一品牌。</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CFA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AEE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4DD39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92B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AC1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高清特写AI摄像机跟踪拍摄软件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F1A8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1.摄像机传输处理软件需采用B/S架构，支持通用浏览器直接访问进行管理；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2.需支持曝光模式设置功能，包括自动、手动；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3.需支持抗闪烁频率、动态范围、光圈、快门参数设置；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4.需支持自动白平衡设置功能，红、蓝增益可调；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5.需支持噪声抑制设置功能，支持2D、3D降噪；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6.需支持摄像机图像质量调节功能，包括亮度、对比度、色调、饱和度；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7.需支持图像水平、垂直翻转，适应摄像机不同的安装方式要求；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8.需支持摄像机控制功能，包括云台控制、预置位设置与调用、焦距调节等，预置位数≥255；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11.需支持依据录播主机设置的跟踪目标更新周期时间，被跟拍人员脱离跟踪拍摄区域后开始计时，到达更新周期时间后自动解除目标跟拍锁定，回归默认状态，待下一位人员进入画面中开始重新锁定跟踪；</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43A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BB6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89C2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945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53B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高清板书AI摄像机</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F760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1.传感器：要求采用CMOS类型图像传感器，尺寸≥1/2.5英寸；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2.像素：有效像素≥800万；视频分辨率：最大可支持3840×2160并向下兼容；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3.变焦：要求支持自动和手动变焦，光学变焦倍数≥22倍；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4.云台转动：要求具备机械云台可进行转动跟踪。水平转动速度范围不少于1.0°~ 94.2°/s，垂直转动速度范围不少于1.0°~ 74.8°/s；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5.视频编码：要求支持H.265、H.264高清视频编码协议；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6.视频输出：要求具备数字视频输出口（RJ45）≥1，HDMI视频输出口≥1；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7.通讯接口：要求具备RS232/RS422≥1；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8.网络接入：RJ45网络接口≥1，并支持100M/1000M自适应以太网接入与RTSP协议网络视频输出；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9.音频接口：Line in输入口≥1；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10.USB接口：要求具备USB Type-A≥1；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11.协议支持：要求支持VISCA/ONVIF协议满足多种场景控制要求；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12.背光补偿：要求具备背光补偿功能；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13.数字降噪：支持2D/3D数字降噪，信噪比≥55dB；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14.一线通：要求与搭配的录播主机实现基于RJ45双绞线的一线通连接，完成摄像机供电、控制以及视频信号传输；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15.高效数据传输：支持对同品牌录播主机实现基于数据链路层的数字视频数据传输技术，能实现≤100ms的声画同步，在拍摄运动画面和复杂画面时不存在镜头呼吸效应带来的周期性画面焦距抖动；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16.AI跟踪：要求内置跟踪算法，摄像机内无额外辅助摄像头也无需增加任何设备即可实现人像自动跟踪，包括水平运动、俯仰运动、变焦、聚焦四维实时跟踪；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17.跟踪逻辑自选：要求支持根据AI智能算法，同一摄像机可根据部署使用场景智能应用为教师、学生跟踪模式，无需手动设置；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18.交叉识别：需支持对锁定跟拍对象进行人脸特征与肢体双重认证识别，在多人同时进入拍摄画面的情况下，持续锁定跟踪对象，不出现跟丢和误跟的情况；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19.AI抗干扰：支持在拍摄画面有显示设备或其他动态视频播放的情况下，自动启用AI抗干扰能力，保障画面始终锁定被跟踪对象，且跟踪效果不受影响；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20.PTZ自适应：需支持PTZ实时跟焦，AI跟踪的状态下能实现摄像机水平旋转、垂直旋转、变焦的实时同步变化，无需等待拍摄对象稳定后再变焦调整画面，移动过程不虚焦，实现拍摄画面的自适应稳定调整；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21.电源支持：支持录播主机供电和DC12V电源适配器等供电方式；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22.要求摄像机与录播主机为同一品牌。</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358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437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CC6D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B67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98D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高清板书AI摄像机跟踪拍摄软件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692B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1.摄像机传输处理软件需采用B/S架构，支持通用浏览器直接访问进行管理；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2.需支持曝光模式设置功能，包括自动、手动；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3.需支持抗闪烁频率、动态范围、光圈、快门参数设置；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4.需支持自动白平衡设置功能，红、蓝增益可调；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5.需支持噪声抑制设置功能，支持2D、3D降噪；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6.需支持摄像机图像质量调节功能，包括亮度、对比度、色调、饱和度；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7.需支持图像水平、垂直翻转，适应摄像机不同的安装方式要求；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8.需支持摄像机控制功能，包括云台控制、预置位设置与调用、焦距调节等，预置位数≥255；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11.需支持依据录播主机设置的跟踪目标更新周期时间，被跟拍人员脱离跟踪拍摄区域后开始计时，到达更新周期时间后自动解除目标跟拍锁定，回归默认状态，待下一位人员进入画面中开始重新锁定跟踪；</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F93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B0B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4E46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353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29F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高清巡视摄像机</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E57D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扫描方式：逐行扫描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输出帧率：30fps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 摄像元件：1/3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有效像素：1920（H）×1080（V)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最低照度：0.3Lux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通讯方式：RJ-45，支持POE供电</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D35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624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6B62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E7E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4F2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高清巡视摄像机跟踪拍摄软件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F1F0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采用B/S架构设计，支持通用浏览器进行远程访问进行管理；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支持多个区域屏蔽功能，避免屏蔽区域内的干扰，提高系统识别效果；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具有“模糊防抖”功能，避免人员小幅度活动时引起的摄像机画面抖动现象；</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D99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904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3E63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CD8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3B9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AI智能跟踪处理软件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166C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1.跟踪逻辑：支持智能识别接入摄像机的使用定位，并联动摄像机选用对应的跟踪逻辑，如教师跟踪、学生跟踪等；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2.检测区域：支持对接入摄像机的AI跟踪检测区域设置，可基于实景拍摄画面框选跟踪区域，框选后只在区域中方能触发跟踪，所见所得方便操作；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3.跟踪切换：支持根据设定的跟踪策略形成跟踪指令，实现多路接入摄像机的全自动AI跟踪画面切换；且支持自定义跟踪切换逻辑的画面布局，包含但不限于双分屏、画中画与自定义布局等；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4.跟踪策略：支持对接入摄像机自定义设置AI跟踪目标更新周期时间，摄像机依据配置实现相应跟踪策略；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5.智能构图：支持设置摄像机拍摄画面的智能构图模式，包含但不限于五分像、七分像、全身像等；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6.全场景跟拍：要求支持基于计算机视觉CV技术的AI人工智能跟踪算法，实现教师识别、教师移动跟拍、教师轨迹识别以及学生上台识别、板书行为识别、单人与多人起立识别等教学焦点进行自动捕捉与切换；</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631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428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C19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631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624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录制面板</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CC21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安装方式：采用物理按键，在讲台上镶嵌式安装。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控制接口：要求支持RS232控制接口用以连接录播主机。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信号指示灯：要求具备信号指示灯。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支持一键式系统电源开关控制。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一键式录制、停止、锁定电脑信号。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支持本地录播全自动的开启、关闭控制。该功能同时支持录播模式和互动模式。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支持通过面板一键发起与远端设备互动连接。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支持通过交互控制面板切换互动画面的信号源，并传输到听课室，包括本地老师信号、学生信号、电脑信号、远端课室画面。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支持对各画面的自由布局控制，包括单画面全屏、双分屏、三分屏、四分屏、画中画，并传输到听课室。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10.支持远程“一键静音”功能，主讲端可一键关闭远端互动教室发言，进入主讲授课模式。</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D76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163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F2F8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38E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908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音频处理系统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F54F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1.支持录播模式和互动模式下的音频多场景调配；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2.支持主音量调配，支持远端音频模式调配；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3.支持自动增益，噪音抑制，EQ均衡；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4.支持直播比特率，录制比特率，采样率调配；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5.支持回声抑制。</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FFF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816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DCC9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0B9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E22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指向性话筒</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A58B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1.指向性：超心型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2.频率响应：40Hz—16kHz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3.灵敏度≥-7dB±1dB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4.最大声压级≥110dB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5.信噪比≥62dB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6.动态范围≥78.5dB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7.使用电源：麦克风一线通供电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8.输出接口：RJ45，数字音频接口</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F05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CF0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w:t>
            </w:r>
          </w:p>
        </w:tc>
      </w:tr>
      <w:tr w14:paraId="2E534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D3C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E21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电源管理器</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44B5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1.向录播视频系统、音频系统、显示系统 提供统一的、至少八路电源管理；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2.支持对录播系统控制功能，实现通过录制面板一键启动录播系统相关设备的电源；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3.支持时序电源控制功能，每路延迟一秒，可编程控制；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4.具备内置光电隔离模块，保障负载运行安全；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 提供1路最大电流不低于10A的电源输出接口；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6.支持RS-485/RS-422/RS-232 等控制协议。</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5CA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510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FA87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71A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FA7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智能课堂行为分析软件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E90E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一.整体要求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1.兼容对接：配套高清录播主机，实现视频数据分析；同时支持与视频资源管理平台无缝对接，可将数据通过平台进行分析结果数据展示。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2.多维分析：支持对课堂数据进行综合多维度的分析，包括“课堂语言分析”、“教学行为分析”、“教师活动轨迹”、“课堂时间分配”、“学生课堂动作表情分析”等维度数据。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二.课堂教情分析要求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1.教学行为分析：支持“教师讲授”、“学生汇报”、“师生互动”、“生生互动”、“教师巡视”多种维度的教学行为识别。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2.教师轨迹分析：支持统计整个课节时间内授课教师的授课行动轨迹，直观呈现教师授课过程中的授课位置数据。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3.教师巡视分析：要求支持教师巡视情况统计并形成教师巡视数据，分析数据应包括教师课堂巡视次数、时长等数据。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三.课堂学生分析要求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1.班级出勤率统计：以班级维度进行班级出勤人数统计，实际出席人数、出勤率等。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2.支持学生课堂动作分析，包括趴桌子、举手、站立等肢体语言，可对各类动作进行检测。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3.支持对学生动作的统计分析，统计当前每种学生动作的峰值次数和占比。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4.支持学生课堂表情分析，包括积极、平淡、消极等表情。并支持对各类表情进行实时检测，统计课堂中各类表情的学生人数。</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8FC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0E7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CF40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F32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540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智能语音分析软件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CE9B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1.教师提问情况分析：支持基于课堂语音识别能力进行教师课堂提问行为分析，从提问次数与高频时间段两个核心维度进行数据统计，实现课堂提问情况的清晰回顾。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2.教师语速分析：支持通过语音识别能力进行教师课堂授课语速分析，呈现数据需包括教师课堂说话词数以及平均语速。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3.课堂语音转写：要求基于语音语义识别完成课堂音频的文字转换，实现课堂教学过程语音全纪录。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4.课堂关键词分析：支持通过AI语音识别能力，抓取统计提前设置好的课堂知识点关键词，统计各关键词出现的次数频率，并标注出现的时间点和显示所在的语句内容。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5.课堂高频词分析：支持通过AI语音识别能力，抓取授课过程中出现的高频词汇，并统计出现频次，判断课堂教学重点；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6.课堂语气词分析：支持通过进行课堂语音识别，判断老师教学过程中出现的常规语气词出现频次，辅助老师调整教学过程中的不良习惯；</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805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DAE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663A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390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29C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录直播服主机</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7230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（1）设备高度：≤1U</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（2）硬件架构：嵌入式ARM架构设计，主机出厂内置视频资源管理平台，无需进行复杂的系统环境、软件安装操作。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（3）系统支持：Linux系统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（4）数据库支持：MYSQL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（5）存储容量：4TB SATA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（6）网络连接：RJ45千兆网口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（7）通讯接口：USB2.0≥2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（8）支持Rst设备一键复位功能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（9）采用安全电压不大于DC36V供电，节能环保，采用无风扇设计，低噪音。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（10）支持流媒体转发、直播、点播功能，单台主机支持不少于200点转发直播、支持大规模点播。</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FC3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686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5EF1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093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777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录直播教学视频资源管理系统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A486D">
            <w:pPr>
              <w:keepNext w:val="0"/>
              <w:keepLines w:val="0"/>
              <w:widowControl/>
              <w:numPr>
                <w:ilvl w:val="0"/>
                <w:numId w:val="27"/>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信息管理功能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（1）录播管理：支持把录播设备接入平台，实现自动转码、无缝直播点播，并具备直播和点播功能。支持对录播进行远程关机、休眠唤醒、启动录制等操作。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（2）多级平台对接：支持校平台与上级区平台进行对接，校平台资源可像区平台提交数据资源。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录制预约：平台支持用户远程进行在线录课预约，可实现单个或批量预约；支持预约信息的申请。支持用户手机扫码预约录制，扫码后手机端填写录播预约信息即可快速完成预约，录制结束后也可扫码在平台回顾或下载已录制的视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（4）资源颗粒度管理：支持视频资源多维度分类，如按年级、学科等分类管理，支持用户自定义分类类型。并支持根据发布时间、用户推荐度和点击热度的不同维度在平台呈现。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（5）视频专辑：支持用户可灵活创建各种视频专辑，并自定义专辑类型，可将一同类型的视频进行归类，便于视频的归整和便捷查询。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（6）公告发布：平台首页提供公告模块，支持通过平台发布校务公告、活动通知、时势新闻等多种类型公告。公告支持按定义的类型进行归类查询，支持用户自定义公告类型。</w:t>
            </w:r>
          </w:p>
          <w:p w14:paraId="694D3C49">
            <w:pPr>
              <w:keepNext w:val="0"/>
              <w:keepLines w:val="0"/>
              <w:widowControl/>
              <w:numPr>
                <w:ilvl w:val="0"/>
                <w:numId w:val="28"/>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自动转码功能：支持视频下载、上传、编辑、管理。可实现所有主流视频文件格式自动转码，包括asf、mpg、rmvb、mov、rm、avi、3gp、wmv、flv、mp4等，可设置下载及观看权限，可设置高标清转码清晰度码流。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（8）虚拟切片：支持视频自动划分知识点和教学环节片段，且不破坏视频原来的完整性。支持快速点击知识点、教学环节跳转到相应节点播放。支持对上传的视频添加和修改“知识点”和“教学环节”。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（9）教学行为分析：支持弗兰德斯教学行为分析法（S-T），平台根据跟踪数据生成S-T曲线图，帮助用户进行教学技能提升和评估。S-T行为数据支持后期在线编辑修改，便于教师进行错误修正。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（10）文件检索：支持关键字搜索功能，用户可直接在资源管理平台的页面搜索框输入关键字，对某个视频标题、知识点进行搜索。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（11）一键置灰：支持平台肤色一键置灰功能，切合特殊纪念日氛围。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（12）指定播放：支持设置指定播放源，用户点击任意视频均强制播放指定视频源，便于学校进行重要视频的统一播放和管理。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流量统计：支持平台对用户访问数、页面访问量进行数量统计，访问流量数据可按日、周、月、年、总浏览数进行分类统计。支持以曲线图形式展现10天内的访问流量变化趋势。支持对视频直播量、点播量统计。</w:t>
            </w:r>
          </w:p>
          <w:p w14:paraId="2495B18D">
            <w:pPr>
              <w:keepNext w:val="0"/>
              <w:keepLines w:val="0"/>
              <w:widowControl/>
              <w:numPr>
                <w:ilvl w:val="0"/>
                <w:numId w:val="29"/>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存储管理：平台支持自定义视频的保存期限，支持永久保存，支持自定义视频保存天数期限，到达期限后自动删除；同时支持平台对录播内的视频保存期限进行管理，支持永久保存和自定义期限并在到达期限后录播自动删除视频文件。</w:t>
            </w:r>
          </w:p>
          <w:p w14:paraId="0FDF1551">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▲（15）提供基于录播设备的智能教学信息处理系统相关自主知识产权证明文件复印件并加盖厂家投标专用章或公章。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2.直播点播功能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（1）基于FLV、HLS主流协议直播技术，无需安装插件即可进行跨平台（Windows、Linux、IOS等）视频点播观看。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（2）支持流媒体转发服务，平台支持不少于200点以上高清直播功能。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（3）集群技术：支持直播集群技术，以支持系统的横向拓展，随系统应用规模的拓展逐渐增加转发服务器以支持更大规模直播。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（4）多码率支持：点播视频时可根据网络情况在播放器窗口进行高标清切换观看。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（5）支持直播权限及密码设置，让直播信息更加安全。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（6）支持上传教案、课件等视频附件，附件可与视频进行绑定。支持word、excel、ppt、PDF、jpeg等格式。用户在点播视频时下载附件。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（7）提供视频转发分享功能，支持二维码分享和一键转发分享至新浪微博、QQ、微信等社交平台中。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3.微课管理功能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（1）提供微课管理模块，支持自定义微课时长限制，在规定时长内的视频上传平台后自动归类到微课模块当中，并支持按学段、学科进行自动归类整理。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（2）提供专业微课录制软件，支持直接从平台下载微课录制软件并安装于笔记本电脑中。微课视频录制完毕后支持一键上传到平台，或下载到本地电脑保存。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（3）微课录制软件需满足包括教师头像、实物展台、课件PPT在内的三路视频源切换及组合布局录制，支持课件与老师画中画模式。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（4）支持PPT课件导入、课件批注，在微课录制的同时支持PPT分页预览，并进行切换录制。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▲（5）提供微课制作软件相关软件著作权证书复印件并加盖厂家投标专用章或公章。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4.移动APP应用服务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（1）提供自主研发的平台移动端APP，支持Android系统，可与视频资源管理平台对接。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（2）移动端APP应提供视频在线直播、视频点播、专辑点播等功能。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（3）移动端同步支持虚拟切片功能，实现知识点的快速跳转观看、学习，提高学生的学习效率。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（4）支持移动端APP点播视频时查看视频信息、视频附件。</w:t>
            </w:r>
          </w:p>
          <w:p w14:paraId="19A0BB7D">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▲（5）提供移动学习软件相关软件著作权证书复印件并加盖厂家投标专用章或公章。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5.其他要求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▲（1）为了保证系统兼容性，要求平台与录播主机为同一品牌，提供教学视频资源管理系统相关软件著作权证书复印件并加盖厂家投标专用章或公章。</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C98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B1F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8543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EB1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095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无线领夹手持话筒</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5DD4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采用UHF超高频段，DPLL数字锁相环多信道频率合成技术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提供至少200个信道选择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红外线对频技术，发射机自动追锁接收机频率， 频率范围：740-790MHz</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1CC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E59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3A645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D6F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89E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交换机</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B791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1.16口千兆网络交换机，全钢壳设计自动散热，无风扇；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2.采用存储转发机制，内部集成高容量缓存；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3.自动进行MDI/MDIX翻转，自动协商端口工作速率；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4.支持“标准交换”、“VLAN隔离”和“网络克隆”等工作模式。</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77F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461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410A2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409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D65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机柜</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03CC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规格：600*600*1200㎜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材质：主体≥0.8㎜冷轧钢板，设活动层板；立柱壁厚≥1.2㎜；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结构：前开门，后背板带网格散热孔，底部设出线孔。</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93C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E6C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5995A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8E8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B15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系统集成</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4AFC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HDMI线15米2条、HDMI线1.5米跳线1条、HDMI分配器一分四1个、话筒吊咪线15米、音箱线无氧铜100支30米、网线超五或六类3条、网线跳线1.5米3条、双3.5mm成品线1.5米2条、3.5转双莲花1.5米6条、水晶头50个、电胶带，扎带等若干、8孔插排2个。</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EE8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D23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间</w:t>
            </w:r>
          </w:p>
        </w:tc>
      </w:tr>
      <w:tr w14:paraId="502E3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F866DA">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生物学学科中心</w:t>
            </w:r>
          </w:p>
        </w:tc>
      </w:tr>
      <w:tr w14:paraId="0E958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858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711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触控一体机</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80BBC">
            <w:pPr>
              <w:keepNext w:val="0"/>
              <w:keepLines w:val="0"/>
              <w:widowControl/>
              <w:numPr>
                <w:ilvl w:val="0"/>
                <w:numId w:val="3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整机要求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1.屏体要求：86英寸，液晶LED，A规屏，显示比例(16：9)；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2.亮度：≥300cd/m2、对比度：≥5000:1、屏体物理分辨率≥3840*2160；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3.防眩光功能：采用 4mm 厚 AG 钢化玻璃，防眩光，减少玻璃反射光的影响，反射率小于 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4.触摸技术：红外感应技术，20点触控，支持安卓、windows 系统20笔或以上同时书写。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5.前置接口：≥USB3.0*3；≥Type C*1；≥Touch USB*1；≥HDMI in*1；</w:t>
            </w:r>
          </w:p>
          <w:p w14:paraId="44E3F323">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6.前置≥3个USB 3.0 接口全部支持 Windows 及 Android 双系统读取，将 U 盘插入任意前置 USB 接口，均能被 Windows 及 Android 系统识别。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7.后置接口：≥MIC In*1、≥YPBPR*1、≥COAXIAL Out*1、≥Earphone Out*1、≥PC Audio In*1、≥VGA*1、≥RS232*1、≥AV In*1、≥AV Out*1、≥LAN In*1、≥HDMI in*1、USB*2、≥Touch USB*1、≥TF Card*1；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8.前置按键≥7个包括：录屏、图像比例、音量-、音量+、设置、护眼、电源； </w:t>
            </w:r>
          </w:p>
          <w:p w14:paraId="1E235099">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9.整机开关、电脑开关和节能待机键三合一，操作便捷；设备支持通过前置按键一键启动录屏功能，可将屏幕中显示的课件、音频等内容与老师人声同步录制，方便制作教学视频；支持OPS一键还原。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10.安卓系统版本11.0 或以上，内部缓存容量（RAM）：≥2GB ；内部存储容量（ROM）：≥16GB。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11.内置双路 WIFI，支持 AP 热点，Wifi : 2.4GHz / AP : 2.4GHz/5GHz。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12.一键调整分辨率: 可通过及触摸按键对内置电脑画面实现一键切换屏幕分辨率，调整画面显示比例；整机支持一键黑屏节能 70%。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13.信源通道自动识别：设备能自动识别并切换到最新接入的信号源通道，且断开后能回到上一通道。自动跳转前支持选择确认，待确认后再跳转。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14.童锁开关：产品应支持童锁开关功能，当开启童锁功能后，界面将被锁住，避免学生随意操作出现的系统故障问题。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悬浮菜单：在任意信号源通道下均可调用悬浮菜单，悬浮菜单具有一键启用应用软件、随时批注擦除，切换信号源等功能，悬浮菜单中的信号源支持自定义修改且可一键直达常用信号源可通过两指调用到屏幕任意位置。悬浮菜单中的应用可根据使用需求进行应用或功能的替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16.整机具备智能手势识别功能，在任意信号源通道下均可识别五指上、下、左、右方向手势滑动，调取熄屏、批注、桌面、半屏模式功能。</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211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C47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A5E2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D5A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368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内置电脑</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1AEC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1.插拔式OPS微型PC设计，采用Intel十代或以上 I5CPU、8GB内存、256G固态硬盘；开放式可插接INTEL规范接口（OPS接口），双面合计80针。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2.支持WIFI无线网络，带双天线，带RJ45接口100M/1000Mbs。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3.支持电源：AC input:100-240V/50-60HZ ；DC output:19V/5</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759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CE6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1649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18B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191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教学应用软件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5A083">
            <w:pPr>
              <w:keepNext w:val="0"/>
              <w:keepLines w:val="0"/>
              <w:widowControl/>
              <w:numPr>
                <w:ilvl w:val="0"/>
                <w:numId w:val="31"/>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白板软件要求：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1.基于手势操作开发，简单易用，手指单点或使用触控笔就能一键快速调取教学软件及工具；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2.备授课功能，具有备课模式及授课模式，且操作界面根据备课和授课使用场景不同而区别设计，包含数、英语、化学等 14 个不同背景，支持自定义图片生成 PPT 背景;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3.支持一键调取 PPT 文件，可选择本地导入或打开两种不同形式获取课件，并支持对调取课件进行再次编辑，保存生成独立格式保护校本资源；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备课模式下，对课件添加文本编辑、思维导图等功能，并支持对所添加内容编辑进入和退出方式，可选择百叶窗、淡入、缩放、浮现、飞入、旋转、劈裂、弹跳、淡出、浮出、弹跳、擦除等不同的编辑方式，支持对输入的文本添加朗读读音，读音支持导出音频文件并支持一键插入 ppt、word、excel 等文件；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5.支持备课模式下，对课件页面添加动画效果，可选择新闻快报、缩放、揭开、切出、淡出、推进、覆盖等不同的编辑方式；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汉字描红功能，将手写汉字文本快速识别成规则文本，可对汉字进行笔画逐步描红，并可拓展相关汉字读音、偏旁部首、释义等内容，支持拼音读写功能，将手写拼音文本快速识别成规则文本，可对拼音进行示范朗读，支持汉字注音功能，可将输入文本一键注- 入拼音，并点击一键插入白板可自动添加至文本上方；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7.黑板书写支持不少于 10 种风格笔的书写，包含硬笔，智能笔，荧光笔，竹笔，纹理笔，软笔，手势笔，图章笔，激光笔，粉笔类型；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8.支持手势擦除功能，当识别到 5 指手势，画面自动由手写状态变成板擦状态，符合老师随写随擦的教学习惯，板擦大小至少有 3 级选择；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B、移动端设备管理要求：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1.支持移动端远程巡课功能，在小程序端可查看大屏设备 Windows桌面，支持打开大屏端摄像头，麦克风，实时查看教室情况。摄像头，麦克风选项支持打开，关闭，支持静音观看。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2.一体机设备软硬件检测功能，支持在手机上查看电脑软硬件信息（包含 CPU，主板，内存，开机市场，硬盘，显卡，声卡，网卡，系统等），且支持电脑关机时查看，设备在线状态可以实时监视电脑CPU、内存使用率与温度等变化；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3.移动端控制电脑，支持远程控制一体机电脑关机、重启、锁定、睡眠、倒计时关机、定时任务；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4.定时任务，像设置闹钟一样简单，为电脑设置定时任务，让电脑使用更有规划，助力生产力，节约人力成本与能源；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5.应用管理，不用远程控制桌面，也能掌握电脑中所有应用的开启与关闭，实时监控应用状态；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C、移动授课要求：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1.PPT助手：把手机变成PPT翻页笔，支持PPT的播放、退出、翻页功能，且能锁定操作、屏幕常亮、触感震动反馈等，支持夜间模式；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2.个性化：可将手机变为移动展台，将手机中图片、现场拍摄照片一键上传至电脑，变为电脑桌面，通过透明批注工具对桌面进行批注、擦除。支持一键截图设备桌面并保存至手机端本地。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移动端、电脑文件双向互传功能：通过管理小程序能随时随地连接一体机电脑硬盘，找到想要的文件，支持从手机上传照片、视频、微信中收发的文件到电脑；一键上传文件，在电脑上，任意文件右键，即可一键把文件从PC上传发送到手机。支持移动端直接下载PC端文件至本地和链接形式分享给微信客户端好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4.手机可变成智能笔，含PPT助手功能、调节一体机声音大小、上下音频切换、PC与移动端文件互传功能、云书签功能等，便于教师移动授课。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D、售后服务工具要求：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1.智慧黑板端带一个使用反馈入口，点击显示反馈二维码，用户使用微信扫描进入小程序反馈平台，提交上传异常问题，异常现象等图片或视频，一键上报售后；</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2.用户通过售后小程序可以快速查询产品使用指南，支持填写申请，预约售后服务人员；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3.用户通过售后小程序可以进行对产品，售后服务的评价，投诉；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4.售后服务通过小程序，可以查询机器的维修记录，后台可以实时了解异常情况，快速获取反馈人信息及联系方式，指定维修人员及时服务。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E、无线投屏要求: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1.无线投屏支持 windows,mac,ios,android 平台登录使用；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2.PC 端和移动端可以通过设备码互相投屏，支持手机端扫码投屏到PC 端；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3.PC 端投屏，可以设置投屏端声音投放系统声音或者麦克风的外音；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4.移动端向 PC 端投屏时，可在 PC 端进行批注、录制、截屏、画面旋转、画面置顶等功能；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F、教学资源要求：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智慧课堂界面内一键进入免费的在线教学资源，支持一年级到高三的学科类课程，名师讲堂课程讲解，同时支持专题教育类课程，包含（防疫教育，防疫常识，防疫科学，战疫课堂，战疫故事，品德教育，党史教育，国史教育，爱国主义教育，社会主义核心价值观教育，优秀传统文化，生命教育，安全教育，自然灾害防护，意外伤害防护，公共卫生，社会安全，网络安全，心理健康教育，居家建议，情绪适调，人际交往，学会学习，家庭教育，亲子沟通，习惯养成，经典阅读，主题阅读，中华经典，电子书籍，研学教育）。</w:t>
            </w:r>
          </w:p>
          <w:p w14:paraId="62FFD47E">
            <w:pPr>
              <w:keepNext w:val="0"/>
              <w:keepLines w:val="0"/>
              <w:widowControl/>
              <w:numPr>
                <w:ilvl w:val="0"/>
                <w:numId w:val="32"/>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持3D太阳系功能，可查看太阳系8大行星的星球参数，星球简介，星球结构，可查看行星运行轨迹。支持查看星球赤道直径，质量，与太阳平均距离，自转周期，日星轨道周期。支持查看表面重力，昼夜温度，别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3.支持电子琴功能，可以模拟钢琴发声，包含自由演奏，乐理学习，。自由演奏可以实现实时录音，曲库中有若干乐曲可播放学习。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4.支持植物生长功能，支持查看植物的叶，茎，花，树干结构，支持查看光合作用过程，支持查看在不同光照情况下树干的形成情况。植物生长模块中包含护林小帮手互动答题游戏，可实现互动教学。</w:t>
            </w:r>
          </w:p>
          <w:p w14:paraId="0947D294">
            <w:pPr>
              <w:keepNext w:val="0"/>
              <w:keepLines w:val="0"/>
              <w:widowControl/>
              <w:numPr>
                <w:ilvl w:val="0"/>
                <w:numId w:val="33"/>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支持书法知识功能，收录古代以及近代多篇知名书法作品，可供学生欣赏，临摹学习。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6．支持体育知识功能，可以查看多种运动项目知识介绍，包括速度力量类，竞争对抗类，耐力竞技类，难美表现类，精准技能类，同时可查看运动精彩集锦。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7．支持英文音标功能，可以查看所有音标的发音教学，包括元音，辅音，半元音等。同时收录英文音标发音教学视频和英文音标发音小技巧视频。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8．支持英文字母功能，内置26个字母教学视频，同时有字母歌视频辅助学习。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9.快速录制屏幕，支持同时录制屏幕，麦克风声音以及摄像头人像画面；录制画面可以自定义区域，摄像头画面可设定3种模式大小；</w:t>
            </w:r>
          </w:p>
          <w:p w14:paraId="7E47B3AD">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微课录制完成后视频支持选择存储在本地或者云空间，并修改录制文件的名称，保存在云空间时，自动弹出云空间网站，支持文件公开分享或设为收费视频（设为收费视频为选配），支持将云空间的视频下载至本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11.支持二维码或者复制链接进行视频分享，可设置访问密码，支持使用微信、QQ等工具扫二维码直接观看，观看过程中可在视频时间轴添加表情互动评论，视频进度条中显示表情与评论；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12.每个用户微课云空间支持至少1G存储，并提示存储量；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13.每个微课分享后可以统计观看人数、标记看完人次、互动评价内容等；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14.客户端支持MACOS，windows，android，IOS平台；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15.录制人像时，可讲画面调整为圆形或方形，并对画面进行拖动或者关闭功能，支持选配人像抠图及背景虚拟功能；</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989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02A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A780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A95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0D2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视频展台</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31636">
            <w:pPr>
              <w:keepNext w:val="0"/>
              <w:keepLines w:val="0"/>
              <w:widowControl/>
              <w:numPr>
                <w:ilvl w:val="0"/>
                <w:numId w:val="34"/>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箱体采用ABS环保材质，轻便耐腐蚀，箱内无可见连接线，整机圆边设计，安全防碰伤。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2、采用三折叠式开合托板，非气压杆联动，平稳无故障。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3、像素：800万像素，A4幅面。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4、视频展台具有2个USB数据采集接口，支持USB下出线和侧边出线2种方式，满足不同的现场安装需求；箱体外侧内嵌2个USB扩展口，可外接U盘或无线键鼠的接收器。</w:t>
            </w:r>
          </w:p>
          <w:p w14:paraId="501AF93F">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5、采用AF自动对焦，课件翻页和光线变化时不能出现频繁对焦的情况，提高教学演示效率。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6、整机自带LED补光灯，可触摸式三级灯光调节。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7、界面与功能图标内嵌中文，清晰易用，老师不用查阅帮助就能使用，减少误操作。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8、软件基础功能：可预设画笔批注的粗细及颜色，支持对展台画面进行移动、缩放。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故障检测：软件支持故障自检功能，帮助用户检测“无画面”的原因，并给出引导性的修复和解决方案，可判断硬件连接、解码器、显卡驱动、摄像头通道占用等问题，同时也有显示微信和技术电话提供协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10、二维码扫码功能：打开扫一扫功能后，将书本上的二维码放入扫描框内即可自动扫描，并进入系统浏览器获取二维码的链接内容，帮助老师快速获取电子教学资源。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11、软件自带虚拟黑板功能，截取实物展示的某一重点内容在虚拟黑板模式下进行单独批注讲解，板书支持保存和二次打开、编辑，使授课变得简单轻松。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12、图像特技：延时拍照、聚光灯、负片、镜像、黑白、自动曝光、视频冻结、同屏对比、旋转、屏幕录制。</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468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1C0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1824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707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59F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无尘互联黑板</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A7A1D">
            <w:pPr>
              <w:keepNext w:val="0"/>
              <w:keepLines w:val="0"/>
              <w:widowControl/>
              <w:numPr>
                <w:ilvl w:val="0"/>
                <w:numId w:val="35"/>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产品整体结构上采取左、右柔性液晶光能黑板+中间86寸液晶一体机的组合方式，总尺寸≥4500mm*1158mm。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2、无粉尘、无耗材：光能黑板依靠压力改变液晶分子排布，使用任何硬度适中的物体均可书写，书写压力50-300g，笔迹粗细大于4mm，书写延时≤7ms，无需任何耗材，杜绝粉尘污染，单点书写10万次后无划痕。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3、板面：透光率不低于87%，雾度不高于40%。</w:t>
            </w:r>
          </w:p>
          <w:p w14:paraId="1AFE4861">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4、板面结构：产品单块尺寸≥1290*1158mm，独立开放式设计，独立拆装，配有可调节高度装置，调节高度范围大于50mm，与一体机尺寸配套。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5、可视距离：书写笔迹可视距离≥40米，可视角度≥149°，对比度680:1。</w:t>
            </w:r>
          </w:p>
          <w:p w14:paraId="2B339207">
            <w:pPr>
              <w:keepNext w:val="0"/>
              <w:keepLines w:val="0"/>
              <w:widowControl/>
              <w:numPr>
                <w:ilvl w:val="0"/>
                <w:numId w:val="36"/>
              </w:numPr>
              <w:suppressLineNumbers w:val="0"/>
              <w:ind w:left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保护视力：纯自然光反射呈字，无电离辐射，长时间观看不刺激眼睛，保护视力。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7、局部擦除：可使用板擦和手势对错误字迹进行局部擦除，擦除精度≤9.7mm*9.7mm，擦除延时＜60ms。</w:t>
            </w:r>
          </w:p>
          <w:p w14:paraId="0958451F">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8、供电：内置可充电锂电池，电池容量≥2600mAh。</w:t>
            </w:r>
          </w:p>
          <w:p w14:paraId="33474083">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9、耐高、低温：光能黑板通过低温-30℃，高温80℃，恒定湿热40℃，95%RH测试，功能正常。</w:t>
            </w:r>
          </w:p>
          <w:p w14:paraId="294C5AE2">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10、同步传输保存：板书内容可以同步传输到光能板所配套显示设备中进行保存，方便后期的课件使用。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11、电压调节：内部设计电压补偿机制，通过手势按压板面特定位置控制内部电压的高低，实现擦除灵敏度调节。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12、光能黑板通过1500V测试，无击穿现象。</w:t>
            </w:r>
          </w:p>
          <w:p w14:paraId="05FBFF2F">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13、光能黑板抗紫外线测试，紫外线阻隔率不低于99.5%。</w:t>
            </w:r>
          </w:p>
          <w:p w14:paraId="40FF6B09">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14、光能黑板外壳防尘等级不低于IP4X。</w:t>
            </w:r>
          </w:p>
          <w:p w14:paraId="6BE8FBA7">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▲响应文件中须提供具有“CNAS”及“CMA"标识的检测报告（复印件加盖厂家公章），且报告中须反应以上参数第3、5、7、8、9、12、13、14项技术指标。</w:t>
            </w:r>
          </w:p>
          <w:p w14:paraId="5DA793FB">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二、软件要求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1、同步互联：左、右光能黑板可与触控一体机进行互动，将光能黑板的内容与触控一体机无缝连接，教师在光能黑板上的书写内容可同步显示在触控一体机上。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2、颜色切换：可设置不同的软件端笔迹颜色，可实现老师对于教学重点的标识及批注；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3、板书记录：可同步传输老师的板书到软件界面；按下清除键后，板面和软件端的笔迹均可以被清除；点击“前一页”可找回清除掉的板书；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4、单双页切换：两种光能黑板的书写记录模式，支持单板书写记录内容为一个单页面，也可以支持双板同时书写时记录在一个页面上；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5、桌面切换：黑板书写内容和屏体显示内容可一键切换，不影响老师正常授课操作。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6、一键保存：支持将板书内容保存为PDF文档，便于学校对课堂板书的管理和传递。无需花费时间找存储路径，点击“打开”，直接进入存储位置，快速找到存储文件。</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4208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454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0FF4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B95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079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红外无线扩声一体机（主箱）</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7D067">
            <w:pPr>
              <w:keepNext w:val="0"/>
              <w:keepLines w:val="0"/>
              <w:widowControl/>
              <w:numPr>
                <w:ilvl w:val="0"/>
                <w:numId w:val="37"/>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一体化设计。集成：数字功放，红外无线接收模块，红外线传感器，反馈抑制模块，DSP数字音频处理模块，扬声器于一体。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采用红外光线进行音频传输，可在室外阳光环境下工作，不串频，无干扰。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频道组数≥3通道，支持两支红外无线话筒和一支红外翻页笔同时使用。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内嵌超广角多阵列式红外线接收管≥24颗。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一路红外传输扩展接口：RJ45网口。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线路输入接口1个；USB数字声卡接口1个；混音输出接口1个；幻象供电话筒接口1个；话筒独立输出1个，音箱接线端口1组。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支持RS232中控，实现每路音量调节，高低音调节，参数储存/恢复，电源开关等中控控制。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控制面板配置中文液晶屏，及时反馈设备状态。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功放频率响应：50Hz~20KHz ±3dB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 失真：≤0.05%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 信噪比≥78dB(MIC),  ≥80dB(LINE),  ≥98dB(IR MIC)</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12 功放额定输出功率:（4Ω）90W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 扬声器：2×4”全频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 铝合金箱体</w:t>
            </w:r>
          </w:p>
          <w:p w14:paraId="6F2ED4DA">
            <w:pPr>
              <w:pStyle w:val="11"/>
              <w:numPr>
                <w:ilvl w:val="0"/>
                <w:numId w:val="0"/>
              </w:numPr>
              <w:spacing w:line="240" w:lineRule="auto"/>
              <w:ind w:right="-21" w:rightChars="-10"/>
              <w:rPr>
                <w:rFonts w:hint="eastAsia"/>
                <w:color w:val="auto"/>
                <w:highlight w:val="none"/>
              </w:rPr>
            </w:pPr>
            <w:r>
              <w:rPr>
                <w:rFonts w:hint="eastAsia" w:ascii="宋体" w:hAnsi="宋体" w:eastAsia="宋体" w:cs="宋体"/>
                <w:i w:val="0"/>
                <w:iCs w:val="0"/>
                <w:color w:val="auto"/>
                <w:kern w:val="0"/>
                <w:sz w:val="20"/>
                <w:szCs w:val="20"/>
                <w:highlight w:val="none"/>
                <w:u w:val="none"/>
                <w:lang w:val="en-US" w:eastAsia="zh-CN" w:bidi="ar"/>
              </w:rPr>
              <w:t>▲响应文件中须提供具有“CNAS”或“CMA"标识的检测报告（复印件加盖厂家公章），且报告中须反应以上1～14项技术指标。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CD6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7ED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0DE0E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A1D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C5F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红外音箱（含支架）</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EC1C2">
            <w:pPr>
              <w:keepNext w:val="0"/>
              <w:keepLines w:val="0"/>
              <w:widowControl/>
              <w:numPr>
                <w:ilvl w:val="0"/>
                <w:numId w:val="38"/>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箱体内嵌超广角多阵列式红外线接收管24颗，与音箱融为一体。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2、采用RJ45网口进行红外信号传输，并具备输入输出接口。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3、单元组成2个4寸高性能铁氧体驱动单元。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4、频率响应：100Hz~18kHz（±3dB）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5、额定/峰值功率80W/160W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6、灵敏度：90dB（1W/1M）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7、最大声压级110dB（1W/1M）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阻抗：8Ω；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箱体材料： 铝合金一次成型，坚固耐用。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 外观工艺：阳极氧化，IPx4防水级别，室内、外均可安装。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 尺寸（高×宽×深）mm：147.3(L)x149.7(W)x475(H)</w:t>
            </w:r>
          </w:p>
          <w:p w14:paraId="7B8F6533">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▲响应文件中须提供具有“CNAS”或“CMA"标识的检测报告（复印件加盖厂家公章），且报告中须反应以上1～9项技术指标。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D0D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E59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50196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1"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49E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6E4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红外线话筒（翻页、绿色激光、自动休眠、磁吸充电）（颈挂+手持）</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2320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 无线传输制式：红外线(波长850nm)，高灵敏度红外线发射管≥6颗，分布在前后左右四面，不易遮挡。</w:t>
            </w:r>
          </w:p>
          <w:p w14:paraId="3D4D7AA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 拾音传感器：电容式驻极体音头ECM。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有效传输距离：与配套主机实现26米（室内直线无遮挡）稳定传输。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通道调节：双通道设计，可自主调节红外通道。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功率调节：可自主设定高低两档发射功率。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电池：内置1300mAh锂电池，工作时间≥8小时。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7.充电方式：支持磁吸座充(即话筒尾部安装环形充电磁铁，正反方向都能充电)、磁吸线充和Type-C线充。</w:t>
            </w:r>
          </w:p>
          <w:p w14:paraId="1A301D5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 话筒具备PPT翻页功能。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话筒具备绿色激光教鞭功能。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10.智能电源管理：话筒静置2秒后自动休眠，拿取时瞬间自动正常工作。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11.可手持可颈挂，标配可轻松调节高度的硅胶挂绳。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12.通过4颗双色指示灯反馈设备电量、音量及使用状态。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 外部音源接入：能支持头戴咪和外部音源输入，可连接手机等移动设备。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 兼容性：兼容同品牌红外线全系列接收设备。</w:t>
            </w:r>
          </w:p>
          <w:p w14:paraId="63FAF51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▲响应文件中须提供具有“CNAS”或“CMA"标识的检测报告（复印件加盖厂家公章），且报告中须反应以上1～14项技术指标。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DC0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F92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w:t>
            </w:r>
          </w:p>
        </w:tc>
      </w:tr>
      <w:tr w14:paraId="5447D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599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8E8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组合式单充电座（桌面+嵌入+壁挂架选配）</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67C36">
            <w:pPr>
              <w:keepNext w:val="0"/>
              <w:keepLines w:val="0"/>
              <w:widowControl/>
              <w:numPr>
                <w:ilvl w:val="0"/>
                <w:numId w:val="39"/>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标配一个充电位，支持不同形状话筒（颈挂式、手持式）和智能翻页笔充电。同时支持桌面放置、嵌入式、壁挂式三种安装方式（壁挂支架选配）。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充电保护：对不关话筒的情况下可以自动断开内部电路并进行充电。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充电指示：可根据充电指示灯判断充电情况。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电池识别保护：能自动识别是否是充电电池，检测到非充电电池会自动断电保护。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同时具备Type-C接口和4P凤凰插口，且都支持供电和RS-232控制协议，通过中控接口反馈充电状态，发送控制指令。</w:t>
            </w:r>
          </w:p>
          <w:p w14:paraId="2F09C414">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 充电电压电流：DC 5V, 500mA。</w:t>
            </w:r>
          </w:p>
          <w:p w14:paraId="41B482F2">
            <w:pPr>
              <w:pStyle w:val="11"/>
              <w:spacing w:line="240" w:lineRule="auto"/>
              <w:ind w:left="0" w:leftChars="0" w:firstLine="0" w:firstLineChars="0"/>
              <w:rPr>
                <w:rFonts w:hint="eastAsia"/>
                <w:color w:val="auto"/>
                <w:highlight w:val="none"/>
              </w:rPr>
            </w:pPr>
            <w:r>
              <w:rPr>
                <w:rFonts w:hint="eastAsia" w:ascii="宋体" w:hAnsi="宋体" w:eastAsia="宋体" w:cs="宋体"/>
                <w:i w:val="0"/>
                <w:iCs w:val="0"/>
                <w:color w:val="auto"/>
                <w:kern w:val="0"/>
                <w:sz w:val="20"/>
                <w:szCs w:val="20"/>
                <w:highlight w:val="none"/>
                <w:u w:val="none"/>
                <w:lang w:val="en-US" w:eastAsia="zh-CN" w:bidi="ar"/>
              </w:rPr>
              <w:t>▲响应文件中须提供具有“CNAS”或“CMA"标识的检测报告（复印件加盖厂家公章），且报告中须反应以上1～6项技术指标。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E43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40F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33C9C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48B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6F8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移动讲桌</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981B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规格：1200mm×600mm×900mm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结构：钢木结构，内配储物柜，设可移动置物板。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1.台面采用 12.7mm 厚双面膜耐腐蚀实芯理化板。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2.主框架采用 30×60×1.2mm 方管、拉撑采用 25×50×1.2mm方管。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3.内配柜体采用16mm 厚 E1 级实验室专用三聚氰胺板。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4.置物板采用0.6mm冷轧钢板。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1.台面采用数控雕刻机制作，四角倒R15 圆角，边沿倒3圆角，流畅圆滑不伤手。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2.钢架采用CO2保护焊焊接，表面经酸洗磷化、纯环氧树脂塑粉高温固化处理，平整光滑，无脱落、鼓泡、凹陷、压痕以及表面划伤、麻点、裂痕、崩角和刃口 等，切割、钻孔和倒角应去毛刺。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3.柜体板材截面采用≥1.0㎜厚PVC 封边机械高温封边。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1.台面耐酸、耐碱、耐高温，坚固耐用，防潮、无细孔、不膨胀、不龟裂、不变形、不导电、便于维护及具有良好的承重性能。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2.内配柜设抽斗和柜门，方便放置不同类型物品。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3.置物板宽度350mm，和桌面成30°夹角，采用吊装滑轨、滑轮，左右移动顺畅；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4.桌脚采用静音万向轮，整桌可任意移动。</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2BD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1BA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69326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7E4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B8A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可拼接学生桌</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0F82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规格：1400*700*750mm±10mm；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桌面：材质采用抗倍特一体成型。耐80度以上高温。防水：浸水24小时后的膨胀指数不多于0.1mm，面板四周采CNC修边，四周倒角，圆润光滑无任何毛边。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桌架：框架采用≥φ30*1.2㎜钢架，钢材符合国家相关标准，焊接采用二氧化碳保护焊焊接，表面经去油除锈处理，高温静电喷塑。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脚套：采用全新PE工程塑料一次注塑成型，牢固耐磨；可加活动轮。</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3D5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D82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00DA5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FA7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7B5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学生椅</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EA04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规格：375*390*550-座高440㎜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椅面：依据人体工程学原理，采用全新PP塑料，一体注塑成型，抗压、耐磨、耐冲击。</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椅架：钢管直径22mm，壁厚1.8mm，数控折弯成型，且设计可多把椅子堆叠存放，减少存储空间。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脚垫：材质为PP。</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9C4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DE2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r>
      <w:tr w14:paraId="2226A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775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93E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实验边台1</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D7C2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规格：2400×600×800mm±10㎜，长度可依空间实际尺寸定制。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台面采用12.7mm厚实芯理化板，外露边沿修圆弧，整体美观大方，耐高温、耐酸碱、耐腐蚀、不吸水、防火、阻燃、防静电、抗老化、无毒、无褪色、材质坚硬，牢固可靠。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2.桌柜采用16mm厚聚木屑三聚氰胺双面板。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3.桌架采用40×60×1.2mm方钢管。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4.水槽采用高密度黑色PPR一体化水槽，其内腔尺寸（长宽高）485mm×385 mm×290mm；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5.水嘴采用铜质喷塑三联式高位水嘴、陶瓷芯片水阀；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4.五金配件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1）拉手：采用一字型铝合金拉手。；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2）铰链：采用优质铰链，开启角度 110°铰链开启 15º以内具有自闭功能，耐腐蚀、承重、经久耐用，开合十万次以上。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3）导轨：采用超静音三节滚珠滑轨，承重≥15公斤，开合十万次以上不变形。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4）地脚：ABS工程塑料可调脚，螺杆直径 12mm，可调整高度 0-30mm，具有减缓冲击力功能。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1.钢木左右结构；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2.钢架采用“工”字形结构，前面放置木柜，木柜下设钢管托撑，并有M8mm螺丝顶固，带可调地脚；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3.桌柜上设抽屉，下设储物柜；水槽柜设检修门；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4.桌柜离地150mm左右，方便打扫卫生；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板材截面采用1.5㎜厚pvc封边条机械高温封边；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2.钢材采用CO2保护焊焊接，钢材表面经喷砂抛丸去油除锈，静电喷涂；</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9BD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D17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3DA14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A0F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825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实验边台2</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ACCC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规格：1800×600×800mm±10㎜，长度可依空间实际尺寸定制。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台面采用12.7mm厚实芯理化板，外露边沿修圆弧，整体美观大方，耐高温、耐酸碱、耐腐蚀、不吸水、防火、阻燃、防静电、抗老化、无毒、无褪色、材质坚硬，牢固可靠。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2.桌柜采用16mm厚聚木屑三聚氰胺双面板。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3.桌架采用40×60×1.2mm方钢管。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4.五金配件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1）拉手：采用一字型铝合金拉手。；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2）铰链：采用优质铰链，开启角度 110°铰链开启 15º以内具有自闭功能，耐腐蚀、承重、经久耐用，开合十万次以上。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3）导轨：采用超静音三节滚珠滑轨，承重≥15公斤，开合十万次以上不变形。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4）地脚：ABS工程塑料可调脚，螺杆直径 12mm，可调整高度 0-30mm，具有减缓冲击力功能。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1.钢木左右结构；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2.钢架采用“工”字形结构，前面放置木柜，木柜下设钢管托撑，并有M8mm螺丝顶固，带可调地脚；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3.桌柜上设抽屉，下设储物柜；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4.桌柜离地150mm左右，方便打扫卫生。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板材截面采用1.5㎜厚pvc封边条机械高温封边；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2.钢材采用CO2保护焊焊接，钢材表面经喷砂抛丸去油除锈，静电喷涂；</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71C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EC2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06AF2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7A0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DEF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实验凳</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9BEB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规格：≥Φ315mm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1.螺旋式升降。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2.凳脚材质：4个凳脚采用≥17mm×34mm×1.2mm无缝钢管模具一次弯管成型。二氧化碳保护焊焊接，结构牢固，金属表面经静电粉沫喷涂处理。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3.凳面材质：采用聚丙烯共聚级注塑,厚5mm。表面细纹咬花，防滑不发光。凳面底部镶嵌4枚铜质螺纹，采用螺丝与圆型托盘固定。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4.脚垫材质：采用PP加耐磨纤维质塑料，实心倒勾式一体射出成型凳面与凳脚留有一定的空间便于凳子挂在挂凳扣上。方便教室的打扫。</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823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C4C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0A3F8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2DB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1EF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控制柜</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489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1.控制柜尺寸：≥400mm（L）×230mm（W）×780mm（H）；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2.工艺与材质：采用≥1.2mm钢板冷轧成型，表面经过防腐氧化处理和纯环氧树脂塑粉高温固化处理，具有较强的耐蚀性。对控制系统硬件安装固定，操作面镶入雅典黑亚克力装饰板。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3.控制柜内置总电源开关，漏电保护器，主控制模块，急停控制模块，开关电源，工作指示灯。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4.集成10.1寸触显操作单元。</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92C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B2F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1383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D23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BE2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智能吊装控制系统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1B51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1.电源操作控制系统：可实现远程分组控制学生高低压电源开启与关闭；可输出交流电范围0-30V，分辨率1V设置及实时显示，可输出直流电范围0-30V，分辨率0.1V设置及实时显示，带学生电压锁定功能。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2.照明系统：可实现远程控制照明系统开启与关闭。可单个或全组进行控制，有全选及反选功能，可实现根据周围环境手动调节亮度，实时显示照明工作状态。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3.升降控制系统：可实现控制电源升起或下降。可单个或全组进行控制，有全选及反选功能。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4.系统设置：（1）开机方式: ①直接开机; ②密码验证； （2）定时关机：0-240分钟时段设置；（3）教室编号设置；（4）自动分组功能；（5）更改密码功能。</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E69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FA3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D59A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085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ACD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电源转换及升降控制系统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982A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1、外壳规格：≥325mm（L）×110mm（W）×275mm（H）；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2、外壳工艺材质：由ABS塑料一体注塑成型，具备抗化学腐蚀、耐热性、电绝缘性和耐候性；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3、内部构成：由开关电源和减速电机构成；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3.1、开关电源：输出电压DC≥24V，功率≥100W，为电机及低压电源供电，具备过载、过压、短路保护功能。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3.2、减速电机：采用额定工作电压为12V-24V直流减速电机，用于驱动升降机构。</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C4A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EEC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4888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240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919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升降系统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F77F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1、外壳规格：≥440mm（L）×155mm（W）×390mm（H）；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2、工艺材质：由≥1.5mm厚镀锌板与ABS塑料组成，金属部分表面经环氧树脂粉末喷涂并高温固化处理；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3、升降范围：以桌面为基准，支持垂直升降，行程调节范围为1200mm～1800mm；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4、升降方式：采用自动升降系统，电机电流实时监测，具备堵转保护与运行状态反馈；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5、布线结构：旋转线槽采用轮毂结构设计，在旋转过程中避免跳线并保护电缆完整性；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6、通信电缆：采用9芯低烟无卤阻燃型复合通信电缆，用于连接电源操作及控制模块。</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A69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340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F857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EA5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273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智能照明收纳系统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96F8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1、外壳规格：≥φ385mm×145mm（H）；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2、外壳材质：壳体采用ABS塑料一体注塑成型，具备抗化学腐蚀、耐热性、电绝缘性和耐候性；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3、光源参数：采用铝基板高亮度白光LED灯，功率≥40W，照明方式为360°环形发光结构；灯光扩散片为透明亚克力材质，围绕LED灯设置≥60根防眩光格栅条，用于控制炫光。</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A81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C24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00FE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424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D5F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学生电源操作控制系统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9D6A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1、外壳规格：≥φ225mm×175mm（H）；集成≥2个RJ45网口、≥2个供电USB接口；≥4路220V多功能插座输出；≥1个到位停止触发按键；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2、工艺材质： 壳体采用ABS塑料一体注塑成型，结构为圆弧形设计；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3、控制系统：以32位MCU为核心配合监测控制电路，对整个设备的升降、电源转换进行监测及输出响应控制；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4、显示界面：选用2.4寸（偏差±5%）触控显示屏，能够实现电流、电压的实时显示以及交/直流电压的输出设置；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5、交流输出：支持由学生或教师操作输出0-30V电源，分辨率为0.1V。0V-15.0V，额定电流≥3A；15.1V-30.0V，额定电流≥2A，具备过载报警保护功能；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6、直流输出：支持由学生或教师操作输出0-30V电源，分辨率为0.1V。0V-15.0V，额定电流≥3A；15.1V-30.0V，额定电流≥2A，具备过载报警保护功能；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7、锁定功能：当教师端启用锁定功能时，电源设置权限仅限教师端控制，学生端操作无效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8、插座输出：额定电流≥5A，带安全门；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9、机械限位：模块底部设置限位式机械到位触发装置，当模块下落至桌面时触发停止信号，控制设备停止下降并启用供电功能。</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EBC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6F4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CB7C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3EF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708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空调</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B933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立式3匹，一级能效，变频冷暖空调；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制冷量(W)：7000W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制冷功率(W)：2000W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制热量(W)：9000W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制热功率(W)：2900W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循环风量：1200m³/h</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4C4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73D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1FE94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B01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DD9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窗帘</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FEAC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1.材料由双层布构成，里面是透明纱窗布加遮光布组成；外层布艺面料采用聚酯纤维与棉等混纺，能断裂强力经向/纬向≥100N；水洗尺寸变化率-1.0%~+1.0%；阻燃性符合B1级标准更安全；褶皱比例≥1.5。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2.轨道或吊杆安装。轨道、吊杆金属材质。</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8D8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1EB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r>
      <w:tr w14:paraId="4D55B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F44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59A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清洁用品</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2B12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1.外箱由皮革制造，有提手，印有明显标识，外形尺寸：不小于285×165×175（mm）。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2.内装药品及器械应定位放置，取放方便，必备药品有：药用脱脂棉、纱布、胶布、创可贴、碘酒、医用酒精、高锰酸钾等。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3.要求：必备器械有：剪刀、镊子、医用手套、护目镜等。</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11B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E13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7226C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62A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BB1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灭火设备</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B764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玻璃纤维材质，1800mm×1800mm。</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D89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D2C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件</w:t>
            </w:r>
          </w:p>
        </w:tc>
      </w:tr>
      <w:tr w14:paraId="0BA9F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20E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564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智能交互人体骨骼系统</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4B2F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AI大模型-人体骨骼系统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人体骨骼系统是人体的坚固支架，成人的骨骼由206块骨头组成，这些骨头通过关节、软骨和韧带相互连接。它像积木一样支撑身体，让我们能站立和奔跑。头部的颅骨保护大脑，胸部的肋骨形成笼子状结构，守护心脏和肺部等重要器官。骨骼与肌肉合作完成动作。骨头内部藏着骨髓，其中红骨髓负责制造血液细胞，黄骨髓则储存能量。骨骼表面覆盖着光滑的软骨，能减少运动时的摩擦，而坚韧的韧带把骨头牢牢固定，防止关节脱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语音唤醒词：您好，骨骼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语音命令词：额骨；颈椎；眉弓；锁骨；胸骨等，具体参见水晶上名称。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右侧AI大模型互动屏幕，你可以语音交互，问更深入的相关问题，可获得更多详细的科普解答。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1.高级主控板：采用国产的高性能芯片作为主控芯片。其是一款低功耗、高性能处理器，适用于 ARM 架构的 PC 和边缘计算设备、个人移动互联网设备和智能电视盒子等其他数字多媒体应用。该主板可运行Linux系统或安卓系统。可以运行各种大模型app，比如豆包爱学，秘塔AI搜索，通义千问，Deepseek等。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2.≥8个触点的炫彩RGB触摸模块，接口为RJ11接口，带芯片，实现单总线协议，无需对色标。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3.黑色阳极氧化铝合金六边形框，带M4螺孔，便于安装固定于墙面，高透明面框，便于学生看到内部实现原理。六边形对边尺寸大于340mm,厚度小于85mm，≥5个过线孔。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4.金属材质黑色六边形底框，6个螺丝安装孔，六边形对边尺寸大于360mm,厚度小于42mm。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5.电源转接板支持6~12V电压，≥3个D2.1-5.5防反接电源接口，≥4个RJ11接口，≥2个按键输入接口，≥2个电机输出接口，≥2个可调电位器。拥有一个电源总控制开关接口。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6.配置12V电源适配器，具有过载保护，外接220V标准电源。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7.高亮度COB01 RGB灯条，环形固定在六边形内框，不外露又能实现炫彩灯光效果，光均称无阴影。可用遥控器或者app控制灯条颜色。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8.配置国产嵌入式芯片语音AI交互主控板1块，≥2个喇叭，≥2个麦克风，≥5英寸的彩屏，1个离线语音识别模块，≥8个触摸点的炫彩RGB触摸模块1个，人体骨骼模型1个，开关按键≥1个，高亮度炫彩COB01 RGB灯条≥1根，COB01 RGB灯条长度≥1250mm，阳极氧化铝合金六边形框≥1套、透明面框≥1套、底板≥1套、安装底座≥1套、适配器≥1个，电源转接板≥1个。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9.一体式安装，现场无需再DIY组装，插上电源，固定螺钉即可使用。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10.案例框支持任意组合，可以是一朵花的样式，可以是相互拼接，也可以单独安装。</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62DC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443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A027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F65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018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智能交互豆芽发芽过程</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425A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小麦发芽过程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小麦是最重要的粮食作物之一，跟水稻和玉米三种作物占世界上食物的一半以上。认识小麦的发芽过程可以让我们知道粮食作物小麦生长过程。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语音唤醒词：你好，小麦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语音命令词：吸水膨胀；胚部萌动；种皮破裂；胚根生长；胚芽鞘伸出；第一真叶展开；幼苗形成；麦穗。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右边AI大模型互动屏幕，你可以语音交互，问更深入的相关问题，可获得更多详细的科普解答。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0.总体介绍：xxx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吸水膨胀（0-12小时）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干燥麦粒吸水后体积膨胀1.5倍，种皮软化。细胞通过渗透作用吸收水分，激活胚乳中的淀粉酶和蛋白酶，启动胚的活化。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胚根萌发（24-48小时）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胚根突破种皮形成主根，同时胚乳中的淀粉被分解为葡萄糖，蛋白质转化为氨基酸，为生长提供能量。此阶段种子呼吸作用增强，释放二氧化碳和水。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胚轴伸长（48-72小时）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胚轴细胞在生长素作用下纵向分裂，日均增长1-2厘米。胚芽鞘向上生长，真叶逐渐展开，叶绿体开始形成，为后续光合作用奠定基础。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子叶展开（72小时+）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子叶完全展开后，叶绿体通过光合作用合成有机物，此时小麦芽维生素C含量较种子提升5-6倍，纤维素结构增强茎叶支撑力。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1.高级主控板：采用国产的高性能芯片作为主控芯片。其是一款低功耗、高性能处理器，适用于 ARM 架构的 PC 和边缘计算设备、个人移动互联网设备和智能电视盒子等其他数字多媒体应用。该主板可运行Linux系统或安卓系统。可以运行各种大模型app，比如豆包爱学，秘塔AI搜索，通义千问，Deepseek等。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2.≥8个触点的炫彩RGB触摸模块，接口为RJ11接口，带芯片，实现单总线协议，无需对色标。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3.黑色阳极氧化铝合金六边形框，带M4螺孔，便于安装固定于墙面，高透明面框，便于学生看到内部实现原理。六边形对边尺寸大于340mm,厚度小于85mm，≥5个过线孔。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4.金属材质黑色六边形底框，6个螺丝安装孔，六边形对边尺寸大于360mm,厚度小于42mm。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5.主板接口及电子模块接口均为RJ11接口，其中电子模块大部分带芯片，方便插接，无需对色标，即插即用，带反接和防松功能，降低学习门槛。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6.电源转接板支持6~12V电压，≥3个D2.1-5.5防反接电源接口，≥4个RJ11接口，≥2个按键输入接口，≥2个电机输出接口，≥2个可调电位器。拥有一个电源总控制开关接口。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7.配置12V电源适配器，具有过载保护，外接220V标准电源。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8.配置≥1个高性能人工智能主控板，可播放音频的喇叭≥1个，≥2个麦克风，≥5英寸的彩屏≥1个，离线语音语音识别模块≥1个，≥8个触摸点的炫彩RGB触摸模块1个，高亮度炫彩COB01 RGB灯条≥1根，COB01 RGB灯条长≥1250mm，豆芽生长模型≥1个，阳极氧化铝合金六边形框≥1套、透明面框≥1套、底板≥1套、安装底座≥1套、适配器≥1个，电源转接板≥1个。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9.一体式安装，现场无需再DIY组装，可以实现观察到豆芽生长阶段的各个形态，同时可以进行语音交互的方式进行相关知识的科普。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10.案例框支持任意组合，可以是一朵花的样式，可以是相互拼接，也可以单独安装。</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8CF5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284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9D01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5C6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432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图书展示柜</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BCA4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根据墙面尺寸定制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规格：≥5000×400×2200mm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材质：主体采用16mm三聚氰胺双面板，层板采用18mm三聚氰胺双面板；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结构：上部搁架；下部板式对开门，设一层隔板；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工艺：截面1.5mm厚塑制优质封边条机械封边。</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C2F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730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r>
      <w:tr w14:paraId="6B141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37E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0ED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环境提升</w:t>
            </w:r>
          </w:p>
        </w:tc>
        <w:tc>
          <w:tcPr>
            <w:tcW w:w="3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29BB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1、地面改造，原地面打磨、清洁，表层采用3㎜PVC铺装；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2、墙面改造，原墙体铲除及二次粉刷；室外走廊展板设计实施1套，室内文化展板2套，作品展示墙2套；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3、顶面改造，一间铝方通造型吊顶，一间铝扣板集成吊顶；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4、电路改造，根据设计布局改动强弱电点位，以便于接通专用设备用电需求；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5、水路改造，根据设计布局改动上水管、排水管的位置，对应设备用水需求；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6、垃圾清运。</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D91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163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bl>
    <w:p w14:paraId="63CF2AB8">
      <w:pPr>
        <w:pStyle w:val="17"/>
        <w:rPr>
          <w:rFonts w:hint="eastAsia"/>
          <w:color w:val="auto"/>
          <w:highlight w:val="none"/>
          <w:lang w:val="en-US" w:eastAsia="zh-CN"/>
        </w:rPr>
      </w:pPr>
    </w:p>
    <w:p w14:paraId="73FBFD09">
      <w:pPr>
        <w:pStyle w:val="17"/>
        <w:rPr>
          <w:rFonts w:ascii="宋体" w:hAnsi="宋体" w:eastAsia="宋体" w:cs="宋体"/>
          <w:color w:val="auto"/>
          <w:spacing w:val="0"/>
          <w:position w:val="0"/>
          <w:sz w:val="24"/>
          <w:highlight w:val="none"/>
          <w:shd w:val="clear" w:fill="auto"/>
        </w:rPr>
      </w:pPr>
    </w:p>
    <w:p w14:paraId="2905E7C2">
      <w:pPr>
        <w:pStyle w:val="3"/>
        <w:rPr>
          <w:color w:val="auto"/>
          <w:highlight w:val="none"/>
        </w:rPr>
      </w:pPr>
    </w:p>
    <w:p w14:paraId="1CCBAF6E">
      <w:pPr>
        <w:pStyle w:val="17"/>
        <w:rPr>
          <w:color w:val="auto"/>
          <w:highlight w:val="none"/>
        </w:rPr>
      </w:pPr>
    </w:p>
    <w:p w14:paraId="379764A5">
      <w:pPr>
        <w:rPr>
          <w:rFonts w:hint="default"/>
          <w:color w:val="auto"/>
          <w:highlight w:val="none"/>
          <w:lang w:val="en-US" w:eastAsia="zh-CN"/>
        </w:rPr>
      </w:pPr>
    </w:p>
    <w:p w14:paraId="68E1B44A">
      <w:pPr>
        <w:spacing w:before="0" w:after="0" w:line="480" w:lineRule="auto"/>
        <w:ind w:right="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2、售后服务内容及要求：</w:t>
      </w:r>
    </w:p>
    <w:p w14:paraId="6300C746">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2.1质量保证：按双方签订合同时的约定执行。</w:t>
      </w:r>
    </w:p>
    <w:p w14:paraId="3A64C92F">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2.2售后服务：免费质保</w:t>
      </w:r>
      <w:r>
        <w:rPr>
          <w:rFonts w:hint="eastAsia" w:ascii="Times New Roman" w:hAnsi="Times New Roman" w:eastAsia="宋体" w:cs="Times New Roman"/>
          <w:color w:val="auto"/>
          <w:spacing w:val="0"/>
          <w:position w:val="0"/>
          <w:sz w:val="21"/>
          <w:highlight w:val="none"/>
          <w:shd w:val="clear" w:fill="FFFFFF"/>
          <w:lang w:val="en-US" w:eastAsia="zh-CN"/>
        </w:rPr>
        <w:t>3</w:t>
      </w:r>
      <w:r>
        <w:rPr>
          <w:rFonts w:ascii="宋体" w:hAnsi="宋体" w:eastAsia="宋体" w:cs="宋体"/>
          <w:color w:val="auto"/>
          <w:spacing w:val="0"/>
          <w:position w:val="0"/>
          <w:sz w:val="24"/>
          <w:highlight w:val="none"/>
          <w:shd w:val="clear" w:fill="auto"/>
        </w:rPr>
        <w:t>年,在接到采购方服务请求后，</w:t>
      </w:r>
      <w:r>
        <w:rPr>
          <w:rFonts w:hint="eastAsia" w:ascii="Times New Roman" w:hAnsi="Times New Roman" w:eastAsia="宋体" w:cs="Times New Roman"/>
          <w:color w:val="auto"/>
          <w:spacing w:val="0"/>
          <w:position w:val="0"/>
          <w:sz w:val="21"/>
          <w:highlight w:val="none"/>
          <w:shd w:val="clear" w:fill="FFFFFF"/>
          <w:lang w:val="en-US" w:eastAsia="zh-CN"/>
        </w:rPr>
        <w:t>4</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24</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3CAE4B03">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57F2BB19">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w:t>
      </w:r>
      <w:r>
        <w:rPr>
          <w:rFonts w:hint="eastAsia" w:ascii="宋体" w:hAnsi="宋体" w:eastAsia="宋体" w:cs="宋体"/>
          <w:color w:val="auto"/>
          <w:spacing w:val="0"/>
          <w:position w:val="0"/>
          <w:sz w:val="24"/>
          <w:highlight w:val="none"/>
          <w:shd w:val="clear" w:fill="auto"/>
          <w:lang w:val="en-US" w:eastAsia="zh-CN"/>
        </w:rPr>
        <w:t>见磋商公告</w:t>
      </w:r>
      <w:r>
        <w:rPr>
          <w:rFonts w:ascii="宋体" w:hAnsi="宋体" w:eastAsia="宋体" w:cs="宋体"/>
          <w:color w:val="auto"/>
          <w:spacing w:val="0"/>
          <w:position w:val="0"/>
          <w:sz w:val="24"/>
          <w:highlight w:val="none"/>
          <w:shd w:val="clear" w:fill="auto"/>
        </w:rPr>
        <w:t>。</w:t>
      </w:r>
    </w:p>
    <w:p w14:paraId="05B75D46">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2.1验收：由最终用户组织验收。</w:t>
      </w:r>
    </w:p>
    <w:p w14:paraId="4A183691">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772681E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17503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F99BA0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FC867D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2AB476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72EEDE2">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p>
    <w:p w14:paraId="201A4FB6">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p>
    <w:p w14:paraId="2D50BA63">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p>
    <w:p w14:paraId="15AC77D2">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7F9D1D2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0C328D1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E1A41BA">
      <w:pPr>
        <w:ind w:firstLine="480" w:firstLineChars="200"/>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086C9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51D092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8E8837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68729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653217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3E754A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6EC59F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4E679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D2C2DF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8B4D61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BE8FF7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E3D651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97FF8B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2611FAB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1BB0438A">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F833516">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7C3C271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3C03F8B">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6FA73A9">
      <w:pPr>
        <w:pStyle w:val="18"/>
        <w:rPr>
          <w:color w:val="auto"/>
          <w:highlight w:val="none"/>
        </w:rPr>
      </w:pPr>
    </w:p>
    <w:p w14:paraId="333CD55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A7160A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0661C3D5">
      <w:pPr>
        <w:numPr>
          <w:ilvl w:val="0"/>
          <w:numId w:val="40"/>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F8D277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1DEB498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CD4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740BB15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格式5</w:t>
      </w:r>
    </w:p>
    <w:p w14:paraId="31CD7AC4">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5EE760F6">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谈判供应商名称：</w:t>
      </w:r>
    </w:p>
    <w:p w14:paraId="63D26CC9">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03B64C95">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452F1A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08E4E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7627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66ACF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B1469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1C9F4B90">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84F5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0B071B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878B0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9417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EF4B3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02C4E3A">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828E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4F581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A86B4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AACF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1E6E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EF9582C">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381C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B37181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A269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3ECA8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0DD4A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C6B8F7F">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5415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A91BC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09D08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557DB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876EA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AAA138E">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C667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0C7F7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80AE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4E04D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6C7CE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2A50143">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7CF8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B36D7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E61CB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7A3B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42F52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EC9413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66E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59308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814A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6C7DD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B2064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BCECD4B">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FF4CDF">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6030028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F9032AF">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7821DEC2">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谈判供应商代表签字：谈判供应商公章日期：</w:t>
      </w:r>
    </w:p>
    <w:p w14:paraId="56A8472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4C75C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71B57EB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A49ECB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DCF889D">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5B41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7AA7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716E7BC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29A7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9AF3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FA18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D47F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1DA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3139449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425F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22E3B">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2E55AB">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C18367">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AEE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6C312B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073A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BFF0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9E38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684D5">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9574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847431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D316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0E4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6D8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6B52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F7D7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AF0AC2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83F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C417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F007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2E7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2720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6A711C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DA10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3A41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39E7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ECCC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954E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F16DCE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4E0C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16C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1A9AB">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9E4A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A909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0963FC6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E0E928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70D6E70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D9BA744">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694298A">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6E9532A">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E97A05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8AADBA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格式7</w:t>
      </w:r>
    </w:p>
    <w:p w14:paraId="5DFAB3D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AB134E6">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4F1FA29B">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76ED904">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14D8CB3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A62B42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7778F0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56B2E9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FF6049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77F374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7FF9CF1">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5CF8B4CA">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0044F1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4247D2F">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3097E22E">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21FA9121">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FFE016B">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7FC950A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格式8</w:t>
      </w:r>
    </w:p>
    <w:p w14:paraId="626CF5B2">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5CBEC2A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F1CB86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DF22E6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E6821E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AEB278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EF8027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3A38FA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0215CDB">
      <w:pPr>
        <w:pStyle w:val="17"/>
        <w:rPr>
          <w:color w:val="auto"/>
          <w:highlight w:val="none"/>
        </w:rPr>
      </w:pPr>
    </w:p>
    <w:p w14:paraId="14B1D6E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D527AC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7D4F48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3E2AB0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2AB1F5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6C6E3D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99ED84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71343F6">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89AB25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AE511A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EA57F1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222A050">
      <w:pPr>
        <w:pStyle w:val="17"/>
        <w:rPr>
          <w:rFonts w:ascii="宋体" w:hAnsi="宋体" w:eastAsia="宋体" w:cs="宋体"/>
          <w:b/>
          <w:color w:val="auto"/>
          <w:spacing w:val="0"/>
          <w:position w:val="0"/>
          <w:sz w:val="24"/>
          <w:highlight w:val="none"/>
          <w:shd w:val="clear" w:fill="auto"/>
        </w:rPr>
      </w:pPr>
    </w:p>
    <w:p w14:paraId="0B1E4DA3">
      <w:pPr>
        <w:pStyle w:val="3"/>
        <w:rPr>
          <w:rFonts w:ascii="宋体" w:hAnsi="宋体" w:eastAsia="宋体" w:cs="宋体"/>
          <w:b/>
          <w:color w:val="auto"/>
          <w:spacing w:val="0"/>
          <w:position w:val="0"/>
          <w:sz w:val="24"/>
          <w:highlight w:val="none"/>
          <w:shd w:val="clear" w:fill="auto"/>
        </w:rPr>
      </w:pPr>
    </w:p>
    <w:p w14:paraId="6FFD6A6E">
      <w:pPr>
        <w:rPr>
          <w:rFonts w:ascii="宋体" w:hAnsi="宋体" w:eastAsia="宋体" w:cs="宋体"/>
          <w:b/>
          <w:color w:val="auto"/>
          <w:spacing w:val="0"/>
          <w:position w:val="0"/>
          <w:sz w:val="24"/>
          <w:highlight w:val="none"/>
          <w:shd w:val="clear" w:fill="auto"/>
        </w:rPr>
      </w:pPr>
    </w:p>
    <w:p w14:paraId="0A327797">
      <w:pPr>
        <w:pStyle w:val="17"/>
        <w:rPr>
          <w:rFonts w:ascii="宋体" w:hAnsi="宋体" w:eastAsia="宋体" w:cs="宋体"/>
          <w:b/>
          <w:color w:val="auto"/>
          <w:spacing w:val="0"/>
          <w:position w:val="0"/>
          <w:sz w:val="24"/>
          <w:highlight w:val="none"/>
          <w:shd w:val="clear" w:fill="auto"/>
        </w:rPr>
      </w:pPr>
    </w:p>
    <w:p w14:paraId="2D979D50">
      <w:pPr>
        <w:pStyle w:val="3"/>
        <w:rPr>
          <w:rFonts w:ascii="宋体" w:hAnsi="宋体" w:eastAsia="宋体" w:cs="宋体"/>
          <w:b/>
          <w:color w:val="auto"/>
          <w:spacing w:val="0"/>
          <w:position w:val="0"/>
          <w:sz w:val="24"/>
          <w:highlight w:val="none"/>
          <w:shd w:val="clear" w:fill="auto"/>
        </w:rPr>
      </w:pPr>
    </w:p>
    <w:p w14:paraId="5AE20D31">
      <w:pPr>
        <w:rPr>
          <w:rFonts w:ascii="宋体" w:hAnsi="宋体" w:eastAsia="宋体" w:cs="宋体"/>
          <w:b/>
          <w:color w:val="auto"/>
          <w:spacing w:val="0"/>
          <w:position w:val="0"/>
          <w:sz w:val="24"/>
          <w:highlight w:val="none"/>
          <w:shd w:val="clear" w:fill="auto"/>
        </w:rPr>
      </w:pPr>
    </w:p>
    <w:p w14:paraId="59D6B2EF">
      <w:pPr>
        <w:pStyle w:val="17"/>
        <w:rPr>
          <w:rFonts w:ascii="宋体" w:hAnsi="宋体" w:eastAsia="宋体" w:cs="宋体"/>
          <w:b/>
          <w:color w:val="auto"/>
          <w:spacing w:val="0"/>
          <w:position w:val="0"/>
          <w:sz w:val="24"/>
          <w:highlight w:val="none"/>
          <w:shd w:val="clear" w:fill="auto"/>
        </w:rPr>
      </w:pPr>
    </w:p>
    <w:p w14:paraId="7BBA0964">
      <w:pPr>
        <w:pStyle w:val="3"/>
        <w:rPr>
          <w:rFonts w:ascii="宋体" w:hAnsi="宋体" w:eastAsia="宋体" w:cs="宋体"/>
          <w:b/>
          <w:color w:val="auto"/>
          <w:spacing w:val="0"/>
          <w:position w:val="0"/>
          <w:sz w:val="24"/>
          <w:highlight w:val="none"/>
          <w:shd w:val="clear" w:fill="auto"/>
        </w:rPr>
      </w:pPr>
    </w:p>
    <w:p w14:paraId="636493DB">
      <w:pPr>
        <w:rPr>
          <w:rFonts w:ascii="宋体" w:hAnsi="宋体" w:eastAsia="宋体" w:cs="宋体"/>
          <w:b/>
          <w:color w:val="auto"/>
          <w:spacing w:val="0"/>
          <w:position w:val="0"/>
          <w:sz w:val="24"/>
          <w:highlight w:val="none"/>
          <w:shd w:val="clear" w:fill="auto"/>
        </w:rPr>
      </w:pPr>
    </w:p>
    <w:p w14:paraId="3AAC04DC">
      <w:pPr>
        <w:pStyle w:val="17"/>
        <w:rPr>
          <w:rFonts w:ascii="宋体" w:hAnsi="宋体" w:eastAsia="宋体" w:cs="宋体"/>
          <w:b/>
          <w:color w:val="auto"/>
          <w:spacing w:val="0"/>
          <w:position w:val="0"/>
          <w:sz w:val="24"/>
          <w:highlight w:val="none"/>
          <w:shd w:val="clear" w:fill="auto"/>
        </w:rPr>
      </w:pPr>
    </w:p>
    <w:p w14:paraId="2A5670B3">
      <w:pPr>
        <w:pStyle w:val="3"/>
        <w:rPr>
          <w:rFonts w:ascii="宋体" w:hAnsi="宋体" w:eastAsia="宋体" w:cs="宋体"/>
          <w:b/>
          <w:color w:val="auto"/>
          <w:spacing w:val="0"/>
          <w:position w:val="0"/>
          <w:sz w:val="24"/>
          <w:highlight w:val="none"/>
          <w:shd w:val="clear" w:fill="auto"/>
        </w:rPr>
      </w:pPr>
    </w:p>
    <w:p w14:paraId="05DD05D9">
      <w:pPr>
        <w:rPr>
          <w:color w:val="auto"/>
          <w:highlight w:val="none"/>
        </w:rPr>
      </w:pPr>
    </w:p>
    <w:p w14:paraId="24F0E3E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79A61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格式9</w:t>
      </w:r>
    </w:p>
    <w:p w14:paraId="0620CC5A">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5B4817B2">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6096CD4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AE0B36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EB92E0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E93B2C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7CB1DF9D">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C38496F">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93FB488">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627F18E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714BE7B">
      <w:pPr>
        <w:rPr>
          <w:rFonts w:hint="eastAsia"/>
          <w:color w:val="auto"/>
          <w:highlight w:val="none"/>
        </w:rPr>
      </w:pPr>
    </w:p>
    <w:p w14:paraId="520B24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2EF2D1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0B07958E">
      <w:pPr>
        <w:pStyle w:val="3"/>
        <w:rPr>
          <w:rFonts w:ascii="宋体" w:hAnsi="宋体" w:eastAsia="宋体" w:cs="宋体"/>
          <w:color w:val="auto"/>
          <w:spacing w:val="0"/>
          <w:position w:val="0"/>
          <w:sz w:val="24"/>
          <w:highlight w:val="none"/>
          <w:shd w:val="clear" w:fill="auto"/>
        </w:rPr>
      </w:pPr>
    </w:p>
    <w:p w14:paraId="0ED9C606">
      <w:pPr>
        <w:rPr>
          <w:color w:val="auto"/>
          <w:highlight w:val="none"/>
        </w:rPr>
      </w:pPr>
    </w:p>
    <w:p w14:paraId="2FDAF9B3">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3DF8AB0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7C79CE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C3E690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654E47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0651DC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883194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D00396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2C21FAA">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0DD6A706">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29660C2C">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44A8635">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2D704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142365C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4FEEEDE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46CA4A5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32D8818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6387580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672F11D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0EB9288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33A9CC4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4253FCB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0713EF6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E51241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173CC6F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037F61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1BAA186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1FB1D92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26AB6C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325E9952">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20DE5618">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419081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206F133B">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10331E39">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208BFAF6">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6BBD437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CD2827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ABCCDE4">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5BC45CE6">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6A8BA8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68DA2C4">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3CC39F3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4C908CA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54A827FB">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524A3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4418976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2065478">
      <w:pPr>
        <w:pStyle w:val="17"/>
        <w:rPr>
          <w:rFonts w:hint="eastAsia" w:ascii="宋体" w:hAnsi="宋体" w:eastAsia="宋体" w:cs="宋体"/>
          <w:b/>
          <w:color w:val="auto"/>
          <w:spacing w:val="0"/>
          <w:position w:val="0"/>
          <w:sz w:val="21"/>
          <w:szCs w:val="21"/>
          <w:highlight w:val="none"/>
          <w:shd w:val="clear" w:fill="auto"/>
        </w:rPr>
      </w:pPr>
    </w:p>
    <w:p w14:paraId="20484719">
      <w:pPr>
        <w:pStyle w:val="3"/>
        <w:rPr>
          <w:rFonts w:ascii="宋体" w:hAnsi="宋体" w:eastAsia="宋体" w:cs="宋体"/>
          <w:b/>
          <w:color w:val="auto"/>
          <w:spacing w:val="0"/>
          <w:position w:val="0"/>
          <w:sz w:val="28"/>
          <w:highlight w:val="none"/>
          <w:shd w:val="clear" w:fill="auto"/>
        </w:rPr>
      </w:pPr>
    </w:p>
    <w:p w14:paraId="35AF9336">
      <w:pPr>
        <w:rPr>
          <w:rFonts w:ascii="宋体" w:hAnsi="宋体" w:eastAsia="宋体" w:cs="宋体"/>
          <w:b/>
          <w:color w:val="auto"/>
          <w:spacing w:val="0"/>
          <w:position w:val="0"/>
          <w:sz w:val="28"/>
          <w:highlight w:val="none"/>
          <w:shd w:val="clear" w:fill="auto"/>
        </w:rPr>
      </w:pPr>
    </w:p>
    <w:p w14:paraId="38E0D731">
      <w:pPr>
        <w:pStyle w:val="17"/>
        <w:rPr>
          <w:rFonts w:ascii="宋体" w:hAnsi="宋体" w:eastAsia="宋体" w:cs="宋体"/>
          <w:b/>
          <w:color w:val="auto"/>
          <w:spacing w:val="0"/>
          <w:position w:val="0"/>
          <w:sz w:val="28"/>
          <w:highlight w:val="none"/>
          <w:shd w:val="clear" w:fill="auto"/>
        </w:rPr>
      </w:pPr>
    </w:p>
    <w:p w14:paraId="5C922B9C">
      <w:pPr>
        <w:pStyle w:val="3"/>
        <w:rPr>
          <w:rFonts w:ascii="宋体" w:hAnsi="宋体" w:eastAsia="宋体" w:cs="宋体"/>
          <w:b/>
          <w:color w:val="auto"/>
          <w:spacing w:val="0"/>
          <w:position w:val="0"/>
          <w:sz w:val="28"/>
          <w:highlight w:val="none"/>
          <w:shd w:val="clear" w:fill="auto"/>
        </w:rPr>
      </w:pPr>
    </w:p>
    <w:p w14:paraId="08EE8322">
      <w:pPr>
        <w:rPr>
          <w:rFonts w:ascii="宋体" w:hAnsi="宋体" w:eastAsia="宋体" w:cs="宋体"/>
          <w:b/>
          <w:color w:val="auto"/>
          <w:spacing w:val="0"/>
          <w:position w:val="0"/>
          <w:sz w:val="28"/>
          <w:highlight w:val="none"/>
          <w:shd w:val="clear" w:fill="auto"/>
        </w:rPr>
      </w:pPr>
    </w:p>
    <w:p w14:paraId="415088E1">
      <w:pPr>
        <w:pStyle w:val="17"/>
        <w:rPr>
          <w:rFonts w:ascii="宋体" w:hAnsi="宋体" w:eastAsia="宋体" w:cs="宋体"/>
          <w:b/>
          <w:color w:val="auto"/>
          <w:spacing w:val="0"/>
          <w:position w:val="0"/>
          <w:sz w:val="28"/>
          <w:highlight w:val="none"/>
          <w:shd w:val="clear" w:fill="auto"/>
        </w:rPr>
      </w:pPr>
    </w:p>
    <w:p w14:paraId="1DFBBCBF">
      <w:pPr>
        <w:pStyle w:val="3"/>
        <w:rPr>
          <w:rFonts w:ascii="宋体" w:hAnsi="宋体" w:eastAsia="宋体" w:cs="宋体"/>
          <w:b/>
          <w:color w:val="auto"/>
          <w:spacing w:val="0"/>
          <w:position w:val="0"/>
          <w:sz w:val="28"/>
          <w:highlight w:val="none"/>
          <w:shd w:val="clear" w:fill="auto"/>
        </w:rPr>
      </w:pPr>
    </w:p>
    <w:p w14:paraId="4B3F5E64">
      <w:pPr>
        <w:rPr>
          <w:rFonts w:ascii="宋体" w:hAnsi="宋体" w:eastAsia="宋体" w:cs="宋体"/>
          <w:b/>
          <w:color w:val="auto"/>
          <w:spacing w:val="0"/>
          <w:position w:val="0"/>
          <w:sz w:val="28"/>
          <w:highlight w:val="none"/>
          <w:shd w:val="clear" w:fill="auto"/>
        </w:rPr>
      </w:pPr>
    </w:p>
    <w:p w14:paraId="0731A3B8">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798CE393">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07EDE46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159701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8587F5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52E7DC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72DF4A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C28752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1F5473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06848F7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2DF94CC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1E3B793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69D9C5F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57F62BA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068C7A4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FC3BF2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2E6446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7F6442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74688AE9">
      <w:pPr>
        <w:widowControl w:val="0"/>
        <w:spacing w:before="0" w:after="0" w:line="460" w:lineRule="auto"/>
        <w:ind w:left="0" w:right="0" w:firstLine="0"/>
        <w:jc w:val="center"/>
        <w:rPr>
          <w:rFonts w:ascii="宋体" w:hAnsi="宋体" w:eastAsia="宋体" w:cs="宋体"/>
          <w:color w:val="auto"/>
          <w:spacing w:val="0"/>
          <w:position w:val="0"/>
          <w:sz w:val="32"/>
          <w:highlight w:val="none"/>
          <w:shd w:val="clear" w:fill="auto"/>
        </w:rPr>
      </w:pPr>
    </w:p>
    <w:p w14:paraId="0BA6A81E">
      <w:pPr>
        <w:widowControl w:val="0"/>
        <w:spacing w:before="0" w:after="0" w:line="460" w:lineRule="auto"/>
        <w:ind w:left="0" w:right="0" w:firstLine="0"/>
        <w:jc w:val="center"/>
        <w:rPr>
          <w:rFonts w:ascii="宋体" w:hAnsi="宋体" w:eastAsia="宋体" w:cs="宋体"/>
          <w:color w:val="auto"/>
          <w:spacing w:val="0"/>
          <w:position w:val="0"/>
          <w:sz w:val="32"/>
          <w:highlight w:val="none"/>
          <w:shd w:val="clear" w:fill="auto"/>
        </w:rPr>
      </w:pPr>
    </w:p>
    <w:p w14:paraId="16C7A083">
      <w:pPr>
        <w:widowControl w:val="0"/>
        <w:spacing w:before="0" w:after="0" w:line="460" w:lineRule="auto"/>
        <w:ind w:left="0" w:right="0" w:firstLine="0"/>
        <w:jc w:val="center"/>
        <w:rPr>
          <w:rFonts w:ascii="宋体" w:hAnsi="宋体" w:eastAsia="宋体" w:cs="宋体"/>
          <w:color w:val="auto"/>
          <w:spacing w:val="0"/>
          <w:position w:val="0"/>
          <w:sz w:val="32"/>
          <w:highlight w:val="none"/>
          <w:shd w:val="clear" w:fill="auto"/>
        </w:rPr>
      </w:pPr>
    </w:p>
    <w:p w14:paraId="2B2A7EC0">
      <w:pPr>
        <w:widowControl w:val="0"/>
        <w:spacing w:before="0" w:after="0" w:line="460" w:lineRule="auto"/>
        <w:ind w:left="0" w:right="0" w:firstLine="0"/>
        <w:jc w:val="center"/>
        <w:rPr>
          <w:rFonts w:ascii="宋体" w:hAnsi="宋体" w:eastAsia="宋体" w:cs="宋体"/>
          <w:color w:val="auto"/>
          <w:spacing w:val="0"/>
          <w:position w:val="0"/>
          <w:sz w:val="32"/>
          <w:highlight w:val="none"/>
          <w:shd w:val="clear" w:fill="auto"/>
        </w:rPr>
      </w:pPr>
    </w:p>
    <w:p w14:paraId="1E78AA9A">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115130B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240BC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7E0857D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75C373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0EB757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65E9F57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2BC930F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6B8F36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37CE8BF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08ED922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539480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176EC3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28936C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65725B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606AA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146D57D8">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5C20BF2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634AAD75">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5428CE12">
      <w:pPr>
        <w:widowControl w:val="0"/>
        <w:numPr>
          <w:ilvl w:val="0"/>
          <w:numId w:val="41"/>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3D8D3DF7">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30ECEB79">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28E8DD8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0CBC48DD">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31FF4D10">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77EC7EB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1F8C9BC4">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0526EA32">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28BCD80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30D6396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0ACA72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0977441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28A6FB7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2EB82C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7A9421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1F46A8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B59880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CB39A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A93A4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39B15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6C1DE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2B576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AB36E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D5A2A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0F21AB3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BC4B5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A9549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3CF19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D6B4B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CF9EE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6C47A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DF9AD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391DB40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89132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5FBFE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D9B63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2CDE3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505E3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FA95F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FE8AC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898064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170B1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8806C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AAEC5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AEA20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7FE8B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41511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9442B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629DB392">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6BAD3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66A0763C">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4AADE7F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4A964B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28406D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8565AE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2E04AA5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478B846">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5A4792F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341FB3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504BCD7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440CEAB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1958B6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7B1CEE8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5DFAC1D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7C0EC7E2">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05B114E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4C8DE50A">
      <w:pPr>
        <w:numPr>
          <w:ilvl w:val="0"/>
          <w:numId w:val="42"/>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693A7EF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615F4BE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627893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7DE61A0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31CD65E8">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2DD289A9">
      <w:pPr>
        <w:numPr>
          <w:ilvl w:val="0"/>
          <w:numId w:val="43"/>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验收方法</w:t>
      </w:r>
    </w:p>
    <w:p w14:paraId="5D56C4E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A73F2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4432D78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CF0D7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3991709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4B90C1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574C66E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17CA5C8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1FC77A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4CF6DEE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BC05C7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382BE10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2A625A0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194CC95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7C1EE9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6E2FA5F">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773B745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622F24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0AE1544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46821C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930C1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4275332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488F48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633311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1E4C095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378D3E2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54210A5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4D39DFF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12C95133">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729A30C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80A81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16EE36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3DEB8C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776F6EE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09B5EC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7278AADE">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5C908D3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1C28EB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8114F53">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49D318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45811D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106569F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74F1F2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4FEF8D4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1DC6C4DD">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3D61CB4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59F35E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04B9E8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C324E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06A32F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hint="eastAsia" w:ascii="Times New Roman" w:hAnsi="Times New Roman" w:eastAsia="宋体" w:cs="Times New Roman"/>
          <w:color w:val="auto"/>
          <w:spacing w:val="0"/>
          <w:position w:val="0"/>
          <w:sz w:val="21"/>
          <w:highlight w:val="none"/>
          <w:shd w:val="clear" w:fill="auto"/>
          <w:lang w:val="en-US" w:eastAsia="zh-CN"/>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78F6D19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hint="eastAsia" w:ascii="Times New Roman" w:hAnsi="Times New Roman" w:eastAsia="宋体" w:cs="Times New Roman"/>
          <w:color w:val="auto"/>
          <w:spacing w:val="0"/>
          <w:position w:val="0"/>
          <w:sz w:val="21"/>
          <w:highlight w:val="none"/>
          <w:shd w:val="clear" w:fill="auto"/>
          <w:lang w:val="en-US" w:eastAsia="zh-CN"/>
        </w:rPr>
        <w:t xml:space="preserve">                               </w:t>
      </w:r>
      <w:r>
        <w:rPr>
          <w:rFonts w:ascii="宋体" w:hAnsi="宋体" w:eastAsia="宋体" w:cs="宋体"/>
          <w:color w:val="auto"/>
          <w:spacing w:val="0"/>
          <w:position w:val="0"/>
          <w:sz w:val="21"/>
          <w:highlight w:val="none"/>
          <w:shd w:val="clear" w:fill="auto"/>
        </w:rPr>
        <w:t>地址：</w:t>
      </w:r>
    </w:p>
    <w:p w14:paraId="283EAF6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hint="eastAsia" w:ascii="Times New Roman" w:hAnsi="Times New Roman" w:eastAsia="宋体" w:cs="Times New Roman"/>
          <w:color w:val="auto"/>
          <w:spacing w:val="0"/>
          <w:position w:val="0"/>
          <w:sz w:val="21"/>
          <w:highlight w:val="none"/>
          <w:shd w:val="clear" w:fill="auto"/>
          <w:lang w:val="en-US" w:eastAsia="zh-CN"/>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7C88963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hint="eastAsia" w:ascii="Times New Roman" w:hAnsi="Times New Roman" w:eastAsia="宋体" w:cs="Times New Roman"/>
          <w:color w:val="auto"/>
          <w:spacing w:val="0"/>
          <w:position w:val="0"/>
          <w:sz w:val="21"/>
          <w:highlight w:val="none"/>
          <w:shd w:val="clear" w:fill="auto"/>
          <w:lang w:val="en-US" w:eastAsia="zh-CN"/>
        </w:rPr>
        <w:t xml:space="preserve">                          </w:t>
      </w:r>
      <w:r>
        <w:rPr>
          <w:rFonts w:ascii="宋体" w:hAnsi="宋体" w:eastAsia="宋体" w:cs="宋体"/>
          <w:color w:val="auto"/>
          <w:spacing w:val="0"/>
          <w:position w:val="0"/>
          <w:sz w:val="21"/>
          <w:highlight w:val="none"/>
          <w:shd w:val="clear" w:fill="auto"/>
        </w:rPr>
        <w:t>委托代理人：</w:t>
      </w:r>
    </w:p>
    <w:p w14:paraId="6F7298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hint="eastAsia" w:ascii="Times New Roman" w:hAnsi="Times New Roman" w:eastAsia="宋体" w:cs="Times New Roman"/>
          <w:color w:val="auto"/>
          <w:spacing w:val="0"/>
          <w:position w:val="0"/>
          <w:sz w:val="21"/>
          <w:highlight w:val="none"/>
          <w:shd w:val="clear" w:fill="auto"/>
          <w:lang w:val="en-US" w:eastAsia="zh-CN"/>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106777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hint="eastAsia" w:ascii="Times New Roman" w:hAnsi="Times New Roman" w:eastAsia="宋体" w:cs="Times New Roman"/>
          <w:color w:val="auto"/>
          <w:spacing w:val="0"/>
          <w:position w:val="0"/>
          <w:sz w:val="21"/>
          <w:highlight w:val="none"/>
          <w:shd w:val="clear" w:fill="auto"/>
          <w:lang w:val="en-US" w:eastAsia="zh-CN"/>
        </w:rPr>
        <w:t xml:space="preserve">                             </w:t>
      </w:r>
      <w:r>
        <w:rPr>
          <w:rFonts w:ascii="宋体" w:hAnsi="宋体" w:eastAsia="宋体" w:cs="宋体"/>
          <w:color w:val="auto"/>
          <w:spacing w:val="0"/>
          <w:position w:val="0"/>
          <w:sz w:val="21"/>
          <w:highlight w:val="none"/>
          <w:shd w:val="clear" w:fill="auto"/>
        </w:rPr>
        <w:t>开户银行：</w:t>
      </w:r>
    </w:p>
    <w:p w14:paraId="68AD58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hint="eastAsia" w:ascii="Times New Roman" w:hAnsi="Times New Roman" w:eastAsia="宋体" w:cs="Times New Roman"/>
          <w:color w:val="auto"/>
          <w:spacing w:val="0"/>
          <w:position w:val="0"/>
          <w:sz w:val="21"/>
          <w:highlight w:val="none"/>
          <w:shd w:val="clear" w:fill="auto"/>
          <w:lang w:val="en-US" w:eastAsia="zh-CN"/>
        </w:rPr>
        <w:t xml:space="preserve">                                 </w:t>
      </w:r>
      <w:r>
        <w:rPr>
          <w:rFonts w:ascii="宋体" w:hAnsi="宋体" w:eastAsia="宋体" w:cs="宋体"/>
          <w:color w:val="auto"/>
          <w:spacing w:val="0"/>
          <w:position w:val="0"/>
          <w:sz w:val="21"/>
          <w:highlight w:val="none"/>
          <w:shd w:val="clear" w:fill="auto"/>
        </w:rPr>
        <w:t>账号：</w:t>
      </w:r>
    </w:p>
    <w:p w14:paraId="5B341500">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50DAE56E">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hint="eastAsia" w:ascii="Times New Roman" w:hAnsi="Times New Roman" w:eastAsia="宋体" w:cs="Times New Roman"/>
          <w:color w:val="auto"/>
          <w:spacing w:val="0"/>
          <w:position w:val="0"/>
          <w:sz w:val="21"/>
          <w:highlight w:val="none"/>
          <w:shd w:val="clear" w:fill="auto"/>
          <w:lang w:val="en-US" w:eastAsia="zh-CN"/>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1625347B">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15AF8A92">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353D53A-7DF7-40E0-BDD4-640F6F8C9F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2" w:fontKey="{8014793C-10F7-4425-8361-035AC41482D9}"/>
  </w:font>
  <w:font w:name="华文楷体">
    <w:panose1 w:val="02010600040101010101"/>
    <w:charset w:val="86"/>
    <w:family w:val="auto"/>
    <w:pitch w:val="default"/>
    <w:sig w:usb0="00000287" w:usb1="080F0000" w:usb2="00000000" w:usb3="00000000" w:csb0="0004009F" w:csb1="DFD70000"/>
  </w:font>
  <w:font w:name="微软简标宋">
    <w:altName w:val="宋体"/>
    <w:panose1 w:val="00000000000000000000"/>
    <w:charset w:val="00"/>
    <w:family w:val="auto"/>
    <w:pitch w:val="default"/>
    <w:sig w:usb0="00000000" w:usb1="00000000" w:usb2="00000000" w:usb3="00000000" w:csb0="00000000" w:csb1="00000000"/>
    <w:embedRegular r:id="rId3" w:fontKey="{04D2893E-8FE8-4AC7-A3FF-E6CDA69F4711}"/>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8A29F"/>
    <w:multiLevelType w:val="singleLevel"/>
    <w:tmpl w:val="8088A29F"/>
    <w:lvl w:ilvl="0" w:tentative="0">
      <w:start w:val="7"/>
      <w:numFmt w:val="decimal"/>
      <w:suff w:val="nothing"/>
      <w:lvlText w:val="（%1）"/>
      <w:lvlJc w:val="left"/>
    </w:lvl>
  </w:abstractNum>
  <w:abstractNum w:abstractNumId="1">
    <w:nsid w:val="843D1C5A"/>
    <w:multiLevelType w:val="singleLevel"/>
    <w:tmpl w:val="843D1C5A"/>
    <w:lvl w:ilvl="0" w:tentative="0">
      <w:start w:val="1"/>
      <w:numFmt w:val="upperLetter"/>
      <w:suff w:val="nothing"/>
      <w:lvlText w:val="%1、"/>
      <w:lvlJc w:val="left"/>
    </w:lvl>
  </w:abstractNum>
  <w:abstractNum w:abstractNumId="2">
    <w:nsid w:val="8B6144AD"/>
    <w:multiLevelType w:val="singleLevel"/>
    <w:tmpl w:val="8B6144AD"/>
    <w:lvl w:ilvl="0" w:tentative="0">
      <w:start w:val="1"/>
      <w:numFmt w:val="decimal"/>
      <w:lvlText w:val="%1."/>
      <w:lvlJc w:val="left"/>
      <w:pPr>
        <w:tabs>
          <w:tab w:val="left" w:pos="312"/>
        </w:tabs>
      </w:pPr>
    </w:lvl>
  </w:abstractNum>
  <w:abstractNum w:abstractNumId="3">
    <w:nsid w:val="9239341B"/>
    <w:multiLevelType w:val="singleLevel"/>
    <w:tmpl w:val="9239341B"/>
    <w:lvl w:ilvl="0" w:tentative="0">
      <w:start w:val="1"/>
      <w:numFmt w:val="bullet"/>
      <w:lvlText w:val="•"/>
      <w:lvlJc w:val="left"/>
    </w:lvl>
  </w:abstractNum>
  <w:abstractNum w:abstractNumId="4">
    <w:nsid w:val="9288B902"/>
    <w:multiLevelType w:val="singleLevel"/>
    <w:tmpl w:val="9288B902"/>
    <w:lvl w:ilvl="0" w:tentative="0">
      <w:start w:val="1"/>
      <w:numFmt w:val="bullet"/>
      <w:lvlText w:val="•"/>
      <w:lvlJc w:val="left"/>
    </w:lvl>
  </w:abstractNum>
  <w:abstractNum w:abstractNumId="5">
    <w:nsid w:val="9C8AC8EF"/>
    <w:multiLevelType w:val="singleLevel"/>
    <w:tmpl w:val="9C8AC8EF"/>
    <w:lvl w:ilvl="0" w:tentative="0">
      <w:start w:val="1"/>
      <w:numFmt w:val="bullet"/>
      <w:lvlText w:val="•"/>
      <w:lvlJc w:val="left"/>
    </w:lvl>
  </w:abstractNum>
  <w:abstractNum w:abstractNumId="6">
    <w:nsid w:val="9D2A0D86"/>
    <w:multiLevelType w:val="singleLevel"/>
    <w:tmpl w:val="9D2A0D86"/>
    <w:lvl w:ilvl="0" w:tentative="0">
      <w:start w:val="1"/>
      <w:numFmt w:val="decimal"/>
      <w:suff w:val="nothing"/>
      <w:lvlText w:val="%1、"/>
      <w:lvlJc w:val="left"/>
    </w:lvl>
  </w:abstractNum>
  <w:abstractNum w:abstractNumId="7">
    <w:nsid w:val="B0F1ACD9"/>
    <w:multiLevelType w:val="singleLevel"/>
    <w:tmpl w:val="B0F1ACD9"/>
    <w:lvl w:ilvl="0" w:tentative="0">
      <w:start w:val="1"/>
      <w:numFmt w:val="bullet"/>
      <w:lvlText w:val="•"/>
      <w:lvlJc w:val="left"/>
    </w:lvl>
  </w:abstractNum>
  <w:abstractNum w:abstractNumId="8">
    <w:nsid w:val="B5E306ED"/>
    <w:multiLevelType w:val="singleLevel"/>
    <w:tmpl w:val="B5E306ED"/>
    <w:lvl w:ilvl="0" w:tentative="0">
      <w:start w:val="1"/>
      <w:numFmt w:val="bullet"/>
      <w:lvlText w:val="•"/>
      <w:lvlJc w:val="left"/>
    </w:lvl>
  </w:abstractNum>
  <w:abstractNum w:abstractNumId="9">
    <w:nsid w:val="BB8240E4"/>
    <w:multiLevelType w:val="singleLevel"/>
    <w:tmpl w:val="BB8240E4"/>
    <w:lvl w:ilvl="0" w:tentative="0">
      <w:start w:val="5"/>
      <w:numFmt w:val="decimal"/>
      <w:suff w:val="nothing"/>
      <w:lvlText w:val="%1．"/>
      <w:lvlJc w:val="left"/>
    </w:lvl>
  </w:abstractNum>
  <w:abstractNum w:abstractNumId="10">
    <w:nsid w:val="BF205925"/>
    <w:multiLevelType w:val="singleLevel"/>
    <w:tmpl w:val="BF205925"/>
    <w:lvl w:ilvl="0" w:tentative="0">
      <w:start w:val="1"/>
      <w:numFmt w:val="bullet"/>
      <w:lvlText w:val="•"/>
      <w:lvlJc w:val="left"/>
    </w:lvl>
  </w:abstractNum>
  <w:abstractNum w:abstractNumId="11">
    <w:nsid w:val="C8879AEF"/>
    <w:multiLevelType w:val="singleLevel"/>
    <w:tmpl w:val="C8879AEF"/>
    <w:lvl w:ilvl="0" w:tentative="0">
      <w:start w:val="1"/>
      <w:numFmt w:val="bullet"/>
      <w:lvlText w:val="•"/>
      <w:lvlJc w:val="left"/>
    </w:lvl>
  </w:abstractNum>
  <w:abstractNum w:abstractNumId="12">
    <w:nsid w:val="CF092B84"/>
    <w:multiLevelType w:val="singleLevel"/>
    <w:tmpl w:val="CF092B84"/>
    <w:lvl w:ilvl="0" w:tentative="0">
      <w:start w:val="1"/>
      <w:numFmt w:val="bullet"/>
      <w:lvlText w:val="•"/>
      <w:lvlJc w:val="left"/>
    </w:lvl>
  </w:abstractNum>
  <w:abstractNum w:abstractNumId="13">
    <w:nsid w:val="CFE99AC6"/>
    <w:multiLevelType w:val="singleLevel"/>
    <w:tmpl w:val="CFE99AC6"/>
    <w:lvl w:ilvl="0" w:tentative="0">
      <w:start w:val="3"/>
      <w:numFmt w:val="chineseCounting"/>
      <w:suff w:val="space"/>
      <w:lvlText w:val="第%1章"/>
      <w:lvlJc w:val="left"/>
      <w:rPr>
        <w:rFonts w:hint="eastAsia"/>
      </w:rPr>
    </w:lvl>
  </w:abstractNum>
  <w:abstractNum w:abstractNumId="14">
    <w:nsid w:val="D7F9FE59"/>
    <w:multiLevelType w:val="singleLevel"/>
    <w:tmpl w:val="D7F9FE59"/>
    <w:lvl w:ilvl="0" w:tentative="0">
      <w:start w:val="1"/>
      <w:numFmt w:val="bullet"/>
      <w:lvlText w:val="•"/>
      <w:lvlJc w:val="left"/>
    </w:lvl>
  </w:abstractNum>
  <w:abstractNum w:abstractNumId="15">
    <w:nsid w:val="DC9D12E1"/>
    <w:multiLevelType w:val="singleLevel"/>
    <w:tmpl w:val="DC9D12E1"/>
    <w:lvl w:ilvl="0" w:tentative="0">
      <w:start w:val="1"/>
      <w:numFmt w:val="decimal"/>
      <w:suff w:val="space"/>
      <w:lvlText w:val="%1."/>
      <w:lvlJc w:val="left"/>
    </w:lvl>
  </w:abstractNum>
  <w:abstractNum w:abstractNumId="16">
    <w:nsid w:val="DCBA6B53"/>
    <w:multiLevelType w:val="singleLevel"/>
    <w:tmpl w:val="DCBA6B53"/>
    <w:lvl w:ilvl="0" w:tentative="0">
      <w:start w:val="1"/>
      <w:numFmt w:val="bullet"/>
      <w:lvlText w:val="•"/>
      <w:lvlJc w:val="left"/>
    </w:lvl>
  </w:abstractNum>
  <w:abstractNum w:abstractNumId="17">
    <w:nsid w:val="E93BD7E0"/>
    <w:multiLevelType w:val="singleLevel"/>
    <w:tmpl w:val="E93BD7E0"/>
    <w:lvl w:ilvl="0" w:tentative="0">
      <w:start w:val="1"/>
      <w:numFmt w:val="decimal"/>
      <w:suff w:val="nothing"/>
      <w:lvlText w:val="%1、"/>
      <w:lvlJc w:val="left"/>
    </w:lvl>
  </w:abstractNum>
  <w:abstractNum w:abstractNumId="18">
    <w:nsid w:val="F4B5D9F5"/>
    <w:multiLevelType w:val="singleLevel"/>
    <w:tmpl w:val="F4B5D9F5"/>
    <w:lvl w:ilvl="0" w:tentative="0">
      <w:start w:val="1"/>
      <w:numFmt w:val="bullet"/>
      <w:lvlText w:val="•"/>
      <w:lvlJc w:val="left"/>
    </w:lvl>
  </w:abstractNum>
  <w:abstractNum w:abstractNumId="19">
    <w:nsid w:val="0053208E"/>
    <w:multiLevelType w:val="singleLevel"/>
    <w:tmpl w:val="0053208E"/>
    <w:lvl w:ilvl="0" w:tentative="0">
      <w:start w:val="1"/>
      <w:numFmt w:val="bullet"/>
      <w:lvlText w:val="•"/>
      <w:lvlJc w:val="left"/>
    </w:lvl>
  </w:abstractNum>
  <w:abstractNum w:abstractNumId="20">
    <w:nsid w:val="0248C179"/>
    <w:multiLevelType w:val="singleLevel"/>
    <w:tmpl w:val="0248C179"/>
    <w:lvl w:ilvl="0" w:tentative="0">
      <w:start w:val="1"/>
      <w:numFmt w:val="bullet"/>
      <w:lvlText w:val="•"/>
      <w:lvlJc w:val="left"/>
    </w:lvl>
  </w:abstractNum>
  <w:abstractNum w:abstractNumId="21">
    <w:nsid w:val="03D62ECE"/>
    <w:multiLevelType w:val="singleLevel"/>
    <w:tmpl w:val="03D62ECE"/>
    <w:lvl w:ilvl="0" w:tentative="0">
      <w:start w:val="1"/>
      <w:numFmt w:val="bullet"/>
      <w:lvlText w:val="•"/>
      <w:lvlJc w:val="left"/>
    </w:lvl>
  </w:abstractNum>
  <w:abstractNum w:abstractNumId="22">
    <w:nsid w:val="0E640482"/>
    <w:multiLevelType w:val="singleLevel"/>
    <w:tmpl w:val="0E640482"/>
    <w:lvl w:ilvl="0" w:tentative="0">
      <w:start w:val="1"/>
      <w:numFmt w:val="bullet"/>
      <w:lvlText w:val="•"/>
      <w:lvlJc w:val="left"/>
    </w:lvl>
  </w:abstractNum>
  <w:abstractNum w:abstractNumId="23">
    <w:nsid w:val="15BC093B"/>
    <w:multiLevelType w:val="singleLevel"/>
    <w:tmpl w:val="15BC093B"/>
    <w:lvl w:ilvl="0" w:tentative="0">
      <w:start w:val="1"/>
      <w:numFmt w:val="decimal"/>
      <w:suff w:val="space"/>
      <w:lvlText w:val="%1."/>
      <w:lvlJc w:val="left"/>
    </w:lvl>
  </w:abstractNum>
  <w:abstractNum w:abstractNumId="24">
    <w:nsid w:val="194A3035"/>
    <w:multiLevelType w:val="singleLevel"/>
    <w:tmpl w:val="194A3035"/>
    <w:lvl w:ilvl="0" w:tentative="0">
      <w:start w:val="2"/>
      <w:numFmt w:val="decimal"/>
      <w:lvlText w:val="%1."/>
      <w:lvlJc w:val="left"/>
      <w:pPr>
        <w:tabs>
          <w:tab w:val="left" w:pos="312"/>
        </w:tabs>
      </w:pPr>
    </w:lvl>
  </w:abstractNum>
  <w:abstractNum w:abstractNumId="25">
    <w:nsid w:val="2470EC97"/>
    <w:multiLevelType w:val="singleLevel"/>
    <w:tmpl w:val="2470EC97"/>
    <w:lvl w:ilvl="0" w:tentative="0">
      <w:start w:val="1"/>
      <w:numFmt w:val="bullet"/>
      <w:lvlText w:val="•"/>
      <w:lvlJc w:val="left"/>
    </w:lvl>
  </w:abstractNum>
  <w:abstractNum w:abstractNumId="26">
    <w:nsid w:val="25B654F3"/>
    <w:multiLevelType w:val="singleLevel"/>
    <w:tmpl w:val="25B654F3"/>
    <w:lvl w:ilvl="0" w:tentative="0">
      <w:start w:val="1"/>
      <w:numFmt w:val="bullet"/>
      <w:lvlText w:val="•"/>
      <w:lvlJc w:val="left"/>
    </w:lvl>
  </w:abstractNum>
  <w:abstractNum w:abstractNumId="27">
    <w:nsid w:val="2A8F537B"/>
    <w:multiLevelType w:val="singleLevel"/>
    <w:tmpl w:val="2A8F537B"/>
    <w:lvl w:ilvl="0" w:tentative="0">
      <w:start w:val="1"/>
      <w:numFmt w:val="bullet"/>
      <w:lvlText w:val="•"/>
      <w:lvlJc w:val="left"/>
    </w:lvl>
  </w:abstractNum>
  <w:abstractNum w:abstractNumId="28">
    <w:nsid w:val="39A0D9AC"/>
    <w:multiLevelType w:val="singleLevel"/>
    <w:tmpl w:val="39A0D9AC"/>
    <w:lvl w:ilvl="0" w:tentative="0">
      <w:start w:val="1"/>
      <w:numFmt w:val="bullet"/>
      <w:lvlText w:val="•"/>
      <w:lvlJc w:val="left"/>
    </w:lvl>
  </w:abstractNum>
  <w:abstractNum w:abstractNumId="29">
    <w:nsid w:val="46A08BB8"/>
    <w:multiLevelType w:val="singleLevel"/>
    <w:tmpl w:val="46A08BB8"/>
    <w:lvl w:ilvl="0" w:tentative="0">
      <w:start w:val="1"/>
      <w:numFmt w:val="bullet"/>
      <w:lvlText w:val="•"/>
      <w:lvlJc w:val="left"/>
    </w:lvl>
  </w:abstractNum>
  <w:abstractNum w:abstractNumId="30">
    <w:nsid w:val="4AC8898C"/>
    <w:multiLevelType w:val="singleLevel"/>
    <w:tmpl w:val="4AC8898C"/>
    <w:lvl w:ilvl="0" w:tentative="0">
      <w:start w:val="6"/>
      <w:numFmt w:val="decimal"/>
      <w:suff w:val="nothing"/>
      <w:lvlText w:val="%1、"/>
      <w:lvlJc w:val="left"/>
    </w:lvl>
  </w:abstractNum>
  <w:abstractNum w:abstractNumId="31">
    <w:nsid w:val="4C1BAE26"/>
    <w:multiLevelType w:val="singleLevel"/>
    <w:tmpl w:val="4C1BAE26"/>
    <w:lvl w:ilvl="0" w:tentative="0">
      <w:start w:val="1"/>
      <w:numFmt w:val="bullet"/>
      <w:lvlText w:val="•"/>
      <w:lvlJc w:val="left"/>
    </w:lvl>
  </w:abstractNum>
  <w:abstractNum w:abstractNumId="32">
    <w:nsid w:val="4D4DC07F"/>
    <w:multiLevelType w:val="singleLevel"/>
    <w:tmpl w:val="4D4DC07F"/>
    <w:lvl w:ilvl="0" w:tentative="0">
      <w:start w:val="1"/>
      <w:numFmt w:val="bullet"/>
      <w:lvlText w:val="•"/>
      <w:lvlJc w:val="left"/>
    </w:lvl>
  </w:abstractNum>
  <w:abstractNum w:abstractNumId="33">
    <w:nsid w:val="51BA3C5E"/>
    <w:multiLevelType w:val="singleLevel"/>
    <w:tmpl w:val="51BA3C5E"/>
    <w:lvl w:ilvl="0" w:tentative="0">
      <w:start w:val="1"/>
      <w:numFmt w:val="chineseCounting"/>
      <w:suff w:val="nothing"/>
      <w:lvlText w:val="%1、"/>
      <w:lvlJc w:val="left"/>
      <w:rPr>
        <w:rFonts w:hint="eastAsia"/>
      </w:rPr>
    </w:lvl>
  </w:abstractNum>
  <w:abstractNum w:abstractNumId="34">
    <w:nsid w:val="5568A81A"/>
    <w:multiLevelType w:val="singleLevel"/>
    <w:tmpl w:val="5568A81A"/>
    <w:lvl w:ilvl="0" w:tentative="0">
      <w:start w:val="1"/>
      <w:numFmt w:val="decimal"/>
      <w:suff w:val="nothing"/>
      <w:lvlText w:val="%1、"/>
      <w:lvlJc w:val="left"/>
    </w:lvl>
  </w:abstractNum>
  <w:abstractNum w:abstractNumId="35">
    <w:nsid w:val="59ADCABA"/>
    <w:multiLevelType w:val="singleLevel"/>
    <w:tmpl w:val="59ADCABA"/>
    <w:lvl w:ilvl="0" w:tentative="0">
      <w:start w:val="1"/>
      <w:numFmt w:val="bullet"/>
      <w:lvlText w:val="•"/>
      <w:lvlJc w:val="left"/>
    </w:lvl>
  </w:abstractNum>
  <w:abstractNum w:abstractNumId="36">
    <w:nsid w:val="5A241D34"/>
    <w:multiLevelType w:val="singleLevel"/>
    <w:tmpl w:val="5A241D34"/>
    <w:lvl w:ilvl="0" w:tentative="0">
      <w:start w:val="1"/>
      <w:numFmt w:val="bullet"/>
      <w:lvlText w:val="•"/>
      <w:lvlJc w:val="left"/>
    </w:lvl>
  </w:abstractNum>
  <w:abstractNum w:abstractNumId="37">
    <w:nsid w:val="60382F6E"/>
    <w:multiLevelType w:val="singleLevel"/>
    <w:tmpl w:val="60382F6E"/>
    <w:lvl w:ilvl="0" w:tentative="0">
      <w:start w:val="1"/>
      <w:numFmt w:val="bullet"/>
      <w:lvlText w:val="•"/>
      <w:lvlJc w:val="left"/>
    </w:lvl>
  </w:abstractNum>
  <w:abstractNum w:abstractNumId="38">
    <w:nsid w:val="629F7852"/>
    <w:multiLevelType w:val="singleLevel"/>
    <w:tmpl w:val="629F7852"/>
    <w:lvl w:ilvl="0" w:tentative="0">
      <w:start w:val="1"/>
      <w:numFmt w:val="decimal"/>
      <w:lvlText w:val="%1."/>
      <w:lvlJc w:val="left"/>
    </w:lvl>
  </w:abstractNum>
  <w:abstractNum w:abstractNumId="39">
    <w:nsid w:val="72183CF9"/>
    <w:multiLevelType w:val="singleLevel"/>
    <w:tmpl w:val="72183CF9"/>
    <w:lvl w:ilvl="0" w:tentative="0">
      <w:start w:val="1"/>
      <w:numFmt w:val="bullet"/>
      <w:lvlText w:val="•"/>
      <w:lvlJc w:val="left"/>
    </w:lvl>
  </w:abstractNum>
  <w:abstractNum w:abstractNumId="40">
    <w:nsid w:val="77ECEA79"/>
    <w:multiLevelType w:val="singleLevel"/>
    <w:tmpl w:val="77ECEA79"/>
    <w:lvl w:ilvl="0" w:tentative="0">
      <w:start w:val="1"/>
      <w:numFmt w:val="decimal"/>
      <w:lvlText w:val="%1."/>
      <w:lvlJc w:val="left"/>
    </w:lvl>
  </w:abstractNum>
  <w:abstractNum w:abstractNumId="41">
    <w:nsid w:val="783A3619"/>
    <w:multiLevelType w:val="singleLevel"/>
    <w:tmpl w:val="783A3619"/>
    <w:lvl w:ilvl="0" w:tentative="0">
      <w:start w:val="14"/>
      <w:numFmt w:val="decimal"/>
      <w:suff w:val="nothing"/>
      <w:lvlText w:val="（%1）"/>
      <w:lvlJc w:val="left"/>
    </w:lvl>
  </w:abstractNum>
  <w:abstractNum w:abstractNumId="42">
    <w:nsid w:val="7DB303F3"/>
    <w:multiLevelType w:val="singleLevel"/>
    <w:tmpl w:val="7DB303F3"/>
    <w:lvl w:ilvl="0" w:tentative="0">
      <w:start w:val="1"/>
      <w:numFmt w:val="decimal"/>
      <w:suff w:val="nothing"/>
      <w:lvlText w:val="%1、"/>
      <w:lvlJc w:val="left"/>
    </w:lvl>
  </w:abstractNum>
  <w:num w:numId="1">
    <w:abstractNumId w:val="19"/>
  </w:num>
  <w:num w:numId="2">
    <w:abstractNumId w:val="12"/>
  </w:num>
  <w:num w:numId="3">
    <w:abstractNumId w:val="35"/>
  </w:num>
  <w:num w:numId="4">
    <w:abstractNumId w:val="10"/>
  </w:num>
  <w:num w:numId="5">
    <w:abstractNumId w:val="8"/>
  </w:num>
  <w:num w:numId="6">
    <w:abstractNumId w:val="21"/>
  </w:num>
  <w:num w:numId="7">
    <w:abstractNumId w:val="26"/>
  </w:num>
  <w:num w:numId="8">
    <w:abstractNumId w:val="39"/>
  </w:num>
  <w:num w:numId="9">
    <w:abstractNumId w:val="20"/>
  </w:num>
  <w:num w:numId="10">
    <w:abstractNumId w:val="3"/>
  </w:num>
  <w:num w:numId="11">
    <w:abstractNumId w:val="27"/>
  </w:num>
  <w:num w:numId="12">
    <w:abstractNumId w:val="36"/>
  </w:num>
  <w:num w:numId="13">
    <w:abstractNumId w:val="11"/>
  </w:num>
  <w:num w:numId="14">
    <w:abstractNumId w:val="32"/>
  </w:num>
  <w:num w:numId="15">
    <w:abstractNumId w:val="18"/>
  </w:num>
  <w:num w:numId="16">
    <w:abstractNumId w:val="25"/>
  </w:num>
  <w:num w:numId="17">
    <w:abstractNumId w:val="16"/>
  </w:num>
  <w:num w:numId="18">
    <w:abstractNumId w:val="14"/>
  </w:num>
  <w:num w:numId="19">
    <w:abstractNumId w:val="5"/>
  </w:num>
  <w:num w:numId="20">
    <w:abstractNumId w:val="31"/>
  </w:num>
  <w:num w:numId="21">
    <w:abstractNumId w:val="37"/>
  </w:num>
  <w:num w:numId="22">
    <w:abstractNumId w:val="22"/>
  </w:num>
  <w:num w:numId="23">
    <w:abstractNumId w:val="29"/>
  </w:num>
  <w:num w:numId="24">
    <w:abstractNumId w:val="7"/>
  </w:num>
  <w:num w:numId="25">
    <w:abstractNumId w:val="17"/>
  </w:num>
  <w:num w:numId="26">
    <w:abstractNumId w:val="13"/>
  </w:num>
  <w:num w:numId="27">
    <w:abstractNumId w:val="2"/>
  </w:num>
  <w:num w:numId="28">
    <w:abstractNumId w:val="0"/>
  </w:num>
  <w:num w:numId="29">
    <w:abstractNumId w:val="41"/>
  </w:num>
  <w:num w:numId="30">
    <w:abstractNumId w:val="33"/>
  </w:num>
  <w:num w:numId="31">
    <w:abstractNumId w:val="1"/>
  </w:num>
  <w:num w:numId="32">
    <w:abstractNumId w:val="24"/>
  </w:num>
  <w:num w:numId="33">
    <w:abstractNumId w:val="9"/>
  </w:num>
  <w:num w:numId="34">
    <w:abstractNumId w:val="6"/>
  </w:num>
  <w:num w:numId="35">
    <w:abstractNumId w:val="34"/>
  </w:num>
  <w:num w:numId="36">
    <w:abstractNumId w:val="30"/>
  </w:num>
  <w:num w:numId="37">
    <w:abstractNumId w:val="23"/>
  </w:num>
  <w:num w:numId="38">
    <w:abstractNumId w:val="42"/>
  </w:num>
  <w:num w:numId="39">
    <w:abstractNumId w:val="15"/>
  </w:num>
  <w:num w:numId="40">
    <w:abstractNumId w:val="40"/>
  </w:num>
  <w:num w:numId="41">
    <w:abstractNumId w:val="38"/>
  </w:num>
  <w:num w:numId="42">
    <w:abstractNumId w:val="4"/>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0296707"/>
    <w:rsid w:val="00D04940"/>
    <w:rsid w:val="02CC3DD3"/>
    <w:rsid w:val="044C330C"/>
    <w:rsid w:val="04640B52"/>
    <w:rsid w:val="04BB1048"/>
    <w:rsid w:val="04DF5F2E"/>
    <w:rsid w:val="051C683A"/>
    <w:rsid w:val="05A5591B"/>
    <w:rsid w:val="05BE3D95"/>
    <w:rsid w:val="06112117"/>
    <w:rsid w:val="06216200"/>
    <w:rsid w:val="063272D5"/>
    <w:rsid w:val="065E086B"/>
    <w:rsid w:val="06E21055"/>
    <w:rsid w:val="06EE64D1"/>
    <w:rsid w:val="07D371FC"/>
    <w:rsid w:val="09371E95"/>
    <w:rsid w:val="094F63E6"/>
    <w:rsid w:val="09BE5EFB"/>
    <w:rsid w:val="0AA34EE0"/>
    <w:rsid w:val="0ABC5BC4"/>
    <w:rsid w:val="0ABF23BB"/>
    <w:rsid w:val="0AC769A1"/>
    <w:rsid w:val="0B4E7969"/>
    <w:rsid w:val="0C4A0F50"/>
    <w:rsid w:val="0C943AA2"/>
    <w:rsid w:val="0CD143AE"/>
    <w:rsid w:val="0D244A3B"/>
    <w:rsid w:val="0EDF7256"/>
    <w:rsid w:val="0F201163"/>
    <w:rsid w:val="0F512918"/>
    <w:rsid w:val="107A42D0"/>
    <w:rsid w:val="10A928B2"/>
    <w:rsid w:val="10E430B3"/>
    <w:rsid w:val="11421D1E"/>
    <w:rsid w:val="11553800"/>
    <w:rsid w:val="115832F0"/>
    <w:rsid w:val="1197736A"/>
    <w:rsid w:val="11C35C88"/>
    <w:rsid w:val="11FA6155"/>
    <w:rsid w:val="12492C39"/>
    <w:rsid w:val="129728D9"/>
    <w:rsid w:val="12E84200"/>
    <w:rsid w:val="12FD248B"/>
    <w:rsid w:val="1300779B"/>
    <w:rsid w:val="137F2DB6"/>
    <w:rsid w:val="13A775F7"/>
    <w:rsid w:val="13CA2696"/>
    <w:rsid w:val="13F05A62"/>
    <w:rsid w:val="1424579D"/>
    <w:rsid w:val="1484072D"/>
    <w:rsid w:val="14E54E9B"/>
    <w:rsid w:val="154126EF"/>
    <w:rsid w:val="1592304B"/>
    <w:rsid w:val="15977F8D"/>
    <w:rsid w:val="15B01D42"/>
    <w:rsid w:val="15BD5E17"/>
    <w:rsid w:val="161A6DC6"/>
    <w:rsid w:val="1647748F"/>
    <w:rsid w:val="16566DBE"/>
    <w:rsid w:val="167A757C"/>
    <w:rsid w:val="17190E2C"/>
    <w:rsid w:val="171C1C63"/>
    <w:rsid w:val="17354E16"/>
    <w:rsid w:val="17895CE9"/>
    <w:rsid w:val="179B3E23"/>
    <w:rsid w:val="17C64885"/>
    <w:rsid w:val="17D27B3A"/>
    <w:rsid w:val="17DB4333"/>
    <w:rsid w:val="17E02409"/>
    <w:rsid w:val="17FF76B7"/>
    <w:rsid w:val="180B7DFE"/>
    <w:rsid w:val="183E1268"/>
    <w:rsid w:val="18414ADE"/>
    <w:rsid w:val="187529D9"/>
    <w:rsid w:val="18C45873"/>
    <w:rsid w:val="190A277E"/>
    <w:rsid w:val="19411EA9"/>
    <w:rsid w:val="1A3366A8"/>
    <w:rsid w:val="1AD339E7"/>
    <w:rsid w:val="1B0931A5"/>
    <w:rsid w:val="1B94739F"/>
    <w:rsid w:val="1BBE4697"/>
    <w:rsid w:val="1C775B5C"/>
    <w:rsid w:val="1CEA414D"/>
    <w:rsid w:val="1D171C50"/>
    <w:rsid w:val="1D4D5CD3"/>
    <w:rsid w:val="1D5C1A72"/>
    <w:rsid w:val="1DD41F50"/>
    <w:rsid w:val="1E0F044A"/>
    <w:rsid w:val="1E6051B9"/>
    <w:rsid w:val="1F35597B"/>
    <w:rsid w:val="1F513188"/>
    <w:rsid w:val="1F97587F"/>
    <w:rsid w:val="20FE0493"/>
    <w:rsid w:val="21C81DCC"/>
    <w:rsid w:val="232F1FCF"/>
    <w:rsid w:val="238241FC"/>
    <w:rsid w:val="238E2BA1"/>
    <w:rsid w:val="239D1668"/>
    <w:rsid w:val="23E46C65"/>
    <w:rsid w:val="24967F5F"/>
    <w:rsid w:val="24B019D6"/>
    <w:rsid w:val="24C75D95"/>
    <w:rsid w:val="24F73F4C"/>
    <w:rsid w:val="25205A7B"/>
    <w:rsid w:val="25425783"/>
    <w:rsid w:val="25983863"/>
    <w:rsid w:val="26280DF4"/>
    <w:rsid w:val="270C62B7"/>
    <w:rsid w:val="27262E3C"/>
    <w:rsid w:val="27284ECD"/>
    <w:rsid w:val="27AC64E8"/>
    <w:rsid w:val="280152F4"/>
    <w:rsid w:val="283272CC"/>
    <w:rsid w:val="283C70A8"/>
    <w:rsid w:val="28641476"/>
    <w:rsid w:val="293135E7"/>
    <w:rsid w:val="29BD7D3C"/>
    <w:rsid w:val="2A1E3465"/>
    <w:rsid w:val="2A68414C"/>
    <w:rsid w:val="2A8B3997"/>
    <w:rsid w:val="2AE8441B"/>
    <w:rsid w:val="2B14398C"/>
    <w:rsid w:val="2B3A4CDA"/>
    <w:rsid w:val="2B4A5600"/>
    <w:rsid w:val="2B5B534A"/>
    <w:rsid w:val="2BC5737C"/>
    <w:rsid w:val="2C5B55EB"/>
    <w:rsid w:val="2C732934"/>
    <w:rsid w:val="2C846A0A"/>
    <w:rsid w:val="2CAF5E9E"/>
    <w:rsid w:val="2CBB5CE4"/>
    <w:rsid w:val="2CCA2E9C"/>
    <w:rsid w:val="2CEF5816"/>
    <w:rsid w:val="2D045C82"/>
    <w:rsid w:val="2D12039F"/>
    <w:rsid w:val="2DDC2827"/>
    <w:rsid w:val="2E050E50"/>
    <w:rsid w:val="2E0E6DB8"/>
    <w:rsid w:val="2E1162FE"/>
    <w:rsid w:val="2E1F0FC6"/>
    <w:rsid w:val="2E4C168F"/>
    <w:rsid w:val="2E7F3812"/>
    <w:rsid w:val="2ECB1DDC"/>
    <w:rsid w:val="2F6D2A2C"/>
    <w:rsid w:val="2F6D3FB3"/>
    <w:rsid w:val="2F8239D9"/>
    <w:rsid w:val="30B7609F"/>
    <w:rsid w:val="30CE13BD"/>
    <w:rsid w:val="31322DBE"/>
    <w:rsid w:val="32475841"/>
    <w:rsid w:val="32C24615"/>
    <w:rsid w:val="33244988"/>
    <w:rsid w:val="339715FE"/>
    <w:rsid w:val="33A15FD9"/>
    <w:rsid w:val="3436271A"/>
    <w:rsid w:val="346B6210"/>
    <w:rsid w:val="34A264AC"/>
    <w:rsid w:val="34C208FD"/>
    <w:rsid w:val="34EC3BCC"/>
    <w:rsid w:val="35250B19"/>
    <w:rsid w:val="355B7F36"/>
    <w:rsid w:val="3569521C"/>
    <w:rsid w:val="356E2833"/>
    <w:rsid w:val="36070CBD"/>
    <w:rsid w:val="362353CB"/>
    <w:rsid w:val="364A6DFC"/>
    <w:rsid w:val="366C6D72"/>
    <w:rsid w:val="36C22E36"/>
    <w:rsid w:val="375A02D5"/>
    <w:rsid w:val="37D631F9"/>
    <w:rsid w:val="384D3CF2"/>
    <w:rsid w:val="38710670"/>
    <w:rsid w:val="38AD5420"/>
    <w:rsid w:val="39396CB4"/>
    <w:rsid w:val="394C730D"/>
    <w:rsid w:val="3990657D"/>
    <w:rsid w:val="3A2B0CF2"/>
    <w:rsid w:val="3A4D1B8A"/>
    <w:rsid w:val="3A654B5F"/>
    <w:rsid w:val="3A7761AC"/>
    <w:rsid w:val="3AA615FA"/>
    <w:rsid w:val="3AE50EA1"/>
    <w:rsid w:val="3B0A71ED"/>
    <w:rsid w:val="3B5E0D57"/>
    <w:rsid w:val="3C001D6E"/>
    <w:rsid w:val="3CAB1C76"/>
    <w:rsid w:val="3CD32E37"/>
    <w:rsid w:val="3D5C2612"/>
    <w:rsid w:val="3D772B05"/>
    <w:rsid w:val="3DB35286"/>
    <w:rsid w:val="3DB352C3"/>
    <w:rsid w:val="3DB66B25"/>
    <w:rsid w:val="3DCE0312"/>
    <w:rsid w:val="3EBB2B0F"/>
    <w:rsid w:val="3F3B19D7"/>
    <w:rsid w:val="3F453540"/>
    <w:rsid w:val="3FFD4EDF"/>
    <w:rsid w:val="408E3D89"/>
    <w:rsid w:val="40972C3D"/>
    <w:rsid w:val="40D774DE"/>
    <w:rsid w:val="41562AF9"/>
    <w:rsid w:val="41C45CB4"/>
    <w:rsid w:val="42756FAE"/>
    <w:rsid w:val="42E60429"/>
    <w:rsid w:val="42EB256B"/>
    <w:rsid w:val="43454BD3"/>
    <w:rsid w:val="43572B58"/>
    <w:rsid w:val="43644E2C"/>
    <w:rsid w:val="444E3F5B"/>
    <w:rsid w:val="446E2E63"/>
    <w:rsid w:val="44C30432"/>
    <w:rsid w:val="44C37460"/>
    <w:rsid w:val="44D81A76"/>
    <w:rsid w:val="450477BF"/>
    <w:rsid w:val="45AD256B"/>
    <w:rsid w:val="45DC4A98"/>
    <w:rsid w:val="46274A64"/>
    <w:rsid w:val="468821E6"/>
    <w:rsid w:val="46AB010C"/>
    <w:rsid w:val="471843AC"/>
    <w:rsid w:val="47EB5F15"/>
    <w:rsid w:val="4803238A"/>
    <w:rsid w:val="486F26F2"/>
    <w:rsid w:val="48751DE7"/>
    <w:rsid w:val="48C540C0"/>
    <w:rsid w:val="48FF75D2"/>
    <w:rsid w:val="4941408E"/>
    <w:rsid w:val="49641821"/>
    <w:rsid w:val="4A007AA5"/>
    <w:rsid w:val="4A0F39E7"/>
    <w:rsid w:val="4A767D68"/>
    <w:rsid w:val="4AC76815"/>
    <w:rsid w:val="4B25576A"/>
    <w:rsid w:val="4B2772B4"/>
    <w:rsid w:val="4B6B53F2"/>
    <w:rsid w:val="4B7778F3"/>
    <w:rsid w:val="4BF40E3E"/>
    <w:rsid w:val="4BFC604B"/>
    <w:rsid w:val="4CA13F8E"/>
    <w:rsid w:val="4D1956A9"/>
    <w:rsid w:val="4E21448E"/>
    <w:rsid w:val="4E37780E"/>
    <w:rsid w:val="4E60156D"/>
    <w:rsid w:val="4E7C136B"/>
    <w:rsid w:val="4EAC488E"/>
    <w:rsid w:val="4EAC6171"/>
    <w:rsid w:val="4EFB714D"/>
    <w:rsid w:val="4F496CB7"/>
    <w:rsid w:val="4F974A08"/>
    <w:rsid w:val="4FA47B4D"/>
    <w:rsid w:val="503264DF"/>
    <w:rsid w:val="50A11FE0"/>
    <w:rsid w:val="513F7105"/>
    <w:rsid w:val="522F1B73"/>
    <w:rsid w:val="52432C25"/>
    <w:rsid w:val="52491AC3"/>
    <w:rsid w:val="52D47D21"/>
    <w:rsid w:val="52F77989"/>
    <w:rsid w:val="547C202D"/>
    <w:rsid w:val="549239F0"/>
    <w:rsid w:val="54F230EF"/>
    <w:rsid w:val="55097B6F"/>
    <w:rsid w:val="552D3719"/>
    <w:rsid w:val="55562C6F"/>
    <w:rsid w:val="55627866"/>
    <w:rsid w:val="55C45E2B"/>
    <w:rsid w:val="562724C3"/>
    <w:rsid w:val="56A7044E"/>
    <w:rsid w:val="57723665"/>
    <w:rsid w:val="578C0DF0"/>
    <w:rsid w:val="57D04F5B"/>
    <w:rsid w:val="57F95B34"/>
    <w:rsid w:val="58937D37"/>
    <w:rsid w:val="58B571B7"/>
    <w:rsid w:val="59552A84"/>
    <w:rsid w:val="5ADA7E9F"/>
    <w:rsid w:val="5AFF3461"/>
    <w:rsid w:val="5B294982"/>
    <w:rsid w:val="5B70435F"/>
    <w:rsid w:val="5B90055D"/>
    <w:rsid w:val="5BC25DD9"/>
    <w:rsid w:val="5BC61375"/>
    <w:rsid w:val="5BD56BA4"/>
    <w:rsid w:val="5C157BF0"/>
    <w:rsid w:val="5C1F68B2"/>
    <w:rsid w:val="5D0128BF"/>
    <w:rsid w:val="5D557CB0"/>
    <w:rsid w:val="5DA55F49"/>
    <w:rsid w:val="5DC10EA2"/>
    <w:rsid w:val="5E2F7897"/>
    <w:rsid w:val="5E56783C"/>
    <w:rsid w:val="5E664BC1"/>
    <w:rsid w:val="5E677C9B"/>
    <w:rsid w:val="5E791835"/>
    <w:rsid w:val="5F06000A"/>
    <w:rsid w:val="5F2416E8"/>
    <w:rsid w:val="5F2E778E"/>
    <w:rsid w:val="5F310A0D"/>
    <w:rsid w:val="5F4F2AB9"/>
    <w:rsid w:val="5F712F7E"/>
    <w:rsid w:val="5FFD0811"/>
    <w:rsid w:val="60551AD3"/>
    <w:rsid w:val="6089214B"/>
    <w:rsid w:val="608D3C69"/>
    <w:rsid w:val="61AE1315"/>
    <w:rsid w:val="624B5761"/>
    <w:rsid w:val="63161082"/>
    <w:rsid w:val="638766EA"/>
    <w:rsid w:val="63AC4D38"/>
    <w:rsid w:val="63D70E99"/>
    <w:rsid w:val="642503DD"/>
    <w:rsid w:val="64835103"/>
    <w:rsid w:val="650A5824"/>
    <w:rsid w:val="653576A4"/>
    <w:rsid w:val="65A73073"/>
    <w:rsid w:val="66414DC0"/>
    <w:rsid w:val="665E1984"/>
    <w:rsid w:val="66F75934"/>
    <w:rsid w:val="67085402"/>
    <w:rsid w:val="67522763"/>
    <w:rsid w:val="68562439"/>
    <w:rsid w:val="685F1F4E"/>
    <w:rsid w:val="6886667F"/>
    <w:rsid w:val="690F0927"/>
    <w:rsid w:val="69952A39"/>
    <w:rsid w:val="69990F25"/>
    <w:rsid w:val="69D34437"/>
    <w:rsid w:val="69DC778F"/>
    <w:rsid w:val="6A1567FD"/>
    <w:rsid w:val="6A427C8E"/>
    <w:rsid w:val="6A4C5F97"/>
    <w:rsid w:val="6A7948FB"/>
    <w:rsid w:val="6ADC6BA7"/>
    <w:rsid w:val="6B6C0BDE"/>
    <w:rsid w:val="6B8059E2"/>
    <w:rsid w:val="6B831FEE"/>
    <w:rsid w:val="6BFB5EC7"/>
    <w:rsid w:val="6C1A00FB"/>
    <w:rsid w:val="6C615D2A"/>
    <w:rsid w:val="6C7F4402"/>
    <w:rsid w:val="6CA62B12"/>
    <w:rsid w:val="6D25144D"/>
    <w:rsid w:val="6E072901"/>
    <w:rsid w:val="6E294E0A"/>
    <w:rsid w:val="6FCC795E"/>
    <w:rsid w:val="70A94E62"/>
    <w:rsid w:val="70AC7790"/>
    <w:rsid w:val="710925EB"/>
    <w:rsid w:val="712612D9"/>
    <w:rsid w:val="7251239D"/>
    <w:rsid w:val="72620A4E"/>
    <w:rsid w:val="726B05BD"/>
    <w:rsid w:val="727B1D4D"/>
    <w:rsid w:val="72A32589"/>
    <w:rsid w:val="73135370"/>
    <w:rsid w:val="73426189"/>
    <w:rsid w:val="73B61051"/>
    <w:rsid w:val="747C5A5B"/>
    <w:rsid w:val="74992CD1"/>
    <w:rsid w:val="74B20BD5"/>
    <w:rsid w:val="74D040A7"/>
    <w:rsid w:val="75AA195E"/>
    <w:rsid w:val="761B163F"/>
    <w:rsid w:val="7662169B"/>
    <w:rsid w:val="76EC08E6"/>
    <w:rsid w:val="77846D70"/>
    <w:rsid w:val="77CA22DF"/>
    <w:rsid w:val="78177BE5"/>
    <w:rsid w:val="78551408"/>
    <w:rsid w:val="78B47B29"/>
    <w:rsid w:val="79314CD6"/>
    <w:rsid w:val="7A37631C"/>
    <w:rsid w:val="7A4822D7"/>
    <w:rsid w:val="7AA339B1"/>
    <w:rsid w:val="7AA716F4"/>
    <w:rsid w:val="7AB21E46"/>
    <w:rsid w:val="7B1C215D"/>
    <w:rsid w:val="7B537186"/>
    <w:rsid w:val="7B6F05D1"/>
    <w:rsid w:val="7B7B5600"/>
    <w:rsid w:val="7B9E56C1"/>
    <w:rsid w:val="7BA15F11"/>
    <w:rsid w:val="7BA94FF8"/>
    <w:rsid w:val="7C185920"/>
    <w:rsid w:val="7C4C0B79"/>
    <w:rsid w:val="7DEE7639"/>
    <w:rsid w:val="7EF944E8"/>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next w:val="5"/>
    <w:qFormat/>
    <w:uiPriority w:val="0"/>
    <w:rPr>
      <w:rFonts w:ascii="宋体" w:hAnsi="Arial"/>
      <w:sz w:val="28"/>
    </w:rPr>
  </w:style>
  <w:style w:type="paragraph" w:styleId="5">
    <w:name w:val="Body Text 2"/>
    <w:basedOn w:val="1"/>
    <w:next w:val="4"/>
    <w:qFormat/>
    <w:uiPriority w:val="0"/>
    <w:pPr>
      <w:spacing w:after="120" w:line="480" w:lineRule="auto"/>
    </w:pPr>
  </w:style>
  <w:style w:type="paragraph" w:styleId="6">
    <w:name w:val="Body Text Indent"/>
    <w:basedOn w:val="1"/>
    <w:next w:val="1"/>
    <w:qFormat/>
    <w:uiPriority w:val="0"/>
    <w:pPr>
      <w:ind w:firstLine="632" w:firstLineChars="200"/>
    </w:pPr>
    <w:rPr>
      <w:rFonts w:ascii="仿宋_GB2312" w:hAnsi="华文楷体" w:eastAsia="仿宋_GB2312"/>
      <w:sz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envelope return"/>
    <w:basedOn w:val="1"/>
    <w:qFormat/>
    <w:uiPriority w:val="99"/>
    <w:pPr>
      <w:snapToGrid w:val="0"/>
    </w:pPr>
    <w:rPr>
      <w:rFonts w:ascii="Arial" w:hAnsi="Arial"/>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1">
    <w:name w:val="Body Text First Indent"/>
    <w:basedOn w:val="4"/>
    <w:next w:val="12"/>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2">
    <w:name w:val="Body Text First Indent 2"/>
    <w:basedOn w:val="6"/>
    <w:next w:val="1"/>
    <w:qFormat/>
    <w:uiPriority w:val="99"/>
    <w:pPr>
      <w:tabs>
        <w:tab w:val="left" w:pos="0"/>
        <w:tab w:val="left" w:pos="993"/>
        <w:tab w:val="left" w:pos="1134"/>
      </w:tabs>
      <w:ind w:firstLine="420"/>
    </w:p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22"/>
    <w:rPr>
      <w:b/>
      <w:bCs/>
    </w:rPr>
  </w:style>
  <w:style w:type="paragraph" w:customStyle="1" w:styleId="17">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BodyText1I"/>
    <w:basedOn w:val="19"/>
    <w:qFormat/>
    <w:uiPriority w:val="99"/>
    <w:pPr>
      <w:ind w:firstLine="420" w:firstLineChars="100"/>
    </w:pPr>
  </w:style>
  <w:style w:type="paragraph" w:customStyle="1" w:styleId="19">
    <w:name w:val="BodyText"/>
    <w:basedOn w:val="1"/>
    <w:qFormat/>
    <w:uiPriority w:val="99"/>
    <w:pPr>
      <w:spacing w:after="120"/>
    </w:pPr>
  </w:style>
  <w:style w:type="paragraph" w:styleId="20">
    <w:name w:val="List Paragraph"/>
    <w:basedOn w:val="1"/>
    <w:qFormat/>
    <w:uiPriority w:val="34"/>
    <w:pPr>
      <w:ind w:firstLine="420" w:firstLineChars="200"/>
    </w:pPr>
  </w:style>
  <w:style w:type="paragraph" w:customStyle="1" w:styleId="21">
    <w:name w:val="Table Text"/>
    <w:basedOn w:val="1"/>
    <w:semiHidden/>
    <w:qFormat/>
    <w:uiPriority w:val="0"/>
    <w:rPr>
      <w:rFonts w:ascii="宋体" w:hAnsi="宋体" w:eastAsia="宋体" w:cs="宋体"/>
      <w:sz w:val="24"/>
      <w:szCs w:val="24"/>
      <w:lang w:val="en-US" w:eastAsia="en-US" w:bidi="ar-SA"/>
    </w:rPr>
  </w:style>
  <w:style w:type="table" w:customStyle="1" w:styleId="22">
    <w:name w:val="Table Normal"/>
    <w:semiHidden/>
    <w:unhideWhenUsed/>
    <w:qFormat/>
    <w:uiPriority w:val="0"/>
    <w:tblPr>
      <w:tblCellMar>
        <w:top w:w="0" w:type="dxa"/>
        <w:left w:w="0" w:type="dxa"/>
        <w:bottom w:w="0" w:type="dxa"/>
        <w:right w:w="0" w:type="dxa"/>
      </w:tblCellMar>
    </w:tblPr>
  </w:style>
  <w:style w:type="character" w:customStyle="1" w:styleId="23">
    <w:name w:val="font21"/>
    <w:basedOn w:val="15"/>
    <w:qFormat/>
    <w:uiPriority w:val="0"/>
    <w:rPr>
      <w:rFonts w:hint="eastAsia" w:ascii="宋体" w:hAnsi="宋体" w:eastAsia="宋体" w:cs="宋体"/>
      <w:color w:val="000000"/>
      <w:sz w:val="20"/>
      <w:szCs w:val="20"/>
      <w:u w:val="none"/>
    </w:rPr>
  </w:style>
  <w:style w:type="character" w:customStyle="1" w:styleId="24">
    <w:name w:val="font151"/>
    <w:basedOn w:val="15"/>
    <w:qFormat/>
    <w:uiPriority w:val="0"/>
    <w:rPr>
      <w:rFonts w:hint="default" w:ascii="Times New Roman" w:hAnsi="Times New Roman" w:cs="Times New Roman"/>
      <w:color w:val="000000"/>
      <w:sz w:val="20"/>
      <w:szCs w:val="20"/>
      <w:u w:val="none"/>
    </w:rPr>
  </w:style>
  <w:style w:type="character" w:customStyle="1" w:styleId="25">
    <w:name w:val="font31"/>
    <w:basedOn w:val="15"/>
    <w:qFormat/>
    <w:uiPriority w:val="0"/>
    <w:rPr>
      <w:rFonts w:hint="eastAsia" w:ascii="宋体" w:hAnsi="宋体" w:eastAsia="宋体" w:cs="宋体"/>
      <w:color w:val="000000"/>
      <w:sz w:val="20"/>
      <w:szCs w:val="20"/>
      <w:u w:val="none"/>
    </w:rPr>
  </w:style>
  <w:style w:type="character" w:customStyle="1" w:styleId="26">
    <w:name w:val="font51"/>
    <w:basedOn w:val="1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89</Pages>
  <Words>7815</Words>
  <Characters>8659</Characters>
  <TotalTime>19</TotalTime>
  <ScaleCrop>false</ScaleCrop>
  <LinksUpToDate>false</LinksUpToDate>
  <CharactersWithSpaces>8801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2026-06-25T08:18:48Z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1A8F7BA375794B0EBFFB2CD1036D73E8_13</vt:lpwstr>
  </property>
  <property fmtid="{D5CDD505-2E9C-101B-9397-08002B2CF9AE}" pid="4" name="KSOTemplateDocerSaveRecord">
    <vt:lpwstr>eyJoZGlkIjoiNTQ3MGY4OWEwYWQ5MGRhOTEyZDdjODBiNTM4ZTJjNzciLCJ1c2VySWQiOiIxMDg5MjYwMDExIn0=</vt:lpwstr>
  </property>
</Properties>
</file>