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42A1B7">
      <w:pPr>
        <w:tabs>
          <w:tab w:val="left" w:pos="420"/>
        </w:tabs>
        <w:spacing w:line="1700" w:lineRule="exact"/>
        <w:jc w:val="center"/>
        <w:rPr>
          <w:rFonts w:ascii="Arial Black" w:hAnsi="Arial Black" w:eastAsia="黑体"/>
          <w:b/>
          <w:color w:val="auto"/>
          <w:spacing w:val="36"/>
          <w:sz w:val="52"/>
          <w:szCs w:val="52"/>
          <w:highlight w:val="none"/>
        </w:rPr>
      </w:pPr>
      <w:r>
        <w:rPr>
          <w:rFonts w:hint="eastAsia" w:ascii="Arial Black" w:hAnsi="Arial Black" w:eastAsia="黑体"/>
          <w:b/>
          <w:bCs/>
          <w:color w:val="auto"/>
          <w:spacing w:val="36"/>
          <w:sz w:val="52"/>
          <w:szCs w:val="52"/>
          <w:highlight w:val="none"/>
        </w:rPr>
        <w:t>周口市公共资源交易中心</w:t>
      </w:r>
    </w:p>
    <w:p w14:paraId="602468F2">
      <w:pPr>
        <w:tabs>
          <w:tab w:val="left" w:pos="315"/>
          <w:tab w:val="left" w:pos="8820"/>
        </w:tabs>
        <w:spacing w:line="500" w:lineRule="exact"/>
        <w:ind w:right="267" w:rightChars="127"/>
        <w:jc w:val="center"/>
        <w:rPr>
          <w:rFonts w:ascii="仿宋_GB2312" w:eastAsia="仿宋_GB2312"/>
          <w:b/>
          <w:bCs/>
          <w:color w:val="auto"/>
          <w:sz w:val="48"/>
          <w:highlight w:val="none"/>
        </w:rPr>
      </w:pPr>
    </w:p>
    <w:p w14:paraId="447CA1FE">
      <w:pPr>
        <w:tabs>
          <w:tab w:val="left" w:pos="315"/>
          <w:tab w:val="left" w:pos="8820"/>
        </w:tabs>
        <w:spacing w:line="500" w:lineRule="exact"/>
        <w:ind w:right="267" w:rightChars="127"/>
        <w:jc w:val="center"/>
        <w:rPr>
          <w:rFonts w:ascii="仿宋_GB2312" w:eastAsia="仿宋_GB2312"/>
          <w:b/>
          <w:bCs/>
          <w:color w:val="auto"/>
          <w:sz w:val="48"/>
          <w:highlight w:val="none"/>
        </w:rPr>
      </w:pPr>
    </w:p>
    <w:p w14:paraId="7FB20006">
      <w:pPr>
        <w:tabs>
          <w:tab w:val="left" w:pos="315"/>
          <w:tab w:val="left" w:pos="8820"/>
        </w:tabs>
        <w:spacing w:line="500" w:lineRule="exact"/>
        <w:ind w:right="267" w:rightChars="127"/>
        <w:jc w:val="center"/>
        <w:rPr>
          <w:rFonts w:ascii="仿宋_GB2312" w:eastAsia="仿宋_GB2312"/>
          <w:b/>
          <w:bCs/>
          <w:color w:val="auto"/>
          <w:sz w:val="48"/>
          <w:highlight w:val="none"/>
        </w:rPr>
      </w:pPr>
    </w:p>
    <w:p w14:paraId="05199BAB">
      <w:pPr>
        <w:tabs>
          <w:tab w:val="left" w:pos="315"/>
          <w:tab w:val="left" w:pos="8820"/>
        </w:tabs>
        <w:spacing w:line="500" w:lineRule="exact"/>
        <w:ind w:right="267" w:rightChars="127"/>
        <w:jc w:val="center"/>
        <w:rPr>
          <w:rFonts w:ascii="仿宋_GB2312" w:eastAsia="仿宋_GB2312"/>
          <w:b/>
          <w:bCs/>
          <w:color w:val="auto"/>
          <w:sz w:val="48"/>
          <w:highlight w:val="none"/>
        </w:rPr>
      </w:pPr>
    </w:p>
    <w:p w14:paraId="6F3E6740">
      <w:pPr>
        <w:tabs>
          <w:tab w:val="left" w:pos="315"/>
          <w:tab w:val="left" w:pos="8820"/>
        </w:tabs>
        <w:spacing w:line="500" w:lineRule="exact"/>
        <w:ind w:right="267" w:rightChars="127"/>
        <w:jc w:val="center"/>
        <w:rPr>
          <w:rFonts w:ascii="仿宋_GB2312" w:eastAsia="仿宋_GB2312"/>
          <w:b/>
          <w:bCs/>
          <w:color w:val="auto"/>
          <w:sz w:val="48"/>
          <w:highlight w:val="none"/>
        </w:rPr>
      </w:pPr>
    </w:p>
    <w:p w14:paraId="09CFF94D">
      <w:pPr>
        <w:tabs>
          <w:tab w:val="left" w:pos="315"/>
          <w:tab w:val="left" w:pos="8820"/>
        </w:tabs>
        <w:spacing w:line="500" w:lineRule="exact"/>
        <w:ind w:right="267" w:rightChars="127"/>
        <w:jc w:val="center"/>
        <w:rPr>
          <w:rFonts w:ascii="仿宋_GB2312" w:eastAsia="仿宋_GB2312"/>
          <w:b/>
          <w:bCs/>
          <w:color w:val="auto"/>
          <w:sz w:val="48"/>
          <w:highlight w:val="none"/>
        </w:rPr>
      </w:pPr>
    </w:p>
    <w:p w14:paraId="0099A171">
      <w:pPr>
        <w:tabs>
          <w:tab w:val="left" w:pos="315"/>
          <w:tab w:val="left" w:pos="8820"/>
        </w:tabs>
        <w:spacing w:line="500" w:lineRule="exact"/>
        <w:ind w:right="267" w:rightChars="127"/>
        <w:jc w:val="center"/>
        <w:rPr>
          <w:rFonts w:ascii="仿宋_GB2312" w:eastAsia="仿宋_GB2312"/>
          <w:b/>
          <w:bCs/>
          <w:color w:val="auto"/>
          <w:sz w:val="48"/>
          <w:highlight w:val="none"/>
        </w:rPr>
      </w:pPr>
    </w:p>
    <w:p w14:paraId="208FA44D">
      <w:pPr>
        <w:tabs>
          <w:tab w:val="left" w:pos="315"/>
          <w:tab w:val="left" w:pos="8820"/>
        </w:tabs>
        <w:spacing w:line="240" w:lineRule="auto"/>
        <w:ind w:right="267" w:rightChars="127"/>
        <w:jc w:val="center"/>
        <w:rPr>
          <w:rFonts w:ascii="微软简标宋" w:eastAsia="黑体"/>
          <w:b/>
          <w:bCs/>
          <w:color w:val="auto"/>
          <w:sz w:val="52"/>
          <w:highlight w:val="none"/>
        </w:rPr>
      </w:pPr>
      <w:r>
        <w:rPr>
          <w:rFonts w:hint="eastAsia" w:ascii="微软简标宋" w:eastAsia="黑体"/>
          <w:b/>
          <w:bCs/>
          <w:color w:val="auto"/>
          <w:sz w:val="52"/>
          <w:highlight w:val="none"/>
        </w:rPr>
        <w:t>竞争性磋商文件</w:t>
      </w:r>
    </w:p>
    <w:p w14:paraId="350EDB79">
      <w:pPr>
        <w:tabs>
          <w:tab w:val="left" w:pos="315"/>
          <w:tab w:val="left" w:pos="8820"/>
        </w:tabs>
        <w:spacing w:line="500" w:lineRule="exact"/>
        <w:ind w:right="267" w:rightChars="127"/>
        <w:jc w:val="center"/>
        <w:rPr>
          <w:rFonts w:ascii="仿宋_GB2312" w:eastAsia="仿宋_GB2312"/>
          <w:color w:val="auto"/>
          <w:sz w:val="44"/>
          <w:highlight w:val="none"/>
        </w:rPr>
      </w:pPr>
    </w:p>
    <w:p w14:paraId="054C76A3">
      <w:pPr>
        <w:tabs>
          <w:tab w:val="left" w:pos="315"/>
          <w:tab w:val="left" w:pos="8820"/>
        </w:tabs>
        <w:ind w:right="267" w:rightChars="127"/>
        <w:jc w:val="center"/>
        <w:rPr>
          <w:rFonts w:ascii="仿宋_GB2312" w:eastAsia="仿宋_GB2312"/>
          <w:color w:val="auto"/>
          <w:sz w:val="44"/>
          <w:highlight w:val="none"/>
        </w:rPr>
      </w:pPr>
    </w:p>
    <w:p w14:paraId="626AA527">
      <w:pPr>
        <w:tabs>
          <w:tab w:val="left" w:pos="315"/>
          <w:tab w:val="left" w:pos="8820"/>
        </w:tabs>
        <w:ind w:right="267" w:rightChars="127"/>
        <w:jc w:val="center"/>
        <w:rPr>
          <w:rFonts w:ascii="仿宋_GB2312" w:eastAsia="仿宋_GB2312"/>
          <w:color w:val="auto"/>
          <w:sz w:val="44"/>
          <w:highlight w:val="none"/>
        </w:rPr>
      </w:pPr>
    </w:p>
    <w:p w14:paraId="4930999D">
      <w:pPr>
        <w:tabs>
          <w:tab w:val="left" w:pos="315"/>
          <w:tab w:val="left" w:pos="8820"/>
        </w:tabs>
        <w:spacing w:line="600" w:lineRule="exact"/>
        <w:ind w:right="267" w:rightChars="127"/>
        <w:jc w:val="left"/>
        <w:rPr>
          <w:rFonts w:ascii="微软简标宋" w:eastAsia="黑体"/>
          <w:b/>
          <w:bCs/>
          <w:color w:val="auto"/>
          <w:sz w:val="30"/>
          <w:szCs w:val="30"/>
          <w:highlight w:val="none"/>
        </w:rPr>
      </w:pPr>
      <w:r>
        <w:rPr>
          <w:rFonts w:hint="eastAsia" w:ascii="微软简标宋" w:eastAsia="黑体"/>
          <w:b/>
          <w:bCs/>
          <w:color w:val="auto"/>
          <w:sz w:val="30"/>
          <w:szCs w:val="30"/>
          <w:highlight w:val="none"/>
        </w:rPr>
        <w:t>项目名称:郸城县住房和城乡建设局关于郸城县新村社区等9个老旧社区排水防涝设施改造项目图纸设计的采购申请项目</w:t>
      </w:r>
    </w:p>
    <w:p w14:paraId="033A34E9">
      <w:pPr>
        <w:tabs>
          <w:tab w:val="left" w:pos="315"/>
          <w:tab w:val="left" w:pos="8820"/>
        </w:tabs>
        <w:spacing w:line="600" w:lineRule="exact"/>
        <w:ind w:right="267" w:rightChars="127"/>
        <w:jc w:val="left"/>
        <w:rPr>
          <w:rFonts w:hint="default" w:ascii="微软简标宋" w:eastAsia="黑体"/>
          <w:b/>
          <w:bCs/>
          <w:color w:val="auto"/>
          <w:sz w:val="30"/>
          <w:szCs w:val="30"/>
          <w:highlight w:val="none"/>
          <w:lang w:val="en-US" w:eastAsia="zh-CN"/>
        </w:rPr>
      </w:pPr>
      <w:r>
        <w:rPr>
          <w:rFonts w:hint="eastAsia" w:ascii="微软简标宋" w:eastAsia="黑体"/>
          <w:b/>
          <w:bCs/>
          <w:color w:val="auto"/>
          <w:sz w:val="30"/>
          <w:szCs w:val="30"/>
          <w:highlight w:val="none"/>
        </w:rPr>
        <w:t>项目编号:郸财磋商采购</w:t>
      </w:r>
      <w:r>
        <w:rPr>
          <w:rFonts w:hint="eastAsia" w:ascii="微软简标宋" w:eastAsia="黑体"/>
          <w:b/>
          <w:bCs/>
          <w:color w:val="auto"/>
          <w:sz w:val="30"/>
          <w:szCs w:val="30"/>
          <w:highlight w:val="none"/>
          <w:lang w:val="en-US" w:eastAsia="zh-CN"/>
        </w:rPr>
        <w:t>-2026-49</w:t>
      </w:r>
    </w:p>
    <w:p w14:paraId="41E059AC">
      <w:pPr>
        <w:pStyle w:val="8"/>
        <w:jc w:val="center"/>
        <w:rPr>
          <w:rFonts w:hint="eastAsia" w:ascii="宋体" w:hAnsi="宋体" w:eastAsia="宋体" w:cs="Times New Roman"/>
          <w:b/>
          <w:color w:val="auto"/>
          <w:sz w:val="32"/>
          <w:highlight w:val="none"/>
          <w:lang w:val="en-US" w:eastAsia="zh-CN"/>
        </w:rPr>
      </w:pPr>
    </w:p>
    <w:p w14:paraId="3D52B5D4">
      <w:pPr>
        <w:pStyle w:val="8"/>
        <w:jc w:val="center"/>
        <w:rPr>
          <w:rFonts w:hint="eastAsia" w:ascii="宋体" w:hAnsi="宋体" w:eastAsia="宋体" w:cs="Times New Roman"/>
          <w:b/>
          <w:color w:val="auto"/>
          <w:sz w:val="32"/>
          <w:highlight w:val="none"/>
          <w:lang w:val="en-US" w:eastAsia="zh-CN"/>
        </w:rPr>
      </w:pPr>
    </w:p>
    <w:p w14:paraId="78B6D9D0">
      <w:pPr>
        <w:pStyle w:val="8"/>
        <w:jc w:val="center"/>
        <w:rPr>
          <w:rFonts w:hint="eastAsia" w:ascii="宋体" w:hAnsi="宋体" w:eastAsia="宋体" w:cs="Times New Roman"/>
          <w:b/>
          <w:color w:val="auto"/>
          <w:sz w:val="32"/>
          <w:highlight w:val="none"/>
          <w:lang w:val="en-US" w:eastAsia="zh-CN"/>
        </w:rPr>
      </w:pPr>
    </w:p>
    <w:p w14:paraId="7F5FC024">
      <w:pPr>
        <w:pStyle w:val="8"/>
        <w:jc w:val="center"/>
        <w:rPr>
          <w:rFonts w:hint="eastAsia" w:ascii="宋体" w:hAnsi="宋体" w:eastAsia="宋体" w:cs="Times New Roman"/>
          <w:b/>
          <w:color w:val="auto"/>
          <w:sz w:val="32"/>
          <w:highlight w:val="none"/>
        </w:rPr>
      </w:pPr>
      <w:r>
        <w:rPr>
          <w:rFonts w:hint="eastAsia" w:ascii="宋体" w:hAnsi="宋体" w:eastAsia="宋体" w:cs="Times New Roman"/>
          <w:b/>
          <w:color w:val="auto"/>
          <w:sz w:val="32"/>
          <w:highlight w:val="none"/>
          <w:lang w:val="en-US" w:eastAsia="zh-CN"/>
        </w:rPr>
        <w:t>202</w:t>
      </w:r>
      <w:r>
        <w:rPr>
          <w:rFonts w:hint="eastAsia" w:ascii="宋体" w:hAnsi="宋体" w:cs="Times New Roman"/>
          <w:b/>
          <w:color w:val="auto"/>
          <w:sz w:val="32"/>
          <w:highlight w:val="none"/>
          <w:lang w:val="en-US" w:eastAsia="zh-CN"/>
        </w:rPr>
        <w:t>6</w:t>
      </w:r>
      <w:r>
        <w:rPr>
          <w:rFonts w:hint="eastAsia" w:ascii="宋体" w:hAnsi="宋体" w:eastAsia="宋体" w:cs="Times New Roman"/>
          <w:b/>
          <w:color w:val="auto"/>
          <w:sz w:val="32"/>
          <w:highlight w:val="none"/>
        </w:rPr>
        <w:t>年</w:t>
      </w:r>
      <w:r>
        <w:rPr>
          <w:rFonts w:hint="eastAsia" w:ascii="宋体" w:hAnsi="宋体" w:cs="Times New Roman"/>
          <w:b/>
          <w:color w:val="auto"/>
          <w:sz w:val="32"/>
          <w:highlight w:val="none"/>
          <w:lang w:val="en-US" w:eastAsia="zh-CN"/>
        </w:rPr>
        <w:t>7</w:t>
      </w:r>
      <w:r>
        <w:rPr>
          <w:rFonts w:hint="eastAsia" w:ascii="宋体" w:hAnsi="宋体" w:eastAsia="宋体" w:cs="Times New Roman"/>
          <w:b/>
          <w:color w:val="auto"/>
          <w:sz w:val="32"/>
          <w:highlight w:val="none"/>
        </w:rPr>
        <w:t>月</w:t>
      </w:r>
      <w:r>
        <w:rPr>
          <w:rFonts w:hint="eastAsia" w:ascii="宋体" w:hAnsi="宋体" w:cs="Times New Roman"/>
          <w:b/>
          <w:color w:val="auto"/>
          <w:sz w:val="32"/>
          <w:highlight w:val="none"/>
          <w:lang w:val="en-US" w:eastAsia="zh-CN"/>
        </w:rPr>
        <w:t>2</w:t>
      </w:r>
      <w:r>
        <w:rPr>
          <w:rFonts w:hint="eastAsia" w:ascii="宋体" w:hAnsi="宋体" w:eastAsia="宋体" w:cs="Times New Roman"/>
          <w:b/>
          <w:color w:val="auto"/>
          <w:sz w:val="32"/>
          <w:highlight w:val="none"/>
        </w:rPr>
        <w:t>日</w:t>
      </w:r>
    </w:p>
    <w:sdt>
      <w:sdtPr>
        <w:rPr>
          <w:rFonts w:ascii="宋体" w:hAnsi="宋体" w:eastAsia="宋体" w:cs="Times New Roman"/>
          <w:b/>
          <w:bCs/>
          <w:color w:val="auto"/>
          <w:kern w:val="2"/>
          <w:sz w:val="28"/>
          <w:szCs w:val="28"/>
          <w:highlight w:val="none"/>
          <w:lang w:val="en-US" w:eastAsia="zh-CN" w:bidi="ar-SA"/>
        </w:rPr>
        <w:id w:val="147465901"/>
        <w15:color w:val="DBDBDB"/>
        <w:docPartObj>
          <w:docPartGallery w:val="Table of Contents"/>
          <w:docPartUnique/>
        </w:docPartObj>
      </w:sdtPr>
      <w:sdtEndPr>
        <w:rPr>
          <w:rFonts w:hint="eastAsia" w:ascii="宋体" w:hAnsi="宋体" w:eastAsia="宋体" w:cs="宋体"/>
          <w:b/>
          <w:bCs/>
          <w:color w:val="auto"/>
          <w:kern w:val="2"/>
          <w:sz w:val="24"/>
          <w:szCs w:val="24"/>
          <w:highlight w:val="none"/>
          <w:lang w:val="en-US" w:eastAsia="zh-CN" w:bidi="ar-SA"/>
        </w:rPr>
      </w:sdtEndPr>
      <w:sdtContent>
        <w:p w14:paraId="52EBB466">
          <w:pPr>
            <w:keepNext w:val="0"/>
            <w:keepLines w:val="0"/>
            <w:pageBreakBefore w:val="0"/>
            <w:widowControl w:val="0"/>
            <w:kinsoku/>
            <w:wordWrap/>
            <w:overflowPunct/>
            <w:topLinePunct w:val="0"/>
            <w:autoSpaceDE/>
            <w:autoSpaceDN/>
            <w:bidi w:val="0"/>
            <w:adjustRightInd/>
            <w:snapToGrid/>
            <w:spacing w:before="0" w:beforeLines="0" w:after="0" w:afterLines="0" w:line="440" w:lineRule="exact"/>
            <w:ind w:left="0" w:leftChars="0" w:right="0" w:rightChars="0" w:firstLine="0" w:firstLineChars="0"/>
            <w:jc w:val="center"/>
            <w:textAlignment w:val="auto"/>
            <w:rPr>
              <w:b/>
              <w:bCs/>
              <w:color w:val="auto"/>
              <w:sz w:val="28"/>
              <w:szCs w:val="28"/>
              <w:highlight w:val="none"/>
            </w:rPr>
          </w:pPr>
          <w:r>
            <w:rPr>
              <w:rFonts w:ascii="宋体" w:hAnsi="宋体" w:eastAsia="宋体"/>
              <w:b/>
              <w:bCs/>
              <w:color w:val="auto"/>
              <w:sz w:val="28"/>
              <w:szCs w:val="28"/>
              <w:highlight w:val="none"/>
            </w:rPr>
            <w:t>目录</w:t>
          </w:r>
        </w:p>
        <w:p w14:paraId="6C7D9A2B">
          <w:pPr>
            <w:pStyle w:val="20"/>
            <w:keepNext w:val="0"/>
            <w:keepLines w:val="0"/>
            <w:pageBreakBefore w:val="0"/>
            <w:widowControl w:val="0"/>
            <w:tabs>
              <w:tab w:val="right" w:leader="dot" w:pos="8845"/>
            </w:tabs>
            <w:kinsoku/>
            <w:wordWrap/>
            <w:overflowPunct/>
            <w:topLinePunct w:val="0"/>
            <w:autoSpaceDE/>
            <w:autoSpaceDN/>
            <w:bidi w:val="0"/>
            <w:adjustRightInd/>
            <w:snapToGrid/>
            <w:spacing w:line="440" w:lineRule="exact"/>
            <w:textAlignment w:val="auto"/>
            <w:rPr>
              <w:color w:val="auto"/>
              <w:sz w:val="24"/>
              <w:szCs w:val="24"/>
              <w:highlight w:val="none"/>
            </w:rPr>
          </w:pPr>
          <w:r>
            <w:rPr>
              <w:rFonts w:hint="eastAsia" w:ascii="宋体" w:hAnsi="宋体" w:cs="宋体"/>
              <w:b/>
              <w:color w:val="auto"/>
              <w:sz w:val="24"/>
              <w:szCs w:val="24"/>
              <w:highlight w:val="none"/>
            </w:rPr>
            <w:fldChar w:fldCharType="begin"/>
          </w:r>
          <w:r>
            <w:rPr>
              <w:rFonts w:hint="eastAsia" w:ascii="宋体" w:hAnsi="宋体" w:cs="宋体"/>
              <w:b/>
              <w:color w:val="auto"/>
              <w:sz w:val="24"/>
              <w:szCs w:val="24"/>
              <w:highlight w:val="none"/>
            </w:rPr>
            <w:instrText xml:space="preserve">TOC \o "1-3" \h \u </w:instrText>
          </w:r>
          <w:r>
            <w:rPr>
              <w:rFonts w:hint="eastAsia" w:ascii="宋体" w:hAnsi="宋体" w:cs="宋体"/>
              <w:b/>
              <w:color w:val="auto"/>
              <w:sz w:val="24"/>
              <w:szCs w:val="24"/>
              <w:highlight w:val="none"/>
            </w:rPr>
            <w:fldChar w:fldCharType="separate"/>
          </w:r>
          <w:r>
            <w:rPr>
              <w:rFonts w:hint="eastAsia" w:ascii="宋体" w:hAnsi="宋体" w:cs="宋体"/>
              <w:color w:val="auto"/>
              <w:sz w:val="24"/>
              <w:szCs w:val="24"/>
              <w:highlight w:val="none"/>
            </w:rPr>
            <w:fldChar w:fldCharType="begin"/>
          </w:r>
          <w:r>
            <w:rPr>
              <w:rFonts w:hint="eastAsia" w:ascii="宋体" w:hAnsi="宋体" w:cs="宋体"/>
              <w:color w:val="auto"/>
              <w:sz w:val="24"/>
              <w:szCs w:val="24"/>
              <w:highlight w:val="none"/>
            </w:rPr>
            <w:instrText xml:space="preserve"> HYPERLINK \l _Toc8707 </w:instrText>
          </w:r>
          <w:r>
            <w:rPr>
              <w:rFonts w:hint="eastAsia" w:ascii="宋体" w:hAnsi="宋体" w:cs="宋体"/>
              <w:color w:val="auto"/>
              <w:sz w:val="24"/>
              <w:szCs w:val="24"/>
              <w:highlight w:val="none"/>
            </w:rPr>
            <w:fldChar w:fldCharType="separate"/>
          </w:r>
          <w:r>
            <w:rPr>
              <w:rFonts w:hint="eastAsia" w:ascii="宋体" w:hAnsi="宋体" w:cs="宋体"/>
              <w:color w:val="auto"/>
              <w:sz w:val="24"/>
              <w:szCs w:val="24"/>
              <w:highlight w:val="none"/>
            </w:rPr>
            <w:t>第一章 竞争性磋商邀请函</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_Toc8707 \h </w:instrText>
          </w:r>
          <w:r>
            <w:rPr>
              <w:color w:val="auto"/>
              <w:sz w:val="24"/>
              <w:szCs w:val="24"/>
              <w:highlight w:val="none"/>
            </w:rPr>
            <w:fldChar w:fldCharType="separate"/>
          </w:r>
          <w:r>
            <w:rPr>
              <w:color w:val="auto"/>
              <w:sz w:val="24"/>
              <w:szCs w:val="24"/>
              <w:highlight w:val="none"/>
            </w:rPr>
            <w:t>3</w:t>
          </w:r>
          <w:r>
            <w:rPr>
              <w:color w:val="auto"/>
              <w:sz w:val="24"/>
              <w:szCs w:val="24"/>
              <w:highlight w:val="none"/>
            </w:rPr>
            <w:fldChar w:fldCharType="end"/>
          </w:r>
          <w:r>
            <w:rPr>
              <w:rFonts w:hint="eastAsia" w:ascii="宋体" w:hAnsi="宋体" w:cs="宋体"/>
              <w:color w:val="auto"/>
              <w:sz w:val="24"/>
              <w:szCs w:val="24"/>
              <w:highlight w:val="none"/>
            </w:rPr>
            <w:fldChar w:fldCharType="end"/>
          </w:r>
        </w:p>
        <w:p w14:paraId="32978781">
          <w:pPr>
            <w:pStyle w:val="20"/>
            <w:keepNext w:val="0"/>
            <w:keepLines w:val="0"/>
            <w:pageBreakBefore w:val="0"/>
            <w:widowControl w:val="0"/>
            <w:tabs>
              <w:tab w:val="right" w:leader="dot" w:pos="8845"/>
            </w:tabs>
            <w:kinsoku/>
            <w:wordWrap/>
            <w:overflowPunct/>
            <w:topLinePunct w:val="0"/>
            <w:autoSpaceDE/>
            <w:autoSpaceDN/>
            <w:bidi w:val="0"/>
            <w:adjustRightInd/>
            <w:snapToGrid/>
            <w:spacing w:line="440" w:lineRule="exact"/>
            <w:textAlignment w:val="auto"/>
            <w:rPr>
              <w:color w:val="auto"/>
              <w:sz w:val="24"/>
              <w:szCs w:val="24"/>
              <w:highlight w:val="none"/>
            </w:rPr>
          </w:pPr>
          <w:r>
            <w:rPr>
              <w:rFonts w:hint="eastAsia" w:ascii="宋体" w:hAnsi="宋体" w:cs="宋体"/>
              <w:color w:val="auto"/>
              <w:sz w:val="24"/>
              <w:szCs w:val="24"/>
              <w:highlight w:val="none"/>
            </w:rPr>
            <w:fldChar w:fldCharType="begin"/>
          </w:r>
          <w:r>
            <w:rPr>
              <w:rFonts w:hint="eastAsia" w:ascii="宋体" w:hAnsi="宋体" w:cs="宋体"/>
              <w:color w:val="auto"/>
              <w:sz w:val="24"/>
              <w:szCs w:val="24"/>
              <w:highlight w:val="none"/>
            </w:rPr>
            <w:instrText xml:space="preserve"> HYPERLINK \l _Toc21762 </w:instrText>
          </w:r>
          <w:r>
            <w:rPr>
              <w:rFonts w:hint="eastAsia" w:ascii="宋体" w:hAnsi="宋体" w:cs="宋体"/>
              <w:color w:val="auto"/>
              <w:sz w:val="24"/>
              <w:szCs w:val="24"/>
              <w:highlight w:val="none"/>
            </w:rPr>
            <w:fldChar w:fldCharType="separate"/>
          </w:r>
          <w:r>
            <w:rPr>
              <w:rFonts w:hint="eastAsia" w:ascii="宋体" w:hAnsi="宋体" w:cs="宋体"/>
              <w:color w:val="auto"/>
              <w:sz w:val="24"/>
              <w:szCs w:val="24"/>
              <w:highlight w:val="none"/>
            </w:rPr>
            <w:t>第二章 供应商须知</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_Toc21762 \h </w:instrText>
          </w:r>
          <w:r>
            <w:rPr>
              <w:color w:val="auto"/>
              <w:sz w:val="24"/>
              <w:szCs w:val="24"/>
              <w:highlight w:val="none"/>
            </w:rPr>
            <w:fldChar w:fldCharType="separate"/>
          </w:r>
          <w:r>
            <w:rPr>
              <w:color w:val="auto"/>
              <w:sz w:val="24"/>
              <w:szCs w:val="24"/>
              <w:highlight w:val="none"/>
            </w:rPr>
            <w:t>7</w:t>
          </w:r>
          <w:r>
            <w:rPr>
              <w:color w:val="auto"/>
              <w:sz w:val="24"/>
              <w:szCs w:val="24"/>
              <w:highlight w:val="none"/>
            </w:rPr>
            <w:fldChar w:fldCharType="end"/>
          </w:r>
          <w:r>
            <w:rPr>
              <w:rFonts w:hint="eastAsia" w:ascii="宋体" w:hAnsi="宋体" w:cs="宋体"/>
              <w:color w:val="auto"/>
              <w:sz w:val="24"/>
              <w:szCs w:val="24"/>
              <w:highlight w:val="none"/>
            </w:rPr>
            <w:fldChar w:fldCharType="end"/>
          </w:r>
        </w:p>
        <w:p w14:paraId="18C3FC97">
          <w:pPr>
            <w:pStyle w:val="20"/>
            <w:keepNext w:val="0"/>
            <w:keepLines w:val="0"/>
            <w:pageBreakBefore w:val="0"/>
            <w:widowControl w:val="0"/>
            <w:tabs>
              <w:tab w:val="right" w:leader="dot" w:pos="8845"/>
            </w:tabs>
            <w:kinsoku/>
            <w:wordWrap/>
            <w:overflowPunct/>
            <w:topLinePunct w:val="0"/>
            <w:autoSpaceDE/>
            <w:autoSpaceDN/>
            <w:bidi w:val="0"/>
            <w:adjustRightInd/>
            <w:snapToGrid/>
            <w:spacing w:line="440" w:lineRule="exact"/>
            <w:textAlignment w:val="auto"/>
            <w:rPr>
              <w:color w:val="auto"/>
              <w:sz w:val="24"/>
              <w:szCs w:val="24"/>
              <w:highlight w:val="none"/>
            </w:rPr>
          </w:pPr>
          <w:r>
            <w:rPr>
              <w:rFonts w:hint="eastAsia" w:ascii="宋体" w:hAnsi="宋体" w:cs="宋体"/>
              <w:color w:val="auto"/>
              <w:sz w:val="24"/>
              <w:szCs w:val="24"/>
              <w:highlight w:val="none"/>
            </w:rPr>
            <w:fldChar w:fldCharType="begin"/>
          </w:r>
          <w:r>
            <w:rPr>
              <w:rFonts w:hint="eastAsia" w:ascii="宋体" w:hAnsi="宋体" w:cs="宋体"/>
              <w:color w:val="auto"/>
              <w:sz w:val="24"/>
              <w:szCs w:val="24"/>
              <w:highlight w:val="none"/>
            </w:rPr>
            <w:instrText xml:space="preserve"> HYPERLINK \l _Toc14467 </w:instrText>
          </w:r>
          <w:r>
            <w:rPr>
              <w:rFonts w:hint="eastAsia" w:ascii="宋体" w:hAnsi="宋体" w:cs="宋体"/>
              <w:color w:val="auto"/>
              <w:sz w:val="24"/>
              <w:szCs w:val="24"/>
              <w:highlight w:val="none"/>
            </w:rPr>
            <w:fldChar w:fldCharType="separate"/>
          </w:r>
          <w:r>
            <w:rPr>
              <w:rFonts w:hint="eastAsia" w:ascii="宋体" w:hAnsi="宋体" w:cs="宋体"/>
              <w:color w:val="auto"/>
              <w:sz w:val="24"/>
              <w:szCs w:val="24"/>
              <w:highlight w:val="none"/>
            </w:rPr>
            <w:t>第三章 采购项目内容及要求</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_Toc14467 \h </w:instrText>
          </w:r>
          <w:r>
            <w:rPr>
              <w:color w:val="auto"/>
              <w:sz w:val="24"/>
              <w:szCs w:val="24"/>
              <w:highlight w:val="none"/>
            </w:rPr>
            <w:fldChar w:fldCharType="separate"/>
          </w:r>
          <w:r>
            <w:rPr>
              <w:color w:val="auto"/>
              <w:sz w:val="24"/>
              <w:szCs w:val="24"/>
              <w:highlight w:val="none"/>
            </w:rPr>
            <w:t>27</w:t>
          </w:r>
          <w:r>
            <w:rPr>
              <w:color w:val="auto"/>
              <w:sz w:val="24"/>
              <w:szCs w:val="24"/>
              <w:highlight w:val="none"/>
            </w:rPr>
            <w:fldChar w:fldCharType="end"/>
          </w:r>
          <w:r>
            <w:rPr>
              <w:rFonts w:hint="eastAsia" w:ascii="宋体" w:hAnsi="宋体" w:cs="宋体"/>
              <w:color w:val="auto"/>
              <w:sz w:val="24"/>
              <w:szCs w:val="24"/>
              <w:highlight w:val="none"/>
            </w:rPr>
            <w:fldChar w:fldCharType="end"/>
          </w:r>
        </w:p>
        <w:p w14:paraId="3F64D811">
          <w:pPr>
            <w:pStyle w:val="20"/>
            <w:keepNext w:val="0"/>
            <w:keepLines w:val="0"/>
            <w:pageBreakBefore w:val="0"/>
            <w:widowControl w:val="0"/>
            <w:tabs>
              <w:tab w:val="right" w:leader="dot" w:pos="8845"/>
            </w:tabs>
            <w:kinsoku/>
            <w:wordWrap/>
            <w:overflowPunct/>
            <w:topLinePunct w:val="0"/>
            <w:autoSpaceDE/>
            <w:autoSpaceDN/>
            <w:bidi w:val="0"/>
            <w:adjustRightInd/>
            <w:snapToGrid/>
            <w:spacing w:line="440" w:lineRule="exact"/>
            <w:textAlignment w:val="auto"/>
            <w:rPr>
              <w:color w:val="auto"/>
              <w:sz w:val="24"/>
              <w:szCs w:val="24"/>
              <w:highlight w:val="none"/>
            </w:rPr>
          </w:pPr>
          <w:r>
            <w:rPr>
              <w:rFonts w:hint="eastAsia" w:ascii="宋体" w:hAnsi="宋体" w:cs="宋体"/>
              <w:color w:val="auto"/>
              <w:sz w:val="24"/>
              <w:szCs w:val="24"/>
              <w:highlight w:val="none"/>
            </w:rPr>
            <w:fldChar w:fldCharType="begin"/>
          </w:r>
          <w:r>
            <w:rPr>
              <w:rFonts w:hint="eastAsia" w:ascii="宋体" w:hAnsi="宋体" w:cs="宋体"/>
              <w:color w:val="auto"/>
              <w:sz w:val="24"/>
              <w:szCs w:val="24"/>
              <w:highlight w:val="none"/>
            </w:rPr>
            <w:instrText xml:space="preserve"> HYPERLINK \l _Toc23608 </w:instrText>
          </w:r>
          <w:r>
            <w:rPr>
              <w:rFonts w:hint="eastAsia" w:ascii="宋体" w:hAnsi="宋体" w:cs="宋体"/>
              <w:color w:val="auto"/>
              <w:sz w:val="24"/>
              <w:szCs w:val="24"/>
              <w:highlight w:val="none"/>
            </w:rPr>
            <w:fldChar w:fldCharType="separate"/>
          </w:r>
          <w:r>
            <w:rPr>
              <w:rFonts w:hint="eastAsia" w:ascii="宋体" w:hAnsi="宋体" w:cs="宋体"/>
              <w:bCs/>
              <w:color w:val="auto"/>
              <w:sz w:val="24"/>
              <w:szCs w:val="24"/>
              <w:highlight w:val="none"/>
            </w:rPr>
            <w:t>第四章 响应性文件内容及格式</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_Toc23608 \h </w:instrText>
          </w:r>
          <w:r>
            <w:rPr>
              <w:color w:val="auto"/>
              <w:sz w:val="24"/>
              <w:szCs w:val="24"/>
              <w:highlight w:val="none"/>
            </w:rPr>
            <w:fldChar w:fldCharType="separate"/>
          </w:r>
          <w:r>
            <w:rPr>
              <w:color w:val="auto"/>
              <w:sz w:val="24"/>
              <w:szCs w:val="24"/>
              <w:highlight w:val="none"/>
            </w:rPr>
            <w:t>28</w:t>
          </w:r>
          <w:r>
            <w:rPr>
              <w:color w:val="auto"/>
              <w:sz w:val="24"/>
              <w:szCs w:val="24"/>
              <w:highlight w:val="none"/>
            </w:rPr>
            <w:fldChar w:fldCharType="end"/>
          </w:r>
          <w:r>
            <w:rPr>
              <w:rFonts w:hint="eastAsia" w:ascii="宋体" w:hAnsi="宋体" w:cs="宋体"/>
              <w:color w:val="auto"/>
              <w:sz w:val="24"/>
              <w:szCs w:val="24"/>
              <w:highlight w:val="none"/>
            </w:rPr>
            <w:fldChar w:fldCharType="end"/>
          </w:r>
        </w:p>
        <w:p w14:paraId="196C4653">
          <w:pPr>
            <w:pStyle w:val="20"/>
            <w:keepNext w:val="0"/>
            <w:keepLines w:val="0"/>
            <w:pageBreakBefore w:val="0"/>
            <w:widowControl w:val="0"/>
            <w:tabs>
              <w:tab w:val="right" w:leader="dot" w:pos="8845"/>
            </w:tabs>
            <w:kinsoku/>
            <w:wordWrap/>
            <w:overflowPunct/>
            <w:topLinePunct w:val="0"/>
            <w:autoSpaceDE/>
            <w:autoSpaceDN/>
            <w:bidi w:val="0"/>
            <w:adjustRightInd/>
            <w:snapToGrid/>
            <w:spacing w:line="440" w:lineRule="exact"/>
            <w:textAlignment w:val="auto"/>
            <w:rPr>
              <w:color w:val="auto"/>
              <w:sz w:val="24"/>
              <w:szCs w:val="24"/>
              <w:highlight w:val="none"/>
            </w:rPr>
          </w:pPr>
          <w:r>
            <w:rPr>
              <w:rFonts w:hint="eastAsia" w:ascii="宋体" w:hAnsi="宋体" w:cs="宋体"/>
              <w:color w:val="auto"/>
              <w:sz w:val="24"/>
              <w:szCs w:val="24"/>
              <w:highlight w:val="none"/>
            </w:rPr>
            <w:fldChar w:fldCharType="begin"/>
          </w:r>
          <w:r>
            <w:rPr>
              <w:rFonts w:hint="eastAsia" w:ascii="宋体" w:hAnsi="宋体" w:cs="宋体"/>
              <w:color w:val="auto"/>
              <w:sz w:val="24"/>
              <w:szCs w:val="24"/>
              <w:highlight w:val="none"/>
            </w:rPr>
            <w:instrText xml:space="preserve"> HYPERLINK \l _Toc31581 </w:instrText>
          </w:r>
          <w:r>
            <w:rPr>
              <w:rFonts w:hint="eastAsia" w:ascii="宋体" w:hAnsi="宋体" w:cs="宋体"/>
              <w:color w:val="auto"/>
              <w:sz w:val="24"/>
              <w:szCs w:val="24"/>
              <w:highlight w:val="none"/>
            </w:rPr>
            <w:fldChar w:fldCharType="separate"/>
          </w:r>
          <w:r>
            <w:rPr>
              <w:rFonts w:hint="eastAsia" w:ascii="宋体" w:hAnsi="宋体" w:cs="宋体"/>
              <w:bCs w:val="0"/>
              <w:color w:val="auto"/>
              <w:sz w:val="24"/>
              <w:szCs w:val="24"/>
              <w:highlight w:val="none"/>
            </w:rPr>
            <w:t xml:space="preserve">第五章  </w:t>
          </w:r>
          <w:r>
            <w:rPr>
              <w:rFonts w:hint="eastAsia" w:ascii="宋体" w:hAnsi="宋体" w:eastAsia="宋体" w:cs="宋体"/>
              <w:bCs w:val="0"/>
              <w:color w:val="auto"/>
              <w:w w:val="92"/>
              <w:sz w:val="24"/>
              <w:szCs w:val="24"/>
              <w:highlight w:val="none"/>
              <w:lang w:val="en-US"/>
            </w:rPr>
            <w:t>周口市</w:t>
          </w:r>
          <w:r>
            <w:rPr>
              <w:rFonts w:hint="eastAsia" w:ascii="宋体" w:hAnsi="宋体" w:eastAsia="宋体" w:cs="宋体"/>
              <w:bCs w:val="0"/>
              <w:color w:val="auto"/>
              <w:sz w:val="24"/>
              <w:szCs w:val="24"/>
              <w:highlight w:val="none"/>
              <w:lang w:val="en-US"/>
            </w:rPr>
            <w:t>政府采购合同（服务类）标准文本</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_Toc31581 \h </w:instrText>
          </w:r>
          <w:r>
            <w:rPr>
              <w:color w:val="auto"/>
              <w:sz w:val="24"/>
              <w:szCs w:val="24"/>
              <w:highlight w:val="none"/>
            </w:rPr>
            <w:fldChar w:fldCharType="separate"/>
          </w:r>
          <w:r>
            <w:rPr>
              <w:color w:val="auto"/>
              <w:sz w:val="24"/>
              <w:szCs w:val="24"/>
              <w:highlight w:val="none"/>
            </w:rPr>
            <w:t>41</w:t>
          </w:r>
          <w:r>
            <w:rPr>
              <w:color w:val="auto"/>
              <w:sz w:val="24"/>
              <w:szCs w:val="24"/>
              <w:highlight w:val="none"/>
            </w:rPr>
            <w:fldChar w:fldCharType="end"/>
          </w:r>
          <w:r>
            <w:rPr>
              <w:rFonts w:hint="eastAsia" w:ascii="宋体" w:hAnsi="宋体" w:cs="宋体"/>
              <w:color w:val="auto"/>
              <w:sz w:val="24"/>
              <w:szCs w:val="24"/>
              <w:highlight w:val="none"/>
            </w:rPr>
            <w:fldChar w:fldCharType="end"/>
          </w:r>
        </w:p>
        <w:p w14:paraId="4329736A">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color w:val="auto"/>
              <w:highlight w:val="none"/>
            </w:rPr>
          </w:pPr>
          <w:r>
            <w:rPr>
              <w:rFonts w:hint="eastAsia" w:ascii="宋体" w:hAnsi="宋体" w:cs="宋体"/>
              <w:color w:val="auto"/>
              <w:sz w:val="24"/>
              <w:szCs w:val="24"/>
              <w:highlight w:val="none"/>
            </w:rPr>
            <w:fldChar w:fldCharType="end"/>
          </w:r>
        </w:p>
      </w:sdtContent>
    </w:sdt>
    <w:p w14:paraId="4A60CFD7">
      <w:pPr>
        <w:jc w:val="center"/>
        <w:outlineLvl w:val="0"/>
        <w:rPr>
          <w:rFonts w:ascii="宋体" w:hAnsi="宋体" w:cs="宋体"/>
          <w:b/>
          <w:color w:val="auto"/>
          <w:sz w:val="32"/>
          <w:szCs w:val="32"/>
          <w:highlight w:val="none"/>
        </w:rPr>
      </w:pPr>
      <w:r>
        <w:rPr>
          <w:rFonts w:hint="eastAsia" w:ascii="仿宋_GB2312" w:eastAsia="仿宋_GB2312"/>
          <w:b/>
          <w:color w:val="auto"/>
          <w:sz w:val="32"/>
          <w:szCs w:val="32"/>
          <w:highlight w:val="none"/>
        </w:rPr>
        <w:br w:type="page"/>
      </w:r>
      <w:bookmarkStart w:id="0" w:name="_Toc8707"/>
      <w:r>
        <w:rPr>
          <w:rFonts w:hint="eastAsia" w:ascii="宋体" w:hAnsi="宋体" w:cs="宋体"/>
          <w:b/>
          <w:color w:val="auto"/>
          <w:sz w:val="32"/>
          <w:szCs w:val="32"/>
          <w:highlight w:val="none"/>
        </w:rPr>
        <w:t>第一章 竞争性磋商邀请函</w:t>
      </w:r>
      <w:bookmarkEnd w:id="0"/>
    </w:p>
    <w:p w14:paraId="48DA0D56">
      <w:pPr>
        <w:keepNext w:val="0"/>
        <w:keepLines w:val="0"/>
        <w:pageBreakBefore w:val="0"/>
        <w:kinsoku/>
        <w:wordWrap/>
        <w:overflowPunct/>
        <w:topLinePunct w:val="0"/>
        <w:autoSpaceDE/>
        <w:autoSpaceDN/>
        <w:bidi w:val="0"/>
        <w:spacing w:line="52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项目概况</w:t>
      </w:r>
    </w:p>
    <w:p w14:paraId="43EEF02E">
      <w:pPr>
        <w:keepNext w:val="0"/>
        <w:keepLines w:val="0"/>
        <w:pageBreakBefore w:val="0"/>
        <w:kinsoku/>
        <w:wordWrap/>
        <w:overflowPunct/>
        <w:topLinePunct w:val="0"/>
        <w:autoSpaceDE/>
        <w:autoSpaceDN/>
        <w:bidi w:val="0"/>
        <w:spacing w:line="52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郸城县住房和城乡建设局关于郸城县新村社区等9个老旧社区排水防涝设施改造项目图纸设计的采购申请项目招标项目的潜在投标人应在周口市公共资源交易中心网（http://jyzx.zhoukou.gov.cn）获取招标文件，并于</w:t>
      </w:r>
      <w:r>
        <w:rPr>
          <w:rFonts w:hint="eastAsia" w:ascii="宋体" w:hAnsi="宋体" w:cs="宋体"/>
          <w:color w:val="auto"/>
          <w:sz w:val="24"/>
          <w:szCs w:val="24"/>
          <w:highlight w:val="none"/>
          <w:lang w:val="en-US" w:eastAsia="zh-CN"/>
        </w:rPr>
        <w:t>2026</w:t>
      </w:r>
      <w:r>
        <w:rPr>
          <w:rFonts w:hint="eastAsia" w:ascii="宋体" w:hAnsi="宋体" w:eastAsia="宋体" w:cs="宋体"/>
          <w:color w:val="auto"/>
          <w:sz w:val="24"/>
          <w:szCs w:val="24"/>
          <w:highlight w:val="none"/>
          <w:lang w:val="en-US" w:eastAsia="zh-CN"/>
        </w:rPr>
        <w:t>年</w:t>
      </w: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lang w:val="en-US" w:eastAsia="zh-CN"/>
        </w:rPr>
        <w:t>月</w:t>
      </w:r>
      <w:r>
        <w:rPr>
          <w:rFonts w:hint="eastAsia" w:ascii="宋体" w:hAnsi="宋体" w:cs="宋体"/>
          <w:color w:val="auto"/>
          <w:sz w:val="24"/>
          <w:szCs w:val="24"/>
          <w:highlight w:val="none"/>
          <w:lang w:val="en-US" w:eastAsia="zh-CN"/>
        </w:rPr>
        <w:t>14</w:t>
      </w:r>
      <w:r>
        <w:rPr>
          <w:rFonts w:hint="eastAsia" w:ascii="宋体" w:hAnsi="宋体" w:eastAsia="宋体" w:cs="宋体"/>
          <w:color w:val="auto"/>
          <w:sz w:val="24"/>
          <w:szCs w:val="24"/>
          <w:highlight w:val="none"/>
          <w:lang w:val="en-US" w:eastAsia="zh-CN"/>
        </w:rPr>
        <w:t>日</w:t>
      </w:r>
      <w:r>
        <w:rPr>
          <w:rFonts w:hint="eastAsia" w:ascii="宋体" w:hAnsi="宋体" w:cs="宋体"/>
          <w:color w:val="auto"/>
          <w:sz w:val="24"/>
          <w:szCs w:val="24"/>
          <w:highlight w:val="none"/>
          <w:lang w:val="en-US" w:eastAsia="zh-CN"/>
        </w:rPr>
        <w:t>10</w:t>
      </w:r>
      <w:r>
        <w:rPr>
          <w:rFonts w:hint="eastAsia" w:ascii="宋体" w:hAnsi="宋体" w:eastAsia="宋体" w:cs="宋体"/>
          <w:color w:val="auto"/>
          <w:sz w:val="24"/>
          <w:szCs w:val="24"/>
          <w:highlight w:val="none"/>
          <w:lang w:val="en-US" w:eastAsia="zh-CN"/>
        </w:rPr>
        <w:t>时</w:t>
      </w:r>
      <w:r>
        <w:rPr>
          <w:rFonts w:hint="eastAsia" w:ascii="宋体" w:hAnsi="宋体" w:cs="宋体"/>
          <w:color w:val="auto"/>
          <w:sz w:val="24"/>
          <w:szCs w:val="24"/>
          <w:highlight w:val="none"/>
          <w:lang w:val="en-US" w:eastAsia="zh-CN"/>
        </w:rPr>
        <w:t>00</w:t>
      </w:r>
      <w:r>
        <w:rPr>
          <w:rFonts w:hint="eastAsia" w:ascii="宋体" w:hAnsi="宋体" w:eastAsia="宋体" w:cs="宋体"/>
          <w:color w:val="auto"/>
          <w:sz w:val="24"/>
          <w:szCs w:val="24"/>
          <w:highlight w:val="none"/>
          <w:lang w:val="en-US" w:eastAsia="zh-CN"/>
        </w:rPr>
        <w:t>分（北京时间）前递交投标文件。</w:t>
      </w:r>
    </w:p>
    <w:p w14:paraId="41F6C4A9">
      <w:pPr>
        <w:keepNext w:val="0"/>
        <w:keepLines w:val="0"/>
        <w:pageBreakBefore w:val="0"/>
        <w:kinsoku/>
        <w:wordWrap/>
        <w:overflowPunct/>
        <w:topLinePunct w:val="0"/>
        <w:autoSpaceDE/>
        <w:autoSpaceDN/>
        <w:bidi w:val="0"/>
        <w:spacing w:line="520" w:lineRule="exact"/>
        <w:textAlignment w:val="auto"/>
        <w:rPr>
          <w:rFonts w:hint="eastAsia" w:ascii="宋体" w:hAnsi="宋体" w:eastAsia="宋体" w:cs="宋体"/>
          <w:color w:val="auto"/>
          <w:sz w:val="24"/>
          <w:szCs w:val="24"/>
          <w:highlight w:val="none"/>
        </w:rPr>
      </w:pPr>
      <w:bookmarkStart w:id="1" w:name="_Toc35393629"/>
      <w:bookmarkStart w:id="2" w:name="_Toc35393798"/>
      <w:bookmarkStart w:id="3" w:name="_Toc28359012"/>
      <w:bookmarkStart w:id="4" w:name="_Toc28359089"/>
      <w:r>
        <w:rPr>
          <w:rFonts w:hint="eastAsia" w:ascii="宋体" w:hAnsi="宋体" w:eastAsia="宋体" w:cs="宋体"/>
          <w:color w:val="auto"/>
          <w:sz w:val="24"/>
          <w:szCs w:val="24"/>
          <w:highlight w:val="none"/>
        </w:rPr>
        <w:t>一、项目基本情况</w:t>
      </w:r>
      <w:bookmarkEnd w:id="1"/>
      <w:bookmarkEnd w:id="2"/>
      <w:bookmarkEnd w:id="3"/>
      <w:bookmarkEnd w:id="4"/>
    </w:p>
    <w:p w14:paraId="54F70BD7">
      <w:pPr>
        <w:keepNext w:val="0"/>
        <w:keepLines w:val="0"/>
        <w:pageBreakBefore w:val="0"/>
        <w:kinsoku/>
        <w:wordWrap/>
        <w:overflowPunct/>
        <w:topLinePunct w:val="0"/>
        <w:autoSpaceDE/>
        <w:autoSpaceDN/>
        <w:bidi w:val="0"/>
        <w:spacing w:line="240" w:lineRule="auto"/>
        <w:ind w:leftChars="0"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项目编号：郸财磋商采购</w:t>
      </w:r>
      <w:r>
        <w:rPr>
          <w:rFonts w:hint="eastAsia" w:ascii="宋体" w:hAnsi="宋体" w:eastAsia="宋体" w:cs="宋体"/>
          <w:color w:val="auto"/>
          <w:sz w:val="24"/>
          <w:szCs w:val="24"/>
          <w:highlight w:val="none"/>
          <w:lang w:val="en-US" w:eastAsia="zh-CN"/>
        </w:rPr>
        <w:t>-2026-49</w:t>
      </w:r>
    </w:p>
    <w:p w14:paraId="07FC6347">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项目名称：</w:t>
      </w:r>
      <w:r>
        <w:rPr>
          <w:rFonts w:hint="eastAsia" w:ascii="宋体" w:hAnsi="宋体" w:eastAsia="宋体" w:cs="宋体"/>
          <w:color w:val="auto"/>
          <w:sz w:val="24"/>
          <w:szCs w:val="24"/>
          <w:highlight w:val="none"/>
          <w:lang w:val="en-US" w:eastAsia="zh-CN"/>
        </w:rPr>
        <w:t>郸城县住房和城乡建设局关于郸城县新村社区等9个老旧社区排水防涝设施改造项目图纸设计的采购申请项目</w:t>
      </w:r>
    </w:p>
    <w:p w14:paraId="0BF27D33">
      <w:pPr>
        <w:keepNext w:val="0"/>
        <w:keepLines w:val="0"/>
        <w:pageBreakBefore w:val="0"/>
        <w:kinsoku/>
        <w:wordWrap/>
        <w:overflowPunct/>
        <w:topLinePunct w:val="0"/>
        <w:autoSpaceDE/>
        <w:autoSpaceDN/>
        <w:bidi w:val="0"/>
        <w:spacing w:line="240" w:lineRule="auto"/>
        <w:ind w:leftChars="0"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采购方式：竞争性</w:t>
      </w:r>
      <w:r>
        <w:rPr>
          <w:rFonts w:hint="eastAsia" w:ascii="宋体" w:hAnsi="宋体" w:eastAsia="宋体" w:cs="宋体"/>
          <w:color w:val="auto"/>
          <w:sz w:val="24"/>
          <w:szCs w:val="24"/>
          <w:highlight w:val="none"/>
          <w:lang w:val="en-US" w:eastAsia="zh-CN"/>
        </w:rPr>
        <w:t>磋商</w:t>
      </w:r>
    </w:p>
    <w:p w14:paraId="4739DF51">
      <w:pPr>
        <w:keepNext w:val="0"/>
        <w:keepLines w:val="0"/>
        <w:pageBreakBefore w:val="0"/>
        <w:kinsoku/>
        <w:wordWrap/>
        <w:overflowPunct/>
        <w:topLinePunct w:val="0"/>
        <w:autoSpaceDE/>
        <w:autoSpaceDN/>
        <w:bidi w:val="0"/>
        <w:spacing w:line="240" w:lineRule="auto"/>
        <w:ind w:leftChars="0" w:firstLine="0" w:firstLineChars="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预算金额：</w:t>
      </w:r>
      <w:r>
        <w:rPr>
          <w:rFonts w:hint="eastAsia" w:ascii="宋体" w:hAnsi="宋体" w:eastAsia="宋体" w:cs="宋体"/>
          <w:color w:val="auto"/>
          <w:sz w:val="24"/>
          <w:szCs w:val="24"/>
          <w:highlight w:val="none"/>
          <w:lang w:val="en-US" w:eastAsia="zh-CN"/>
        </w:rPr>
        <w:t>600000.00元</w:t>
      </w:r>
    </w:p>
    <w:p w14:paraId="61A9E694">
      <w:pPr>
        <w:keepNext w:val="0"/>
        <w:keepLines w:val="0"/>
        <w:pageBreakBefore w:val="0"/>
        <w:kinsoku/>
        <w:wordWrap/>
        <w:overflowPunct/>
        <w:topLinePunct w:val="0"/>
        <w:autoSpaceDE/>
        <w:autoSpaceDN/>
        <w:bidi w:val="0"/>
        <w:spacing w:line="240" w:lineRule="auto"/>
        <w:ind w:leftChars="0" w:firstLine="0" w:firstLineChars="0"/>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rPr>
        <w:t>最高限价：</w:t>
      </w:r>
      <w:r>
        <w:rPr>
          <w:rFonts w:hint="eastAsia" w:ascii="宋体" w:hAnsi="宋体" w:eastAsia="宋体" w:cs="宋体"/>
          <w:color w:val="auto"/>
          <w:sz w:val="24"/>
          <w:szCs w:val="24"/>
          <w:highlight w:val="none"/>
          <w:lang w:val="en-US" w:eastAsia="zh-CN"/>
        </w:rPr>
        <w:t>600000</w:t>
      </w:r>
      <w:r>
        <w:rPr>
          <w:rFonts w:hint="eastAsia" w:ascii="宋体" w:hAnsi="宋体" w:cs="宋体"/>
          <w:color w:val="auto"/>
          <w:sz w:val="24"/>
          <w:szCs w:val="24"/>
          <w:highlight w:val="none"/>
          <w:lang w:val="en-US" w:eastAsia="zh-CN"/>
        </w:rPr>
        <w:t>.00</w:t>
      </w:r>
      <w:r>
        <w:rPr>
          <w:rFonts w:hint="eastAsia" w:ascii="宋体" w:hAnsi="宋体" w:eastAsia="宋体" w:cs="宋体"/>
          <w:color w:val="auto"/>
          <w:sz w:val="24"/>
          <w:szCs w:val="24"/>
          <w:highlight w:val="none"/>
          <w:lang w:val="en-US" w:eastAsia="zh-CN"/>
        </w:rPr>
        <w:t>元</w:t>
      </w:r>
    </w:p>
    <w:tbl>
      <w:tblPr>
        <w:tblStyle w:val="28"/>
        <w:tblW w:w="0" w:type="auto"/>
        <w:tblInd w:w="1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9"/>
        <w:gridCol w:w="536"/>
        <w:gridCol w:w="1887"/>
        <w:gridCol w:w="1212"/>
        <w:gridCol w:w="1774"/>
        <w:gridCol w:w="1368"/>
        <w:gridCol w:w="1571"/>
      </w:tblGrid>
      <w:tr w14:paraId="758A7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59" w:type="dxa"/>
            <w:vAlign w:val="center"/>
          </w:tcPr>
          <w:p w14:paraId="247DCDB9">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序号</w:t>
            </w:r>
          </w:p>
        </w:tc>
        <w:tc>
          <w:tcPr>
            <w:tcW w:w="536" w:type="dxa"/>
            <w:vAlign w:val="center"/>
          </w:tcPr>
          <w:p w14:paraId="7A737D38">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包号</w:t>
            </w:r>
          </w:p>
        </w:tc>
        <w:tc>
          <w:tcPr>
            <w:tcW w:w="1887" w:type="dxa"/>
            <w:vAlign w:val="center"/>
          </w:tcPr>
          <w:p w14:paraId="54CFC265">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rPr>
              <w:t>包名称</w:t>
            </w:r>
          </w:p>
        </w:tc>
        <w:tc>
          <w:tcPr>
            <w:tcW w:w="1212" w:type="dxa"/>
            <w:vAlign w:val="center"/>
          </w:tcPr>
          <w:p w14:paraId="2718D475">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rPr>
              <w:t>包预算（元）</w:t>
            </w:r>
          </w:p>
        </w:tc>
        <w:tc>
          <w:tcPr>
            <w:tcW w:w="1774" w:type="dxa"/>
            <w:vAlign w:val="center"/>
          </w:tcPr>
          <w:p w14:paraId="55FE1E85">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rPr>
              <w:t>包最高限价（元）</w:t>
            </w:r>
          </w:p>
        </w:tc>
        <w:tc>
          <w:tcPr>
            <w:tcW w:w="1368" w:type="dxa"/>
            <w:vAlign w:val="center"/>
          </w:tcPr>
          <w:p w14:paraId="043D842D">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是否专门面向中小企业</w:t>
            </w:r>
          </w:p>
        </w:tc>
        <w:tc>
          <w:tcPr>
            <w:tcW w:w="1571" w:type="dxa"/>
            <w:vAlign w:val="center"/>
          </w:tcPr>
          <w:p w14:paraId="07EFD2B2">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采购预留金额（元）</w:t>
            </w:r>
          </w:p>
        </w:tc>
      </w:tr>
      <w:tr w14:paraId="01FF0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9" w:type="dxa"/>
            <w:vAlign w:val="center"/>
          </w:tcPr>
          <w:p w14:paraId="09401292">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w:t>
            </w:r>
          </w:p>
        </w:tc>
        <w:tc>
          <w:tcPr>
            <w:tcW w:w="536" w:type="dxa"/>
            <w:vAlign w:val="center"/>
          </w:tcPr>
          <w:p w14:paraId="18DDE7AC">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w:t>
            </w:r>
          </w:p>
        </w:tc>
        <w:tc>
          <w:tcPr>
            <w:tcW w:w="1887" w:type="dxa"/>
            <w:vAlign w:val="center"/>
          </w:tcPr>
          <w:p w14:paraId="20ED186D">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宋体" w:hAnsi="宋体" w:eastAsia="宋体" w:cs="宋体"/>
                <w:color w:val="auto"/>
                <w:sz w:val="24"/>
                <w:szCs w:val="24"/>
                <w:highlight w:val="none"/>
                <w:vertAlign w:val="baseline"/>
                <w:lang w:val="en-US"/>
              </w:rPr>
            </w:pPr>
            <w:r>
              <w:rPr>
                <w:rFonts w:hint="default" w:ascii="宋体" w:hAnsi="宋体" w:eastAsia="宋体" w:cs="宋体"/>
                <w:color w:val="auto"/>
                <w:sz w:val="24"/>
                <w:szCs w:val="24"/>
                <w:highlight w:val="none"/>
                <w:vertAlign w:val="baseline"/>
                <w:lang w:val="en-US" w:eastAsia="zh-CN"/>
              </w:rPr>
              <w:t>郸城县住房和城乡建设局关于郸城县新村社区等9个老旧社区排水防涝设施改造项目图纸设计的采购申请项目</w:t>
            </w:r>
          </w:p>
        </w:tc>
        <w:tc>
          <w:tcPr>
            <w:tcW w:w="1212" w:type="dxa"/>
            <w:vAlign w:val="center"/>
          </w:tcPr>
          <w:p w14:paraId="4ABC9235">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宋体" w:hAnsi="宋体" w:eastAsia="宋体" w:cs="宋体"/>
                <w:color w:val="auto"/>
                <w:sz w:val="24"/>
                <w:szCs w:val="24"/>
                <w:highlight w:val="none"/>
                <w:vertAlign w:val="baseline"/>
                <w:lang w:val="en-US" w:eastAsia="zh-CN"/>
              </w:rPr>
            </w:pPr>
            <w:r>
              <w:rPr>
                <w:rFonts w:hint="eastAsia" w:ascii="宋体" w:hAnsi="宋体" w:cs="宋体"/>
                <w:color w:val="auto"/>
                <w:sz w:val="24"/>
                <w:szCs w:val="24"/>
                <w:highlight w:val="none"/>
                <w:lang w:val="en-US" w:eastAsia="zh-CN"/>
              </w:rPr>
              <w:t>600000</w:t>
            </w:r>
          </w:p>
        </w:tc>
        <w:tc>
          <w:tcPr>
            <w:tcW w:w="1774" w:type="dxa"/>
            <w:vAlign w:val="center"/>
          </w:tcPr>
          <w:p w14:paraId="5C8524FB">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宋体" w:hAnsi="宋体" w:eastAsia="宋体" w:cs="宋体"/>
                <w:color w:val="auto"/>
                <w:sz w:val="24"/>
                <w:szCs w:val="24"/>
                <w:highlight w:val="none"/>
                <w:vertAlign w:val="baseline"/>
                <w:lang w:val="en-US" w:eastAsia="zh-CN"/>
              </w:rPr>
            </w:pPr>
            <w:r>
              <w:rPr>
                <w:rFonts w:hint="eastAsia" w:ascii="宋体" w:hAnsi="宋体" w:cs="宋体"/>
                <w:color w:val="auto"/>
                <w:sz w:val="24"/>
                <w:szCs w:val="24"/>
                <w:highlight w:val="none"/>
                <w:lang w:val="en-US" w:eastAsia="zh-CN"/>
              </w:rPr>
              <w:t>600000</w:t>
            </w:r>
          </w:p>
        </w:tc>
        <w:tc>
          <w:tcPr>
            <w:tcW w:w="1368" w:type="dxa"/>
            <w:vAlign w:val="center"/>
          </w:tcPr>
          <w:p w14:paraId="1C43A2C5">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是</w:t>
            </w:r>
          </w:p>
        </w:tc>
        <w:tc>
          <w:tcPr>
            <w:tcW w:w="1571" w:type="dxa"/>
            <w:vAlign w:val="center"/>
          </w:tcPr>
          <w:p w14:paraId="4EC1554C">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宋体" w:hAnsi="宋体" w:eastAsia="宋体" w:cs="宋体"/>
                <w:color w:val="auto"/>
                <w:sz w:val="24"/>
                <w:szCs w:val="24"/>
                <w:highlight w:val="none"/>
                <w:vertAlign w:val="baseline"/>
                <w:lang w:val="en-US" w:eastAsia="zh-CN"/>
              </w:rPr>
            </w:pPr>
            <w:r>
              <w:rPr>
                <w:rFonts w:hint="eastAsia" w:ascii="宋体" w:hAnsi="宋体" w:cs="宋体"/>
                <w:color w:val="auto"/>
                <w:sz w:val="24"/>
                <w:szCs w:val="24"/>
                <w:highlight w:val="none"/>
                <w:lang w:val="en-US" w:eastAsia="zh-CN"/>
              </w:rPr>
              <w:t>600000</w:t>
            </w:r>
          </w:p>
        </w:tc>
      </w:tr>
    </w:tbl>
    <w:p w14:paraId="18459CFA">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rPr>
        <w:t>采购需求：（包括但不限于标的的名称、数量、简要技术需求或服务要求等）详见磋商文件</w:t>
      </w:r>
    </w:p>
    <w:p w14:paraId="351C7CAD">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合同履行期限：</w:t>
      </w:r>
      <w:r>
        <w:rPr>
          <w:rFonts w:hint="eastAsia" w:ascii="宋体" w:hAnsi="宋体" w:eastAsia="宋体" w:cs="宋体"/>
          <w:color w:val="auto"/>
          <w:sz w:val="24"/>
          <w:szCs w:val="24"/>
          <w:highlight w:val="none"/>
          <w:lang w:val="en-US" w:eastAsia="zh-CN"/>
        </w:rPr>
        <w:t>合同签订后30日历天完成</w:t>
      </w:r>
    </w:p>
    <w:p w14:paraId="5122399F">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highlight w:val="none"/>
          <w:lang w:val="en-US" w:eastAsia="zh-CN"/>
        </w:rPr>
      </w:pPr>
      <w:bookmarkStart w:id="5" w:name="_Toc28359013"/>
      <w:bookmarkStart w:id="6" w:name="_Toc28359090"/>
      <w:bookmarkStart w:id="7" w:name="_Toc35393799"/>
      <w:bookmarkStart w:id="8" w:name="_Toc35393630"/>
      <w:r>
        <w:rPr>
          <w:rFonts w:hint="eastAsia" w:ascii="宋体" w:hAnsi="宋体" w:eastAsia="宋体" w:cs="宋体"/>
          <w:color w:val="auto"/>
          <w:sz w:val="24"/>
          <w:szCs w:val="24"/>
          <w:highlight w:val="none"/>
          <w:lang w:val="en-US" w:eastAsia="zh-CN"/>
        </w:rPr>
        <w:t>7、本项目是否接受联合体投标：否</w:t>
      </w:r>
    </w:p>
    <w:p w14:paraId="481D37E7">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8、是否接受进口产品：否</w:t>
      </w:r>
    </w:p>
    <w:p w14:paraId="06CDC4EB">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9、是否专门面向中小企业：</w:t>
      </w:r>
      <w:r>
        <w:rPr>
          <w:rFonts w:hint="eastAsia" w:ascii="宋体" w:hAnsi="宋体" w:eastAsia="宋体" w:cs="宋体"/>
          <w:color w:val="auto"/>
          <w:sz w:val="24"/>
          <w:szCs w:val="24"/>
          <w:highlight w:val="none"/>
          <w:lang w:val="en-US" w:eastAsia="zh-CN"/>
        </w:rPr>
        <w:t>是</w:t>
      </w:r>
      <w:r>
        <w:rPr>
          <w:rFonts w:hint="eastAsia" w:ascii="宋体" w:hAnsi="宋体" w:eastAsia="宋体" w:cs="宋体"/>
          <w:i w:val="0"/>
          <w:iCs w:val="0"/>
          <w:color w:val="000000"/>
          <w:sz w:val="24"/>
          <w:szCs w:val="24"/>
          <w:lang w:eastAsia="zh-CN"/>
        </w:rPr>
        <w:t>，</w:t>
      </w:r>
      <w:r>
        <w:rPr>
          <w:rFonts w:hint="eastAsia" w:ascii="宋体" w:hAnsi="宋体" w:eastAsia="宋体" w:cs="宋体"/>
          <w:i w:val="0"/>
          <w:iCs w:val="0"/>
          <w:color w:val="000000"/>
          <w:sz w:val="24"/>
          <w:szCs w:val="24"/>
          <w:lang w:val="en-US" w:eastAsia="zh-CN"/>
        </w:rPr>
        <w:t>必须提供中小企业声明函。</w:t>
      </w:r>
    </w:p>
    <w:p w14:paraId="072E1497">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二、申请人的资格要求：</w:t>
      </w:r>
      <w:bookmarkEnd w:id="5"/>
      <w:bookmarkEnd w:id="6"/>
      <w:bookmarkEnd w:id="7"/>
      <w:bookmarkEnd w:id="8"/>
    </w:p>
    <w:p w14:paraId="4D8FC526">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1.满足《中华人民共和国政府采购法》第二十二条规定；</w:t>
      </w:r>
    </w:p>
    <w:p w14:paraId="24406D42">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（1）具有独立承担民事责任的能力；</w:t>
      </w:r>
    </w:p>
    <w:p w14:paraId="5B719BA7">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（2）具有良好的商业信誉和健全的财务会计制度；</w:t>
      </w:r>
    </w:p>
    <w:p w14:paraId="0A9CFCF3">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（3）具有履行合同所必需的设备和专业技术能力；</w:t>
      </w:r>
    </w:p>
    <w:p w14:paraId="181F0B77">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（4）有依法缴纳税收和社会保障资金的良好记录；</w:t>
      </w:r>
    </w:p>
    <w:p w14:paraId="2C6E5C05">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（5）参加政府采购活动前三年内，在经营活动中没有重大违法记录；</w:t>
      </w:r>
    </w:p>
    <w:p w14:paraId="763A44BD">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（6）法律、行政法规规定的其他条件。</w:t>
      </w:r>
    </w:p>
    <w:p w14:paraId="041A40BF">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highlight w:val="none"/>
        </w:rPr>
      </w:pPr>
      <w:bookmarkStart w:id="9" w:name="_Toc28359014"/>
      <w:bookmarkStart w:id="10" w:name="_Toc28359091"/>
      <w:r>
        <w:rPr>
          <w:rFonts w:hint="eastAsia" w:ascii="宋体" w:hAnsi="宋体" w:eastAsia="宋体" w:cs="宋体"/>
          <w:color w:val="auto"/>
          <w:sz w:val="24"/>
          <w:szCs w:val="24"/>
          <w:highlight w:val="none"/>
        </w:rPr>
        <w:t>2.落实政府采购政策需满足的资格要求：促进中小企业和监狱企业发展扶持政策、政府强制采购节能产品强制采购、节能产品及环境标志产品优先采购、促进残疾人就业政府采购政策。</w:t>
      </w:r>
    </w:p>
    <w:p w14:paraId="01FA9B05">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3.本项目的特定资格要求：</w:t>
      </w:r>
    </w:p>
    <w:p w14:paraId="0F0C1D47">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"http://www.creditchina.gov.cn/"</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www.creditchina.gov.cn</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lang w:val="en-US" w:eastAsia="zh-CN"/>
        </w:rPr>
        <w:t>重大税收违法失信主体</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失信被执行人</w:t>
      </w:r>
      <w:r>
        <w:rPr>
          <w:rFonts w:hint="eastAsia" w:ascii="宋体" w:hAnsi="宋体" w:eastAsia="宋体" w:cs="宋体"/>
          <w:color w:val="auto"/>
          <w:sz w:val="24"/>
          <w:szCs w:val="24"/>
          <w:highlight w:val="none"/>
          <w:lang w:eastAsia="zh-CN"/>
        </w:rPr>
        <w:t>”</w:t>
      </w:r>
      <w:r>
        <w:rPr>
          <w:rFonts w:hint="eastAsia" w:ascii="宋体" w:hAnsi="宋体" w:cs="宋体"/>
          <w:color w:val="auto"/>
          <w:sz w:val="24"/>
          <w:szCs w:val="24"/>
          <w:highlight w:val="none"/>
          <w:lang w:eastAsia="zh-CN"/>
        </w:rPr>
        <w:t>、“政府采购严重违法失信行为记录名单”</w:t>
      </w:r>
      <w:r>
        <w:rPr>
          <w:rFonts w:hint="eastAsia" w:ascii="宋体" w:hAnsi="宋体" w:eastAsia="宋体" w:cs="宋体"/>
          <w:color w:val="auto"/>
          <w:sz w:val="24"/>
          <w:szCs w:val="24"/>
          <w:highlight w:val="none"/>
        </w:rPr>
        <w:t>和“中国政府采购”网站(</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"http://www.ccgp.gov.cn/"</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www.ccgp.gov.cn</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)的“政府采购严重违法失信行为记录名单”的供应商，将拒绝其参加政府采购活动；在标书中附加盖公章的网页查询扫描件，查询日期为公告发布之日起至投标截止之日止。</w:t>
      </w:r>
    </w:p>
    <w:p w14:paraId="536CE747">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cs="宋体"/>
          <w:color w:val="auto"/>
          <w:sz w:val="24"/>
          <w:szCs w:val="24"/>
          <w:highlight w:val="none"/>
          <w:lang w:val="en-US" w:eastAsia="zh-CN"/>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lang w:val="en-US" w:eastAsia="zh-CN"/>
        </w:rPr>
        <w:t>须具有合法有效的营业执照，具备住房城乡建设主管部门颁发的下列①、②)资质:①市政行业(道路工程、排水工程)专业设计甲级资质或(市政行业(燃气工程、轨道交通工程除外)乙级及以上资质或市政行业设计乙级及以上资质，或工程设计综合甲级资质</w:t>
      </w:r>
      <w:r>
        <w:rPr>
          <w:rFonts w:hint="eastAsia" w:ascii="宋体" w:hAnsi="宋体" w:cs="宋体"/>
          <w:color w:val="auto"/>
          <w:sz w:val="24"/>
          <w:szCs w:val="24"/>
          <w:highlight w:val="none"/>
          <w:lang w:val="en-US" w:eastAsia="zh-CN"/>
        </w:rPr>
        <w:t>。</w:t>
      </w:r>
      <w:r>
        <w:rPr>
          <w:rFonts w:hint="eastAsia" w:ascii="宋体" w:hAnsi="宋体" w:eastAsia="宋体" w:cs="宋体"/>
          <w:color w:val="auto"/>
          <w:sz w:val="24"/>
          <w:szCs w:val="24"/>
          <w:highlight w:val="none"/>
          <w:lang w:val="en-US" w:eastAsia="zh-CN"/>
        </w:rPr>
        <w:t>②建筑行业(建筑工程)专业设计甲级资质或(建筑行业设计乙级及以上资质，或工程设计综合甲级资质)。拟派项目负责人须具有相关专业</w:t>
      </w:r>
      <w:r>
        <w:rPr>
          <w:rFonts w:hint="eastAsia" w:ascii="宋体" w:hAnsi="宋体" w:cs="宋体"/>
          <w:color w:val="auto"/>
          <w:sz w:val="24"/>
          <w:szCs w:val="24"/>
          <w:highlight w:val="none"/>
          <w:lang w:val="en-US" w:eastAsia="zh-CN"/>
        </w:rPr>
        <w:t>中</w:t>
      </w:r>
      <w:r>
        <w:rPr>
          <w:rFonts w:hint="eastAsia" w:ascii="宋体" w:hAnsi="宋体" w:eastAsia="宋体" w:cs="宋体"/>
          <w:color w:val="auto"/>
          <w:sz w:val="24"/>
          <w:szCs w:val="24"/>
          <w:highlight w:val="none"/>
          <w:lang w:val="en-US" w:eastAsia="zh-CN"/>
        </w:rPr>
        <w:t>级及以上职称</w:t>
      </w:r>
      <w:r>
        <w:rPr>
          <w:rFonts w:hint="eastAsia" w:ascii="宋体" w:hAnsi="宋体" w:cs="宋体"/>
          <w:color w:val="auto"/>
          <w:sz w:val="24"/>
          <w:szCs w:val="24"/>
          <w:highlight w:val="none"/>
          <w:lang w:val="en-US" w:eastAsia="zh-CN"/>
        </w:rPr>
        <w:t>，提供在本单位缴纳的近一年连续3个月社保证明(社保证明为社保部门出具的个人社保缴纳明细查询单。不足一个月的从入职当月起提供，退休人员需提供返聘证明)。</w:t>
      </w:r>
    </w:p>
    <w:p w14:paraId="3BA0E7D1">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highlight w:val="none"/>
        </w:rPr>
      </w:pPr>
      <w:bookmarkStart w:id="11" w:name="_Toc35393800"/>
      <w:bookmarkStart w:id="12" w:name="_Toc35393631"/>
      <w:r>
        <w:rPr>
          <w:rFonts w:hint="eastAsia" w:ascii="宋体" w:hAnsi="宋体" w:eastAsia="宋体" w:cs="宋体"/>
          <w:color w:val="auto"/>
          <w:sz w:val="24"/>
          <w:szCs w:val="24"/>
          <w:highlight w:val="none"/>
        </w:rPr>
        <w:t>三、获取采购文件</w:t>
      </w:r>
      <w:bookmarkEnd w:id="9"/>
      <w:bookmarkEnd w:id="10"/>
      <w:bookmarkEnd w:id="11"/>
      <w:bookmarkEnd w:id="12"/>
    </w:p>
    <w:p w14:paraId="2859A466">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1.时间：202</w:t>
      </w: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lang w:val="en-US" w:eastAsia="zh-CN"/>
        </w:rPr>
        <w:t>年</w:t>
      </w: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lang w:val="en-US" w:eastAsia="zh-CN"/>
        </w:rPr>
        <w:t>月</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日至202</w:t>
      </w: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lang w:val="en-US" w:eastAsia="zh-CN"/>
        </w:rPr>
        <w:t>年</w:t>
      </w: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lang w:val="en-US" w:eastAsia="zh-CN"/>
        </w:rPr>
        <w:t>月</w:t>
      </w: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lang w:val="en-US" w:eastAsia="zh-CN"/>
        </w:rPr>
        <w:t>日23:59</w:t>
      </w:r>
      <w:r>
        <w:rPr>
          <w:rFonts w:hint="eastAsia" w:ascii="宋体" w:hAnsi="宋体" w:cs="宋体"/>
          <w:color w:val="auto"/>
          <w:sz w:val="24"/>
          <w:szCs w:val="24"/>
          <w:highlight w:val="none"/>
          <w:lang w:val="en-US" w:eastAsia="zh-CN"/>
        </w:rPr>
        <w:t>分</w:t>
      </w:r>
      <w:r>
        <w:rPr>
          <w:rFonts w:hint="eastAsia" w:ascii="宋体" w:hAnsi="宋体" w:eastAsia="宋体" w:cs="宋体"/>
          <w:color w:val="auto"/>
          <w:sz w:val="24"/>
          <w:szCs w:val="24"/>
          <w:highlight w:val="none"/>
          <w:lang w:val="en-US" w:eastAsia="zh-CN"/>
        </w:rPr>
        <w:t>（北京时间，法定节假日除外。）</w:t>
      </w:r>
    </w:p>
    <w:p w14:paraId="35997EEF">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地点：周口市公共资源交易中心网（http://jyzx.zhoukou.gov.cn）</w:t>
      </w:r>
    </w:p>
    <w:p w14:paraId="58BF85FA">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方式：供应商请在网站自主注册后下载采购文件（zkzf格式）及资料，需办理CA数字证书后方可提交响应文件，具体办理事宜请查阅周口市公共资源交易中心网站。</w:t>
      </w:r>
    </w:p>
    <w:p w14:paraId="466F7704">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售价：</w:t>
      </w:r>
      <w:r>
        <w:rPr>
          <w:rFonts w:hint="eastAsia" w:ascii="宋体" w:hAnsi="宋体" w:eastAsia="宋体" w:cs="宋体"/>
          <w:color w:val="auto"/>
          <w:sz w:val="24"/>
          <w:szCs w:val="24"/>
          <w:highlight w:val="none"/>
          <w:lang w:val="en-US" w:eastAsia="zh-CN"/>
        </w:rPr>
        <w:t>0</w:t>
      </w:r>
    </w:p>
    <w:p w14:paraId="14CB3D87">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highlight w:val="none"/>
        </w:rPr>
      </w:pPr>
      <w:bookmarkStart w:id="13" w:name="_Toc35393632"/>
      <w:bookmarkStart w:id="14" w:name="_Toc28359092"/>
      <w:bookmarkStart w:id="15" w:name="_Toc35393801"/>
      <w:bookmarkStart w:id="16" w:name="_Toc28359015"/>
      <w:r>
        <w:rPr>
          <w:rFonts w:hint="eastAsia" w:ascii="宋体" w:hAnsi="宋体" w:eastAsia="宋体" w:cs="宋体"/>
          <w:color w:val="auto"/>
          <w:sz w:val="24"/>
          <w:szCs w:val="24"/>
          <w:highlight w:val="none"/>
        </w:rPr>
        <w:t>四、响应文件提交</w:t>
      </w:r>
      <w:bookmarkEnd w:id="13"/>
      <w:bookmarkEnd w:id="14"/>
      <w:bookmarkEnd w:id="15"/>
      <w:bookmarkEnd w:id="16"/>
    </w:p>
    <w:p w14:paraId="5744E6B7">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截止时间：</w:t>
      </w:r>
      <w:r>
        <w:rPr>
          <w:rFonts w:hint="eastAsia" w:ascii="宋体" w:hAnsi="宋体" w:eastAsia="宋体" w:cs="宋体"/>
          <w:color w:val="auto"/>
          <w:sz w:val="24"/>
          <w:szCs w:val="24"/>
          <w:highlight w:val="none"/>
          <w:lang w:val="en-US" w:eastAsia="zh-CN"/>
        </w:rPr>
        <w:t>202</w:t>
      </w: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lang w:val="en-US" w:eastAsia="zh-CN"/>
        </w:rPr>
        <w:t>年</w:t>
      </w: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lang w:val="en-US" w:eastAsia="zh-CN"/>
        </w:rPr>
        <w:t>月</w:t>
      </w:r>
      <w:r>
        <w:rPr>
          <w:rFonts w:hint="eastAsia" w:ascii="宋体" w:hAnsi="宋体" w:cs="宋体"/>
          <w:color w:val="auto"/>
          <w:sz w:val="24"/>
          <w:szCs w:val="24"/>
          <w:highlight w:val="none"/>
          <w:lang w:val="en-US" w:eastAsia="zh-CN"/>
        </w:rPr>
        <w:t>14</w:t>
      </w:r>
      <w:r>
        <w:rPr>
          <w:rFonts w:hint="eastAsia" w:ascii="宋体" w:hAnsi="宋体" w:eastAsia="宋体" w:cs="宋体"/>
          <w:color w:val="auto"/>
          <w:sz w:val="24"/>
          <w:szCs w:val="24"/>
          <w:highlight w:val="none"/>
          <w:lang w:val="en-US" w:eastAsia="zh-CN"/>
        </w:rPr>
        <w:t>日10时00分</w:t>
      </w:r>
      <w:r>
        <w:rPr>
          <w:rFonts w:hint="eastAsia" w:ascii="宋体" w:hAnsi="宋体" w:eastAsia="宋体" w:cs="宋体"/>
          <w:color w:val="auto"/>
          <w:sz w:val="24"/>
          <w:szCs w:val="24"/>
          <w:highlight w:val="none"/>
        </w:rPr>
        <w:t>（北京时间）</w:t>
      </w:r>
    </w:p>
    <w:p w14:paraId="28C9AB2A">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地点：加密电子响应文件须在投标截止时间前通过周口市公共资源交易中心网（网址http://jyzx.zhoukou.gov.cn）。</w:t>
      </w:r>
    </w:p>
    <w:p w14:paraId="6190E141">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highlight w:val="none"/>
        </w:rPr>
      </w:pPr>
      <w:bookmarkStart w:id="17" w:name="_Toc35393802"/>
      <w:bookmarkStart w:id="18" w:name="_Toc35393633"/>
      <w:bookmarkStart w:id="19" w:name="_Toc28359016"/>
      <w:bookmarkStart w:id="20" w:name="_Toc28359093"/>
      <w:r>
        <w:rPr>
          <w:rFonts w:hint="eastAsia" w:ascii="宋体" w:hAnsi="宋体" w:eastAsia="宋体" w:cs="宋体"/>
          <w:color w:val="auto"/>
          <w:sz w:val="24"/>
          <w:szCs w:val="24"/>
          <w:highlight w:val="none"/>
        </w:rPr>
        <w:t>五、</w:t>
      </w:r>
      <w:bookmarkEnd w:id="17"/>
      <w:bookmarkEnd w:id="18"/>
      <w:bookmarkEnd w:id="19"/>
      <w:bookmarkEnd w:id="20"/>
      <w:r>
        <w:rPr>
          <w:rFonts w:hint="eastAsia" w:ascii="宋体" w:hAnsi="宋体" w:eastAsia="宋体" w:cs="宋体"/>
          <w:color w:val="auto"/>
          <w:sz w:val="24"/>
          <w:szCs w:val="24"/>
          <w:highlight w:val="none"/>
        </w:rPr>
        <w:t>响应文件开启</w:t>
      </w:r>
    </w:p>
    <w:p w14:paraId="6AE50FBE">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时间：</w:t>
      </w:r>
      <w:r>
        <w:rPr>
          <w:rFonts w:hint="eastAsia" w:ascii="宋体" w:hAnsi="宋体" w:eastAsia="宋体" w:cs="宋体"/>
          <w:color w:val="auto"/>
          <w:sz w:val="24"/>
          <w:szCs w:val="24"/>
          <w:highlight w:val="none"/>
          <w:lang w:val="en-US" w:eastAsia="zh-CN"/>
        </w:rPr>
        <w:t>202</w:t>
      </w: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lang w:val="en-US" w:eastAsia="zh-CN"/>
        </w:rPr>
        <w:t>年</w:t>
      </w: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lang w:val="en-US" w:eastAsia="zh-CN"/>
        </w:rPr>
        <w:t>月</w:t>
      </w:r>
      <w:r>
        <w:rPr>
          <w:rFonts w:hint="eastAsia" w:ascii="宋体" w:hAnsi="宋体" w:cs="宋体"/>
          <w:color w:val="auto"/>
          <w:sz w:val="24"/>
          <w:szCs w:val="24"/>
          <w:highlight w:val="none"/>
          <w:lang w:val="en-US" w:eastAsia="zh-CN"/>
        </w:rPr>
        <w:t>14</w:t>
      </w:r>
      <w:r>
        <w:rPr>
          <w:rFonts w:hint="eastAsia" w:ascii="宋体" w:hAnsi="宋体" w:eastAsia="宋体" w:cs="宋体"/>
          <w:color w:val="auto"/>
          <w:sz w:val="24"/>
          <w:szCs w:val="24"/>
          <w:highlight w:val="none"/>
          <w:lang w:val="en-US" w:eastAsia="zh-CN"/>
        </w:rPr>
        <w:t>日10时00分</w:t>
      </w:r>
      <w:r>
        <w:rPr>
          <w:rFonts w:hint="eastAsia" w:ascii="宋体" w:hAnsi="宋体" w:eastAsia="宋体" w:cs="宋体"/>
          <w:color w:val="auto"/>
          <w:sz w:val="24"/>
          <w:szCs w:val="24"/>
          <w:highlight w:val="none"/>
        </w:rPr>
        <w:t>（北京时间）</w:t>
      </w:r>
    </w:p>
    <w:p w14:paraId="2982ECBA">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地点：周口市公共资源</w:t>
      </w:r>
      <w:r>
        <w:rPr>
          <w:rFonts w:hint="eastAsia" w:ascii="宋体" w:hAnsi="宋体" w:eastAsia="宋体" w:cs="宋体"/>
          <w:color w:val="auto"/>
          <w:sz w:val="24"/>
          <w:szCs w:val="24"/>
          <w:highlight w:val="none"/>
          <w:lang w:eastAsia="zh-CN"/>
        </w:rPr>
        <w:t>交易中心</w:t>
      </w:r>
      <w:r>
        <w:rPr>
          <w:rFonts w:hint="eastAsia" w:ascii="宋体" w:hAnsi="宋体" w:eastAsia="宋体" w:cs="宋体"/>
          <w:color w:val="auto"/>
          <w:sz w:val="24"/>
          <w:szCs w:val="24"/>
          <w:highlight w:val="none"/>
          <w:lang w:val="en-US" w:eastAsia="zh-CN"/>
        </w:rPr>
        <w:t>开标室</w:t>
      </w:r>
    </w:p>
    <w:p w14:paraId="4BF336DA">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六、发布公告的媒介及招标公告期限</w:t>
      </w:r>
    </w:p>
    <w:p w14:paraId="77AD024D">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highlight w:val="none"/>
        </w:rPr>
      </w:pPr>
      <w:bookmarkStart w:id="21" w:name="_Toc35393635"/>
      <w:bookmarkStart w:id="22" w:name="_Toc35393804"/>
      <w:r>
        <w:rPr>
          <w:rFonts w:hint="eastAsia" w:ascii="宋体" w:hAnsi="宋体" w:eastAsia="宋体" w:cs="宋体"/>
          <w:color w:val="auto"/>
          <w:sz w:val="24"/>
          <w:szCs w:val="24"/>
          <w:highlight w:val="none"/>
        </w:rPr>
        <w:t>本次招标公告在《河南省政府采购网》</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《周口市公共资源交易中心网》上发布，招标公告期限为三个工作日。</w:t>
      </w:r>
    </w:p>
    <w:p w14:paraId="65F98D80">
      <w:pPr>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七、</w:t>
      </w:r>
      <w:r>
        <w:rPr>
          <w:rFonts w:hint="eastAsia" w:ascii="宋体" w:hAnsi="宋体" w:eastAsia="宋体" w:cs="宋体"/>
          <w:color w:val="auto"/>
          <w:sz w:val="24"/>
          <w:szCs w:val="24"/>
          <w:highlight w:val="none"/>
        </w:rPr>
        <w:t>其他补充事宜</w:t>
      </w:r>
      <w:bookmarkEnd w:id="21"/>
      <w:bookmarkEnd w:id="22"/>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无</w:t>
      </w:r>
    </w:p>
    <w:p w14:paraId="5577A0DC">
      <w:pPr>
        <w:keepNext w:val="0"/>
        <w:keepLines w:val="0"/>
        <w:pageBreakBefore w:val="0"/>
        <w:widowControl w:val="0"/>
        <w:numPr>
          <w:ilvl w:val="0"/>
          <w:numId w:val="1"/>
        </w:numPr>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凡对本次招标提出询问，请按照以下方式联系</w:t>
      </w:r>
    </w:p>
    <w:p w14:paraId="0FCDDB4A">
      <w:pPr>
        <w:keepNext w:val="0"/>
        <w:keepLines w:val="0"/>
        <w:pageBreakBefore w:val="0"/>
        <w:widowControl w:val="0"/>
        <w:numPr>
          <w:ilvl w:val="0"/>
          <w:numId w:val="0"/>
        </w:numPr>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1.采购人信息</w:t>
      </w:r>
    </w:p>
    <w:p w14:paraId="47B57922">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名称：郸城县住房和城乡建设局</w:t>
      </w:r>
    </w:p>
    <w:p w14:paraId="27866340">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地址：</w:t>
      </w:r>
      <w:r>
        <w:rPr>
          <w:rFonts w:hint="eastAsia" w:ascii="宋体" w:hAnsi="宋体" w:eastAsia="宋体" w:cs="宋体"/>
          <w:color w:val="auto"/>
          <w:sz w:val="24"/>
          <w:szCs w:val="24"/>
          <w:highlight w:val="none"/>
          <w:lang w:val="en-US" w:eastAsia="zh-CN"/>
        </w:rPr>
        <w:t>郸城县</w:t>
      </w:r>
    </w:p>
    <w:p w14:paraId="16D1927D">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项目联系人：</w:t>
      </w:r>
      <w:r>
        <w:rPr>
          <w:rFonts w:hint="eastAsia" w:ascii="宋体" w:hAnsi="宋体" w:cs="宋体"/>
          <w:color w:val="auto"/>
          <w:sz w:val="24"/>
          <w:szCs w:val="24"/>
          <w:highlight w:val="none"/>
          <w:lang w:val="en-US" w:eastAsia="zh-CN"/>
        </w:rPr>
        <w:t xml:space="preserve">王宇   </w:t>
      </w:r>
      <w:r>
        <w:rPr>
          <w:rFonts w:hint="eastAsia" w:ascii="宋体" w:hAnsi="宋体" w:eastAsia="宋体" w:cs="宋体"/>
          <w:color w:val="auto"/>
          <w:sz w:val="24"/>
          <w:szCs w:val="24"/>
          <w:highlight w:val="none"/>
          <w:lang w:val="en-US" w:eastAsia="zh-CN"/>
        </w:rPr>
        <w:t xml:space="preserve">     </w:t>
      </w:r>
    </w:p>
    <w:p w14:paraId="58AED78F">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联系方式：</w:t>
      </w:r>
      <w:bookmarkStart w:id="23" w:name="_Toc28359009"/>
      <w:bookmarkStart w:id="24" w:name="_Toc28359086"/>
      <w:r>
        <w:rPr>
          <w:rFonts w:hint="eastAsia" w:ascii="宋体" w:hAnsi="宋体" w:cs="宋体"/>
          <w:color w:val="auto"/>
          <w:sz w:val="24"/>
          <w:szCs w:val="24"/>
          <w:highlight w:val="none"/>
          <w:lang w:val="en-US" w:eastAsia="zh-CN"/>
        </w:rPr>
        <w:t>13903948093</w:t>
      </w:r>
    </w:p>
    <w:p w14:paraId="5575733B">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2.采购代理机构信息</w:t>
      </w:r>
      <w:bookmarkEnd w:id="23"/>
      <w:bookmarkEnd w:id="24"/>
    </w:p>
    <w:p w14:paraId="61CA80FE">
      <w:pPr>
        <w:keepNext w:val="0"/>
        <w:keepLines w:val="0"/>
        <w:pageBreakBefore w:val="0"/>
        <w:widowControl w:val="0"/>
        <w:kinsoku/>
        <w:wordWrap/>
        <w:overflowPunct/>
        <w:topLinePunct w:val="0"/>
        <w:autoSpaceDE/>
        <w:autoSpaceDN/>
        <w:bidi w:val="0"/>
        <w:adjustRightInd/>
        <w:snapToGrid/>
        <w:spacing w:line="480" w:lineRule="exact"/>
        <w:ind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名称：周口市公共资源交易中心政府采购中心</w:t>
      </w:r>
    </w:p>
    <w:p w14:paraId="0C15CE0A">
      <w:pPr>
        <w:keepNext w:val="0"/>
        <w:keepLines w:val="0"/>
        <w:pageBreakBefore w:val="0"/>
        <w:widowControl w:val="0"/>
        <w:kinsoku/>
        <w:wordWrap/>
        <w:overflowPunct/>
        <w:topLinePunct w:val="0"/>
        <w:autoSpaceDE/>
        <w:autoSpaceDN/>
        <w:bidi w:val="0"/>
        <w:adjustRightInd/>
        <w:snapToGrid/>
        <w:spacing w:line="480" w:lineRule="exact"/>
        <w:ind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地址：周口市光明路与政通路交叉口</w:t>
      </w:r>
      <w:r>
        <w:rPr>
          <w:rFonts w:hint="eastAsia" w:ascii="宋体" w:hAnsi="宋体" w:eastAsia="宋体" w:cs="宋体"/>
          <w:color w:val="auto"/>
          <w:sz w:val="24"/>
          <w:szCs w:val="24"/>
          <w:highlight w:val="none"/>
          <w:lang w:val="en-US" w:eastAsia="zh-CN"/>
        </w:rPr>
        <w:t>向北100米路东</w:t>
      </w:r>
    </w:p>
    <w:p w14:paraId="09342E9B">
      <w:pPr>
        <w:keepNext w:val="0"/>
        <w:keepLines w:val="0"/>
        <w:pageBreakBefore w:val="0"/>
        <w:widowControl w:val="0"/>
        <w:kinsoku/>
        <w:wordWrap/>
        <w:overflowPunct/>
        <w:topLinePunct w:val="0"/>
        <w:autoSpaceDE/>
        <w:autoSpaceDN/>
        <w:bidi w:val="0"/>
        <w:adjustRightInd/>
        <w:snapToGrid/>
        <w:spacing w:line="480" w:lineRule="exact"/>
        <w:ind w:firstLine="240" w:firstLineChars="1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项目联系人：</w:t>
      </w:r>
      <w:r>
        <w:rPr>
          <w:rFonts w:hint="eastAsia" w:ascii="宋体" w:hAnsi="宋体" w:cs="宋体"/>
          <w:color w:val="auto"/>
          <w:sz w:val="24"/>
          <w:szCs w:val="24"/>
          <w:highlight w:val="none"/>
          <w:lang w:val="en-US" w:eastAsia="zh-CN"/>
        </w:rPr>
        <w:t>王硕</w:t>
      </w:r>
      <w:r>
        <w:rPr>
          <w:rFonts w:hint="eastAsia" w:ascii="宋体" w:hAnsi="宋体" w:eastAsia="宋体" w:cs="宋体"/>
          <w:color w:val="auto"/>
          <w:sz w:val="24"/>
          <w:szCs w:val="24"/>
          <w:highlight w:val="none"/>
          <w:lang w:val="en-US" w:eastAsia="zh-CN"/>
        </w:rPr>
        <w:t xml:space="preserve">          </w:t>
      </w:r>
    </w:p>
    <w:p w14:paraId="4FF6B140">
      <w:pPr>
        <w:keepNext w:val="0"/>
        <w:keepLines w:val="0"/>
        <w:pageBreakBefore w:val="0"/>
        <w:widowControl w:val="0"/>
        <w:kinsoku/>
        <w:wordWrap/>
        <w:overflowPunct/>
        <w:topLinePunct w:val="0"/>
        <w:autoSpaceDE/>
        <w:autoSpaceDN/>
        <w:bidi w:val="0"/>
        <w:adjustRightInd/>
        <w:snapToGrid/>
        <w:spacing w:line="480" w:lineRule="exact"/>
        <w:ind w:firstLine="240" w:firstLineChars="100"/>
        <w:textAlignment w:val="auto"/>
        <w:rPr>
          <w:rFonts w:hint="default"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rPr>
        <w:t>联系方式：</w:t>
      </w:r>
      <w:bookmarkStart w:id="25" w:name="_Toc28359010"/>
      <w:bookmarkStart w:id="26" w:name="_Toc28359087"/>
      <w:r>
        <w:rPr>
          <w:rFonts w:hint="eastAsia" w:ascii="宋体" w:hAnsi="宋体" w:eastAsia="宋体" w:cs="宋体"/>
          <w:color w:val="auto"/>
          <w:sz w:val="24"/>
          <w:szCs w:val="24"/>
          <w:highlight w:val="none"/>
          <w:lang w:val="en-US" w:eastAsia="zh-CN"/>
        </w:rPr>
        <w:t>0394-</w:t>
      </w:r>
      <w:r>
        <w:rPr>
          <w:rFonts w:hint="eastAsia" w:ascii="宋体" w:hAnsi="宋体" w:cs="宋体"/>
          <w:color w:val="auto"/>
          <w:sz w:val="24"/>
          <w:szCs w:val="24"/>
          <w:highlight w:val="none"/>
          <w:lang w:val="en-US" w:eastAsia="zh-CN"/>
        </w:rPr>
        <w:t>8106517、13525741688</w:t>
      </w:r>
    </w:p>
    <w:bookmarkEnd w:id="25"/>
    <w:bookmarkEnd w:id="26"/>
    <w:p w14:paraId="03983897">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3.监督单位：郸城县政府采购办</w:t>
      </w:r>
    </w:p>
    <w:p w14:paraId="49D2CCC6">
      <w:pPr>
        <w:keepNext w:val="0"/>
        <w:keepLines w:val="0"/>
        <w:pageBreakBefore w:val="0"/>
        <w:widowControl w:val="0"/>
        <w:kinsoku/>
        <w:wordWrap/>
        <w:overflowPunct/>
        <w:topLinePunct w:val="0"/>
        <w:autoSpaceDE/>
        <w:autoSpaceDN/>
        <w:bidi w:val="0"/>
        <w:adjustRightInd/>
        <w:snapToGrid/>
        <w:spacing w:line="480" w:lineRule="exact"/>
        <w:ind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联系方式：</w:t>
      </w:r>
      <w:r>
        <w:rPr>
          <w:rFonts w:hint="eastAsia" w:ascii="宋体" w:hAnsi="宋体" w:eastAsia="宋体" w:cs="宋体"/>
          <w:color w:val="auto"/>
          <w:sz w:val="24"/>
          <w:szCs w:val="24"/>
          <w:highlight w:val="none"/>
          <w:lang w:val="en-US" w:eastAsia="zh-CN"/>
        </w:rPr>
        <w:t>0394-3298829</w:t>
      </w:r>
    </w:p>
    <w:p w14:paraId="7477AA19">
      <w:pPr>
        <w:pStyle w:val="43"/>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color w:val="auto"/>
          <w:highlight w:val="none"/>
          <w:lang w:val="en-US" w:eastAsia="zh-CN"/>
        </w:rPr>
      </w:pPr>
    </w:p>
    <w:p w14:paraId="743568D0">
      <w:pPr>
        <w:keepNext w:val="0"/>
        <w:keepLines w:val="0"/>
        <w:pageBreakBefore w:val="0"/>
        <w:widowControl w:val="0"/>
        <w:kinsoku/>
        <w:wordWrap/>
        <w:overflowPunct/>
        <w:topLinePunct w:val="0"/>
        <w:autoSpaceDE/>
        <w:autoSpaceDN/>
        <w:bidi w:val="0"/>
        <w:adjustRightInd/>
        <w:snapToGrid/>
        <w:spacing w:line="480" w:lineRule="exact"/>
        <w:jc w:val="right"/>
        <w:textAlignment w:val="auto"/>
        <w:rPr>
          <w:rFonts w:hint="eastAsia" w:ascii="宋体" w:hAnsi="宋体" w:eastAsia="宋体" w:cs="宋体"/>
          <w:color w:val="auto"/>
          <w:sz w:val="24"/>
          <w:szCs w:val="24"/>
          <w:highlight w:val="none"/>
        </w:rPr>
      </w:pPr>
    </w:p>
    <w:p w14:paraId="02E96C7F">
      <w:pPr>
        <w:keepNext w:val="0"/>
        <w:keepLines w:val="0"/>
        <w:pageBreakBefore w:val="0"/>
        <w:widowControl w:val="0"/>
        <w:kinsoku/>
        <w:wordWrap/>
        <w:overflowPunct/>
        <w:topLinePunct w:val="0"/>
        <w:autoSpaceDE/>
        <w:autoSpaceDN/>
        <w:bidi w:val="0"/>
        <w:adjustRightInd/>
        <w:snapToGrid/>
        <w:spacing w:line="480" w:lineRule="exact"/>
        <w:jc w:val="right"/>
        <w:textAlignment w:val="auto"/>
        <w:rPr>
          <w:rFonts w:hint="eastAsia" w:ascii="宋体" w:hAnsi="宋体" w:eastAsia="宋体" w:cs="宋体"/>
          <w:color w:val="auto"/>
          <w:sz w:val="24"/>
          <w:szCs w:val="24"/>
          <w:highlight w:val="none"/>
        </w:rPr>
      </w:pPr>
    </w:p>
    <w:p w14:paraId="596BFBDA">
      <w:pPr>
        <w:keepNext w:val="0"/>
        <w:keepLines w:val="0"/>
        <w:pageBreakBefore w:val="0"/>
        <w:widowControl w:val="0"/>
        <w:kinsoku/>
        <w:wordWrap/>
        <w:overflowPunct/>
        <w:topLinePunct w:val="0"/>
        <w:autoSpaceDE/>
        <w:autoSpaceDN/>
        <w:bidi w:val="0"/>
        <w:adjustRightInd/>
        <w:snapToGrid/>
        <w:spacing w:line="480" w:lineRule="exact"/>
        <w:jc w:val="right"/>
        <w:textAlignment w:val="auto"/>
        <w:rPr>
          <w:rFonts w:hint="eastAsia" w:ascii="宋体" w:hAnsi="宋体" w:eastAsia="宋体" w:cs="宋体"/>
          <w:color w:val="auto"/>
          <w:sz w:val="24"/>
          <w:szCs w:val="24"/>
          <w:highlight w:val="none"/>
        </w:rPr>
      </w:pPr>
    </w:p>
    <w:p w14:paraId="6F5ABFED">
      <w:pPr>
        <w:keepNext w:val="0"/>
        <w:keepLines w:val="0"/>
        <w:pageBreakBefore w:val="0"/>
        <w:widowControl w:val="0"/>
        <w:kinsoku/>
        <w:wordWrap/>
        <w:overflowPunct/>
        <w:topLinePunct w:val="0"/>
        <w:autoSpaceDE/>
        <w:autoSpaceDN/>
        <w:bidi w:val="0"/>
        <w:adjustRightInd/>
        <w:snapToGrid/>
        <w:spacing w:line="480" w:lineRule="exact"/>
        <w:jc w:val="right"/>
        <w:textAlignment w:val="auto"/>
        <w:rPr>
          <w:rFonts w:hint="eastAsia" w:ascii="宋体" w:hAnsi="宋体" w:eastAsia="宋体" w:cs="宋体"/>
          <w:color w:val="auto"/>
          <w:sz w:val="24"/>
          <w:szCs w:val="24"/>
          <w:highlight w:val="none"/>
        </w:rPr>
      </w:pPr>
    </w:p>
    <w:p w14:paraId="6E4DEA07">
      <w:pPr>
        <w:keepNext w:val="0"/>
        <w:keepLines w:val="0"/>
        <w:pageBreakBefore w:val="0"/>
        <w:widowControl w:val="0"/>
        <w:kinsoku/>
        <w:wordWrap/>
        <w:overflowPunct/>
        <w:topLinePunct w:val="0"/>
        <w:autoSpaceDE/>
        <w:autoSpaceDN/>
        <w:bidi w:val="0"/>
        <w:adjustRightInd/>
        <w:snapToGrid/>
        <w:spacing w:line="480" w:lineRule="exact"/>
        <w:jc w:val="righ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周口市公共资源交易中心政府采购中心</w:t>
      </w:r>
    </w:p>
    <w:p w14:paraId="3AF75544">
      <w:pPr>
        <w:keepNext w:val="0"/>
        <w:keepLines w:val="0"/>
        <w:pageBreakBefore w:val="0"/>
        <w:widowControl w:val="0"/>
        <w:kinsoku/>
        <w:wordWrap/>
        <w:overflowPunct/>
        <w:topLinePunct w:val="0"/>
        <w:autoSpaceDE/>
        <w:autoSpaceDN/>
        <w:bidi w:val="0"/>
        <w:adjustRightInd/>
        <w:snapToGrid/>
        <w:spacing w:line="480" w:lineRule="exact"/>
        <w:ind w:firstLine="6240" w:firstLineChars="2600"/>
        <w:textAlignment w:val="auto"/>
        <w:rPr>
          <w:rFonts w:hint="default" w:eastAsia="宋体"/>
          <w:color w:val="auto"/>
          <w:highlight w:val="none"/>
          <w:lang w:val="en-US" w:eastAsia="zh-CN"/>
        </w:rPr>
      </w:pPr>
      <w:r>
        <w:rPr>
          <w:rFonts w:hint="eastAsia" w:ascii="宋体" w:hAnsi="宋体" w:cs="宋体"/>
          <w:color w:val="auto"/>
          <w:sz w:val="24"/>
          <w:szCs w:val="24"/>
          <w:highlight w:val="none"/>
          <w:lang w:val="en-US" w:eastAsia="zh-CN"/>
        </w:rPr>
        <w:t>2026</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2日</w:t>
      </w:r>
    </w:p>
    <w:p w14:paraId="59E5684A">
      <w:pPr>
        <w:numPr>
          <w:ilvl w:val="0"/>
          <w:numId w:val="2"/>
        </w:numPr>
        <w:jc w:val="center"/>
        <w:outlineLvl w:val="0"/>
        <w:rPr>
          <w:rFonts w:ascii="宋体" w:hAnsi="宋体" w:cs="宋体"/>
          <w:b/>
          <w:color w:val="auto"/>
          <w:sz w:val="32"/>
          <w:szCs w:val="32"/>
          <w:highlight w:val="none"/>
        </w:rPr>
      </w:pPr>
      <w:r>
        <w:rPr>
          <w:rFonts w:ascii="宋体" w:hAnsi="宋体" w:cs="宋体"/>
          <w:b/>
          <w:color w:val="auto"/>
          <w:sz w:val="32"/>
          <w:szCs w:val="32"/>
          <w:highlight w:val="none"/>
        </w:rPr>
        <w:br w:type="page"/>
      </w:r>
      <w:r>
        <w:rPr>
          <w:rFonts w:hint="eastAsia" w:ascii="宋体" w:hAnsi="宋体" w:cs="宋体"/>
          <w:b/>
          <w:color w:val="auto"/>
          <w:sz w:val="32"/>
          <w:szCs w:val="32"/>
          <w:highlight w:val="none"/>
          <w:lang w:val="en-US" w:eastAsia="zh-CN"/>
        </w:rPr>
        <w:t xml:space="preserve"> </w:t>
      </w:r>
      <w:bookmarkStart w:id="27" w:name="_Toc21762"/>
      <w:r>
        <w:rPr>
          <w:rFonts w:hint="eastAsia" w:ascii="宋体" w:hAnsi="宋体" w:cs="宋体"/>
          <w:b/>
          <w:color w:val="auto"/>
          <w:sz w:val="32"/>
          <w:szCs w:val="32"/>
          <w:highlight w:val="none"/>
        </w:rPr>
        <w:t>供应商须知</w:t>
      </w:r>
      <w:bookmarkEnd w:id="27"/>
    </w:p>
    <w:tbl>
      <w:tblPr>
        <w:tblStyle w:val="27"/>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4BBD515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0A317FEA">
            <w:pPr>
              <w:jc w:val="center"/>
              <w:rPr>
                <w:rFonts w:ascii="宋体" w:hAnsi="宋体"/>
                <w:color w:val="auto"/>
                <w:szCs w:val="21"/>
                <w:highlight w:val="none"/>
              </w:rPr>
            </w:pPr>
            <w:r>
              <w:rPr>
                <w:rFonts w:hint="eastAsia" w:ascii="宋体" w:hAnsi="宋体" w:cs="楷体_GB2312"/>
                <w:color w:val="auto"/>
                <w:sz w:val="32"/>
                <w:szCs w:val="32"/>
                <w:highlight w:val="none"/>
              </w:rPr>
              <w:t>供应商须知前附表</w:t>
            </w:r>
          </w:p>
        </w:tc>
      </w:tr>
      <w:tr w14:paraId="3A15870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2D70C552">
            <w:pPr>
              <w:spacing w:beforeLines="50"/>
              <w:jc w:val="center"/>
              <w:rPr>
                <w:rFonts w:ascii="宋体" w:hAnsi="宋体" w:cs="宋体"/>
                <w:color w:val="auto"/>
                <w:sz w:val="24"/>
                <w:highlight w:val="none"/>
              </w:rPr>
            </w:pPr>
            <w:r>
              <w:rPr>
                <w:rFonts w:hint="eastAsia" w:ascii="宋体" w:hAnsi="宋体" w:cs="宋体"/>
                <w:color w:val="auto"/>
                <w:sz w:val="24"/>
                <w:highlight w:val="none"/>
              </w:rPr>
              <w:t>序号</w:t>
            </w:r>
          </w:p>
        </w:tc>
        <w:tc>
          <w:tcPr>
            <w:tcW w:w="1995" w:type="dxa"/>
            <w:vAlign w:val="center"/>
          </w:tcPr>
          <w:p w14:paraId="6D8A6A54">
            <w:pPr>
              <w:spacing w:beforeLines="50"/>
              <w:jc w:val="center"/>
              <w:rPr>
                <w:rFonts w:ascii="宋体" w:hAnsi="宋体" w:cs="宋体"/>
                <w:color w:val="auto"/>
                <w:sz w:val="24"/>
                <w:highlight w:val="none"/>
              </w:rPr>
            </w:pPr>
            <w:r>
              <w:rPr>
                <w:rFonts w:hint="eastAsia" w:ascii="宋体" w:hAnsi="宋体" w:cs="宋体"/>
                <w:color w:val="auto"/>
                <w:sz w:val="24"/>
                <w:highlight w:val="none"/>
              </w:rPr>
              <w:t>条款</w:t>
            </w:r>
          </w:p>
        </w:tc>
        <w:tc>
          <w:tcPr>
            <w:tcW w:w="6615" w:type="dxa"/>
            <w:vAlign w:val="center"/>
          </w:tcPr>
          <w:p w14:paraId="46CC5D2C">
            <w:pPr>
              <w:rPr>
                <w:rFonts w:ascii="宋体" w:hAnsi="宋体" w:cs="宋体"/>
                <w:color w:val="auto"/>
                <w:sz w:val="24"/>
                <w:highlight w:val="none"/>
              </w:rPr>
            </w:pPr>
            <w:r>
              <w:rPr>
                <w:rFonts w:hint="eastAsia" w:ascii="宋体" w:hAnsi="宋体" w:cs="宋体"/>
                <w:color w:val="auto"/>
                <w:sz w:val="24"/>
                <w:highlight w:val="none"/>
              </w:rPr>
              <w:t>内  容</w:t>
            </w:r>
          </w:p>
        </w:tc>
      </w:tr>
      <w:tr w14:paraId="2C979C9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4C1EFAC0">
            <w:pPr>
              <w:numPr>
                <w:ilvl w:val="0"/>
                <w:numId w:val="3"/>
              </w:numPr>
              <w:spacing w:beforeLines="50"/>
              <w:jc w:val="center"/>
              <w:rPr>
                <w:rFonts w:ascii="宋体" w:hAnsi="宋体" w:cs="宋体"/>
                <w:color w:val="auto"/>
                <w:sz w:val="24"/>
                <w:highlight w:val="none"/>
              </w:rPr>
            </w:pPr>
          </w:p>
        </w:tc>
        <w:tc>
          <w:tcPr>
            <w:tcW w:w="1995" w:type="dxa"/>
            <w:vAlign w:val="center"/>
          </w:tcPr>
          <w:p w14:paraId="2925850B">
            <w:pPr>
              <w:jc w:val="center"/>
              <w:rPr>
                <w:rFonts w:ascii="宋体" w:hAnsi="宋体" w:cs="宋体"/>
                <w:color w:val="auto"/>
                <w:sz w:val="24"/>
                <w:highlight w:val="none"/>
              </w:rPr>
            </w:pPr>
            <w:r>
              <w:rPr>
                <w:rFonts w:hint="eastAsia" w:ascii="宋体" w:hAnsi="宋体" w:cs="宋体"/>
                <w:color w:val="auto"/>
                <w:sz w:val="24"/>
                <w:highlight w:val="none"/>
              </w:rPr>
              <w:t>项目概况</w:t>
            </w:r>
          </w:p>
        </w:tc>
        <w:tc>
          <w:tcPr>
            <w:tcW w:w="6615" w:type="dxa"/>
            <w:vAlign w:val="center"/>
          </w:tcPr>
          <w:p w14:paraId="48DFE25B">
            <w:pPr>
              <w:rPr>
                <w:rFonts w:ascii="宋体" w:hAnsi="宋体" w:cs="宋体"/>
                <w:color w:val="auto"/>
                <w:sz w:val="24"/>
                <w:highlight w:val="none"/>
              </w:rPr>
            </w:pPr>
            <w:r>
              <w:rPr>
                <w:rFonts w:hint="eastAsia" w:ascii="宋体" w:hAnsi="宋体" w:cs="宋体"/>
                <w:color w:val="auto"/>
                <w:sz w:val="24"/>
                <w:highlight w:val="none"/>
              </w:rPr>
              <w:t>项目名称：</w:t>
            </w:r>
            <w:r>
              <w:rPr>
                <w:rFonts w:hint="eastAsia" w:ascii="宋体" w:hAnsi="宋体" w:eastAsia="宋体" w:cs="宋体"/>
                <w:color w:val="auto"/>
                <w:sz w:val="24"/>
                <w:szCs w:val="24"/>
                <w:highlight w:val="none"/>
                <w:lang w:val="en-US" w:eastAsia="zh-CN"/>
              </w:rPr>
              <w:t>郸城县住房和城乡建设局关于郸城县新村社区等9个老旧社区排水防涝设施改造项目图纸设计的采购申请项目</w:t>
            </w:r>
          </w:p>
          <w:p w14:paraId="684C4BE8">
            <w:pPr>
              <w:rPr>
                <w:rFonts w:ascii="宋体" w:hAnsi="宋体" w:cs="宋体"/>
                <w:color w:val="auto"/>
                <w:sz w:val="24"/>
                <w:highlight w:val="none"/>
              </w:rPr>
            </w:pPr>
            <w:r>
              <w:rPr>
                <w:rFonts w:hint="eastAsia" w:ascii="宋体" w:hAnsi="宋体" w:cs="宋体"/>
                <w:color w:val="auto"/>
                <w:sz w:val="24"/>
                <w:highlight w:val="none"/>
              </w:rPr>
              <w:t>采购内容：</w:t>
            </w:r>
            <w:r>
              <w:rPr>
                <w:rFonts w:hint="eastAsia" w:ascii="宋体" w:hAnsi="宋体" w:eastAsia="宋体" w:cs="宋体"/>
                <w:color w:val="auto"/>
                <w:sz w:val="24"/>
                <w:szCs w:val="24"/>
                <w:highlight w:val="none"/>
                <w:lang w:val="en-US" w:eastAsia="zh-CN"/>
              </w:rPr>
              <w:t>郸城县住房和城乡建设局关于郸城县新村社区等9个老旧社区排水防涝设施改造项目图纸设计的采购申请项目</w:t>
            </w:r>
          </w:p>
          <w:p w14:paraId="2C0A9918">
            <w:pPr>
              <w:rPr>
                <w:rFonts w:ascii="宋体" w:hAnsi="宋体" w:cs="宋体"/>
                <w:color w:val="auto"/>
                <w:sz w:val="24"/>
                <w:highlight w:val="none"/>
              </w:rPr>
            </w:pPr>
            <w:r>
              <w:rPr>
                <w:rFonts w:hint="eastAsia" w:ascii="宋体" w:hAnsi="宋体" w:cs="宋体"/>
                <w:color w:val="auto"/>
                <w:sz w:val="24"/>
                <w:highlight w:val="none"/>
              </w:rPr>
              <w:t>采购人：</w:t>
            </w:r>
            <w:r>
              <w:rPr>
                <w:rFonts w:hint="eastAsia" w:ascii="宋体" w:hAnsi="宋体" w:eastAsia="宋体" w:cs="宋体"/>
                <w:color w:val="auto"/>
                <w:sz w:val="24"/>
                <w:szCs w:val="24"/>
                <w:highlight w:val="none"/>
              </w:rPr>
              <w:t>郸城县住房和城乡建设局</w:t>
            </w:r>
          </w:p>
          <w:p w14:paraId="5D41463C">
            <w:pPr>
              <w:rPr>
                <w:rFonts w:ascii="宋体" w:hAnsi="宋体" w:cs="宋体"/>
                <w:color w:val="auto"/>
                <w:sz w:val="24"/>
                <w:highlight w:val="none"/>
              </w:rPr>
            </w:pPr>
            <w:r>
              <w:rPr>
                <w:rFonts w:hint="eastAsia" w:ascii="宋体" w:hAnsi="宋体" w:cs="宋体"/>
                <w:color w:val="auto"/>
                <w:sz w:val="24"/>
                <w:highlight w:val="none"/>
              </w:rPr>
              <w:t>采购代理机构：周口市公共资源交易中心政府采购中心</w:t>
            </w:r>
          </w:p>
        </w:tc>
      </w:tr>
      <w:tr w14:paraId="743E241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trPr>
        <w:tc>
          <w:tcPr>
            <w:tcW w:w="735" w:type="dxa"/>
            <w:vAlign w:val="center"/>
          </w:tcPr>
          <w:p w14:paraId="18534C0B">
            <w:pPr>
              <w:numPr>
                <w:ilvl w:val="0"/>
                <w:numId w:val="3"/>
              </w:numPr>
              <w:spacing w:beforeLines="50"/>
              <w:jc w:val="center"/>
              <w:rPr>
                <w:rFonts w:ascii="宋体" w:hAnsi="宋体" w:cs="宋体"/>
                <w:color w:val="auto"/>
                <w:sz w:val="24"/>
                <w:highlight w:val="none"/>
              </w:rPr>
            </w:pPr>
          </w:p>
        </w:tc>
        <w:tc>
          <w:tcPr>
            <w:tcW w:w="1995" w:type="dxa"/>
            <w:vAlign w:val="center"/>
          </w:tcPr>
          <w:p w14:paraId="68CB18B2">
            <w:pPr>
              <w:spacing w:beforeLines="50"/>
              <w:ind w:left="-4" w:leftChars="-4" w:hanging="4" w:hangingChars="2"/>
              <w:jc w:val="center"/>
              <w:rPr>
                <w:rFonts w:ascii="宋体" w:hAnsi="宋体" w:cs="宋体"/>
                <w:color w:val="auto"/>
                <w:sz w:val="24"/>
                <w:highlight w:val="none"/>
              </w:rPr>
            </w:pPr>
            <w:r>
              <w:rPr>
                <w:rFonts w:hint="eastAsia" w:ascii="宋体" w:hAnsi="宋体" w:cs="宋体"/>
                <w:color w:val="auto"/>
                <w:sz w:val="24"/>
                <w:highlight w:val="none"/>
              </w:rPr>
              <w:t>对供应商的资格要求</w:t>
            </w:r>
          </w:p>
        </w:tc>
        <w:tc>
          <w:tcPr>
            <w:tcW w:w="6615" w:type="dxa"/>
            <w:vAlign w:val="center"/>
          </w:tcPr>
          <w:p w14:paraId="2A6EC522">
            <w:pPr>
              <w:spacing w:beforeLines="50"/>
              <w:ind w:left="-4" w:leftChars="-4" w:hanging="4" w:hangingChars="2"/>
              <w:rPr>
                <w:rFonts w:ascii="宋体" w:hAnsi="宋体" w:cs="宋体"/>
                <w:color w:val="auto"/>
                <w:sz w:val="24"/>
                <w:highlight w:val="none"/>
              </w:rPr>
            </w:pPr>
            <w:r>
              <w:rPr>
                <w:rFonts w:hint="eastAsia" w:ascii="宋体" w:hAnsi="宋体" w:cs="宋体"/>
                <w:color w:val="auto"/>
                <w:sz w:val="24"/>
                <w:highlight w:val="none"/>
              </w:rPr>
              <w:t>见竞争性磋商邀请函</w:t>
            </w:r>
          </w:p>
        </w:tc>
      </w:tr>
      <w:tr w14:paraId="236D2EE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3622137B">
            <w:pPr>
              <w:numPr>
                <w:ilvl w:val="0"/>
                <w:numId w:val="3"/>
              </w:numPr>
              <w:spacing w:beforeLines="50"/>
              <w:jc w:val="center"/>
              <w:rPr>
                <w:rFonts w:ascii="宋体" w:hAnsi="宋体" w:cs="宋体"/>
                <w:color w:val="auto"/>
                <w:sz w:val="24"/>
                <w:highlight w:val="none"/>
              </w:rPr>
            </w:pPr>
          </w:p>
        </w:tc>
        <w:tc>
          <w:tcPr>
            <w:tcW w:w="1995" w:type="dxa"/>
            <w:vAlign w:val="center"/>
          </w:tcPr>
          <w:p w14:paraId="4380C6D5">
            <w:pPr>
              <w:spacing w:beforeLines="50"/>
              <w:jc w:val="center"/>
              <w:rPr>
                <w:rFonts w:ascii="宋体" w:hAnsi="宋体" w:cs="宋体"/>
                <w:color w:val="auto"/>
                <w:sz w:val="24"/>
                <w:highlight w:val="none"/>
              </w:rPr>
            </w:pPr>
            <w:r>
              <w:rPr>
                <w:rFonts w:hint="eastAsia" w:ascii="宋体" w:hAnsi="宋体" w:cs="宋体"/>
                <w:color w:val="auto"/>
                <w:sz w:val="24"/>
                <w:highlight w:val="none"/>
              </w:rPr>
              <w:t>报价费用</w:t>
            </w:r>
          </w:p>
        </w:tc>
        <w:tc>
          <w:tcPr>
            <w:tcW w:w="6615" w:type="dxa"/>
            <w:vAlign w:val="center"/>
          </w:tcPr>
          <w:p w14:paraId="15F71EFB">
            <w:pPr>
              <w:rPr>
                <w:rFonts w:ascii="宋体" w:hAnsi="宋体" w:cs="宋体"/>
                <w:color w:val="auto"/>
                <w:sz w:val="24"/>
                <w:highlight w:val="none"/>
              </w:rPr>
            </w:pPr>
            <w:r>
              <w:rPr>
                <w:rFonts w:hint="eastAsia" w:ascii="宋体" w:hAnsi="宋体" w:cs="宋体"/>
                <w:color w:val="auto"/>
                <w:sz w:val="24"/>
                <w:highlight w:val="none"/>
              </w:rPr>
              <w:t>无论报价和磋商的过程和结果如何，供应商自行承担所有与参加报价及磋商有关活动的全部费用。</w:t>
            </w:r>
          </w:p>
        </w:tc>
      </w:tr>
      <w:tr w14:paraId="210EF7C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21EA28CF">
            <w:pPr>
              <w:numPr>
                <w:ilvl w:val="0"/>
                <w:numId w:val="3"/>
              </w:numPr>
              <w:spacing w:beforeLines="50"/>
              <w:rPr>
                <w:rFonts w:ascii="宋体" w:hAnsi="宋体" w:cs="宋体"/>
                <w:color w:val="auto"/>
                <w:sz w:val="24"/>
                <w:highlight w:val="none"/>
              </w:rPr>
            </w:pPr>
          </w:p>
        </w:tc>
        <w:tc>
          <w:tcPr>
            <w:tcW w:w="1995" w:type="dxa"/>
            <w:vAlign w:val="center"/>
          </w:tcPr>
          <w:p w14:paraId="087FAF58">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响应文件语言</w:t>
            </w:r>
          </w:p>
        </w:tc>
        <w:tc>
          <w:tcPr>
            <w:tcW w:w="6615" w:type="dxa"/>
            <w:vAlign w:val="center"/>
          </w:tcPr>
          <w:p w14:paraId="7D4701FA">
            <w:pPr>
              <w:snapToGrid w:val="0"/>
              <w:rPr>
                <w:rFonts w:ascii="宋体" w:hAnsi="宋体" w:cs="宋体"/>
                <w:color w:val="auto"/>
                <w:sz w:val="24"/>
                <w:highlight w:val="none"/>
              </w:rPr>
            </w:pPr>
            <w:r>
              <w:rPr>
                <w:rFonts w:hint="eastAsia" w:ascii="宋体" w:hAnsi="宋体" w:cs="宋体"/>
                <w:color w:val="auto"/>
                <w:sz w:val="24"/>
                <w:highlight w:val="none"/>
              </w:rPr>
              <w:t>中文</w:t>
            </w:r>
          </w:p>
        </w:tc>
      </w:tr>
      <w:tr w14:paraId="2AB26B4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65B44E26">
            <w:pPr>
              <w:numPr>
                <w:ilvl w:val="0"/>
                <w:numId w:val="3"/>
              </w:numPr>
              <w:spacing w:beforeLines="50"/>
              <w:rPr>
                <w:rFonts w:ascii="宋体" w:hAnsi="宋体" w:cs="宋体"/>
                <w:color w:val="auto"/>
                <w:sz w:val="24"/>
                <w:highlight w:val="none"/>
              </w:rPr>
            </w:pPr>
          </w:p>
        </w:tc>
        <w:tc>
          <w:tcPr>
            <w:tcW w:w="1995" w:type="dxa"/>
            <w:vAlign w:val="center"/>
          </w:tcPr>
          <w:p w14:paraId="71BA7E04">
            <w:pPr>
              <w:spacing w:beforeLines="50"/>
              <w:jc w:val="center"/>
              <w:rPr>
                <w:rFonts w:ascii="宋体" w:hAnsi="宋体" w:cs="宋体"/>
                <w:color w:val="auto"/>
                <w:sz w:val="24"/>
                <w:highlight w:val="none"/>
              </w:rPr>
            </w:pPr>
            <w:r>
              <w:rPr>
                <w:rFonts w:hint="eastAsia" w:ascii="宋体" w:hAnsi="宋体" w:cs="宋体"/>
                <w:color w:val="auto"/>
                <w:sz w:val="24"/>
                <w:highlight w:val="none"/>
              </w:rPr>
              <w:t>报价货币</w:t>
            </w:r>
          </w:p>
        </w:tc>
        <w:tc>
          <w:tcPr>
            <w:tcW w:w="6615" w:type="dxa"/>
            <w:vAlign w:val="center"/>
          </w:tcPr>
          <w:p w14:paraId="48D4AC93">
            <w:pPr>
              <w:rPr>
                <w:rFonts w:ascii="宋体" w:hAnsi="宋体" w:cs="宋体"/>
                <w:color w:val="auto"/>
                <w:sz w:val="24"/>
                <w:highlight w:val="none"/>
              </w:rPr>
            </w:pPr>
            <w:r>
              <w:rPr>
                <w:rFonts w:hint="eastAsia" w:ascii="宋体" w:hAnsi="宋体" w:cs="宋体"/>
                <w:color w:val="auto"/>
                <w:sz w:val="24"/>
                <w:highlight w:val="none"/>
              </w:rPr>
              <w:t>人民币</w:t>
            </w:r>
          </w:p>
        </w:tc>
      </w:tr>
      <w:tr w14:paraId="33F4CDE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0A883F4F">
            <w:pPr>
              <w:numPr>
                <w:ilvl w:val="0"/>
                <w:numId w:val="3"/>
              </w:numPr>
              <w:spacing w:beforeLines="50"/>
              <w:jc w:val="center"/>
              <w:rPr>
                <w:rFonts w:ascii="宋体" w:hAnsi="宋体" w:cs="宋体"/>
                <w:color w:val="auto"/>
                <w:sz w:val="24"/>
                <w:highlight w:val="none"/>
              </w:rPr>
            </w:pPr>
          </w:p>
        </w:tc>
        <w:tc>
          <w:tcPr>
            <w:tcW w:w="1995" w:type="dxa"/>
            <w:vAlign w:val="center"/>
          </w:tcPr>
          <w:p w14:paraId="3E26AD59">
            <w:pPr>
              <w:spacing w:beforeLines="50"/>
              <w:jc w:val="center"/>
              <w:rPr>
                <w:rFonts w:ascii="宋体" w:hAnsi="宋体" w:cs="宋体"/>
                <w:color w:val="auto"/>
                <w:sz w:val="24"/>
                <w:highlight w:val="none"/>
              </w:rPr>
            </w:pPr>
            <w:r>
              <w:rPr>
                <w:rFonts w:hint="eastAsia" w:ascii="宋体" w:hAnsi="宋体" w:cs="宋体"/>
                <w:color w:val="auto"/>
                <w:sz w:val="24"/>
                <w:highlight w:val="none"/>
              </w:rPr>
              <w:t>报价范围及说明</w:t>
            </w:r>
          </w:p>
        </w:tc>
        <w:tc>
          <w:tcPr>
            <w:tcW w:w="6615" w:type="dxa"/>
            <w:vAlign w:val="center"/>
          </w:tcPr>
          <w:p w14:paraId="28259F97">
            <w:pPr>
              <w:rPr>
                <w:rFonts w:ascii="宋体" w:hAnsi="宋体" w:cs="宋体"/>
                <w:color w:val="auto"/>
                <w:sz w:val="24"/>
                <w:highlight w:val="none"/>
              </w:rPr>
            </w:pPr>
            <w:r>
              <w:rPr>
                <w:rFonts w:hint="eastAsia" w:ascii="宋体" w:hAnsi="宋体" w:cs="宋体"/>
                <w:color w:val="auto"/>
                <w:sz w:val="24"/>
                <w:highlight w:val="none"/>
              </w:rPr>
              <w:t>报价包括本项目所招标的服务、保险、税费、验收等（采购项目技术规格、参数及要求）</w:t>
            </w:r>
          </w:p>
        </w:tc>
      </w:tr>
      <w:tr w14:paraId="78D1C9B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64DE233D">
            <w:pPr>
              <w:numPr>
                <w:ilvl w:val="0"/>
                <w:numId w:val="3"/>
              </w:numPr>
              <w:spacing w:beforeLines="50"/>
              <w:jc w:val="center"/>
              <w:rPr>
                <w:rFonts w:ascii="宋体" w:hAnsi="宋体" w:cs="宋体"/>
                <w:color w:val="auto"/>
                <w:sz w:val="24"/>
                <w:highlight w:val="none"/>
              </w:rPr>
            </w:pPr>
          </w:p>
        </w:tc>
        <w:tc>
          <w:tcPr>
            <w:tcW w:w="1995" w:type="dxa"/>
            <w:vAlign w:val="center"/>
          </w:tcPr>
          <w:p w14:paraId="375CE572">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响应文件有效期</w:t>
            </w:r>
          </w:p>
        </w:tc>
        <w:tc>
          <w:tcPr>
            <w:tcW w:w="6615" w:type="dxa"/>
            <w:vAlign w:val="center"/>
          </w:tcPr>
          <w:p w14:paraId="49E565AE">
            <w:pPr>
              <w:rPr>
                <w:rFonts w:ascii="宋体" w:hAnsi="宋体" w:cs="宋体"/>
                <w:color w:val="auto"/>
                <w:sz w:val="24"/>
                <w:highlight w:val="none"/>
              </w:rPr>
            </w:pPr>
            <w:r>
              <w:rPr>
                <w:rFonts w:hint="eastAsia" w:ascii="宋体" w:hAnsi="宋体" w:cs="宋体"/>
                <w:color w:val="auto"/>
                <w:sz w:val="24"/>
                <w:highlight w:val="none"/>
              </w:rPr>
              <w:t>响应文件递交截止期后60日内有效</w:t>
            </w:r>
          </w:p>
        </w:tc>
      </w:tr>
      <w:tr w14:paraId="7F87D58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16B8549C">
            <w:pPr>
              <w:numPr>
                <w:ilvl w:val="0"/>
                <w:numId w:val="3"/>
              </w:numPr>
              <w:spacing w:beforeLines="50"/>
              <w:jc w:val="center"/>
              <w:rPr>
                <w:rFonts w:ascii="宋体" w:hAnsi="宋体" w:cs="宋体"/>
                <w:color w:val="auto"/>
                <w:sz w:val="24"/>
                <w:highlight w:val="none"/>
              </w:rPr>
            </w:pPr>
          </w:p>
        </w:tc>
        <w:tc>
          <w:tcPr>
            <w:tcW w:w="1995" w:type="dxa"/>
            <w:vAlign w:val="center"/>
          </w:tcPr>
          <w:p w14:paraId="1648B896">
            <w:pPr>
              <w:tabs>
                <w:tab w:val="left" w:pos="8640"/>
              </w:tabs>
              <w:spacing w:beforeLines="50"/>
              <w:ind w:left="-2" w:leftChars="-1"/>
              <w:jc w:val="center"/>
              <w:rPr>
                <w:rFonts w:ascii="宋体" w:hAnsi="宋体" w:cs="宋体"/>
                <w:color w:val="auto"/>
                <w:sz w:val="24"/>
                <w:highlight w:val="none"/>
              </w:rPr>
            </w:pPr>
            <w:r>
              <w:rPr>
                <w:rFonts w:hint="eastAsia" w:ascii="宋体" w:hAnsi="宋体" w:cs="宋体"/>
                <w:color w:val="auto"/>
                <w:sz w:val="24"/>
                <w:highlight w:val="none"/>
              </w:rPr>
              <w:t>响应文件的组成</w:t>
            </w:r>
          </w:p>
        </w:tc>
        <w:tc>
          <w:tcPr>
            <w:tcW w:w="6615" w:type="dxa"/>
            <w:vAlign w:val="center"/>
          </w:tcPr>
          <w:p w14:paraId="0CA6B1F1">
            <w:pPr>
              <w:rPr>
                <w:rFonts w:ascii="宋体" w:hAnsi="宋体" w:cs="宋体"/>
                <w:color w:val="auto"/>
                <w:sz w:val="24"/>
                <w:highlight w:val="none"/>
              </w:rPr>
            </w:pPr>
            <w:r>
              <w:rPr>
                <w:rFonts w:hint="eastAsia" w:ascii="宋体" w:hAnsi="宋体" w:cs="宋体"/>
                <w:color w:val="auto"/>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1DECFBF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2E85AC18">
            <w:pPr>
              <w:numPr>
                <w:ilvl w:val="0"/>
                <w:numId w:val="3"/>
              </w:numPr>
              <w:spacing w:beforeLines="50"/>
              <w:jc w:val="center"/>
              <w:rPr>
                <w:rFonts w:ascii="宋体" w:hAnsi="宋体" w:cs="宋体"/>
                <w:color w:val="auto"/>
                <w:sz w:val="24"/>
                <w:highlight w:val="none"/>
              </w:rPr>
            </w:pPr>
          </w:p>
        </w:tc>
        <w:tc>
          <w:tcPr>
            <w:tcW w:w="1995" w:type="dxa"/>
            <w:vAlign w:val="center"/>
          </w:tcPr>
          <w:p w14:paraId="48FC1E3B">
            <w:pPr>
              <w:tabs>
                <w:tab w:val="left" w:pos="8640"/>
              </w:tabs>
              <w:spacing w:beforeLines="50"/>
              <w:ind w:left="-2" w:leftChars="-1"/>
              <w:jc w:val="center"/>
              <w:rPr>
                <w:rFonts w:ascii="宋体" w:hAnsi="宋体" w:cs="宋体"/>
                <w:color w:val="auto"/>
                <w:sz w:val="24"/>
                <w:highlight w:val="none"/>
              </w:rPr>
            </w:pPr>
            <w:r>
              <w:rPr>
                <w:rFonts w:hint="eastAsia" w:ascii="宋体" w:hAnsi="宋体" w:cs="宋体"/>
                <w:color w:val="auto"/>
                <w:sz w:val="24"/>
                <w:highlight w:val="none"/>
              </w:rPr>
              <w:t>响应文件封面要求</w:t>
            </w:r>
          </w:p>
        </w:tc>
        <w:tc>
          <w:tcPr>
            <w:tcW w:w="6615" w:type="dxa"/>
            <w:vAlign w:val="center"/>
          </w:tcPr>
          <w:p w14:paraId="23350E2E">
            <w:pPr>
              <w:tabs>
                <w:tab w:val="left" w:pos="8640"/>
              </w:tabs>
              <w:rPr>
                <w:rFonts w:hint="eastAsia" w:ascii="宋体" w:hAnsi="宋体" w:eastAsia="宋体" w:cs="宋体"/>
                <w:color w:val="auto"/>
                <w:sz w:val="24"/>
                <w:highlight w:val="none"/>
                <w:lang w:eastAsia="zh-CN"/>
              </w:rPr>
            </w:pPr>
            <w:r>
              <w:rPr>
                <w:rFonts w:hint="eastAsia" w:ascii="宋体" w:hAnsi="宋体" w:cs="宋体"/>
                <w:color w:val="auto"/>
                <w:sz w:val="24"/>
                <w:highlight w:val="none"/>
                <w:lang w:val="en-US" w:eastAsia="zh-CN"/>
              </w:rPr>
              <w:t>无</w:t>
            </w:r>
          </w:p>
        </w:tc>
      </w:tr>
      <w:tr w14:paraId="0FB9EC8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8421E7B">
            <w:pPr>
              <w:numPr>
                <w:ilvl w:val="0"/>
                <w:numId w:val="3"/>
              </w:numPr>
              <w:spacing w:beforeLines="50"/>
              <w:jc w:val="center"/>
              <w:rPr>
                <w:rFonts w:ascii="宋体" w:hAnsi="宋体" w:cs="宋体"/>
                <w:color w:val="auto"/>
                <w:sz w:val="24"/>
                <w:highlight w:val="none"/>
              </w:rPr>
            </w:pPr>
          </w:p>
        </w:tc>
        <w:tc>
          <w:tcPr>
            <w:tcW w:w="1995" w:type="dxa"/>
            <w:vAlign w:val="center"/>
          </w:tcPr>
          <w:p w14:paraId="50CDD518">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响应文件份数要求</w:t>
            </w:r>
          </w:p>
        </w:tc>
        <w:tc>
          <w:tcPr>
            <w:tcW w:w="6615" w:type="dxa"/>
            <w:vAlign w:val="center"/>
          </w:tcPr>
          <w:p w14:paraId="5FE20BB7">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加密的电子投标文件须在投标截止时间前成功上传</w:t>
            </w:r>
          </w:p>
        </w:tc>
      </w:tr>
      <w:tr w14:paraId="52C8345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6F658B3">
            <w:pPr>
              <w:numPr>
                <w:ilvl w:val="0"/>
                <w:numId w:val="3"/>
              </w:numPr>
              <w:spacing w:beforeLines="50"/>
              <w:jc w:val="center"/>
              <w:rPr>
                <w:rFonts w:ascii="宋体" w:hAnsi="宋体" w:cs="宋体"/>
                <w:color w:val="auto"/>
                <w:sz w:val="24"/>
                <w:highlight w:val="none"/>
              </w:rPr>
            </w:pPr>
          </w:p>
        </w:tc>
        <w:tc>
          <w:tcPr>
            <w:tcW w:w="1995" w:type="dxa"/>
            <w:vAlign w:val="center"/>
          </w:tcPr>
          <w:p w14:paraId="332FE323">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响应文件装订和密封要求</w:t>
            </w:r>
          </w:p>
        </w:tc>
        <w:tc>
          <w:tcPr>
            <w:tcW w:w="6615" w:type="dxa"/>
            <w:vAlign w:val="center"/>
          </w:tcPr>
          <w:p w14:paraId="531EB429">
            <w:pPr>
              <w:rPr>
                <w:rFonts w:ascii="宋体" w:hAnsi="宋体" w:cs="宋体"/>
                <w:color w:val="auto"/>
                <w:sz w:val="24"/>
                <w:highlight w:val="none"/>
              </w:rPr>
            </w:pPr>
            <w:r>
              <w:rPr>
                <w:rFonts w:hint="eastAsia" w:ascii="宋体" w:hAnsi="宋体" w:cs="宋体"/>
                <w:color w:val="auto"/>
                <w:sz w:val="24"/>
                <w:highlight w:val="none"/>
              </w:rPr>
              <w:t>无</w:t>
            </w:r>
          </w:p>
        </w:tc>
      </w:tr>
      <w:tr w14:paraId="60CCF95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085D019">
            <w:pPr>
              <w:numPr>
                <w:ilvl w:val="0"/>
                <w:numId w:val="3"/>
              </w:numPr>
              <w:spacing w:beforeLines="50"/>
              <w:jc w:val="center"/>
              <w:rPr>
                <w:rFonts w:ascii="宋体" w:hAnsi="宋体" w:cs="宋体"/>
                <w:color w:val="auto"/>
                <w:sz w:val="24"/>
                <w:highlight w:val="none"/>
              </w:rPr>
            </w:pPr>
          </w:p>
        </w:tc>
        <w:tc>
          <w:tcPr>
            <w:tcW w:w="1995" w:type="dxa"/>
            <w:vAlign w:val="center"/>
          </w:tcPr>
          <w:p w14:paraId="7C5FF0D8">
            <w:pPr>
              <w:spacing w:beforeLines="50"/>
              <w:jc w:val="center"/>
              <w:rPr>
                <w:rFonts w:ascii="宋体" w:hAnsi="宋体" w:cs="宋体"/>
                <w:color w:val="auto"/>
                <w:sz w:val="24"/>
                <w:highlight w:val="none"/>
              </w:rPr>
            </w:pPr>
            <w:r>
              <w:rPr>
                <w:rFonts w:hint="eastAsia" w:ascii="宋体" w:hAnsi="宋体" w:cs="宋体"/>
                <w:color w:val="auto"/>
                <w:sz w:val="24"/>
                <w:highlight w:val="none"/>
              </w:rPr>
              <w:t>竞争性磋商文件的澄清</w:t>
            </w:r>
          </w:p>
        </w:tc>
        <w:tc>
          <w:tcPr>
            <w:tcW w:w="6615" w:type="dxa"/>
            <w:vAlign w:val="center"/>
          </w:tcPr>
          <w:p w14:paraId="69F4D99A">
            <w:pPr>
              <w:rPr>
                <w:rFonts w:ascii="宋体" w:hAnsi="宋体" w:cs="宋体"/>
                <w:color w:val="auto"/>
                <w:sz w:val="24"/>
                <w:highlight w:val="none"/>
              </w:rPr>
            </w:pPr>
            <w:r>
              <w:rPr>
                <w:rFonts w:hint="eastAsia" w:ascii="宋体" w:hAnsi="宋体" w:cs="宋体"/>
                <w:color w:val="auto"/>
                <w:sz w:val="24"/>
                <w:highlight w:val="none"/>
              </w:rPr>
              <w:t>对竞争性磋商文件进行</w:t>
            </w:r>
            <w:r>
              <w:rPr>
                <w:rFonts w:hint="eastAsia" w:ascii="宋体" w:hAnsi="宋体" w:cs="宋体"/>
                <w:color w:val="auto"/>
                <w:sz w:val="24"/>
                <w:highlight w:val="none"/>
                <w:lang w:val="en-US" w:eastAsia="zh-CN"/>
              </w:rPr>
              <w:t>的</w:t>
            </w:r>
            <w:r>
              <w:rPr>
                <w:rFonts w:hint="eastAsia" w:ascii="宋体" w:hAnsi="宋体" w:cs="宋体"/>
                <w:color w:val="auto"/>
                <w:sz w:val="24"/>
                <w:highlight w:val="none"/>
              </w:rPr>
              <w:t>澄清，以</w:t>
            </w:r>
            <w:r>
              <w:rPr>
                <w:rFonts w:hint="eastAsia" w:ascii="宋体" w:hAnsi="宋体" w:cs="宋体"/>
                <w:color w:val="auto"/>
                <w:sz w:val="24"/>
                <w:highlight w:val="none"/>
                <w:lang w:val="en-US" w:eastAsia="zh-CN"/>
              </w:rPr>
              <w:t>网上公告的方式</w:t>
            </w:r>
            <w:r>
              <w:rPr>
                <w:rFonts w:hint="eastAsia" w:ascii="宋体" w:hAnsi="宋体" w:cs="宋体"/>
                <w:color w:val="auto"/>
                <w:sz w:val="24"/>
                <w:highlight w:val="none"/>
              </w:rPr>
              <w:t>通知</w:t>
            </w: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。澄清或修改的内容可能影响响应文件编制的，采购人、采购代理机构应当在提交响应文件截止时间至少5日前。</w:t>
            </w:r>
          </w:p>
        </w:tc>
      </w:tr>
      <w:tr w14:paraId="1431B84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59AE28A8">
            <w:pPr>
              <w:numPr>
                <w:ilvl w:val="0"/>
                <w:numId w:val="3"/>
              </w:numPr>
              <w:spacing w:beforeLines="50"/>
              <w:jc w:val="center"/>
              <w:rPr>
                <w:rFonts w:ascii="宋体" w:hAnsi="宋体" w:cs="宋体"/>
                <w:color w:val="auto"/>
                <w:sz w:val="24"/>
                <w:highlight w:val="none"/>
              </w:rPr>
            </w:pPr>
          </w:p>
        </w:tc>
        <w:tc>
          <w:tcPr>
            <w:tcW w:w="1995" w:type="dxa"/>
            <w:vAlign w:val="center"/>
          </w:tcPr>
          <w:p w14:paraId="61184411">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响应文件递交截止时间</w:t>
            </w:r>
          </w:p>
        </w:tc>
        <w:tc>
          <w:tcPr>
            <w:tcW w:w="6615" w:type="dxa"/>
            <w:vAlign w:val="center"/>
          </w:tcPr>
          <w:p w14:paraId="746CA254">
            <w:pPr>
              <w:rPr>
                <w:rFonts w:ascii="宋体" w:hAnsi="宋体" w:cs="宋体"/>
                <w:color w:val="auto"/>
                <w:sz w:val="24"/>
                <w:highlight w:val="none"/>
              </w:rPr>
            </w:pPr>
            <w:r>
              <w:rPr>
                <w:rFonts w:hint="eastAsia" w:ascii="宋体" w:hAnsi="宋体" w:eastAsia="宋体" w:cs="宋体"/>
                <w:color w:val="auto"/>
                <w:sz w:val="24"/>
                <w:szCs w:val="24"/>
                <w:highlight w:val="none"/>
                <w:lang w:val="en-US" w:eastAsia="zh-CN"/>
              </w:rPr>
              <w:t>202</w:t>
            </w: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lang w:val="en-US" w:eastAsia="zh-CN"/>
              </w:rPr>
              <w:t>年</w:t>
            </w: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lang w:val="en-US" w:eastAsia="zh-CN"/>
              </w:rPr>
              <w:t>月</w:t>
            </w:r>
            <w:r>
              <w:rPr>
                <w:rFonts w:hint="eastAsia" w:ascii="宋体" w:hAnsi="宋体" w:cs="宋体"/>
                <w:color w:val="auto"/>
                <w:sz w:val="24"/>
                <w:szCs w:val="24"/>
                <w:highlight w:val="none"/>
                <w:lang w:val="en-US" w:eastAsia="zh-CN"/>
              </w:rPr>
              <w:t>14</w:t>
            </w:r>
            <w:r>
              <w:rPr>
                <w:rFonts w:hint="eastAsia" w:ascii="宋体" w:hAnsi="宋体" w:eastAsia="宋体" w:cs="宋体"/>
                <w:color w:val="auto"/>
                <w:sz w:val="24"/>
                <w:szCs w:val="24"/>
                <w:highlight w:val="none"/>
                <w:lang w:val="en-US" w:eastAsia="zh-CN"/>
              </w:rPr>
              <w:t>日10时00分</w:t>
            </w:r>
            <w:r>
              <w:rPr>
                <w:rFonts w:hint="eastAsia" w:ascii="宋体" w:hAnsi="宋体" w:eastAsia="宋体" w:cs="宋体"/>
                <w:color w:val="auto"/>
                <w:sz w:val="24"/>
                <w:szCs w:val="24"/>
                <w:highlight w:val="none"/>
              </w:rPr>
              <w:t>（北京时间）</w:t>
            </w:r>
          </w:p>
        </w:tc>
      </w:tr>
      <w:tr w14:paraId="2651EF7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52058C3">
            <w:pPr>
              <w:numPr>
                <w:ilvl w:val="0"/>
                <w:numId w:val="3"/>
              </w:numPr>
              <w:spacing w:beforeLines="50"/>
              <w:jc w:val="center"/>
              <w:rPr>
                <w:rFonts w:ascii="宋体" w:hAnsi="宋体" w:cs="宋体"/>
                <w:color w:val="auto"/>
                <w:sz w:val="24"/>
                <w:highlight w:val="none"/>
              </w:rPr>
            </w:pPr>
          </w:p>
        </w:tc>
        <w:tc>
          <w:tcPr>
            <w:tcW w:w="1995" w:type="dxa"/>
            <w:vAlign w:val="center"/>
          </w:tcPr>
          <w:p w14:paraId="762B8BA2">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响应文件递交地点</w:t>
            </w:r>
          </w:p>
        </w:tc>
        <w:tc>
          <w:tcPr>
            <w:tcW w:w="6615" w:type="dxa"/>
            <w:vAlign w:val="center"/>
          </w:tcPr>
          <w:p w14:paraId="64B69601">
            <w:pPr>
              <w:rPr>
                <w:rFonts w:hint="eastAsia" w:ascii="宋体" w:hAnsi="宋体" w:eastAsia="宋体"/>
                <w:color w:val="auto"/>
                <w:sz w:val="24"/>
                <w:highlight w:val="none"/>
                <w:lang w:val="en-US" w:eastAsia="zh-CN"/>
              </w:rPr>
            </w:pPr>
            <w:r>
              <w:rPr>
                <w:rFonts w:hint="eastAsia" w:ascii="宋体" w:hAnsi="宋体"/>
                <w:color w:val="auto"/>
                <w:sz w:val="24"/>
                <w:highlight w:val="none"/>
              </w:rPr>
              <w:t>周口市公共资源交易中心</w:t>
            </w:r>
            <w:r>
              <w:rPr>
                <w:rFonts w:hint="eastAsia" w:ascii="宋体" w:hAnsi="宋体"/>
                <w:color w:val="auto"/>
                <w:sz w:val="24"/>
                <w:highlight w:val="none"/>
                <w:lang w:val="en-US" w:eastAsia="zh-CN"/>
              </w:rPr>
              <w:t>网</w:t>
            </w:r>
          </w:p>
          <w:p w14:paraId="34B6DD4E">
            <w:pPr>
              <w:rPr>
                <w:rFonts w:hint="eastAsia" w:ascii="宋体" w:hAnsi="宋体" w:cs="宋体" w:eastAsiaTheme="minorEastAsia"/>
                <w:color w:val="auto"/>
                <w:sz w:val="24"/>
                <w:szCs w:val="24"/>
                <w:highlight w:val="none"/>
                <w:lang w:val="en-US" w:eastAsia="zh-CN"/>
              </w:rPr>
            </w:pPr>
            <w:r>
              <w:rPr>
                <w:rFonts w:hint="eastAsia" w:ascii="宋体" w:hAnsi="宋体"/>
                <w:color w:val="auto"/>
                <w:sz w:val="24"/>
                <w:highlight w:val="none"/>
              </w:rPr>
              <w:t>网址：周口市公共资源电子交易服务平台会员系统（网址</w:t>
            </w:r>
            <w:r>
              <w:rPr>
                <w:rFonts w:hint="eastAsia" w:asciiTheme="minorEastAsia" w:hAnsiTheme="minorEastAsia" w:eastAsiaTheme="minorEastAsia"/>
                <w:color w:val="auto"/>
                <w:highlight w:val="none"/>
              </w:rPr>
              <w:t>http://jyzx.zhoukou.gov.cn</w:t>
            </w:r>
            <w:r>
              <w:rPr>
                <w:rFonts w:hint="eastAsia" w:asciiTheme="minorEastAsia" w:hAnsiTheme="minorEastAsia" w:eastAsiaTheme="minorEastAsia"/>
                <w:color w:val="auto"/>
                <w:highlight w:val="none"/>
                <w:lang w:eastAsia="zh-CN"/>
              </w:rPr>
              <w:t>）</w:t>
            </w:r>
          </w:p>
          <w:p w14:paraId="6E0FE976">
            <w:pPr>
              <w:spacing w:line="560" w:lineRule="exact"/>
              <w:rPr>
                <w:rFonts w:ascii="宋体" w:hAnsi="宋体" w:cs="宋体"/>
                <w:color w:val="auto"/>
                <w:sz w:val="24"/>
                <w:highlight w:val="none"/>
              </w:rPr>
            </w:pPr>
            <w:r>
              <w:rPr>
                <w:rFonts w:hint="eastAsia" w:ascii="宋体" w:hAnsi="宋体" w:eastAsia="宋体" w:cs="宋体"/>
                <w:color w:val="auto"/>
                <w:sz w:val="24"/>
                <w:szCs w:val="24"/>
                <w:highlight w:val="none"/>
              </w:rPr>
              <w:t>（本项目实行网上远程开标无须到现场提交响应文件）</w:t>
            </w:r>
          </w:p>
        </w:tc>
      </w:tr>
      <w:tr w14:paraId="454744D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744A0D94">
            <w:pPr>
              <w:numPr>
                <w:ilvl w:val="0"/>
                <w:numId w:val="3"/>
              </w:numPr>
              <w:spacing w:beforeLines="50"/>
              <w:jc w:val="center"/>
              <w:rPr>
                <w:rFonts w:ascii="宋体" w:hAnsi="宋体" w:cs="宋体"/>
                <w:color w:val="auto"/>
                <w:sz w:val="24"/>
                <w:highlight w:val="none"/>
              </w:rPr>
            </w:pPr>
          </w:p>
        </w:tc>
        <w:tc>
          <w:tcPr>
            <w:tcW w:w="1995" w:type="dxa"/>
            <w:vAlign w:val="center"/>
          </w:tcPr>
          <w:p w14:paraId="500BE09E">
            <w:pPr>
              <w:spacing w:beforeLines="50"/>
              <w:jc w:val="center"/>
              <w:rPr>
                <w:rFonts w:ascii="宋体" w:hAnsi="宋体" w:cs="宋体"/>
                <w:color w:val="auto"/>
                <w:sz w:val="24"/>
                <w:highlight w:val="none"/>
              </w:rPr>
            </w:pPr>
            <w:r>
              <w:rPr>
                <w:rFonts w:hint="eastAsia" w:ascii="宋体" w:hAnsi="宋体" w:cs="宋体"/>
                <w:color w:val="auto"/>
                <w:sz w:val="24"/>
                <w:highlight w:val="none"/>
              </w:rPr>
              <w:t>磋商时间</w:t>
            </w:r>
          </w:p>
        </w:tc>
        <w:tc>
          <w:tcPr>
            <w:tcW w:w="6615" w:type="dxa"/>
            <w:vAlign w:val="center"/>
          </w:tcPr>
          <w:p w14:paraId="55ED4C63">
            <w:pPr>
              <w:tabs>
                <w:tab w:val="left" w:pos="8640"/>
              </w:tabs>
              <w:rPr>
                <w:rFonts w:ascii="宋体" w:hAnsi="宋体" w:cs="宋体"/>
                <w:color w:val="auto"/>
                <w:sz w:val="24"/>
                <w:highlight w:val="none"/>
              </w:rPr>
            </w:pPr>
            <w:r>
              <w:rPr>
                <w:rFonts w:hint="eastAsia" w:ascii="宋体" w:hAnsi="宋体" w:eastAsia="宋体" w:cs="宋体"/>
                <w:color w:val="auto"/>
                <w:sz w:val="24"/>
                <w:szCs w:val="24"/>
                <w:highlight w:val="none"/>
                <w:lang w:val="en-US" w:eastAsia="zh-CN"/>
              </w:rPr>
              <w:t>202</w:t>
            </w: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lang w:val="en-US" w:eastAsia="zh-CN"/>
              </w:rPr>
              <w:t>年</w:t>
            </w: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lang w:val="en-US" w:eastAsia="zh-CN"/>
              </w:rPr>
              <w:t>月</w:t>
            </w:r>
            <w:r>
              <w:rPr>
                <w:rFonts w:hint="eastAsia" w:ascii="宋体" w:hAnsi="宋体" w:cs="宋体"/>
                <w:color w:val="auto"/>
                <w:sz w:val="24"/>
                <w:szCs w:val="24"/>
                <w:highlight w:val="none"/>
                <w:lang w:val="en-US" w:eastAsia="zh-CN"/>
              </w:rPr>
              <w:t>14</w:t>
            </w:r>
            <w:r>
              <w:rPr>
                <w:rFonts w:hint="eastAsia" w:ascii="宋体" w:hAnsi="宋体" w:eastAsia="宋体" w:cs="宋体"/>
                <w:color w:val="auto"/>
                <w:sz w:val="24"/>
                <w:szCs w:val="24"/>
                <w:highlight w:val="none"/>
                <w:lang w:val="en-US" w:eastAsia="zh-CN"/>
              </w:rPr>
              <w:t>日10时00分</w:t>
            </w:r>
            <w:r>
              <w:rPr>
                <w:rFonts w:hint="eastAsia" w:ascii="宋体" w:hAnsi="宋体" w:eastAsia="宋体" w:cs="宋体"/>
                <w:color w:val="auto"/>
                <w:sz w:val="24"/>
                <w:szCs w:val="24"/>
                <w:highlight w:val="none"/>
              </w:rPr>
              <w:t>（北京时间）</w:t>
            </w:r>
          </w:p>
        </w:tc>
      </w:tr>
      <w:tr w14:paraId="3C8AC22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67C34015">
            <w:pPr>
              <w:numPr>
                <w:ilvl w:val="0"/>
                <w:numId w:val="3"/>
              </w:numPr>
              <w:spacing w:beforeLines="50"/>
              <w:jc w:val="center"/>
              <w:rPr>
                <w:rFonts w:ascii="宋体" w:hAnsi="宋体" w:cs="宋体"/>
                <w:color w:val="auto"/>
                <w:sz w:val="24"/>
                <w:highlight w:val="none"/>
              </w:rPr>
            </w:pPr>
          </w:p>
        </w:tc>
        <w:tc>
          <w:tcPr>
            <w:tcW w:w="1995" w:type="dxa"/>
            <w:vAlign w:val="center"/>
          </w:tcPr>
          <w:p w14:paraId="6529BC00">
            <w:pPr>
              <w:spacing w:beforeLines="50"/>
              <w:jc w:val="center"/>
              <w:rPr>
                <w:rFonts w:ascii="宋体" w:hAnsi="宋体" w:cs="宋体"/>
                <w:color w:val="auto"/>
                <w:sz w:val="24"/>
                <w:highlight w:val="none"/>
              </w:rPr>
            </w:pPr>
            <w:r>
              <w:rPr>
                <w:rFonts w:hint="eastAsia" w:ascii="宋体" w:hAnsi="宋体" w:cs="宋体"/>
                <w:color w:val="auto"/>
                <w:sz w:val="24"/>
                <w:highlight w:val="none"/>
              </w:rPr>
              <w:t>磋商程序和内容</w:t>
            </w:r>
          </w:p>
        </w:tc>
        <w:tc>
          <w:tcPr>
            <w:tcW w:w="6615" w:type="dxa"/>
            <w:vAlign w:val="center"/>
          </w:tcPr>
          <w:p w14:paraId="7E05198A">
            <w:pPr>
              <w:tabs>
                <w:tab w:val="left" w:pos="8640"/>
              </w:tabs>
              <w:rPr>
                <w:rFonts w:ascii="宋体" w:hAnsi="宋体" w:cs="宋体"/>
                <w:color w:val="auto"/>
                <w:sz w:val="24"/>
                <w:highlight w:val="none"/>
              </w:rPr>
            </w:pPr>
            <w:r>
              <w:rPr>
                <w:rFonts w:hint="eastAsia" w:ascii="宋体" w:hAnsi="宋体" w:cs="宋体"/>
                <w:color w:val="auto"/>
                <w:sz w:val="24"/>
                <w:highlight w:val="none"/>
              </w:rPr>
              <w:t>详见磋商文件第二章</w:t>
            </w:r>
          </w:p>
        </w:tc>
      </w:tr>
      <w:tr w14:paraId="23CC752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5F9BC77F">
            <w:pPr>
              <w:numPr>
                <w:ilvl w:val="0"/>
                <w:numId w:val="3"/>
              </w:numPr>
              <w:spacing w:beforeLines="50"/>
              <w:jc w:val="center"/>
              <w:rPr>
                <w:rFonts w:ascii="宋体" w:hAnsi="宋体" w:cs="宋体"/>
                <w:color w:val="auto"/>
                <w:sz w:val="24"/>
                <w:highlight w:val="none"/>
              </w:rPr>
            </w:pPr>
          </w:p>
        </w:tc>
        <w:tc>
          <w:tcPr>
            <w:tcW w:w="1995" w:type="dxa"/>
            <w:vAlign w:val="center"/>
          </w:tcPr>
          <w:p w14:paraId="441D6EAE">
            <w:pPr>
              <w:spacing w:beforeLines="50"/>
              <w:jc w:val="center"/>
              <w:rPr>
                <w:rFonts w:ascii="宋体" w:hAnsi="宋体" w:cs="宋体"/>
                <w:color w:val="auto"/>
                <w:sz w:val="24"/>
                <w:highlight w:val="none"/>
              </w:rPr>
            </w:pPr>
            <w:r>
              <w:rPr>
                <w:rFonts w:hint="eastAsia" w:ascii="宋体" w:hAnsi="宋体" w:cs="宋体"/>
                <w:color w:val="auto"/>
                <w:sz w:val="24"/>
                <w:highlight w:val="none"/>
              </w:rPr>
              <w:t>授予合同</w:t>
            </w:r>
          </w:p>
        </w:tc>
        <w:tc>
          <w:tcPr>
            <w:tcW w:w="6615" w:type="dxa"/>
            <w:vAlign w:val="center"/>
          </w:tcPr>
          <w:p w14:paraId="06A975E0">
            <w:pPr>
              <w:tabs>
                <w:tab w:val="left" w:pos="8640"/>
              </w:tabs>
              <w:jc w:val="left"/>
              <w:rPr>
                <w:rFonts w:ascii="宋体" w:hAnsi="宋体" w:cs="宋体"/>
                <w:color w:val="auto"/>
                <w:sz w:val="24"/>
                <w:highlight w:val="none"/>
              </w:rPr>
            </w:pPr>
            <w:r>
              <w:rPr>
                <w:rFonts w:hint="eastAsia" w:ascii="宋体" w:hAnsi="宋体" w:cs="宋体"/>
                <w:color w:val="auto"/>
                <w:sz w:val="24"/>
                <w:highlight w:val="none"/>
              </w:rPr>
              <w:t>采购人根据磋商小组的推荐意见，确定成交供应商。采购代理机构向成交供应商发出成交通知书。</w:t>
            </w:r>
          </w:p>
        </w:tc>
      </w:tr>
      <w:tr w14:paraId="78DB5E8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43B39E12">
            <w:pPr>
              <w:numPr>
                <w:ilvl w:val="0"/>
                <w:numId w:val="3"/>
              </w:numPr>
              <w:spacing w:beforeLines="50"/>
              <w:jc w:val="center"/>
              <w:rPr>
                <w:rFonts w:ascii="宋体" w:hAnsi="宋体" w:cs="宋体"/>
                <w:color w:val="auto"/>
                <w:sz w:val="24"/>
                <w:highlight w:val="none"/>
              </w:rPr>
            </w:pPr>
          </w:p>
        </w:tc>
        <w:tc>
          <w:tcPr>
            <w:tcW w:w="1995" w:type="dxa"/>
            <w:vAlign w:val="center"/>
          </w:tcPr>
          <w:p w14:paraId="142A052B">
            <w:pPr>
              <w:spacing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签订合同</w:t>
            </w:r>
          </w:p>
        </w:tc>
        <w:tc>
          <w:tcPr>
            <w:tcW w:w="6615" w:type="dxa"/>
            <w:vAlign w:val="center"/>
          </w:tcPr>
          <w:p w14:paraId="17BD3167">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1）接到成交通知书30天内，成交供应商应与采购人签订采购合同。</w:t>
            </w:r>
          </w:p>
          <w:p w14:paraId="523658C9">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2）本磋商文件、响应文件及磋商、评审过程中有关澄清、承诺文件的内容，将作为签订合同的主要内容。</w:t>
            </w:r>
          </w:p>
        </w:tc>
      </w:tr>
      <w:tr w14:paraId="5142782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AF23991">
            <w:pPr>
              <w:numPr>
                <w:ilvl w:val="0"/>
                <w:numId w:val="3"/>
              </w:numPr>
              <w:spacing w:beforeLines="50"/>
              <w:jc w:val="center"/>
              <w:rPr>
                <w:rFonts w:ascii="宋体" w:hAnsi="宋体" w:cs="宋体"/>
                <w:color w:val="auto"/>
                <w:sz w:val="24"/>
                <w:highlight w:val="none"/>
              </w:rPr>
            </w:pPr>
          </w:p>
        </w:tc>
        <w:tc>
          <w:tcPr>
            <w:tcW w:w="1995" w:type="dxa"/>
            <w:vAlign w:val="center"/>
          </w:tcPr>
          <w:p w14:paraId="7FF741D5">
            <w:pPr>
              <w:spacing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投标保证金</w:t>
            </w:r>
          </w:p>
        </w:tc>
        <w:tc>
          <w:tcPr>
            <w:tcW w:w="6615" w:type="dxa"/>
            <w:vAlign w:val="center"/>
          </w:tcPr>
          <w:p w14:paraId="22836F45">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本项目不需要交纳投标保证金</w:t>
            </w:r>
          </w:p>
        </w:tc>
      </w:tr>
      <w:tr w14:paraId="2337261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2C99B1B7">
            <w:pPr>
              <w:numPr>
                <w:ilvl w:val="0"/>
                <w:numId w:val="3"/>
              </w:numPr>
              <w:spacing w:beforeLines="50"/>
              <w:jc w:val="center"/>
              <w:rPr>
                <w:rFonts w:ascii="宋体" w:hAnsi="宋体" w:cs="宋体"/>
                <w:color w:val="auto"/>
                <w:sz w:val="24"/>
                <w:highlight w:val="none"/>
              </w:rPr>
            </w:pPr>
          </w:p>
        </w:tc>
        <w:tc>
          <w:tcPr>
            <w:tcW w:w="1995" w:type="dxa"/>
            <w:vAlign w:val="center"/>
          </w:tcPr>
          <w:p w14:paraId="6183FEA3">
            <w:pPr>
              <w:jc w:val="center"/>
              <w:rPr>
                <w:rFonts w:ascii="宋体" w:hAnsi="宋体" w:cs="宋体"/>
                <w:color w:val="auto"/>
                <w:sz w:val="24"/>
                <w:highlight w:val="none"/>
              </w:rPr>
            </w:pPr>
            <w:r>
              <w:rPr>
                <w:rFonts w:hint="eastAsia" w:ascii="宋体" w:hAnsi="宋体" w:cs="宋体"/>
                <w:color w:val="auto"/>
                <w:sz w:val="24"/>
                <w:highlight w:val="none"/>
              </w:rPr>
              <w:t>服务期限</w:t>
            </w:r>
          </w:p>
        </w:tc>
        <w:tc>
          <w:tcPr>
            <w:tcW w:w="6615" w:type="dxa"/>
            <w:vAlign w:val="center"/>
          </w:tcPr>
          <w:p w14:paraId="6530AD78">
            <w:pPr>
              <w:jc w:val="left"/>
              <w:rPr>
                <w:rFonts w:ascii="宋体" w:hAnsi="宋体" w:cs="宋体"/>
                <w:color w:val="auto"/>
                <w:sz w:val="24"/>
                <w:highlight w:val="none"/>
              </w:rPr>
            </w:pPr>
            <w:r>
              <w:rPr>
                <w:rFonts w:hint="eastAsia" w:ascii="宋体" w:hAnsi="宋体" w:cs="宋体"/>
                <w:color w:val="auto"/>
                <w:sz w:val="24"/>
                <w:highlight w:val="none"/>
                <w:lang w:val="en-US" w:eastAsia="zh-CN"/>
              </w:rPr>
              <w:t>合同签订后30日历天完成</w:t>
            </w:r>
          </w:p>
        </w:tc>
      </w:tr>
      <w:tr w14:paraId="0084AC9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5BBE449C">
            <w:pPr>
              <w:numPr>
                <w:ilvl w:val="0"/>
                <w:numId w:val="3"/>
              </w:numPr>
              <w:spacing w:beforeLines="50"/>
              <w:jc w:val="center"/>
              <w:rPr>
                <w:rFonts w:ascii="宋体" w:hAnsi="宋体" w:cs="宋体"/>
                <w:color w:val="auto"/>
                <w:sz w:val="24"/>
                <w:highlight w:val="none"/>
              </w:rPr>
            </w:pPr>
          </w:p>
        </w:tc>
        <w:tc>
          <w:tcPr>
            <w:tcW w:w="1995" w:type="dxa"/>
            <w:vAlign w:val="center"/>
          </w:tcPr>
          <w:p w14:paraId="708EDDB8">
            <w:pPr>
              <w:spacing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付款方式</w:t>
            </w:r>
          </w:p>
        </w:tc>
        <w:tc>
          <w:tcPr>
            <w:tcW w:w="6615" w:type="dxa"/>
            <w:vAlign w:val="center"/>
          </w:tcPr>
          <w:p w14:paraId="5FEE0A3F">
            <w:pPr>
              <w:tabs>
                <w:tab w:val="left" w:pos="8640"/>
              </w:tabs>
              <w:jc w:val="left"/>
              <w:rPr>
                <w:rFonts w:ascii="宋体" w:hAnsi="宋体" w:cs="宋体"/>
                <w:color w:val="auto"/>
                <w:sz w:val="24"/>
                <w:highlight w:val="none"/>
              </w:rPr>
            </w:pPr>
            <w:r>
              <w:rPr>
                <w:rFonts w:hint="eastAsia" w:ascii="宋体" w:hAnsi="宋体" w:cs="宋体"/>
                <w:color w:val="auto"/>
                <w:sz w:val="24"/>
                <w:highlight w:val="none"/>
                <w:lang w:val="en-US" w:eastAsia="zh-CN"/>
              </w:rPr>
              <w:t>验收合格后付款100%</w:t>
            </w:r>
          </w:p>
        </w:tc>
      </w:tr>
      <w:tr w14:paraId="335EAA3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397C40E5">
            <w:pPr>
              <w:numPr>
                <w:ilvl w:val="0"/>
                <w:numId w:val="3"/>
              </w:numPr>
              <w:spacing w:beforeLines="50"/>
              <w:jc w:val="center"/>
              <w:rPr>
                <w:rFonts w:ascii="宋体" w:hAnsi="宋体" w:cs="宋体"/>
                <w:color w:val="auto"/>
                <w:sz w:val="24"/>
                <w:highlight w:val="none"/>
              </w:rPr>
            </w:pPr>
          </w:p>
        </w:tc>
        <w:tc>
          <w:tcPr>
            <w:tcW w:w="1995" w:type="dxa"/>
            <w:vAlign w:val="center"/>
          </w:tcPr>
          <w:p w14:paraId="6E8D8081">
            <w:pPr>
              <w:spacing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勘察现场</w:t>
            </w:r>
          </w:p>
        </w:tc>
        <w:tc>
          <w:tcPr>
            <w:tcW w:w="6615" w:type="dxa"/>
            <w:vAlign w:val="center"/>
          </w:tcPr>
          <w:p w14:paraId="378DB253">
            <w:pPr>
              <w:tabs>
                <w:tab w:val="left" w:pos="8640"/>
              </w:tabs>
              <w:jc w:val="left"/>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不组织</w:t>
            </w:r>
          </w:p>
        </w:tc>
      </w:tr>
      <w:tr w14:paraId="555C4F2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026D050B">
            <w:pPr>
              <w:numPr>
                <w:ilvl w:val="0"/>
                <w:numId w:val="3"/>
              </w:numPr>
              <w:spacing w:beforeLines="50"/>
              <w:jc w:val="center"/>
              <w:rPr>
                <w:rFonts w:ascii="宋体" w:hAnsi="宋体" w:cs="宋体"/>
                <w:color w:val="auto"/>
                <w:sz w:val="24"/>
                <w:highlight w:val="none"/>
              </w:rPr>
            </w:pPr>
          </w:p>
        </w:tc>
        <w:tc>
          <w:tcPr>
            <w:tcW w:w="1995" w:type="dxa"/>
            <w:vAlign w:val="center"/>
          </w:tcPr>
          <w:p w14:paraId="33B485F6">
            <w:pPr>
              <w:spacing w:beforeLines="50"/>
              <w:ind w:firstLine="14" w:firstLineChars="6"/>
              <w:jc w:val="center"/>
              <w:rPr>
                <w:rFonts w:hint="default" w:ascii="宋体" w:hAnsi="宋体" w:eastAsia="宋体" w:cs="宋体"/>
                <w:b/>
                <w:bCs/>
                <w:color w:val="auto"/>
                <w:sz w:val="24"/>
                <w:highlight w:val="none"/>
                <w:lang w:val="en-US" w:eastAsia="zh-CN"/>
              </w:rPr>
            </w:pPr>
            <w:r>
              <w:rPr>
                <w:rFonts w:hint="eastAsia" w:ascii="宋体" w:hAnsi="宋体" w:cs="宋体"/>
                <w:b/>
                <w:bCs/>
                <w:color w:val="auto"/>
                <w:sz w:val="24"/>
                <w:highlight w:val="none"/>
                <w:lang w:val="en-US" w:eastAsia="zh-CN"/>
              </w:rPr>
              <w:t>报价</w:t>
            </w:r>
          </w:p>
        </w:tc>
        <w:tc>
          <w:tcPr>
            <w:tcW w:w="6615" w:type="dxa"/>
            <w:vAlign w:val="center"/>
          </w:tcPr>
          <w:p w14:paraId="059524EF">
            <w:pPr>
              <w:tabs>
                <w:tab w:val="left" w:pos="8640"/>
              </w:tabs>
              <w:jc w:val="left"/>
              <w:rPr>
                <w:rFonts w:hint="default" w:ascii="宋体" w:hAnsi="宋体" w:eastAsia="宋体" w:cs="宋体"/>
                <w:b/>
                <w:bCs/>
                <w:color w:val="auto"/>
                <w:sz w:val="24"/>
                <w:highlight w:val="none"/>
                <w:u w:val="single"/>
                <w:lang w:val="en-US" w:eastAsia="zh-CN"/>
              </w:rPr>
            </w:pPr>
            <w:r>
              <w:rPr>
                <w:rFonts w:hint="eastAsia" w:ascii="宋体" w:hAnsi="宋体" w:cs="宋体"/>
                <w:b/>
                <w:bCs/>
                <w:color w:val="auto"/>
                <w:sz w:val="24"/>
                <w:highlight w:val="none"/>
                <w:lang w:val="en-US" w:eastAsia="zh-CN"/>
              </w:rPr>
              <w:t>一次报价</w:t>
            </w:r>
          </w:p>
        </w:tc>
      </w:tr>
      <w:tr w14:paraId="6E95F81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24825106">
            <w:pPr>
              <w:numPr>
                <w:ilvl w:val="0"/>
                <w:numId w:val="3"/>
              </w:numPr>
              <w:spacing w:beforeLines="50"/>
              <w:jc w:val="center"/>
              <w:rPr>
                <w:rFonts w:ascii="宋体" w:hAnsi="宋体" w:cs="宋体"/>
                <w:color w:val="auto"/>
                <w:sz w:val="24"/>
                <w:highlight w:val="none"/>
              </w:rPr>
            </w:pPr>
          </w:p>
        </w:tc>
        <w:tc>
          <w:tcPr>
            <w:tcW w:w="1995" w:type="dxa"/>
            <w:vAlign w:val="center"/>
          </w:tcPr>
          <w:p w14:paraId="60FAEFB7">
            <w:pPr>
              <w:spacing w:beforeLines="50"/>
              <w:ind w:firstLine="14" w:firstLineChars="6"/>
              <w:jc w:val="center"/>
              <w:rPr>
                <w:rFonts w:hint="eastAsia" w:ascii="宋体" w:hAnsi="宋体" w:cs="宋体"/>
                <w:b/>
                <w:bCs/>
                <w:color w:val="auto"/>
                <w:sz w:val="24"/>
                <w:highlight w:val="none"/>
                <w:lang w:val="en-US" w:eastAsia="zh-CN"/>
              </w:rPr>
            </w:pPr>
            <w:r>
              <w:rPr>
                <w:rFonts w:hint="eastAsia" w:ascii="宋体" w:hAnsi="宋体" w:cs="宋体"/>
                <w:b/>
                <w:bCs/>
                <w:color w:val="auto"/>
                <w:sz w:val="24"/>
                <w:szCs w:val="24"/>
                <w:highlight w:val="none"/>
                <w:lang w:val="en-US" w:eastAsia="zh-CN"/>
              </w:rPr>
              <w:t>行业分类</w:t>
            </w:r>
          </w:p>
        </w:tc>
        <w:tc>
          <w:tcPr>
            <w:tcW w:w="6615" w:type="dxa"/>
            <w:vAlign w:val="center"/>
          </w:tcPr>
          <w:p w14:paraId="20877317">
            <w:pPr>
              <w:tabs>
                <w:tab w:val="left" w:pos="8640"/>
              </w:tabs>
              <w:jc w:val="left"/>
              <w:rPr>
                <w:rFonts w:hint="default" w:ascii="宋体" w:hAnsi="宋体" w:cs="宋体"/>
                <w:b/>
                <w:bCs/>
                <w:color w:val="auto"/>
                <w:sz w:val="24"/>
                <w:highlight w:val="none"/>
                <w:lang w:val="en-US" w:eastAsia="zh-CN"/>
              </w:rPr>
            </w:pPr>
            <w:r>
              <w:rPr>
                <w:rFonts w:hint="eastAsia" w:ascii="宋体" w:hAnsi="宋体" w:cs="宋体"/>
                <w:b/>
                <w:bCs/>
                <w:color w:val="auto"/>
                <w:sz w:val="24"/>
                <w:szCs w:val="24"/>
                <w:highlight w:val="none"/>
                <w:lang w:val="en-US" w:eastAsia="zh-CN"/>
              </w:rPr>
              <w:t>本项目所属行业：建筑业</w:t>
            </w:r>
          </w:p>
        </w:tc>
      </w:tr>
    </w:tbl>
    <w:p w14:paraId="2EE62E65">
      <w:pPr>
        <w:rPr>
          <w:rFonts w:hint="eastAsia" w:ascii="宋体" w:hAnsi="宋体" w:cs="宋体"/>
          <w:b/>
          <w:color w:val="auto"/>
          <w:sz w:val="30"/>
          <w:szCs w:val="30"/>
          <w:highlight w:val="none"/>
        </w:rPr>
      </w:pPr>
      <w:r>
        <w:rPr>
          <w:rFonts w:hint="eastAsia" w:ascii="宋体" w:hAnsi="宋体" w:cs="宋体"/>
          <w:b/>
          <w:color w:val="auto"/>
          <w:sz w:val="30"/>
          <w:szCs w:val="30"/>
          <w:highlight w:val="none"/>
        </w:rPr>
        <w:br w:type="page"/>
      </w:r>
    </w:p>
    <w:p w14:paraId="131ECFD6">
      <w:pPr>
        <w:spacing w:line="720" w:lineRule="auto"/>
        <w:jc w:val="center"/>
        <w:rPr>
          <w:rFonts w:ascii="宋体" w:hAnsi="宋体" w:cs="宋体"/>
          <w:b/>
          <w:color w:val="auto"/>
          <w:sz w:val="30"/>
          <w:szCs w:val="30"/>
          <w:highlight w:val="none"/>
        </w:rPr>
      </w:pPr>
      <w:r>
        <w:rPr>
          <w:rFonts w:hint="eastAsia" w:ascii="宋体" w:hAnsi="宋体" w:cs="宋体"/>
          <w:b/>
          <w:color w:val="auto"/>
          <w:sz w:val="30"/>
          <w:szCs w:val="30"/>
          <w:highlight w:val="none"/>
        </w:rPr>
        <w:t>一、总则</w:t>
      </w:r>
    </w:p>
    <w:p w14:paraId="0FE13F2B">
      <w:pPr>
        <w:spacing w:line="560" w:lineRule="exact"/>
        <w:ind w:firstLine="482" w:firstLineChars="200"/>
        <w:rPr>
          <w:rFonts w:ascii="宋体" w:hAnsi="宋体" w:cs="宋体"/>
          <w:color w:val="auto"/>
          <w:sz w:val="24"/>
          <w:highlight w:val="none"/>
        </w:rPr>
      </w:pPr>
      <w:r>
        <w:rPr>
          <w:rFonts w:hint="eastAsia" w:ascii="宋体" w:hAnsi="宋体" w:cs="宋体"/>
          <w:b/>
          <w:color w:val="auto"/>
          <w:sz w:val="24"/>
          <w:highlight w:val="none"/>
        </w:rPr>
        <w:t>1．适用范围</w:t>
      </w:r>
    </w:p>
    <w:p w14:paraId="5454468B">
      <w:pPr>
        <w:spacing w:line="560" w:lineRule="exact"/>
        <w:ind w:firstLine="480" w:firstLineChars="200"/>
        <w:rPr>
          <w:rFonts w:ascii="宋体" w:hAnsi="宋体" w:cs="宋体"/>
          <w:bCs/>
          <w:color w:val="auto"/>
          <w:sz w:val="24"/>
          <w:highlight w:val="none"/>
        </w:rPr>
      </w:pPr>
      <w:r>
        <w:rPr>
          <w:rFonts w:hint="eastAsia" w:ascii="宋体" w:hAnsi="宋体" w:cs="宋体"/>
          <w:color w:val="auto"/>
          <w:sz w:val="24"/>
          <w:highlight w:val="none"/>
        </w:rPr>
        <w:t>1.1本竞争性磋商文件仅适用于本次竞争性磋商邀请函中所述</w:t>
      </w:r>
      <w:r>
        <w:rPr>
          <w:rFonts w:hint="eastAsia" w:ascii="宋体" w:hAnsi="宋体" w:cs="宋体"/>
          <w:bCs/>
          <w:color w:val="auto"/>
          <w:sz w:val="24"/>
          <w:highlight w:val="none"/>
        </w:rPr>
        <w:t>项目。</w:t>
      </w:r>
    </w:p>
    <w:p w14:paraId="542B2EDF">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2．定义</w:t>
      </w:r>
    </w:p>
    <w:p w14:paraId="7BE9EEA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2.1“采购代理机构”：周口市公共资源交易中心政府采购中心。</w:t>
      </w:r>
    </w:p>
    <w:p w14:paraId="62257D05">
      <w:pPr>
        <w:tabs>
          <w:tab w:val="left" w:pos="0"/>
        </w:tabs>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2.2“采购人”：郸城县住房和城乡建设局</w:t>
      </w:r>
    </w:p>
    <w:p w14:paraId="40F6474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2.3“供应商”系指按竞争性磋商文件规定取得竞争性磋商文件并参加竞争性磋商活动的法人、其他组织或者自然人。</w:t>
      </w:r>
    </w:p>
    <w:p w14:paraId="79860F8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2.4“供应商代表”：系指代表供应商参加本次竞争性磋商活动的供应商的法定代表人或其委托代理人。</w:t>
      </w:r>
    </w:p>
    <w:p w14:paraId="278C051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2.5“服务”：系指本项目所采购的服务及其他要求等。</w:t>
      </w:r>
    </w:p>
    <w:p w14:paraId="0E8368F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2.6“法定代表人”系指法人单位（企业）法人营业执照（或事业法人登记证书上）上注明的法定代表人；如为其他组织或个体经营者参加竞争性磋商会的，指营业执照上注明的负责人或经营者。</w:t>
      </w:r>
    </w:p>
    <w:p w14:paraId="232EFB9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2.7“重大违法记录”系指供应商因违法经营受到刑事处罚或者责令停产停业、吊销许可证或者执照、较大数额罚款等行政处罚。</w:t>
      </w:r>
      <w:r>
        <w:rPr>
          <w:rFonts w:hint="eastAsia" w:ascii="宋体" w:hAnsi="宋体" w:eastAsia="宋体" w:cs="宋体"/>
          <w:color w:val="auto"/>
          <w:sz w:val="24"/>
          <w:highlight w:val="none"/>
          <w:lang w:val="en-US" w:eastAsia="zh-CN"/>
        </w:rPr>
        <w:t>供应商应在响应文件中承诺未被纳入重大税收违法失信主体名单且未存在不诚信记录，如若实际情况与供应商承诺内容不一致，一经查实将取消其中标资格。</w:t>
      </w:r>
    </w:p>
    <w:p w14:paraId="1086568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2.8“不具备良好的商业信誉”是指：</w:t>
      </w:r>
    </w:p>
    <w:p w14:paraId="24DFC84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（1）有重大违法记录的（满三年的除外）；</w:t>
      </w:r>
    </w:p>
    <w:p w14:paraId="3075BB0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（2）被各级财政部门列入政府采购严重违法失信行为信息记录的（期限已满的除外）；</w:t>
      </w:r>
    </w:p>
    <w:p w14:paraId="1F5CCDE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（3）被各级政府采购监督管理部门禁止在一定期限内参加政府采购活动等处罚的（期限已满的除外）；</w:t>
      </w:r>
    </w:p>
    <w:p w14:paraId="73E590F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（4）被各级法院列入失信名单的（已依法解除的除外）；</w:t>
      </w:r>
    </w:p>
    <w:p w14:paraId="02CB29B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（5）法律法规规定的其他情形。</w:t>
      </w:r>
    </w:p>
    <w:p w14:paraId="49767C71">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3.采购预算</w:t>
      </w:r>
    </w:p>
    <w:p w14:paraId="4A10FF5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3.1本次采购预算：见公告。</w:t>
      </w:r>
    </w:p>
    <w:p w14:paraId="3D3C296C">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4.合格的供应商</w:t>
      </w:r>
    </w:p>
    <w:p w14:paraId="2CD8F4A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4.1.1符合供应商资格条件（详见第一部分供应商资格条件）</w:t>
      </w:r>
    </w:p>
    <w:p w14:paraId="678F8564">
      <w:pPr>
        <w:widowControl/>
        <w:spacing w:line="360" w:lineRule="auto"/>
        <w:ind w:firstLine="480" w:firstLineChars="2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4.1.2参加政府采购活动前三年内，在经营活动中没有重大违法记录的声明函；</w:t>
      </w:r>
    </w:p>
    <w:p w14:paraId="3854D559">
      <w:pPr>
        <w:widowControl/>
        <w:spacing w:line="360" w:lineRule="auto"/>
        <w:ind w:firstLine="480" w:firstLineChars="2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4.1.3 政府采购供应商诚信承诺书；</w:t>
      </w:r>
    </w:p>
    <w:p w14:paraId="2F368C95">
      <w:pPr>
        <w:pStyle w:val="79"/>
        <w:spacing w:line="360" w:lineRule="auto"/>
        <w:ind w:firstLine="480" w:firstLineChars="200"/>
        <w:rPr>
          <w:rFonts w:hAnsi="宋体" w:eastAsia="宋体"/>
          <w:color w:val="auto"/>
          <w:sz w:val="24"/>
          <w:highlight w:val="none"/>
        </w:rPr>
      </w:pPr>
      <w:r>
        <w:rPr>
          <w:rFonts w:hint="eastAsia" w:hAnsi="宋体" w:eastAsia="宋体"/>
          <w:color w:val="auto"/>
          <w:sz w:val="24"/>
          <w:highlight w:val="none"/>
        </w:rPr>
        <w:t>4.</w:t>
      </w:r>
      <w:r>
        <w:rPr>
          <w:rFonts w:hint="eastAsia" w:hAnsi="宋体" w:eastAsia="宋体"/>
          <w:color w:val="auto"/>
          <w:sz w:val="24"/>
          <w:highlight w:val="none"/>
          <w:lang w:val="en-US"/>
        </w:rPr>
        <w:t>1.4 供应商</w:t>
      </w:r>
      <w:r>
        <w:rPr>
          <w:rFonts w:hint="eastAsia" w:hAnsi="宋体" w:eastAsia="宋体"/>
          <w:color w:val="auto"/>
          <w:sz w:val="24"/>
          <w:highlight w:val="none"/>
        </w:rPr>
        <w:t>自觉抵制政府采购领域商业贿赂行为承诺书；</w:t>
      </w:r>
    </w:p>
    <w:p w14:paraId="52D21C13">
      <w:pPr>
        <w:spacing w:line="360" w:lineRule="auto"/>
        <w:ind w:firstLine="480" w:firstLineChars="2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4.2 </w:t>
      </w:r>
      <w:r>
        <w:rPr>
          <w:rFonts w:hint="eastAsia" w:ascii="宋体" w:hAnsi="宋体" w:cs="宋体"/>
          <w:color w:val="auto"/>
          <w:kern w:val="0"/>
          <w:sz w:val="24"/>
          <w:highlight w:val="none"/>
        </w:rPr>
        <w:t>供应商需提供售后服务体系与承诺</w:t>
      </w:r>
      <w:r>
        <w:rPr>
          <w:rFonts w:hint="eastAsia" w:ascii="宋体" w:hAnsi="宋体" w:cs="宋体"/>
          <w:color w:val="auto"/>
          <w:kern w:val="0"/>
          <w:sz w:val="24"/>
          <w:highlight w:val="none"/>
          <w:lang w:val="zh-CN"/>
        </w:rPr>
        <w:t>。</w:t>
      </w:r>
    </w:p>
    <w:p w14:paraId="53358D5E">
      <w:pPr>
        <w:pStyle w:val="79"/>
        <w:spacing w:line="360" w:lineRule="auto"/>
        <w:ind w:firstLine="480" w:firstLineChars="200"/>
        <w:rPr>
          <w:rFonts w:hAnsi="宋体" w:eastAsia="宋体"/>
          <w:color w:val="auto"/>
          <w:sz w:val="24"/>
          <w:highlight w:val="none"/>
        </w:rPr>
      </w:pPr>
      <w:r>
        <w:rPr>
          <w:rFonts w:hint="eastAsia" w:hAnsi="宋体" w:eastAsia="宋体"/>
          <w:color w:val="auto"/>
          <w:sz w:val="24"/>
          <w:highlight w:val="none"/>
        </w:rPr>
        <w:t>4.</w:t>
      </w:r>
      <w:r>
        <w:rPr>
          <w:rFonts w:hint="eastAsia" w:hAnsi="宋体" w:eastAsia="宋体"/>
          <w:color w:val="auto"/>
          <w:sz w:val="24"/>
          <w:highlight w:val="none"/>
          <w:lang w:val="en-US"/>
        </w:rPr>
        <w:t>3</w:t>
      </w:r>
      <w:r>
        <w:rPr>
          <w:rFonts w:hint="eastAsia" w:hAnsi="宋体" w:eastAsia="宋体"/>
          <w:color w:val="auto"/>
          <w:sz w:val="24"/>
          <w:highlight w:val="none"/>
        </w:rPr>
        <w:t>符合本竞争性磋商文件规定的供应商资格要求及项目要求的其它条件，并按照要求提供相关证明材料。</w:t>
      </w:r>
    </w:p>
    <w:p w14:paraId="680B1E81">
      <w:pPr>
        <w:spacing w:line="360" w:lineRule="auto"/>
        <w:ind w:firstLine="480" w:firstLineChars="200"/>
        <w:rPr>
          <w:rFonts w:hint="eastAsia" w:ascii="宋体" w:hAnsi="宋体" w:eastAsia="宋体" w:cs="宋体"/>
          <w:color w:val="auto"/>
          <w:kern w:val="0"/>
          <w:sz w:val="24"/>
          <w:szCs w:val="24"/>
          <w:highlight w:val="none"/>
          <w:lang w:val="zh-CN" w:eastAsia="zh-CN" w:bidi="ar-SA"/>
        </w:rPr>
      </w:pPr>
      <w:r>
        <w:rPr>
          <w:rFonts w:hint="eastAsia" w:ascii="宋体" w:hAnsi="宋体" w:eastAsia="宋体" w:cs="宋体"/>
          <w:color w:val="auto"/>
          <w:kern w:val="0"/>
          <w:sz w:val="24"/>
          <w:szCs w:val="24"/>
          <w:highlight w:val="none"/>
          <w:lang w:val="zh-CN" w:eastAsia="zh-CN" w:bidi="ar-SA"/>
        </w:rPr>
        <w:t>4.4供应商应遵守国家法律、法规有关竞争性磋商的规定。</w:t>
      </w:r>
    </w:p>
    <w:p w14:paraId="149661B0">
      <w:pPr>
        <w:autoSpaceDE w:val="0"/>
        <w:autoSpaceDN w:val="0"/>
        <w:adjustRightInd w:val="0"/>
        <w:snapToGrid w:val="0"/>
        <w:spacing w:line="360" w:lineRule="auto"/>
        <w:ind w:firstLine="480" w:firstLineChars="200"/>
        <w:rPr>
          <w:rFonts w:hint="eastAsia" w:ascii="宋体" w:hAnsi="宋体" w:eastAsia="宋体" w:cs="宋体"/>
          <w:color w:val="auto"/>
          <w:kern w:val="0"/>
          <w:sz w:val="24"/>
          <w:szCs w:val="24"/>
          <w:highlight w:val="none"/>
          <w:lang w:val="zh-CN" w:eastAsia="zh-CN" w:bidi="ar-SA"/>
        </w:rPr>
      </w:pPr>
      <w:r>
        <w:rPr>
          <w:rFonts w:hint="eastAsia" w:ascii="宋体" w:hAnsi="宋体" w:eastAsia="宋体" w:cs="宋体"/>
          <w:color w:val="auto"/>
          <w:kern w:val="0"/>
          <w:sz w:val="24"/>
          <w:szCs w:val="24"/>
          <w:highlight w:val="none"/>
          <w:lang w:val="zh-CN" w:eastAsia="zh-CN" w:bidi="ar-SA"/>
        </w:rPr>
        <w:t>4.5 凡通过磋商小组符合性审查的供应商均为合格供应商。未通过符合性审查的供</w:t>
      </w:r>
    </w:p>
    <w:p w14:paraId="049D86B6">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ascii="宋体" w:hAnsi="宋体" w:cs="宋体"/>
          <w:color w:val="auto"/>
          <w:sz w:val="24"/>
          <w:highlight w:val="none"/>
        </w:rPr>
      </w:pPr>
      <w:r>
        <w:rPr>
          <w:rFonts w:hint="eastAsia" w:ascii="宋体" w:hAnsi="宋体" w:eastAsia="宋体" w:cs="宋体"/>
          <w:color w:val="auto"/>
          <w:kern w:val="0"/>
          <w:sz w:val="24"/>
          <w:szCs w:val="24"/>
          <w:highlight w:val="none"/>
          <w:lang w:val="zh-CN" w:eastAsia="zh-CN" w:bidi="ar-SA"/>
        </w:rPr>
        <w:t>注：</w:t>
      </w:r>
      <w:r>
        <w:rPr>
          <w:rFonts w:hint="eastAsia" w:ascii="宋体" w:hAnsi="宋体" w:cs="宋体"/>
          <w:color w:val="auto"/>
          <w:sz w:val="24"/>
          <w:highlight w:val="none"/>
        </w:rPr>
        <w:t>单位负责人为同一人或者存在直接控股、管理关系的不同供应商，不得参加同一合同项下的政府采购活动</w:t>
      </w:r>
      <w:r>
        <w:rPr>
          <w:rFonts w:hint="eastAsia" w:ascii="宋体" w:hAnsi="宋体" w:eastAsia="宋体" w:cs="宋体"/>
          <w:i w:val="0"/>
          <w:iCs w:val="0"/>
          <w:color w:val="auto"/>
          <w:sz w:val="24"/>
          <w:szCs w:val="24"/>
          <w:highlight w:val="none"/>
          <w:lang w:eastAsia="zh-CN"/>
        </w:rPr>
        <w:t>（提供国家企业信用信息系统查询截图，包括公司基础信息和股东信息）。</w:t>
      </w:r>
    </w:p>
    <w:p w14:paraId="71EDAB08">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 xml:space="preserve">5.竞争性磋商文件的约束力 </w:t>
      </w:r>
    </w:p>
    <w:p w14:paraId="2F92733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5.l供应商一旦参加竞争性磋商，即被认为接受了本竞争性磋商文件中的所有条款和规定。</w:t>
      </w:r>
    </w:p>
    <w:p w14:paraId="36798F3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53DBE6D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5.3本磋商文件由采购人负责解释。</w:t>
      </w:r>
    </w:p>
    <w:p w14:paraId="2CB2B98B">
      <w:pPr>
        <w:pStyle w:val="26"/>
        <w:ind w:firstLine="480"/>
        <w:rPr>
          <w:rFonts w:ascii="宋体" w:hAnsi="宋体" w:eastAsia="宋体" w:cs="宋体"/>
          <w:color w:val="auto"/>
          <w:sz w:val="24"/>
          <w:highlight w:val="none"/>
        </w:rPr>
      </w:pPr>
    </w:p>
    <w:p w14:paraId="3883B2AE">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二、竞争性磋商文件</w:t>
      </w:r>
    </w:p>
    <w:p w14:paraId="1E478768">
      <w:pPr>
        <w:tabs>
          <w:tab w:val="left" w:pos="632"/>
          <w:tab w:val="left" w:pos="790"/>
        </w:tabs>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6．竞争性磋商文件的组成</w:t>
      </w:r>
    </w:p>
    <w:p w14:paraId="609850F4">
      <w:pPr>
        <w:autoSpaceDE w:val="0"/>
        <w:autoSpaceDN w:val="0"/>
        <w:adjustRightIn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6.1竞争性磋商</w:t>
      </w:r>
      <w:r>
        <w:rPr>
          <w:rFonts w:hint="eastAsia" w:ascii="宋体" w:hAnsi="宋体" w:cs="宋体"/>
          <w:color w:val="auto"/>
          <w:sz w:val="24"/>
          <w:highlight w:val="none"/>
          <w:lang w:val="zh-CN"/>
        </w:rPr>
        <w:t>文件是用以阐明的采购需求、采购程序和合同格式等的规范性文件。竞争性磋商文件主要由以下部分组成：</w:t>
      </w:r>
    </w:p>
    <w:p w14:paraId="03A1836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（1）竞争性磋商邀请函；</w:t>
      </w:r>
    </w:p>
    <w:p w14:paraId="7AE6151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（2）供应商须知；</w:t>
      </w:r>
    </w:p>
    <w:p w14:paraId="1860CED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（3）采购需求；</w:t>
      </w:r>
    </w:p>
    <w:p w14:paraId="1606B78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（4）响应性文件内容及格式；</w:t>
      </w:r>
    </w:p>
    <w:p w14:paraId="15AE0C7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（5）合同主要条款。</w:t>
      </w:r>
    </w:p>
    <w:p w14:paraId="398E3EB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7A136AF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6.3供应商被视为充分熟悉本采购项目所在地的与履行合同有关的各种情况，包括自然环境、气候条件、劳动力及公用设施等，本竞争性磋商文件不再对上述情况进行描述。</w:t>
      </w:r>
    </w:p>
    <w:p w14:paraId="1010FB0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77E142DD">
      <w:pPr>
        <w:widowControl/>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7.竞争性磋商文件的澄清与修改</w:t>
      </w:r>
    </w:p>
    <w:p w14:paraId="5477FCDC">
      <w:pPr>
        <w:autoSpaceDE w:val="0"/>
        <w:autoSpaceDN w:val="0"/>
        <w:adjustRightInd w:val="0"/>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06EF66EF">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三、响应性文件的编制</w:t>
      </w:r>
    </w:p>
    <w:p w14:paraId="02658826">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8.要求</w:t>
      </w:r>
    </w:p>
    <w:p w14:paraId="3284A4A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8.1供应商应仔细阅读、并充分理解竞争性磋商文件的所有内容，按照竞争性磋商文件的要求编制、提交响应性文件。响应性文件应对竞争性磋商文件的要求作出实质性响应，并</w:t>
      </w:r>
      <w:r>
        <w:rPr>
          <w:rFonts w:hint="eastAsia" w:ascii="宋体" w:hAnsi="宋体" w:cs="宋体"/>
          <w:color w:val="auto"/>
          <w:sz w:val="24"/>
          <w:highlight w:val="none"/>
          <w:lang w:val="en-US" w:eastAsia="zh-CN"/>
        </w:rPr>
        <w:t>承诺</w:t>
      </w:r>
      <w:r>
        <w:rPr>
          <w:rFonts w:hint="eastAsia" w:ascii="宋体" w:hAnsi="宋体" w:cs="宋体"/>
          <w:color w:val="auto"/>
          <w:sz w:val="24"/>
          <w:highlight w:val="none"/>
        </w:rPr>
        <w:t>保证所提供的全部资料的真实性、合法性，否则其响应性文件将作为无效处理。</w:t>
      </w:r>
    </w:p>
    <w:p w14:paraId="74E8720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8.2任何对竞争性磋商文件的忽略或误解不能作为响应性文件没有完全响应竞争性磋商文件的有效理由。</w:t>
      </w:r>
    </w:p>
    <w:p w14:paraId="76BE6F88">
      <w:pPr>
        <w:spacing w:line="560" w:lineRule="exact"/>
        <w:ind w:firstLine="480" w:firstLineChars="200"/>
        <w:rPr>
          <w:rFonts w:ascii="宋体" w:hAnsi="宋体" w:cs="宋体"/>
          <w:i/>
          <w:iCs/>
          <w:color w:val="auto"/>
          <w:sz w:val="24"/>
          <w:highlight w:val="none"/>
        </w:rPr>
      </w:pPr>
      <w:r>
        <w:rPr>
          <w:rFonts w:hint="eastAsia" w:ascii="宋体" w:hAnsi="宋体" w:cs="宋体"/>
          <w:color w:val="auto"/>
          <w:sz w:val="24"/>
          <w:highlight w:val="none"/>
        </w:rPr>
        <w:t>8.3供应商没有按照竞争性磋商文件要求提供全部资料，或者供应商没有对竞争性磋商文件在各方面都作出实质性响应是供应商的风险，并可能导致其响应性文件被拒绝。</w:t>
      </w:r>
    </w:p>
    <w:p w14:paraId="43E0782D">
      <w:pPr>
        <w:widowControl/>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 xml:space="preserve">9.响应性文件的语言及度量衡 </w:t>
      </w:r>
    </w:p>
    <w:p w14:paraId="3DBE64F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9.1响应性文件以及供应商与采购代理机构之间的所有书面往来都应用简体中文书写。 </w:t>
      </w:r>
    </w:p>
    <w:p w14:paraId="0300C60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9.2供应商使用其他语言的，以中文翻译为准。 </w:t>
      </w:r>
    </w:p>
    <w:p w14:paraId="3472897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9.3关于计量单位，竞争性磋商文件已有明确规定的，使用竞争性磋商文件规定的计量单位；竞争性磋商文件没有规定的，应采用中华人民共和国法定计量单位。</w:t>
      </w:r>
    </w:p>
    <w:p w14:paraId="4A43DC4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9.4本竞争性磋商文件所表述的时间均为北京时间。</w:t>
      </w:r>
    </w:p>
    <w:p w14:paraId="7C4934EB">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10.响应性文件的组成</w:t>
      </w:r>
    </w:p>
    <w:p w14:paraId="6A8B7C7F">
      <w:pPr>
        <w:widowControl/>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10.1响应性文件由</w:t>
      </w:r>
      <w:r>
        <w:rPr>
          <w:rFonts w:hint="eastAsia" w:ascii="宋体" w:hAnsi="宋体" w:cs="宋体"/>
          <w:bCs/>
          <w:color w:val="auto"/>
          <w:sz w:val="24"/>
          <w:highlight w:val="none"/>
          <w:u w:val="single"/>
        </w:rPr>
        <w:t>资格性证明材料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符合性证明材料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其他材料</w:t>
      </w:r>
      <w:r>
        <w:rPr>
          <w:rFonts w:hint="eastAsia" w:ascii="宋体" w:hAnsi="宋体" w:cs="宋体"/>
          <w:color w:val="auto"/>
          <w:sz w:val="24"/>
          <w:highlight w:val="none"/>
        </w:rPr>
        <w:t>三部分组成。具体内容和格式见竞争性磋商文件</w:t>
      </w:r>
      <w:r>
        <w:rPr>
          <w:rFonts w:hint="eastAsia" w:ascii="宋体" w:hAnsi="宋体" w:cs="宋体"/>
          <w:bCs/>
          <w:color w:val="auto"/>
          <w:sz w:val="24"/>
          <w:highlight w:val="none"/>
        </w:rPr>
        <w:t>第四章</w:t>
      </w:r>
      <w:r>
        <w:rPr>
          <w:rFonts w:hint="eastAsia" w:ascii="宋体" w:hAnsi="宋体" w:cs="宋体"/>
          <w:color w:val="auto"/>
          <w:sz w:val="24"/>
          <w:highlight w:val="none"/>
        </w:rPr>
        <w:t>。</w:t>
      </w:r>
    </w:p>
    <w:p w14:paraId="3DCEBC8B">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11.响应性文件格式</w:t>
      </w:r>
    </w:p>
    <w:p w14:paraId="0B12923C">
      <w:pPr>
        <w:widowControl/>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69C0DEFE">
      <w:pPr>
        <w:widowControl/>
        <w:spacing w:line="560" w:lineRule="exact"/>
        <w:ind w:firstLine="482" w:firstLineChars="200"/>
        <w:rPr>
          <w:rFonts w:ascii="宋体" w:hAnsi="宋体" w:cs="宋体"/>
          <w:b/>
          <w:bCs/>
          <w:color w:val="auto"/>
          <w:kern w:val="0"/>
          <w:sz w:val="24"/>
          <w:highlight w:val="none"/>
        </w:rPr>
      </w:pPr>
      <w:r>
        <w:rPr>
          <w:rFonts w:hint="eastAsia" w:ascii="宋体" w:hAnsi="宋体" w:cs="宋体"/>
          <w:b/>
          <w:bCs/>
          <w:color w:val="auto"/>
          <w:kern w:val="0"/>
          <w:sz w:val="24"/>
          <w:highlight w:val="none"/>
        </w:rPr>
        <w:t>12.竞争性磋商报价</w:t>
      </w:r>
    </w:p>
    <w:p w14:paraId="3FB79CF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12.1报价包括所投服务、保险、税费、检测、验收和交付后约定期限内免费维保等工作所发生的一切应有费用。</w:t>
      </w:r>
    </w:p>
    <w:p w14:paraId="43CC063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12.2经过磋商后进行的报价为供应商的最终报价。</w:t>
      </w:r>
    </w:p>
    <w:p w14:paraId="5BEF0DA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12.3采购人不接受有选择的报价。</w:t>
      </w:r>
    </w:p>
    <w:p w14:paraId="6D750EB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12.4最终报价不得超过采购预算。</w:t>
      </w:r>
    </w:p>
    <w:p w14:paraId="285A7AB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12.5报价均须以人民币为计算单位。</w:t>
      </w:r>
    </w:p>
    <w:p w14:paraId="701D25F1">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 xml:space="preserve">13．响应性文件有效期 </w:t>
      </w:r>
    </w:p>
    <w:p w14:paraId="77C9847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13.l响应性文件有效期为自竞争性磋商开始之日起60天，有效期短于此规定的响应性文件将被视为无效。</w:t>
      </w:r>
    </w:p>
    <w:p w14:paraId="476E2AF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2CF72376">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14.响应性文件的签署、盖章</w:t>
      </w:r>
    </w:p>
    <w:p w14:paraId="20338B47">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14.1</w:t>
      </w:r>
      <w:r>
        <w:rPr>
          <w:rFonts w:hint="eastAsia" w:ascii="宋体" w:hAnsi="宋体" w:cs="宋体"/>
          <w:color w:val="auto"/>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1B55CDA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430D9C2E">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14.3供应商提交的资料应证明其满足竞争性磋商文件要求，该文件可以是文字资料、图纸和数据等详细描述的资料。</w:t>
      </w:r>
    </w:p>
    <w:p w14:paraId="23B99203">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lang w:val="en-US" w:eastAsia="zh-CN"/>
        </w:rPr>
        <w:t>15电子投标文件制作</w:t>
      </w:r>
      <w:r>
        <w:rPr>
          <w:rFonts w:hint="eastAsia" w:ascii="宋体" w:hAnsi="宋体" w:cs="宋体"/>
          <w:color w:val="auto"/>
          <w:sz w:val="24"/>
          <w:highlight w:val="none"/>
          <w:lang w:eastAsia="zh-CN"/>
        </w:rPr>
        <w:t>，</w:t>
      </w:r>
      <w:r>
        <w:rPr>
          <w:rFonts w:hint="eastAsia" w:ascii="宋体" w:hAnsi="宋体" w:cs="宋体"/>
          <w:color w:val="auto"/>
          <w:sz w:val="24"/>
          <w:highlight w:val="none"/>
        </w:rPr>
        <w:t>见周口市公共资源交易中心</w:t>
      </w:r>
      <w:r>
        <w:rPr>
          <w:rFonts w:hint="eastAsia" w:ascii="宋体" w:hAnsi="宋体" w:cs="宋体"/>
          <w:color w:val="auto"/>
          <w:sz w:val="24"/>
          <w:highlight w:val="none"/>
          <w:lang w:val="en-US" w:eastAsia="zh-CN"/>
        </w:rPr>
        <w:t>网站下载中心版块</w:t>
      </w:r>
      <w:r>
        <w:rPr>
          <w:rFonts w:hint="eastAsia" w:ascii="宋体" w:hAnsi="宋体" w:cs="宋体"/>
          <w:color w:val="auto"/>
          <w:sz w:val="24"/>
          <w:highlight w:val="none"/>
        </w:rPr>
        <w:t>《投标单位-电子投标文件视频制作手册》的相关规定。</w:t>
      </w:r>
    </w:p>
    <w:p w14:paraId="6C066606">
      <w:pPr>
        <w:numPr>
          <w:ilvl w:val="0"/>
          <w:numId w:val="4"/>
        </w:num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响应性文件的递交</w:t>
      </w:r>
    </w:p>
    <w:p w14:paraId="3E44FE05">
      <w:pPr>
        <w:autoSpaceDE w:val="0"/>
        <w:autoSpaceDN w:val="0"/>
        <w:adjustRightInd w:val="0"/>
        <w:spacing w:line="50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加密的电子磋商响应文件，应在磋商截止时间前通过周口市公共资源交易中心会员系统上传；本项目实行网上远程开标，未加密的电子</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文件和纸质</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文件均不再提交。在解密投标</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开始时30分钟内进行解密，超时视为放弃递交</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w:t>
      </w:r>
    </w:p>
    <w:p w14:paraId="376540AF">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注：</w:t>
      </w:r>
      <w:r>
        <w:rPr>
          <w:rFonts w:hint="eastAsia" w:ascii="宋体" w:hAnsi="宋体" w:eastAsia="宋体" w:cs="宋体"/>
          <w:color w:val="auto"/>
          <w:sz w:val="24"/>
          <w:highlight w:val="none"/>
        </w:rPr>
        <w:t>加密的电子投标文件的递交</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《投标单位-电子投标文件视频制作手册》的相关规定。</w:t>
      </w:r>
      <w:r>
        <w:rPr>
          <w:rFonts w:hint="eastAsia" w:ascii="宋体" w:hAnsi="宋体" w:cs="宋体"/>
          <w:color w:val="auto"/>
          <w:sz w:val="24"/>
          <w:highlight w:val="none"/>
        </w:rPr>
        <w:t>如未在招标文件规定的投标时间截止前上传网上</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文件，投标无效。</w:t>
      </w:r>
    </w:p>
    <w:p w14:paraId="58E07659">
      <w:pPr>
        <w:autoSpaceDE w:val="0"/>
        <w:autoSpaceDN w:val="0"/>
        <w:adjustRightInd w:val="0"/>
        <w:spacing w:line="500" w:lineRule="exact"/>
        <w:ind w:firstLine="240" w:firstLineChars="100"/>
        <w:rPr>
          <w:rFonts w:ascii="宋体" w:hAnsi="宋体" w:cs="宋体"/>
          <w:color w:val="auto"/>
          <w:sz w:val="24"/>
          <w:highlight w:val="none"/>
        </w:rPr>
      </w:pPr>
      <w:r>
        <w:rPr>
          <w:rFonts w:hint="eastAsia" w:ascii="宋体" w:hAnsi="宋体" w:cs="宋体"/>
          <w:color w:val="auto"/>
          <w:sz w:val="24"/>
          <w:highlight w:val="none"/>
        </w:rPr>
        <w:t>供应商须使用单位CA证书进行电子响应文件远程解密，详见周口市公共资源电子交易中心网站（网址：http://jyzx.zhoukou.gov.cn）</w:t>
      </w:r>
      <w:r>
        <w:rPr>
          <w:rFonts w:hint="eastAsia" w:ascii="宋体" w:hAnsi="宋体" w:cs="宋体"/>
          <w:color w:val="auto"/>
          <w:sz w:val="24"/>
          <w:highlight w:val="none"/>
          <w:lang w:val="en-US" w:eastAsia="zh-CN"/>
        </w:rPr>
        <w:t>办事指南</w:t>
      </w:r>
      <w:r>
        <w:rPr>
          <w:rFonts w:hint="eastAsia" w:ascii="宋体" w:hAnsi="宋体" w:eastAsia="宋体" w:cs="宋体"/>
          <w:bCs/>
          <w:color w:val="auto"/>
          <w:sz w:val="24"/>
          <w:highlight w:val="none"/>
          <w:lang w:val="en-US" w:eastAsia="zh-CN"/>
        </w:rPr>
        <w:t>《</w:t>
      </w:r>
      <w:r>
        <w:rPr>
          <w:rFonts w:hint="eastAsia" w:ascii="宋体" w:hAnsi="宋体" w:eastAsia="宋体" w:cs="宋体"/>
          <w:bCs/>
          <w:color w:val="auto"/>
          <w:sz w:val="24"/>
          <w:highlight w:val="none"/>
        </w:rPr>
        <w:t>不见面开标远程在线解密会员端操作手册操作指南</w:t>
      </w:r>
      <w:r>
        <w:rPr>
          <w:rFonts w:hint="eastAsia" w:ascii="宋体" w:hAnsi="宋体" w:eastAsia="宋体" w:cs="宋体"/>
          <w:bCs/>
          <w:color w:val="auto"/>
          <w:sz w:val="24"/>
          <w:highlight w:val="none"/>
          <w:lang w:val="en-US" w:eastAsia="zh-CN"/>
        </w:rPr>
        <w:t>》</w:t>
      </w:r>
      <w:r>
        <w:rPr>
          <w:rFonts w:hint="eastAsia" w:ascii="宋体" w:hAnsi="宋体" w:cs="宋体"/>
          <w:color w:val="auto"/>
          <w:sz w:val="24"/>
          <w:highlight w:val="none"/>
        </w:rPr>
        <w:t>。</w:t>
      </w:r>
    </w:p>
    <w:p w14:paraId="5AC10C86">
      <w:pPr>
        <w:spacing w:line="560" w:lineRule="exact"/>
        <w:rPr>
          <w:rFonts w:ascii="宋体" w:hAnsi="宋体" w:cs="宋体"/>
          <w:b/>
          <w:color w:val="auto"/>
          <w:sz w:val="24"/>
          <w:highlight w:val="none"/>
        </w:rPr>
      </w:pPr>
      <w:r>
        <w:rPr>
          <w:rFonts w:hint="eastAsia" w:ascii="宋体" w:hAnsi="宋体" w:cs="宋体"/>
          <w:b/>
          <w:color w:val="auto"/>
          <w:sz w:val="24"/>
          <w:highlight w:val="none"/>
        </w:rPr>
        <w:t>16.响应性文件的递交</w:t>
      </w:r>
    </w:p>
    <w:p w14:paraId="1D5B0CE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16.1供应商应在竞争性磋商邀请函中规定的截止日期和时间前，将响应性文件在会员系统成功上传，递交（接收）地点为竞争性磋商邀请函中规定的地址。</w:t>
      </w:r>
    </w:p>
    <w:p w14:paraId="68DD593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16.2若采购人推迟了响应性文件接收截止时间，采购人和供应商受响应性文件接收截止时间制约的所有权利和义务均应以新的截止时间为准。 </w:t>
      </w:r>
    </w:p>
    <w:p w14:paraId="1FBADA6F">
      <w:pPr>
        <w:pStyle w:val="63"/>
        <w:spacing w:line="560" w:lineRule="exact"/>
        <w:ind w:firstLine="482" w:firstLineChars="200"/>
        <w:rPr>
          <w:rFonts w:ascii="宋体" w:hAnsi="宋体"/>
          <w:b/>
          <w:color w:val="auto"/>
          <w:sz w:val="24"/>
          <w:szCs w:val="24"/>
          <w:highlight w:val="none"/>
        </w:rPr>
      </w:pPr>
      <w:r>
        <w:rPr>
          <w:rFonts w:hint="eastAsia" w:ascii="宋体" w:hAnsi="宋体"/>
          <w:b/>
          <w:bCs/>
          <w:color w:val="auto"/>
          <w:sz w:val="24"/>
          <w:szCs w:val="24"/>
          <w:highlight w:val="none"/>
        </w:rPr>
        <w:t>17</w:t>
      </w:r>
      <w:r>
        <w:rPr>
          <w:rFonts w:hint="eastAsia" w:ascii="宋体" w:hAnsi="宋体"/>
          <w:b/>
          <w:color w:val="auto"/>
          <w:sz w:val="24"/>
          <w:szCs w:val="24"/>
          <w:highlight w:val="none"/>
        </w:rPr>
        <w:t>.响应性文件的修改和撤回</w:t>
      </w:r>
    </w:p>
    <w:p w14:paraId="35A0D5D3">
      <w:pPr>
        <w:pStyle w:val="63"/>
        <w:spacing w:line="560" w:lineRule="exact"/>
        <w:ind w:left="279" w:leftChars="133" w:firstLine="240" w:firstLineChars="100"/>
        <w:rPr>
          <w:rFonts w:ascii="宋体" w:hAnsi="宋体"/>
          <w:b/>
          <w:bCs/>
          <w:color w:val="auto"/>
          <w:sz w:val="24"/>
          <w:szCs w:val="24"/>
          <w:highlight w:val="none"/>
        </w:rPr>
      </w:pPr>
      <w:r>
        <w:rPr>
          <w:rFonts w:hint="eastAsia" w:ascii="宋体" w:hAnsi="宋体"/>
          <w:color w:val="auto"/>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2A4FA236">
      <w:pPr>
        <w:pStyle w:val="63"/>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 xml:space="preserve">17.2响应性文件的补充、修改文件应按照本竞争性磋商文件有关规定进行密封、签署，修改后的加密的电子投标文件须在投标截止时间前成功上传。 </w:t>
      </w:r>
    </w:p>
    <w:p w14:paraId="4E48DC4F">
      <w:pPr>
        <w:pStyle w:val="63"/>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17.3供应商在响应性文件接收截止时间后不得修改、撤回响应性文件。供应商在响应性文件接收截止时间后修改响应性文件的，将被拒绝接受。</w:t>
      </w:r>
    </w:p>
    <w:p w14:paraId="1E41ED11">
      <w:pPr>
        <w:pStyle w:val="63"/>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17.4供应商有下列情形之一的，采购人将拒绝接受其响应性文件：</w:t>
      </w:r>
    </w:p>
    <w:p w14:paraId="5BE9CBDD">
      <w:pPr>
        <w:pStyle w:val="63"/>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17.4.1在竞争性磋商文件规定的响应性文件接收截止时间之后递交响应性文件的；</w:t>
      </w:r>
    </w:p>
    <w:p w14:paraId="77D4551A">
      <w:pPr>
        <w:pStyle w:val="63"/>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17.4.2响应性文件未按竞争性磋商文件规定密封、签署、盖章的；</w:t>
      </w:r>
    </w:p>
    <w:p w14:paraId="72B59765">
      <w:pPr>
        <w:pStyle w:val="63"/>
        <w:spacing w:line="560" w:lineRule="exact"/>
        <w:ind w:firstLine="480" w:firstLineChars="200"/>
        <w:rPr>
          <w:rFonts w:ascii="宋体" w:hAnsi="宋体"/>
          <w:b/>
          <w:color w:val="auto"/>
          <w:sz w:val="24"/>
          <w:szCs w:val="24"/>
          <w:highlight w:val="none"/>
        </w:rPr>
      </w:pPr>
      <w:r>
        <w:rPr>
          <w:rFonts w:hint="eastAsia" w:ascii="宋体" w:hAnsi="宋体"/>
          <w:color w:val="auto"/>
          <w:sz w:val="24"/>
          <w:szCs w:val="24"/>
          <w:highlight w:val="none"/>
        </w:rPr>
        <w:t>17.4.3一个供应商不止递交一套响应性文件的。</w:t>
      </w:r>
    </w:p>
    <w:p w14:paraId="40622A07">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五、竞争性磋商</w:t>
      </w:r>
    </w:p>
    <w:p w14:paraId="5F645177">
      <w:pPr>
        <w:spacing w:line="560" w:lineRule="exact"/>
        <w:ind w:firstLine="482" w:firstLineChars="200"/>
        <w:rPr>
          <w:rFonts w:ascii="宋体" w:hAnsi="宋体" w:cs="宋体"/>
          <w:b/>
          <w:color w:val="auto"/>
          <w:sz w:val="24"/>
          <w:highlight w:val="none"/>
          <w:lang w:val="zh-CN"/>
        </w:rPr>
      </w:pPr>
      <w:r>
        <w:rPr>
          <w:rFonts w:hint="eastAsia" w:ascii="宋体" w:hAnsi="宋体" w:cs="宋体"/>
          <w:b/>
          <w:color w:val="auto"/>
          <w:sz w:val="24"/>
          <w:highlight w:val="none"/>
        </w:rPr>
        <w:t>18.组建</w:t>
      </w:r>
      <w:r>
        <w:rPr>
          <w:rFonts w:hint="eastAsia" w:ascii="宋体" w:hAnsi="宋体" w:cs="宋体"/>
          <w:b/>
          <w:color w:val="auto"/>
          <w:sz w:val="24"/>
          <w:highlight w:val="none"/>
          <w:lang w:val="zh-CN"/>
        </w:rPr>
        <w:t>竞争性磋商小组</w:t>
      </w:r>
    </w:p>
    <w:p w14:paraId="3ED377AC">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18.1采购人根据采购项目的特点依法组建竞争性磋商小组。</w:t>
      </w:r>
    </w:p>
    <w:p w14:paraId="33ED9099">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18.2竞争性磋商小组</w:t>
      </w:r>
      <w:r>
        <w:rPr>
          <w:rFonts w:hint="eastAsia" w:ascii="宋体" w:hAnsi="宋体" w:cs="宋体"/>
          <w:bCs/>
          <w:color w:val="auto"/>
          <w:kern w:val="0"/>
          <w:sz w:val="24"/>
          <w:highlight w:val="none"/>
        </w:rPr>
        <w:t>确认竞争性磋商文件，并</w:t>
      </w:r>
      <w:r>
        <w:rPr>
          <w:rFonts w:hint="eastAsia" w:ascii="宋体" w:hAnsi="宋体" w:cs="宋体"/>
          <w:color w:val="auto"/>
          <w:kern w:val="0"/>
          <w:sz w:val="24"/>
          <w:highlight w:val="none"/>
        </w:rPr>
        <w:t>负责具体评审事务，根据有关法律法规和竞争性磋商文件规定的评审程序，按照评审方法及评审标准独立履行竞争性磋商小组职责。</w:t>
      </w:r>
    </w:p>
    <w:p w14:paraId="2FC6C529">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19.资格性和符合性审查</w:t>
      </w:r>
    </w:p>
    <w:p w14:paraId="1A7C19B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4C585850">
      <w:pPr>
        <w:spacing w:line="560" w:lineRule="exact"/>
        <w:ind w:firstLine="480" w:firstLineChars="200"/>
        <w:rPr>
          <w:rFonts w:ascii="宋体" w:hAnsi="宋体" w:cs="宋体"/>
          <w:b/>
          <w:bCs/>
          <w:color w:val="auto"/>
          <w:sz w:val="24"/>
          <w:highlight w:val="none"/>
        </w:rPr>
      </w:pPr>
      <w:r>
        <w:rPr>
          <w:rFonts w:hint="eastAsia" w:ascii="宋体" w:hAnsi="宋体" w:cs="宋体"/>
          <w:color w:val="auto"/>
          <w:sz w:val="24"/>
          <w:highlight w:val="none"/>
        </w:rPr>
        <w:t>19.1.1资格性审查的内容包括：竞争性磋商文件规定的供应商资格条件；</w:t>
      </w:r>
    </w:p>
    <w:p w14:paraId="32C99B7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3E6C590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19.2.1符合性审查的内容包括：</w:t>
      </w:r>
    </w:p>
    <w:p w14:paraId="29417CA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（1）响应性文件的有效性(签署情况等)；</w:t>
      </w:r>
    </w:p>
    <w:p w14:paraId="6A3751E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（2）响应性文件的完整性；</w:t>
      </w:r>
    </w:p>
    <w:p w14:paraId="776C1B5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（3）对竞争性磋商文件的响应程度（是否存在重大负偏离等）。 </w:t>
      </w:r>
    </w:p>
    <w:p w14:paraId="072E702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u w:val="single"/>
        </w:rPr>
        <w:t>以上资格性审查和符合性审查的内容只要有一条不满足，则响应性文件无效，将不进入竞争性磋商程序。</w:t>
      </w:r>
    </w:p>
    <w:p w14:paraId="3C95F60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注意事项：资格性、符合性证明材料见竞争性磋商文件第四章规定。</w:t>
      </w:r>
    </w:p>
    <w:p w14:paraId="6E4F522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19.3实质性响应的响应性文件是指与竞争性磋商文件的全部条款、条件和规格相符，没有重大偏离；重大负偏离的认定须经竞争性磋商小组三分之二以上同意。</w:t>
      </w:r>
    </w:p>
    <w:p w14:paraId="2EA5B37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4473634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19.5如果响应性文件实质上没有响应竞争性磋商文件的要求，将作为无效处理，供应商不得再对响应性文件进行任何修正从而使其响应性文件成为实质上响应的文件；</w:t>
      </w:r>
    </w:p>
    <w:p w14:paraId="096F56C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19.6竞争性磋商小组审定响应性文件的响应性只根据响应性文件本身的内容而不寻求外部证据。</w:t>
      </w:r>
    </w:p>
    <w:p w14:paraId="3DF867B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19.7凡有下列情况之一的，其响应性文件也被视为未实质性响应竞争性磋商文件，按照无效处理（不再参加竞争性磋商）：</w:t>
      </w:r>
    </w:p>
    <w:p w14:paraId="7A29B1F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19.7.1未按竞争性磋商文件规定要求</w:t>
      </w:r>
      <w:r>
        <w:rPr>
          <w:rFonts w:hint="eastAsia" w:ascii="宋体" w:hAnsi="宋体" w:cs="宋体"/>
          <w:color w:val="auto"/>
          <w:sz w:val="24"/>
          <w:highlight w:val="none"/>
          <w:lang w:val="zh-CN"/>
        </w:rPr>
        <w:t>签署、盖章的；</w:t>
      </w:r>
    </w:p>
    <w:p w14:paraId="21F77A4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19.7.2资格证明文件不全的，或不符合竞争性磋商文件中规定的资格要求的；</w:t>
      </w:r>
    </w:p>
    <w:p w14:paraId="5572110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19.7.3供应商代表未能出具有效身份证明，或与身份不符的；</w:t>
      </w:r>
    </w:p>
    <w:p w14:paraId="79E8C21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19.7.4不符合竞争性磋商文件规定的实质性要求的；</w:t>
      </w:r>
    </w:p>
    <w:p w14:paraId="2CAD789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19.7.5响应性文件内容不齐全或内容虚假的；</w:t>
      </w:r>
    </w:p>
    <w:p w14:paraId="5A573A2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19.7.6响应性文件的实质性内容未使用中文表述；</w:t>
      </w:r>
    </w:p>
    <w:p w14:paraId="43CF01B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19.7.7响应性文件的内容修改处未按规定签名或盖章的；</w:t>
      </w:r>
    </w:p>
    <w:p w14:paraId="59312A7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19.7.8违反法律、行政法规、竞争性磋商文件规定的其他情形的。</w:t>
      </w:r>
    </w:p>
    <w:p w14:paraId="5E5BCAD8">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9</w:t>
      </w:r>
      <w:r>
        <w:rPr>
          <w:rFonts w:hint="eastAsia" w:ascii="宋体" w:hAnsi="宋体" w:eastAsia="宋体" w:cs="宋体"/>
          <w:color w:val="auto"/>
          <w:sz w:val="24"/>
          <w:highlight w:val="none"/>
        </w:rPr>
        <w:t>不同供应商的电子投标（响应）文件上传计算机的网卡 MAC 地址、CPU 序列号和硬盘序列号等硬件信息相同的;</w:t>
      </w:r>
    </w:p>
    <w:p w14:paraId="37CA8313">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10</w:t>
      </w:r>
      <w:r>
        <w:rPr>
          <w:rFonts w:hint="eastAsia" w:ascii="宋体" w:hAnsi="宋体" w:eastAsia="宋体" w:cs="宋体"/>
          <w:color w:val="auto"/>
          <w:sz w:val="24"/>
          <w:highlight w:val="none"/>
        </w:rPr>
        <w:t>不同供应商的投标（响应）文件由同一电子设备编制，打印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复印、</w:t>
      </w:r>
      <w:r>
        <w:rPr>
          <w:rFonts w:hint="eastAsia" w:ascii="宋体" w:hAnsi="宋体" w:eastAsia="宋体" w:cs="宋体"/>
          <w:color w:val="auto"/>
          <w:sz w:val="24"/>
          <w:highlight w:val="none"/>
        </w:rPr>
        <w:t>加密或者上传</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w:t>
      </w:r>
    </w:p>
    <w:p w14:paraId="4608055B">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11</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60CBEB55">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12</w:t>
      </w:r>
      <w:r>
        <w:rPr>
          <w:rFonts w:hint="eastAsia" w:ascii="宋体" w:hAnsi="宋体" w:eastAsia="宋体" w:cs="宋体"/>
          <w:color w:val="auto"/>
          <w:sz w:val="24"/>
          <w:highlight w:val="none"/>
        </w:rPr>
        <w:t>不同供应商的投标（响应）文件的内容存在两处以上细节错误一致；</w:t>
      </w:r>
    </w:p>
    <w:p w14:paraId="764564EA">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13</w:t>
      </w:r>
      <w:r>
        <w:rPr>
          <w:rFonts w:hint="eastAsia" w:ascii="宋体" w:hAnsi="宋体" w:eastAsia="宋体" w:cs="宋体"/>
          <w:color w:val="auto"/>
          <w:sz w:val="24"/>
          <w:highlight w:val="none"/>
        </w:rPr>
        <w:t>不同供应商的法定代表人、委托代理人、项目经理、项目负责人等由同一个单位缴纳社会保险或者领取报酬的；</w:t>
      </w:r>
    </w:p>
    <w:p w14:paraId="3D0AE805">
      <w:pPr>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19.7.</w:t>
      </w:r>
      <w:r>
        <w:rPr>
          <w:rFonts w:hint="eastAsia" w:ascii="宋体" w:hAnsi="宋体" w:eastAsia="宋体" w:cs="宋体"/>
          <w:color w:val="auto"/>
          <w:sz w:val="24"/>
          <w:highlight w:val="none"/>
          <w:lang w:val="en-US" w:eastAsia="zh-CN"/>
        </w:rPr>
        <w:t>14</w:t>
      </w:r>
      <w:r>
        <w:rPr>
          <w:rFonts w:hint="eastAsia" w:ascii="宋体" w:hAnsi="宋体" w:eastAsia="宋体" w:cs="宋体"/>
          <w:color w:val="auto"/>
          <w:sz w:val="24"/>
          <w:highlight w:val="none"/>
        </w:rPr>
        <w:t>不同供应商投标（响应）文件中法定代表人或者负责人签字出自同一人之手</w:t>
      </w:r>
      <w:r>
        <w:rPr>
          <w:rFonts w:hint="eastAsia" w:ascii="宋体" w:hAnsi="宋体" w:eastAsia="宋体" w:cs="宋体"/>
          <w:color w:val="auto"/>
          <w:sz w:val="24"/>
          <w:highlight w:val="none"/>
          <w:lang w:eastAsia="zh-CN"/>
        </w:rPr>
        <w:t>。</w:t>
      </w:r>
    </w:p>
    <w:p w14:paraId="20B0007B">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19.7.</w:t>
      </w:r>
      <w:r>
        <w:rPr>
          <w:rFonts w:hint="eastAsia" w:ascii="宋体" w:hAnsi="宋体" w:eastAsia="宋体" w:cs="宋体"/>
          <w:color w:val="auto"/>
          <w:sz w:val="24"/>
          <w:highlight w:val="none"/>
          <w:lang w:val="en-US" w:eastAsia="zh-CN"/>
        </w:rPr>
        <w:t>15法定代表人和委托代理人未在身份证扫描件上签字的；</w:t>
      </w:r>
    </w:p>
    <w:p w14:paraId="7737EB8C">
      <w:pPr>
        <w:spacing w:line="360" w:lineRule="auto"/>
        <w:ind w:firstLine="480" w:firstLineChars="200"/>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rPr>
        <w:t>19.7.</w:t>
      </w:r>
      <w:r>
        <w:rPr>
          <w:rFonts w:hint="eastAsia" w:ascii="宋体" w:hAnsi="宋体" w:eastAsia="宋体" w:cs="宋体"/>
          <w:color w:val="auto"/>
          <w:sz w:val="24"/>
          <w:highlight w:val="none"/>
          <w:lang w:val="en-US" w:eastAsia="zh-CN"/>
        </w:rPr>
        <w:t>16未提供经会计师事务所或审计机构审计的财务会计报表和财务状况说明书，包括资产负债表、现金流量表、利润表的或针对本项目所开具的资信证明的；</w:t>
      </w:r>
    </w:p>
    <w:p w14:paraId="7AB272F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19.8在评审过程中，竞争性磋商小组发现供应商有下列情形之一的，视为供应商相互串通，按照无效处理并依据法律、法规追究其相关责任。具体表现形式如下：</w:t>
      </w:r>
    </w:p>
    <w:p w14:paraId="653C63F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19.8.1不同供应商的响应性文件互相混装的；</w:t>
      </w:r>
    </w:p>
    <w:p w14:paraId="4633FAF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19.8.2不同供应商授权同一人作为供应商委托代理人的；</w:t>
      </w:r>
    </w:p>
    <w:p w14:paraId="282CBBE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19.8.3不同供应商的响应性文件载明的项目管理成员为同一人的；</w:t>
      </w:r>
    </w:p>
    <w:p w14:paraId="03CCEFE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19.8.4有证据证明供应商与采购人、采购代理机构或者其他供应商串通的其他情形；</w:t>
      </w:r>
    </w:p>
    <w:p w14:paraId="6CFC132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19.8.5竞争性磋商小组认定的其他串通情形。</w:t>
      </w:r>
    </w:p>
    <w:p w14:paraId="453E5351">
      <w:pPr>
        <w:pStyle w:val="45"/>
        <w:rPr>
          <w:rFonts w:ascii="宋体" w:hAnsi="宋体" w:cs="宋体"/>
          <w:color w:val="auto"/>
          <w:sz w:val="24"/>
          <w:szCs w:val="24"/>
          <w:highlight w:val="none"/>
        </w:rPr>
      </w:pPr>
    </w:p>
    <w:tbl>
      <w:tblPr>
        <w:tblStyle w:val="2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7586F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6CFE7A83">
            <w:pPr>
              <w:pStyle w:val="80"/>
              <w:pBdr>
                <w:bottom w:val="none" w:color="auto" w:sz="0" w:space="0"/>
              </w:pBdr>
              <w:tabs>
                <w:tab w:val="clear" w:pos="4153"/>
                <w:tab w:val="clear" w:pos="8306"/>
              </w:tabs>
              <w:snapToGrid w:val="0"/>
              <w:spacing w:line="360" w:lineRule="auto"/>
              <w:ind w:right="-10"/>
              <w:textAlignment w:val="auto"/>
              <w:rPr>
                <w:rFonts w:ascii="宋体" w:hAnsi="宋体" w:cs="宋体"/>
                <w:b/>
                <w:color w:val="auto"/>
                <w:kern w:val="2"/>
                <w:szCs w:val="24"/>
                <w:highlight w:val="none"/>
              </w:rPr>
            </w:pPr>
            <w:r>
              <w:rPr>
                <w:rFonts w:hint="eastAsia" w:ascii="宋体" w:hAnsi="宋体" w:cs="宋体"/>
                <w:b/>
                <w:color w:val="auto"/>
                <w:kern w:val="2"/>
                <w:szCs w:val="24"/>
                <w:highlight w:val="none"/>
              </w:rPr>
              <w:t>项目符合性审查表</w:t>
            </w:r>
          </w:p>
        </w:tc>
      </w:tr>
      <w:tr w14:paraId="12178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197B3B4D">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序号</w:t>
            </w:r>
          </w:p>
        </w:tc>
        <w:tc>
          <w:tcPr>
            <w:tcW w:w="2665" w:type="dxa"/>
            <w:tcBorders>
              <w:bottom w:val="single" w:color="auto" w:sz="4" w:space="0"/>
            </w:tcBorders>
            <w:vAlign w:val="center"/>
          </w:tcPr>
          <w:p w14:paraId="461AA58F">
            <w:pPr>
              <w:pStyle w:val="80"/>
              <w:pBdr>
                <w:bottom w:val="none" w:color="auto" w:sz="0" w:space="0"/>
              </w:pBdr>
              <w:tabs>
                <w:tab w:val="clear" w:pos="4153"/>
                <w:tab w:val="clear" w:pos="8306"/>
              </w:tabs>
              <w:snapToGrid w:val="0"/>
              <w:spacing w:line="360" w:lineRule="auto"/>
              <w:ind w:right="-10"/>
              <w:textAlignment w:val="auto"/>
              <w:rPr>
                <w:rFonts w:ascii="宋体" w:hAnsi="宋体" w:cs="宋体"/>
                <w:color w:val="auto"/>
                <w:kern w:val="2"/>
                <w:szCs w:val="24"/>
                <w:highlight w:val="none"/>
              </w:rPr>
            </w:pPr>
            <w:r>
              <w:rPr>
                <w:rFonts w:hint="eastAsia" w:ascii="宋体" w:hAnsi="宋体" w:cs="宋体"/>
                <w:color w:val="auto"/>
                <w:kern w:val="2"/>
                <w:szCs w:val="24"/>
                <w:highlight w:val="none"/>
              </w:rPr>
              <w:t>指标名称</w:t>
            </w:r>
          </w:p>
        </w:tc>
        <w:tc>
          <w:tcPr>
            <w:tcW w:w="1937" w:type="dxa"/>
            <w:tcBorders>
              <w:bottom w:val="single" w:color="auto" w:sz="4" w:space="0"/>
            </w:tcBorders>
            <w:vAlign w:val="center"/>
          </w:tcPr>
          <w:p w14:paraId="6FA84799">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指标要求</w:t>
            </w:r>
          </w:p>
        </w:tc>
        <w:tc>
          <w:tcPr>
            <w:tcW w:w="825" w:type="dxa"/>
            <w:tcBorders>
              <w:bottom w:val="single" w:color="auto" w:sz="4" w:space="0"/>
            </w:tcBorders>
            <w:vAlign w:val="center"/>
          </w:tcPr>
          <w:p w14:paraId="5E756798">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是否</w:t>
            </w:r>
          </w:p>
          <w:p w14:paraId="395550ED">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通过</w:t>
            </w:r>
          </w:p>
        </w:tc>
        <w:tc>
          <w:tcPr>
            <w:tcW w:w="2371" w:type="dxa"/>
            <w:tcBorders>
              <w:bottom w:val="single" w:color="auto" w:sz="4" w:space="0"/>
            </w:tcBorders>
            <w:vAlign w:val="center"/>
          </w:tcPr>
          <w:p w14:paraId="5B19A181">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投标文件格式及</w:t>
            </w:r>
          </w:p>
          <w:p w14:paraId="079A61BC">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提交资料要求</w:t>
            </w:r>
          </w:p>
        </w:tc>
      </w:tr>
      <w:tr w14:paraId="68AFE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759261D">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w:t>
            </w:r>
          </w:p>
        </w:tc>
        <w:tc>
          <w:tcPr>
            <w:tcW w:w="2665" w:type="dxa"/>
            <w:vAlign w:val="center"/>
          </w:tcPr>
          <w:p w14:paraId="4D63BDFD">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营业执照</w:t>
            </w:r>
          </w:p>
        </w:tc>
        <w:tc>
          <w:tcPr>
            <w:tcW w:w="1937" w:type="dxa"/>
            <w:vAlign w:val="center"/>
          </w:tcPr>
          <w:p w14:paraId="61C0235D">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2B553616">
            <w:pPr>
              <w:adjustRightInd w:val="0"/>
              <w:snapToGrid w:val="0"/>
              <w:spacing w:line="360" w:lineRule="auto"/>
              <w:ind w:right="-10"/>
              <w:rPr>
                <w:rFonts w:ascii="宋体" w:hAnsi="宋体" w:cs="宋体"/>
                <w:color w:val="auto"/>
                <w:sz w:val="24"/>
                <w:highlight w:val="none"/>
              </w:rPr>
            </w:pPr>
          </w:p>
        </w:tc>
        <w:tc>
          <w:tcPr>
            <w:tcW w:w="2371" w:type="dxa"/>
            <w:vAlign w:val="center"/>
          </w:tcPr>
          <w:p w14:paraId="0CEDB340">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43B7F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CE73C8D">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2</w:t>
            </w:r>
          </w:p>
        </w:tc>
        <w:tc>
          <w:tcPr>
            <w:tcW w:w="2665" w:type="dxa"/>
            <w:vAlign w:val="center"/>
          </w:tcPr>
          <w:p w14:paraId="05896A3A">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法定代表人及身份证</w:t>
            </w:r>
          </w:p>
        </w:tc>
        <w:tc>
          <w:tcPr>
            <w:tcW w:w="1937" w:type="dxa"/>
            <w:vAlign w:val="center"/>
          </w:tcPr>
          <w:p w14:paraId="3E832F4A">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4BF7E513">
            <w:pPr>
              <w:adjustRightInd w:val="0"/>
              <w:snapToGrid w:val="0"/>
              <w:spacing w:line="360" w:lineRule="auto"/>
              <w:ind w:right="-10"/>
              <w:rPr>
                <w:rFonts w:ascii="宋体" w:hAnsi="宋体" w:cs="宋体"/>
                <w:color w:val="auto"/>
                <w:sz w:val="24"/>
                <w:highlight w:val="none"/>
              </w:rPr>
            </w:pPr>
          </w:p>
        </w:tc>
        <w:tc>
          <w:tcPr>
            <w:tcW w:w="2371" w:type="dxa"/>
            <w:vAlign w:val="center"/>
          </w:tcPr>
          <w:p w14:paraId="24EB8DAD">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19595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1AC24DD">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3</w:t>
            </w:r>
          </w:p>
        </w:tc>
        <w:tc>
          <w:tcPr>
            <w:tcW w:w="2665" w:type="dxa"/>
            <w:vAlign w:val="center"/>
          </w:tcPr>
          <w:p w14:paraId="072D8653">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纳税凭证和社保证明</w:t>
            </w:r>
          </w:p>
        </w:tc>
        <w:tc>
          <w:tcPr>
            <w:tcW w:w="1937" w:type="dxa"/>
            <w:vAlign w:val="center"/>
          </w:tcPr>
          <w:p w14:paraId="081DA1F2">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0ECCB122">
            <w:pPr>
              <w:adjustRightInd w:val="0"/>
              <w:snapToGrid w:val="0"/>
              <w:spacing w:line="360" w:lineRule="auto"/>
              <w:ind w:right="-10"/>
              <w:rPr>
                <w:rFonts w:ascii="宋体" w:hAnsi="宋体" w:cs="宋体"/>
                <w:color w:val="auto"/>
                <w:sz w:val="24"/>
                <w:highlight w:val="none"/>
              </w:rPr>
            </w:pPr>
          </w:p>
        </w:tc>
        <w:tc>
          <w:tcPr>
            <w:tcW w:w="2371" w:type="dxa"/>
            <w:vAlign w:val="center"/>
          </w:tcPr>
          <w:p w14:paraId="0861CEF1">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749F7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774E94C5">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4</w:t>
            </w:r>
          </w:p>
        </w:tc>
        <w:tc>
          <w:tcPr>
            <w:tcW w:w="2665" w:type="dxa"/>
            <w:vAlign w:val="center"/>
          </w:tcPr>
          <w:p w14:paraId="25F4CD9F">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财务审计报告</w:t>
            </w:r>
          </w:p>
        </w:tc>
        <w:tc>
          <w:tcPr>
            <w:tcW w:w="1937" w:type="dxa"/>
            <w:vAlign w:val="center"/>
          </w:tcPr>
          <w:p w14:paraId="7E340EE8">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6C4AA6F3">
            <w:pPr>
              <w:adjustRightInd w:val="0"/>
              <w:snapToGrid w:val="0"/>
              <w:spacing w:line="360" w:lineRule="auto"/>
              <w:ind w:right="-10"/>
              <w:rPr>
                <w:rFonts w:ascii="宋体" w:hAnsi="宋体" w:cs="宋体"/>
                <w:color w:val="auto"/>
                <w:sz w:val="24"/>
                <w:highlight w:val="none"/>
              </w:rPr>
            </w:pPr>
          </w:p>
        </w:tc>
        <w:tc>
          <w:tcPr>
            <w:tcW w:w="2371" w:type="dxa"/>
            <w:vAlign w:val="center"/>
          </w:tcPr>
          <w:p w14:paraId="21584DD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66000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0134881A">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5</w:t>
            </w:r>
          </w:p>
        </w:tc>
        <w:tc>
          <w:tcPr>
            <w:tcW w:w="2665" w:type="dxa"/>
            <w:vAlign w:val="center"/>
          </w:tcPr>
          <w:p w14:paraId="5FEBAF69">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“信用中国”“中国政府采购网”查询</w:t>
            </w:r>
          </w:p>
        </w:tc>
        <w:tc>
          <w:tcPr>
            <w:tcW w:w="1937" w:type="dxa"/>
            <w:vAlign w:val="center"/>
          </w:tcPr>
          <w:p w14:paraId="7DEFD1B7">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0A1D91B0">
            <w:pPr>
              <w:adjustRightInd w:val="0"/>
              <w:snapToGrid w:val="0"/>
              <w:spacing w:line="360" w:lineRule="auto"/>
              <w:ind w:right="-10"/>
              <w:rPr>
                <w:rFonts w:ascii="宋体" w:hAnsi="宋体" w:cs="宋体"/>
                <w:color w:val="auto"/>
                <w:sz w:val="24"/>
                <w:highlight w:val="none"/>
              </w:rPr>
            </w:pPr>
          </w:p>
        </w:tc>
        <w:tc>
          <w:tcPr>
            <w:tcW w:w="2371" w:type="dxa"/>
            <w:vAlign w:val="center"/>
          </w:tcPr>
          <w:p w14:paraId="49AF609A">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7155C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692312AB">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6</w:t>
            </w:r>
          </w:p>
        </w:tc>
        <w:tc>
          <w:tcPr>
            <w:tcW w:w="2665" w:type="dxa"/>
            <w:vAlign w:val="center"/>
          </w:tcPr>
          <w:p w14:paraId="50266596">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投标文件签字盖章格式</w:t>
            </w:r>
          </w:p>
        </w:tc>
        <w:tc>
          <w:tcPr>
            <w:tcW w:w="1937" w:type="dxa"/>
            <w:vAlign w:val="center"/>
          </w:tcPr>
          <w:p w14:paraId="3977836F">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4B948C2B">
            <w:pPr>
              <w:adjustRightInd w:val="0"/>
              <w:snapToGrid w:val="0"/>
              <w:spacing w:line="360" w:lineRule="auto"/>
              <w:ind w:right="-10"/>
              <w:rPr>
                <w:rFonts w:ascii="宋体" w:hAnsi="宋体" w:cs="宋体"/>
                <w:color w:val="auto"/>
                <w:sz w:val="24"/>
                <w:highlight w:val="none"/>
              </w:rPr>
            </w:pPr>
          </w:p>
        </w:tc>
        <w:tc>
          <w:tcPr>
            <w:tcW w:w="2371" w:type="dxa"/>
            <w:vAlign w:val="center"/>
          </w:tcPr>
          <w:p w14:paraId="6923F52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7DF53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0057ACD4">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7</w:t>
            </w:r>
          </w:p>
        </w:tc>
        <w:tc>
          <w:tcPr>
            <w:tcW w:w="2665" w:type="dxa"/>
            <w:vAlign w:val="center"/>
          </w:tcPr>
          <w:p w14:paraId="2541F1BB">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合格供应商的声明函和承诺书</w:t>
            </w:r>
          </w:p>
        </w:tc>
        <w:tc>
          <w:tcPr>
            <w:tcW w:w="1937" w:type="dxa"/>
            <w:vAlign w:val="center"/>
          </w:tcPr>
          <w:p w14:paraId="6E9907C5">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077D3E26">
            <w:pPr>
              <w:adjustRightInd w:val="0"/>
              <w:snapToGrid w:val="0"/>
              <w:spacing w:line="360" w:lineRule="auto"/>
              <w:ind w:right="-10"/>
              <w:rPr>
                <w:rFonts w:ascii="宋体" w:hAnsi="宋体" w:cs="宋体"/>
                <w:color w:val="auto"/>
                <w:sz w:val="24"/>
                <w:highlight w:val="none"/>
              </w:rPr>
            </w:pPr>
          </w:p>
        </w:tc>
        <w:tc>
          <w:tcPr>
            <w:tcW w:w="2371" w:type="dxa"/>
            <w:vAlign w:val="center"/>
          </w:tcPr>
          <w:p w14:paraId="7FEFD39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61859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34EF3039">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8</w:t>
            </w:r>
          </w:p>
        </w:tc>
        <w:tc>
          <w:tcPr>
            <w:tcW w:w="2665" w:type="dxa"/>
            <w:vAlign w:val="center"/>
          </w:tcPr>
          <w:p w14:paraId="39A0553E">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lang w:val="en-US" w:eastAsia="zh-CN"/>
              </w:rPr>
              <w:t>服务</w:t>
            </w:r>
            <w:r>
              <w:rPr>
                <w:rFonts w:hint="eastAsia" w:ascii="宋体" w:hAnsi="宋体" w:cs="宋体"/>
                <w:bCs/>
                <w:color w:val="auto"/>
                <w:sz w:val="24"/>
                <w:highlight w:val="none"/>
              </w:rPr>
              <w:t>期</w:t>
            </w:r>
          </w:p>
        </w:tc>
        <w:tc>
          <w:tcPr>
            <w:tcW w:w="1937" w:type="dxa"/>
            <w:vAlign w:val="center"/>
          </w:tcPr>
          <w:p w14:paraId="05BB98ED">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18AC1BAC">
            <w:pPr>
              <w:adjustRightInd w:val="0"/>
              <w:snapToGrid w:val="0"/>
              <w:spacing w:line="360" w:lineRule="auto"/>
              <w:ind w:right="-10"/>
              <w:rPr>
                <w:rFonts w:ascii="宋体" w:hAnsi="宋体" w:cs="宋体"/>
                <w:color w:val="auto"/>
                <w:sz w:val="24"/>
                <w:highlight w:val="none"/>
              </w:rPr>
            </w:pPr>
          </w:p>
        </w:tc>
        <w:tc>
          <w:tcPr>
            <w:tcW w:w="2371" w:type="dxa"/>
            <w:vAlign w:val="center"/>
          </w:tcPr>
          <w:p w14:paraId="6DE7A2B7">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5FBAF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0704DA86">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9</w:t>
            </w:r>
          </w:p>
        </w:tc>
        <w:tc>
          <w:tcPr>
            <w:tcW w:w="2665" w:type="dxa"/>
            <w:vAlign w:val="center"/>
          </w:tcPr>
          <w:p w14:paraId="729FFD70">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投标有效期</w:t>
            </w:r>
          </w:p>
        </w:tc>
        <w:tc>
          <w:tcPr>
            <w:tcW w:w="1937" w:type="dxa"/>
            <w:vAlign w:val="center"/>
          </w:tcPr>
          <w:p w14:paraId="61CE4B3A">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635AB1E4">
            <w:pPr>
              <w:adjustRightInd w:val="0"/>
              <w:snapToGrid w:val="0"/>
              <w:spacing w:line="360" w:lineRule="auto"/>
              <w:ind w:right="-10"/>
              <w:rPr>
                <w:rFonts w:ascii="宋体" w:hAnsi="宋体" w:cs="宋体"/>
                <w:color w:val="auto"/>
                <w:sz w:val="24"/>
                <w:highlight w:val="none"/>
              </w:rPr>
            </w:pPr>
          </w:p>
        </w:tc>
        <w:tc>
          <w:tcPr>
            <w:tcW w:w="2371" w:type="dxa"/>
            <w:vAlign w:val="center"/>
          </w:tcPr>
          <w:p w14:paraId="6DDC099E">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7479E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6BAA51E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10</w:t>
            </w:r>
          </w:p>
        </w:tc>
        <w:tc>
          <w:tcPr>
            <w:tcW w:w="2665" w:type="dxa"/>
            <w:vAlign w:val="center"/>
          </w:tcPr>
          <w:p w14:paraId="75B33C79">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服务技术要求</w:t>
            </w:r>
          </w:p>
        </w:tc>
        <w:tc>
          <w:tcPr>
            <w:tcW w:w="1937" w:type="dxa"/>
            <w:vAlign w:val="center"/>
          </w:tcPr>
          <w:p w14:paraId="5FD73355">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3D8FF167">
            <w:pPr>
              <w:adjustRightInd w:val="0"/>
              <w:snapToGrid w:val="0"/>
              <w:spacing w:line="360" w:lineRule="auto"/>
              <w:ind w:right="-10"/>
              <w:rPr>
                <w:rFonts w:ascii="宋体" w:hAnsi="宋体" w:cs="宋体"/>
                <w:color w:val="auto"/>
                <w:sz w:val="24"/>
                <w:highlight w:val="none"/>
              </w:rPr>
            </w:pPr>
          </w:p>
        </w:tc>
        <w:tc>
          <w:tcPr>
            <w:tcW w:w="2371" w:type="dxa"/>
            <w:vAlign w:val="center"/>
          </w:tcPr>
          <w:p w14:paraId="77639C5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1C185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0F7F8C6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11</w:t>
            </w:r>
          </w:p>
        </w:tc>
        <w:tc>
          <w:tcPr>
            <w:tcW w:w="2665" w:type="dxa"/>
            <w:vAlign w:val="center"/>
          </w:tcPr>
          <w:p w14:paraId="566EDBCF">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其他实质性要求</w:t>
            </w:r>
          </w:p>
        </w:tc>
        <w:tc>
          <w:tcPr>
            <w:tcW w:w="1937" w:type="dxa"/>
            <w:vAlign w:val="center"/>
          </w:tcPr>
          <w:p w14:paraId="2A8B6170">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4F434655">
            <w:pPr>
              <w:adjustRightInd w:val="0"/>
              <w:snapToGrid w:val="0"/>
              <w:spacing w:line="360" w:lineRule="auto"/>
              <w:ind w:right="-10"/>
              <w:rPr>
                <w:rFonts w:ascii="宋体" w:hAnsi="宋体" w:cs="宋体"/>
                <w:color w:val="auto"/>
                <w:sz w:val="24"/>
                <w:highlight w:val="none"/>
              </w:rPr>
            </w:pPr>
          </w:p>
        </w:tc>
        <w:tc>
          <w:tcPr>
            <w:tcW w:w="2371" w:type="dxa"/>
            <w:vAlign w:val="center"/>
          </w:tcPr>
          <w:p w14:paraId="26330F98">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4C643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7BB51366">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12</w:t>
            </w:r>
          </w:p>
        </w:tc>
        <w:tc>
          <w:tcPr>
            <w:tcW w:w="2665" w:type="dxa"/>
            <w:vAlign w:val="center"/>
          </w:tcPr>
          <w:p w14:paraId="69FEF91D">
            <w:pPr>
              <w:spacing w:after="50" w:line="360" w:lineRule="auto"/>
              <w:ind w:right="-10"/>
              <w:jc w:val="center"/>
              <w:rPr>
                <w:rFonts w:ascii="宋体" w:hAnsi="宋体" w:cs="宋体"/>
                <w:bCs/>
                <w:color w:val="auto"/>
                <w:sz w:val="24"/>
                <w:highlight w:val="none"/>
              </w:rPr>
            </w:pPr>
          </w:p>
        </w:tc>
        <w:tc>
          <w:tcPr>
            <w:tcW w:w="1937" w:type="dxa"/>
            <w:vAlign w:val="center"/>
          </w:tcPr>
          <w:p w14:paraId="04EA81BD">
            <w:pPr>
              <w:spacing w:after="50" w:line="360" w:lineRule="auto"/>
              <w:ind w:right="-10"/>
              <w:jc w:val="center"/>
              <w:rPr>
                <w:rFonts w:ascii="宋体" w:hAnsi="宋体" w:cs="宋体"/>
                <w:color w:val="auto"/>
                <w:sz w:val="24"/>
                <w:highlight w:val="none"/>
              </w:rPr>
            </w:pPr>
          </w:p>
        </w:tc>
        <w:tc>
          <w:tcPr>
            <w:tcW w:w="825" w:type="dxa"/>
            <w:vAlign w:val="center"/>
          </w:tcPr>
          <w:p w14:paraId="616610B7">
            <w:pPr>
              <w:adjustRightInd w:val="0"/>
              <w:snapToGrid w:val="0"/>
              <w:spacing w:line="360" w:lineRule="auto"/>
              <w:ind w:right="-10"/>
              <w:rPr>
                <w:rFonts w:ascii="宋体" w:hAnsi="宋体" w:cs="宋体"/>
                <w:color w:val="auto"/>
                <w:sz w:val="24"/>
                <w:highlight w:val="none"/>
              </w:rPr>
            </w:pPr>
          </w:p>
        </w:tc>
        <w:tc>
          <w:tcPr>
            <w:tcW w:w="2371" w:type="dxa"/>
            <w:vAlign w:val="center"/>
          </w:tcPr>
          <w:p w14:paraId="48E95399">
            <w:pPr>
              <w:adjustRightInd w:val="0"/>
              <w:snapToGrid w:val="0"/>
              <w:spacing w:line="360" w:lineRule="auto"/>
              <w:ind w:right="-10"/>
              <w:jc w:val="center"/>
              <w:rPr>
                <w:rFonts w:ascii="宋体" w:hAnsi="宋体" w:cs="宋体"/>
                <w:color w:val="auto"/>
                <w:sz w:val="24"/>
                <w:highlight w:val="none"/>
              </w:rPr>
            </w:pPr>
          </w:p>
        </w:tc>
      </w:tr>
      <w:tr w14:paraId="03833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4AB636B9">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13</w:t>
            </w:r>
          </w:p>
        </w:tc>
        <w:tc>
          <w:tcPr>
            <w:tcW w:w="2665" w:type="dxa"/>
            <w:vAlign w:val="center"/>
          </w:tcPr>
          <w:p w14:paraId="4083600E">
            <w:pPr>
              <w:spacing w:after="50" w:line="360" w:lineRule="auto"/>
              <w:ind w:right="-10"/>
              <w:jc w:val="center"/>
              <w:rPr>
                <w:rFonts w:ascii="宋体" w:hAnsi="宋体" w:cs="宋体"/>
                <w:color w:val="auto"/>
                <w:sz w:val="24"/>
                <w:highlight w:val="none"/>
              </w:rPr>
            </w:pPr>
          </w:p>
        </w:tc>
        <w:tc>
          <w:tcPr>
            <w:tcW w:w="1937" w:type="dxa"/>
            <w:vAlign w:val="center"/>
          </w:tcPr>
          <w:p w14:paraId="40DD63B4">
            <w:pPr>
              <w:spacing w:after="50" w:line="360" w:lineRule="auto"/>
              <w:ind w:right="-10"/>
              <w:jc w:val="center"/>
              <w:rPr>
                <w:rFonts w:ascii="宋体" w:hAnsi="宋体" w:cs="宋体"/>
                <w:color w:val="auto"/>
                <w:sz w:val="24"/>
                <w:highlight w:val="none"/>
              </w:rPr>
            </w:pPr>
          </w:p>
        </w:tc>
        <w:tc>
          <w:tcPr>
            <w:tcW w:w="825" w:type="dxa"/>
            <w:vAlign w:val="center"/>
          </w:tcPr>
          <w:p w14:paraId="65CAB618">
            <w:pPr>
              <w:adjustRightInd w:val="0"/>
              <w:snapToGrid w:val="0"/>
              <w:spacing w:line="360" w:lineRule="auto"/>
              <w:ind w:right="-10"/>
              <w:rPr>
                <w:rFonts w:ascii="宋体" w:hAnsi="宋体" w:cs="宋体"/>
                <w:color w:val="auto"/>
                <w:sz w:val="24"/>
                <w:highlight w:val="none"/>
              </w:rPr>
            </w:pPr>
          </w:p>
        </w:tc>
        <w:tc>
          <w:tcPr>
            <w:tcW w:w="2371" w:type="dxa"/>
            <w:vAlign w:val="center"/>
          </w:tcPr>
          <w:p w14:paraId="33EDFED7">
            <w:pPr>
              <w:adjustRightInd w:val="0"/>
              <w:snapToGrid w:val="0"/>
              <w:spacing w:line="360" w:lineRule="auto"/>
              <w:ind w:right="-10"/>
              <w:jc w:val="center"/>
              <w:rPr>
                <w:rFonts w:ascii="宋体" w:hAnsi="宋体" w:cs="宋体"/>
                <w:color w:val="auto"/>
                <w:sz w:val="24"/>
                <w:highlight w:val="none"/>
              </w:rPr>
            </w:pPr>
          </w:p>
        </w:tc>
      </w:tr>
      <w:tr w14:paraId="4ED41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7DFDF28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14</w:t>
            </w:r>
          </w:p>
        </w:tc>
        <w:tc>
          <w:tcPr>
            <w:tcW w:w="2665" w:type="dxa"/>
            <w:vAlign w:val="center"/>
          </w:tcPr>
          <w:p w14:paraId="58200CEC">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结论</w:t>
            </w:r>
          </w:p>
        </w:tc>
        <w:tc>
          <w:tcPr>
            <w:tcW w:w="5133" w:type="dxa"/>
            <w:gridSpan w:val="3"/>
            <w:vAlign w:val="center"/>
          </w:tcPr>
          <w:p w14:paraId="302738DE">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是否通过审查</w:t>
            </w:r>
          </w:p>
        </w:tc>
      </w:tr>
    </w:tbl>
    <w:p w14:paraId="661B6C6B">
      <w:pPr>
        <w:pStyle w:val="45"/>
        <w:rPr>
          <w:rFonts w:ascii="宋体" w:hAnsi="宋体" w:cs="宋体"/>
          <w:color w:val="auto"/>
          <w:sz w:val="24"/>
          <w:szCs w:val="24"/>
          <w:highlight w:val="none"/>
        </w:rPr>
      </w:pPr>
    </w:p>
    <w:p w14:paraId="7C018746">
      <w:pPr>
        <w:pStyle w:val="45"/>
        <w:rPr>
          <w:rFonts w:ascii="宋体" w:hAnsi="宋体" w:cs="宋体"/>
          <w:color w:val="auto"/>
          <w:sz w:val="24"/>
          <w:szCs w:val="24"/>
          <w:highlight w:val="none"/>
        </w:rPr>
      </w:pPr>
    </w:p>
    <w:p w14:paraId="52CCB63F">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20.响应性文件的澄清</w:t>
      </w:r>
    </w:p>
    <w:p w14:paraId="463C4BE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30EE16E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BD1594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20.3供应商拒不进行澄清、说明、补正的，或者不能在竞争性磋商小组规定时间内作出书面澄清、说明、补正的，其响应性文件将被作为无效处理。</w:t>
      </w:r>
    </w:p>
    <w:p w14:paraId="5E142A8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20.4供应商的书面澄清材料作为响应性文件的补充。 </w:t>
      </w:r>
    </w:p>
    <w:p w14:paraId="19B74F2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20.5竞争性磋商小组不得接受供应商主动提出的澄清和解释。 </w:t>
      </w:r>
    </w:p>
    <w:p w14:paraId="0B75944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20.6并非每个供应商都将被询问、澄清。</w:t>
      </w:r>
    </w:p>
    <w:p w14:paraId="69B08CFC">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21.竞争性磋商</w:t>
      </w:r>
    </w:p>
    <w:p w14:paraId="2531147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21.1资格性审查和符合性审查合格的供应商，将进入本次竞争性磋商程序。</w:t>
      </w:r>
    </w:p>
    <w:p w14:paraId="7EE2A40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21.2竞争性磋商将按照供应商的签到顺序进行。</w:t>
      </w:r>
    </w:p>
    <w:p w14:paraId="1A4D4EA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21.3磋商内容包括：</w:t>
      </w:r>
    </w:p>
    <w:p w14:paraId="1C8CE55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21.3.1按照竞争性磋商文件中商务部分的内容，对照供应商提交的响应文件逐一进行比较各项指标和要求。</w:t>
      </w:r>
    </w:p>
    <w:p w14:paraId="6762E89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21.3.2按照竞争性磋商文件中技术部分的内容，对照供应商提交的响应文件逐一进行比较各项指标和要求。</w:t>
      </w:r>
    </w:p>
    <w:p w14:paraId="0AD4818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21.3.3按照竞争性磋商文件中合同条款部分的内容，对照供应商提交的响应文件逐一进行比较各项指标和要求。</w:t>
      </w:r>
    </w:p>
    <w:p w14:paraId="35A7E9C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21.3.4在磋商中，磋商的任何一方不得透露与磋商有关的其他供应商的技术资料及其他信息。</w:t>
      </w:r>
    </w:p>
    <w:p w14:paraId="7541C36C">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21.4</w:t>
      </w:r>
      <w:r>
        <w:rPr>
          <w:rFonts w:hint="eastAsia" w:ascii="宋体" w:hAnsi="宋体" w:cs="宋体"/>
          <w:color w:val="auto"/>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3F6279B1">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21.4.1</w:t>
      </w:r>
      <w:r>
        <w:rPr>
          <w:rFonts w:hint="eastAsia" w:ascii="宋体" w:hAnsi="宋体" w:cs="宋体"/>
          <w:color w:val="auto"/>
          <w:sz w:val="24"/>
          <w:highlight w:val="none"/>
          <w:lang w:val="zh-CN"/>
        </w:rPr>
        <w:t>对竞争性磋商文件作出实质性变动是竞争性磋商文件的有效组成部分，竞争性磋商小组应当及时以书面形式同时通知所有参加竞争性磋商的供应商。</w:t>
      </w:r>
    </w:p>
    <w:p w14:paraId="47193EF3">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21.4.2供应商应当按照竞争性磋商文件的变动情况和竞争性磋商小组的要求重新提交响应性文件，并由其法定代表人或授权代表签字或者加盖公章。</w:t>
      </w:r>
    </w:p>
    <w:p w14:paraId="7F17B547">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21.5报价</w:t>
      </w:r>
    </w:p>
    <w:p w14:paraId="0A99AEB3">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一次报价依据</w:t>
      </w:r>
      <w:r>
        <w:rPr>
          <w:rFonts w:hint="eastAsia" w:ascii="宋体" w:hAnsi="宋体" w:eastAsia="宋体" w:cs="宋体"/>
          <w:color w:val="auto"/>
          <w:sz w:val="24"/>
          <w:highlight w:val="none"/>
          <w:lang w:val="en-US" w:eastAsia="zh-CN"/>
        </w:rPr>
        <w:t>是</w:t>
      </w:r>
      <w:r>
        <w:rPr>
          <w:rFonts w:hint="eastAsia" w:ascii="宋体" w:hAnsi="宋体" w:eastAsia="宋体" w:cs="宋体"/>
          <w:color w:val="auto"/>
          <w:sz w:val="24"/>
          <w:highlight w:val="none"/>
          <w:lang w:val="zh-CN"/>
        </w:rPr>
        <w:t>供应商的投标函和开标记</w:t>
      </w:r>
      <w:r>
        <w:rPr>
          <w:rFonts w:hint="eastAsia" w:ascii="宋体" w:hAnsi="宋体" w:cs="宋体"/>
          <w:color w:val="auto"/>
          <w:sz w:val="24"/>
          <w:highlight w:val="none"/>
          <w:lang w:val="en-US" w:eastAsia="zh-CN"/>
        </w:rPr>
        <w:t>录</w:t>
      </w:r>
      <w:r>
        <w:rPr>
          <w:rFonts w:hint="eastAsia" w:ascii="宋体" w:hAnsi="宋体" w:eastAsia="宋体" w:cs="宋体"/>
          <w:color w:val="auto"/>
          <w:sz w:val="24"/>
          <w:highlight w:val="none"/>
          <w:lang w:val="zh-CN"/>
        </w:rPr>
        <w:t>。</w:t>
      </w:r>
    </w:p>
    <w:p w14:paraId="6BA1CFBC">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en-US" w:eastAsia="zh-CN"/>
        </w:rPr>
        <w:t>如有多次报价，</w:t>
      </w:r>
      <w:r>
        <w:rPr>
          <w:rFonts w:hint="eastAsia" w:ascii="宋体" w:hAnsi="宋体" w:eastAsia="宋体" w:cs="宋体"/>
          <w:color w:val="auto"/>
          <w:sz w:val="24"/>
          <w:highlight w:val="none"/>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color w:val="auto"/>
          <w:sz w:val="24"/>
          <w:highlight w:val="none"/>
          <w:lang w:val="en-US" w:eastAsia="zh-CN"/>
        </w:rPr>
        <w:t>报价次数见供应商须知前附表。</w:t>
      </w:r>
    </w:p>
    <w:p w14:paraId="6A149903">
      <w:pPr>
        <w:spacing w:line="560" w:lineRule="exact"/>
        <w:ind w:firstLine="480" w:firstLineChars="200"/>
        <w:rPr>
          <w:rFonts w:hint="default" w:eastAsia="宋体"/>
          <w:color w:val="auto"/>
          <w:sz w:val="24"/>
          <w:highlight w:val="none"/>
          <w:lang w:val="en-US" w:eastAsia="zh-CN"/>
        </w:rPr>
      </w:pPr>
      <w:r>
        <w:rPr>
          <w:rFonts w:hint="eastAsia" w:ascii="宋体" w:hAnsi="宋体" w:eastAsia="宋体" w:cs="宋体"/>
          <w:color w:val="auto"/>
          <w:sz w:val="24"/>
          <w:highlight w:val="none"/>
          <w:lang w:val="en-US" w:eastAsia="zh-CN"/>
        </w:rPr>
        <w:t>开标后请供应商在计算前等待报价，网上报价</w:t>
      </w:r>
      <w:r>
        <w:rPr>
          <w:rFonts w:hint="eastAsia" w:ascii="宋体" w:hAnsi="宋体" w:eastAsia="宋体" w:cs="宋体"/>
          <w:color w:val="auto"/>
          <w:sz w:val="24"/>
          <w:highlight w:val="none"/>
          <w:lang w:val="zh-CN" w:eastAsia="zh-CN"/>
        </w:rPr>
        <w:t>，</w:t>
      </w:r>
      <w:r>
        <w:rPr>
          <w:rFonts w:hint="eastAsia" w:ascii="宋体" w:hAnsi="宋体" w:eastAsia="宋体" w:cs="宋体"/>
          <w:color w:val="auto"/>
          <w:sz w:val="24"/>
          <w:highlight w:val="none"/>
          <w:lang w:val="zh-CN"/>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lang w:val="zh-CN"/>
        </w:rPr>
        <w:t>《投标</w:t>
      </w:r>
      <w:r>
        <w:rPr>
          <w:rFonts w:hint="eastAsia" w:ascii="宋体" w:hAnsi="宋体" w:eastAsia="宋体" w:cs="宋体"/>
          <w:color w:val="auto"/>
          <w:sz w:val="24"/>
          <w:highlight w:val="none"/>
        </w:rPr>
        <w:t>单位-电子投标文件视频制作手册》</w:t>
      </w:r>
      <w:r>
        <w:rPr>
          <w:rFonts w:hint="eastAsia" w:cs="宋体"/>
          <w:color w:val="auto"/>
          <w:sz w:val="24"/>
          <w:highlight w:val="none"/>
          <w:lang w:val="en-US" w:eastAsia="zh-CN"/>
        </w:rPr>
        <w:t>中的《周口市公共资源交易系统政府采购供应商操作手册》相关规定。</w:t>
      </w:r>
    </w:p>
    <w:p w14:paraId="34E163A4">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六、评定标准</w:t>
      </w:r>
    </w:p>
    <w:p w14:paraId="5B2B69C7">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22.竞争性磋商过程及保密原则</w:t>
      </w:r>
    </w:p>
    <w:p w14:paraId="65F64F6B">
      <w:pPr>
        <w:spacing w:line="460" w:lineRule="exact"/>
        <w:ind w:firstLine="480" w:firstLineChars="200"/>
        <w:rPr>
          <w:rFonts w:ascii="宋体" w:hAnsi="宋体" w:cs="宋体"/>
          <w:bCs/>
          <w:color w:val="auto"/>
          <w:sz w:val="24"/>
          <w:highlight w:val="none"/>
        </w:rPr>
      </w:pPr>
      <w:r>
        <w:rPr>
          <w:rFonts w:hint="eastAsia" w:ascii="宋体" w:hAnsi="宋体" w:cs="宋体"/>
          <w:bCs/>
          <w:color w:val="auto"/>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21C10372">
      <w:pPr>
        <w:spacing w:line="460" w:lineRule="exact"/>
        <w:ind w:firstLine="480" w:firstLineChars="200"/>
        <w:rPr>
          <w:rFonts w:ascii="宋体" w:hAnsi="宋体" w:cs="宋体"/>
          <w:bCs/>
          <w:color w:val="auto"/>
          <w:sz w:val="24"/>
          <w:highlight w:val="none"/>
        </w:rPr>
      </w:pPr>
      <w:r>
        <w:rPr>
          <w:rFonts w:hint="eastAsia" w:ascii="宋体" w:hAnsi="宋体" w:cs="宋体"/>
          <w:bCs/>
          <w:color w:val="auto"/>
          <w:sz w:val="24"/>
          <w:highlight w:val="none"/>
        </w:rPr>
        <w:t>采购代理机构在评标结束后</w:t>
      </w:r>
      <w:r>
        <w:rPr>
          <w:rFonts w:hint="eastAsia" w:ascii="宋体" w:hAnsi="宋体" w:cs="宋体"/>
          <w:bCs/>
          <w:color w:val="auto"/>
          <w:sz w:val="24"/>
          <w:highlight w:val="none"/>
          <w:lang w:val="en-US" w:eastAsia="zh-CN"/>
        </w:rPr>
        <w:t>1</w:t>
      </w:r>
      <w:r>
        <w:rPr>
          <w:rFonts w:hint="eastAsia" w:ascii="宋体" w:hAnsi="宋体" w:cs="宋体"/>
          <w:bCs/>
          <w:color w:val="auto"/>
          <w:sz w:val="24"/>
          <w:highlight w:val="none"/>
        </w:rPr>
        <w:t>个工作日内将评标报告送采购人。采购人自收到评标报告之日起５个工作日内，在评标报告确定的中标候选人名单中确定中标人。</w:t>
      </w:r>
    </w:p>
    <w:p w14:paraId="7F1644C4">
      <w:pPr>
        <w:pStyle w:val="16"/>
        <w:spacing w:after="0" w:line="560" w:lineRule="exact"/>
        <w:ind w:left="0" w:leftChars="0" w:firstLine="480" w:firstLineChars="200"/>
        <w:rPr>
          <w:rFonts w:ascii="宋体" w:hAnsi="宋体" w:cs="宋体"/>
          <w:bCs/>
          <w:color w:val="auto"/>
          <w:sz w:val="24"/>
          <w:highlight w:val="none"/>
        </w:rPr>
      </w:pPr>
      <w:r>
        <w:rPr>
          <w:rFonts w:hint="eastAsia" w:ascii="宋体" w:hAnsi="宋体" w:cs="宋体"/>
          <w:bCs/>
          <w:color w:val="auto"/>
          <w:sz w:val="24"/>
          <w:highlight w:val="none"/>
        </w:rPr>
        <w:t>22.2对通过初步审查的响应文件，采用百分制综合评分法进行评价。</w:t>
      </w:r>
    </w:p>
    <w:p w14:paraId="2AE554C4">
      <w:pPr>
        <w:spacing w:line="360" w:lineRule="auto"/>
        <w:ind w:right="-92" w:rightChars="-44"/>
        <w:rPr>
          <w:rFonts w:hint="eastAsia" w:ascii="宋体" w:hAnsi="宋体" w:cs="宋体"/>
          <w:color w:val="auto"/>
          <w:sz w:val="24"/>
          <w:highlight w:val="none"/>
        </w:rPr>
      </w:pPr>
      <w:r>
        <w:rPr>
          <w:rFonts w:hint="eastAsia" w:ascii="宋体" w:hAnsi="宋体" w:cs="宋体"/>
          <w:color w:val="auto"/>
          <w:sz w:val="24"/>
          <w:highlight w:val="none"/>
        </w:rPr>
        <w:t>评标方法：</w:t>
      </w:r>
    </w:p>
    <w:p w14:paraId="67F602A1">
      <w:pPr>
        <w:rPr>
          <w:rFonts w:hint="eastAsia" w:ascii="宋体" w:hAnsi="宋体" w:cs="宋体"/>
          <w:color w:val="auto"/>
          <w:sz w:val="24"/>
          <w:highlight w:val="none"/>
        </w:rPr>
      </w:pPr>
      <w:r>
        <w:rPr>
          <w:rFonts w:hint="eastAsia" w:ascii="宋体" w:hAnsi="宋体" w:cs="宋体"/>
          <w:color w:val="auto"/>
          <w:sz w:val="24"/>
          <w:highlight w:val="none"/>
        </w:rPr>
        <w:br w:type="page"/>
      </w:r>
    </w:p>
    <w:tbl>
      <w:tblPr>
        <w:tblStyle w:val="27"/>
        <w:tblW w:w="9190" w:type="dxa"/>
        <w:jc w:val="center"/>
        <w:tblLayout w:type="fixed"/>
        <w:tblCellMar>
          <w:top w:w="0" w:type="dxa"/>
          <w:left w:w="108" w:type="dxa"/>
          <w:bottom w:w="0" w:type="dxa"/>
          <w:right w:w="108" w:type="dxa"/>
        </w:tblCellMar>
      </w:tblPr>
      <w:tblGrid>
        <w:gridCol w:w="1391"/>
        <w:gridCol w:w="1693"/>
        <w:gridCol w:w="6106"/>
      </w:tblGrid>
      <w:tr w14:paraId="0025C390">
        <w:tblPrEx>
          <w:tblCellMar>
            <w:top w:w="0" w:type="dxa"/>
            <w:left w:w="108" w:type="dxa"/>
            <w:bottom w:w="0" w:type="dxa"/>
            <w:right w:w="108" w:type="dxa"/>
          </w:tblCellMar>
        </w:tblPrEx>
        <w:trPr>
          <w:trHeight w:val="607" w:hRule="atLeast"/>
          <w:jc w:val="center"/>
        </w:trPr>
        <w:tc>
          <w:tcPr>
            <w:tcW w:w="1391" w:type="dxa"/>
            <w:tcBorders>
              <w:top w:val="single" w:color="auto" w:sz="4" w:space="0"/>
              <w:left w:val="single" w:color="auto" w:sz="4" w:space="0"/>
              <w:bottom w:val="single" w:color="auto" w:sz="4" w:space="0"/>
              <w:right w:val="single" w:color="auto" w:sz="4" w:space="0"/>
            </w:tcBorders>
            <w:noWrap w:val="0"/>
            <w:vAlign w:val="center"/>
          </w:tcPr>
          <w:p w14:paraId="059C3C7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评分指标</w:t>
            </w:r>
          </w:p>
        </w:tc>
        <w:tc>
          <w:tcPr>
            <w:tcW w:w="1693" w:type="dxa"/>
            <w:tcBorders>
              <w:top w:val="single" w:color="auto" w:sz="4" w:space="0"/>
              <w:left w:val="single" w:color="auto" w:sz="4" w:space="0"/>
              <w:bottom w:val="single" w:color="auto" w:sz="4" w:space="0"/>
              <w:right w:val="single" w:color="auto" w:sz="4" w:space="0"/>
            </w:tcBorders>
            <w:noWrap w:val="0"/>
            <w:vAlign w:val="center"/>
          </w:tcPr>
          <w:p w14:paraId="6C92EE0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分值</w:t>
            </w:r>
          </w:p>
        </w:tc>
        <w:tc>
          <w:tcPr>
            <w:tcW w:w="6106" w:type="dxa"/>
            <w:tcBorders>
              <w:top w:val="single" w:color="auto" w:sz="4" w:space="0"/>
              <w:left w:val="single" w:color="auto" w:sz="4" w:space="0"/>
              <w:bottom w:val="single" w:color="auto" w:sz="4" w:space="0"/>
              <w:right w:val="single" w:color="auto" w:sz="4" w:space="0"/>
            </w:tcBorders>
            <w:noWrap w:val="0"/>
            <w:vAlign w:val="center"/>
          </w:tcPr>
          <w:p w14:paraId="42331CF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评分依据</w:t>
            </w:r>
          </w:p>
        </w:tc>
      </w:tr>
      <w:tr w14:paraId="3E26857C">
        <w:tblPrEx>
          <w:tblCellMar>
            <w:top w:w="0" w:type="dxa"/>
            <w:left w:w="108" w:type="dxa"/>
            <w:bottom w:w="0" w:type="dxa"/>
            <w:right w:w="108" w:type="dxa"/>
          </w:tblCellMar>
        </w:tblPrEx>
        <w:trPr>
          <w:trHeight w:val="7352" w:hRule="atLeast"/>
          <w:jc w:val="center"/>
        </w:trPr>
        <w:tc>
          <w:tcPr>
            <w:tcW w:w="1391" w:type="dxa"/>
            <w:tcBorders>
              <w:top w:val="single" w:color="auto" w:sz="4" w:space="0"/>
              <w:left w:val="single" w:color="auto" w:sz="4" w:space="0"/>
              <w:bottom w:val="single" w:color="auto" w:sz="4" w:space="0"/>
              <w:right w:val="single" w:color="auto" w:sz="4" w:space="0"/>
            </w:tcBorders>
            <w:noWrap w:val="0"/>
            <w:vAlign w:val="center"/>
          </w:tcPr>
          <w:p w14:paraId="0BD238C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报价得分（</w:t>
            </w: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rPr>
              <w:t>分）</w:t>
            </w:r>
          </w:p>
        </w:tc>
        <w:tc>
          <w:tcPr>
            <w:tcW w:w="1693" w:type="dxa"/>
            <w:tcBorders>
              <w:top w:val="single" w:color="auto" w:sz="4" w:space="0"/>
              <w:left w:val="single" w:color="auto" w:sz="4" w:space="0"/>
              <w:bottom w:val="single" w:color="auto" w:sz="4" w:space="0"/>
              <w:right w:val="single" w:color="auto" w:sz="4" w:space="0"/>
            </w:tcBorders>
            <w:noWrap w:val="0"/>
            <w:vAlign w:val="center"/>
          </w:tcPr>
          <w:p w14:paraId="160D39D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报价</w:t>
            </w:r>
          </w:p>
          <w:p w14:paraId="5DA6499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rPr>
              <w:t>分）</w:t>
            </w:r>
          </w:p>
        </w:tc>
        <w:tc>
          <w:tcPr>
            <w:tcW w:w="6106" w:type="dxa"/>
            <w:tcBorders>
              <w:top w:val="single" w:color="auto" w:sz="4" w:space="0"/>
              <w:left w:val="single" w:color="auto" w:sz="4" w:space="0"/>
              <w:bottom w:val="single" w:color="auto" w:sz="4" w:space="0"/>
              <w:right w:val="single" w:color="auto" w:sz="4" w:space="0"/>
            </w:tcBorders>
            <w:noWrap w:val="0"/>
            <w:vAlign w:val="center"/>
          </w:tcPr>
          <w:p w14:paraId="080D2B0E">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价格分应当采用低价优先法计算，即满足招标文件要求且投标价格最低的投标报价为评标基准价，其价格分为满分。其他投标人的价格分统一按照下列公式计算：</w:t>
            </w:r>
          </w:p>
          <w:p w14:paraId="1B6C36C5">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投标报价得分=(评标基准价／投标报价)×</w:t>
            </w:r>
            <w:r>
              <w:rPr>
                <w:rFonts w:hint="eastAsia" w:ascii="宋体" w:hAnsi="宋体" w:eastAsia="宋体" w:cs="宋体"/>
                <w:color w:val="auto"/>
                <w:sz w:val="24"/>
                <w:szCs w:val="24"/>
                <w:lang w:val="en-US" w:eastAsia="zh-CN"/>
              </w:rPr>
              <w:t>10</w:t>
            </w:r>
          </w:p>
          <w:p w14:paraId="048762EE">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注：价格分计算保留小数点后二位。</w:t>
            </w:r>
          </w:p>
          <w:p w14:paraId="04969BC9">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根据财政部关于印发《关于进一步加大政府采购支持中小企业力度的通知》（财库〔2022〕19号）文件规定：</w:t>
            </w:r>
          </w:p>
          <w:p w14:paraId="2AF1584C">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（1）对小微企业报价给予20%扣除，请按照《政府采购促进中小企 业发展管理办法》要求提供中小企业声明函。</w:t>
            </w:r>
          </w:p>
          <w:p w14:paraId="05D08B8C">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（2）关于监狱企业：视同小微企业。须提供由省级以上监狱管理局、戒毒</w:t>
            </w:r>
            <w:bookmarkStart w:id="35" w:name="_GoBack"/>
            <w:bookmarkEnd w:id="35"/>
            <w:r>
              <w:rPr>
                <w:rFonts w:hint="eastAsia" w:ascii="宋体" w:hAnsi="宋体" w:eastAsia="宋体" w:cs="宋体"/>
                <w:color w:val="auto"/>
                <w:sz w:val="24"/>
                <w:szCs w:val="24"/>
              </w:rPr>
              <w:t>管理局（含新疆生产建设兵团）出具的属于监狱企业的证明文件，否则不考虑价格扣除。</w:t>
            </w:r>
          </w:p>
          <w:p w14:paraId="376BB58E">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（3）关于残疾人福利性单位：视同小微企业。须提供完整的“残疾人福利性单位声明函”，否则在价格评审时不予考虑价格扣除。残疾人福利性单位属于小型、微型企业的，不重复享受政策。</w:t>
            </w:r>
          </w:p>
          <w:p w14:paraId="3C49B59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（4）没有提供有效证明材料的供应商将被视为不接受投标总价的扣除，用原投标总价参与评审。</w:t>
            </w:r>
          </w:p>
        </w:tc>
      </w:tr>
      <w:tr w14:paraId="1ACA9BA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355" w:hRule="atLeast"/>
          <w:jc w:val="center"/>
        </w:trPr>
        <w:tc>
          <w:tcPr>
            <w:tcW w:w="1391" w:type="dxa"/>
            <w:vMerge w:val="restart"/>
            <w:tcBorders>
              <w:top w:val="single" w:color="000000" w:sz="6" w:space="0"/>
              <w:left w:val="single" w:color="000000" w:sz="6" w:space="0"/>
              <w:bottom w:val="single" w:color="000000" w:sz="6" w:space="0"/>
              <w:right w:val="single" w:color="000000" w:sz="6" w:space="0"/>
            </w:tcBorders>
            <w:noWrap w:val="0"/>
            <w:vAlign w:val="center"/>
          </w:tcPr>
          <w:p w14:paraId="0F718935">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技术部分</w:t>
            </w:r>
          </w:p>
          <w:p w14:paraId="62CD0AFD">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55</w:t>
            </w:r>
            <w:r>
              <w:rPr>
                <w:rFonts w:hint="eastAsia" w:ascii="宋体" w:hAnsi="宋体" w:eastAsia="宋体" w:cs="宋体"/>
                <w:color w:val="auto"/>
                <w:sz w:val="24"/>
                <w:szCs w:val="24"/>
              </w:rPr>
              <w:t>分）</w:t>
            </w:r>
          </w:p>
        </w:tc>
        <w:tc>
          <w:tcPr>
            <w:tcW w:w="1693" w:type="dxa"/>
            <w:tcBorders>
              <w:top w:val="single" w:color="000000" w:sz="6" w:space="0"/>
              <w:left w:val="single" w:color="000000" w:sz="6" w:space="0"/>
              <w:bottom w:val="single" w:color="000000" w:sz="6" w:space="0"/>
              <w:right w:val="single" w:color="auto" w:sz="4" w:space="0"/>
            </w:tcBorders>
            <w:noWrap w:val="0"/>
            <w:vAlign w:val="center"/>
          </w:tcPr>
          <w:p w14:paraId="473FD1BE">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pacing w:val="-2"/>
                <w:sz w:val="24"/>
                <w:szCs w:val="24"/>
                <w:highlight w:val="none"/>
              </w:rPr>
              <w:t>对招标项目</w:t>
            </w:r>
            <w:r>
              <w:rPr>
                <w:rFonts w:hint="eastAsia" w:ascii="宋体" w:hAnsi="宋体" w:eastAsia="宋体" w:cs="宋体"/>
                <w:color w:val="auto"/>
                <w:spacing w:val="-6"/>
                <w:sz w:val="24"/>
                <w:szCs w:val="24"/>
                <w:highlight w:val="none"/>
              </w:rPr>
              <w:t>的理解和总</w:t>
            </w:r>
            <w:r>
              <w:rPr>
                <w:rFonts w:hint="eastAsia" w:ascii="宋体" w:hAnsi="宋体" w:eastAsia="宋体" w:cs="宋体"/>
                <w:color w:val="auto"/>
                <w:spacing w:val="-4"/>
                <w:sz w:val="24"/>
                <w:szCs w:val="24"/>
                <w:highlight w:val="none"/>
              </w:rPr>
              <w:t>体思路</w:t>
            </w:r>
            <w:r>
              <w:rPr>
                <w:rFonts w:hint="eastAsia" w:ascii="宋体" w:hAnsi="宋体" w:eastAsia="宋体" w:cs="宋体"/>
                <w:color w:val="auto"/>
                <w:sz w:val="24"/>
                <w:szCs w:val="24"/>
                <w:highlight w:val="none"/>
              </w:rPr>
              <w:t>（15分）</w:t>
            </w:r>
          </w:p>
        </w:tc>
        <w:tc>
          <w:tcPr>
            <w:tcW w:w="6106" w:type="dxa"/>
            <w:tcBorders>
              <w:top w:val="single" w:color="000000" w:sz="6" w:space="0"/>
              <w:left w:val="single" w:color="auto" w:sz="4" w:space="0"/>
              <w:bottom w:val="single" w:color="000000" w:sz="6" w:space="0"/>
              <w:right w:val="single" w:color="000000" w:sz="6" w:space="0"/>
            </w:tcBorders>
            <w:noWrap w:val="0"/>
            <w:vAlign w:val="center"/>
          </w:tcPr>
          <w:p w14:paraId="39A0BC69">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highlight w:val="none"/>
              </w:rPr>
              <w:t>供应商提供对招标项目的理解和总体思路的得15分</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每有一处缺陷</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缺陷是指凭空编造、只有简单描述无实质性内容，内容前后不一致、前后逻辑错误、涉及的规范及标准错误、内容缺失、</w:t>
            </w:r>
            <w:r>
              <w:rPr>
                <w:rFonts w:hint="eastAsia" w:ascii="宋体" w:hAnsi="宋体" w:eastAsia="宋体" w:cs="宋体"/>
                <w:color w:val="auto"/>
                <w:sz w:val="24"/>
                <w:szCs w:val="24"/>
                <w:highlight w:val="none"/>
                <w:lang w:val="en-US" w:eastAsia="zh-CN"/>
              </w:rPr>
              <w:t>内容简单及</w:t>
            </w:r>
            <w:r>
              <w:rPr>
                <w:rFonts w:hint="eastAsia" w:ascii="宋体" w:hAnsi="宋体" w:eastAsia="宋体" w:cs="宋体"/>
                <w:color w:val="auto"/>
                <w:sz w:val="24"/>
                <w:szCs w:val="24"/>
                <w:highlight w:val="none"/>
              </w:rPr>
              <w:t>提供内容不符合本项目特点</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的</w:t>
            </w:r>
            <w:r>
              <w:rPr>
                <w:rFonts w:hint="eastAsia" w:ascii="宋体" w:hAnsi="宋体" w:eastAsia="宋体" w:cs="宋体"/>
                <w:color w:val="auto"/>
                <w:sz w:val="24"/>
                <w:szCs w:val="24"/>
                <w:highlight w:val="none"/>
              </w:rPr>
              <w:t>扣</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 xml:space="preserve"> 分，扣完为止</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不提供不得分。</w:t>
            </w:r>
          </w:p>
        </w:tc>
      </w:tr>
      <w:tr w14:paraId="43AF523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037" w:hRule="atLeast"/>
          <w:jc w:val="center"/>
        </w:trPr>
        <w:tc>
          <w:tcPr>
            <w:tcW w:w="1391" w:type="dxa"/>
            <w:vMerge w:val="continue"/>
            <w:tcBorders>
              <w:top w:val="single" w:color="000000" w:sz="6" w:space="0"/>
              <w:left w:val="single" w:color="000000" w:sz="6" w:space="0"/>
              <w:bottom w:val="single" w:color="000000" w:sz="6" w:space="0"/>
              <w:right w:val="single" w:color="000000" w:sz="6" w:space="0"/>
            </w:tcBorders>
            <w:noWrap w:val="0"/>
            <w:vAlign w:val="top"/>
          </w:tcPr>
          <w:p w14:paraId="2C8F5497">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sz w:val="24"/>
                <w:szCs w:val="24"/>
              </w:rPr>
            </w:pPr>
          </w:p>
        </w:tc>
        <w:tc>
          <w:tcPr>
            <w:tcW w:w="1693" w:type="dxa"/>
            <w:tcBorders>
              <w:top w:val="single" w:color="000000" w:sz="6" w:space="0"/>
              <w:left w:val="single" w:color="000000" w:sz="6" w:space="0"/>
              <w:bottom w:val="single" w:color="000000" w:sz="6" w:space="0"/>
              <w:right w:val="single" w:color="auto" w:sz="4" w:space="0"/>
            </w:tcBorders>
            <w:noWrap w:val="0"/>
            <w:vAlign w:val="center"/>
          </w:tcPr>
          <w:p w14:paraId="1F9744E0">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对招标项目设计的特点、关键技术问题的认识及其对策措施</w:t>
            </w:r>
          </w:p>
          <w:p w14:paraId="327755BE">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（10分</w:t>
            </w:r>
            <w:r>
              <w:rPr>
                <w:rFonts w:hint="eastAsia" w:ascii="宋体" w:hAnsi="宋体" w:eastAsia="宋体" w:cs="宋体"/>
                <w:color w:val="auto"/>
                <w:sz w:val="24"/>
                <w:szCs w:val="24"/>
                <w:lang w:eastAsia="zh-CN"/>
              </w:rPr>
              <w:t>）</w:t>
            </w:r>
          </w:p>
        </w:tc>
        <w:tc>
          <w:tcPr>
            <w:tcW w:w="6106" w:type="dxa"/>
            <w:tcBorders>
              <w:top w:val="single" w:color="000000" w:sz="6" w:space="0"/>
              <w:left w:val="single" w:color="auto" w:sz="4" w:space="0"/>
              <w:bottom w:val="single" w:color="000000" w:sz="6" w:space="0"/>
              <w:right w:val="single" w:color="000000" w:sz="6" w:space="0"/>
            </w:tcBorders>
            <w:noWrap w:val="0"/>
            <w:vAlign w:val="center"/>
          </w:tcPr>
          <w:p w14:paraId="196C299A">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供应商提供</w:t>
            </w:r>
            <w:r>
              <w:rPr>
                <w:rFonts w:hint="eastAsia" w:ascii="宋体" w:hAnsi="宋体" w:eastAsia="宋体" w:cs="宋体"/>
                <w:color w:val="auto"/>
                <w:sz w:val="24"/>
                <w:szCs w:val="24"/>
                <w:lang w:val="en-US" w:eastAsia="zh-CN"/>
              </w:rPr>
              <w:t>对招标</w:t>
            </w:r>
            <w:r>
              <w:rPr>
                <w:rFonts w:hint="eastAsia" w:ascii="宋体" w:hAnsi="宋体" w:eastAsia="宋体" w:cs="宋体"/>
                <w:color w:val="auto"/>
                <w:sz w:val="24"/>
                <w:szCs w:val="24"/>
              </w:rPr>
              <w:t>项目设计的特点、关键技术问题的认识及其对应措施的得10分</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每有一处缺陷</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缺陷是指凭空编造、只有简单描述无实质性内容，内容前后不一致、前后逻辑错误、涉及的规范及标准错误、内容缺失、</w:t>
            </w:r>
            <w:r>
              <w:rPr>
                <w:rFonts w:hint="eastAsia" w:ascii="宋体" w:hAnsi="宋体" w:eastAsia="宋体" w:cs="宋体"/>
                <w:color w:val="auto"/>
                <w:sz w:val="24"/>
                <w:szCs w:val="24"/>
                <w:highlight w:val="none"/>
                <w:lang w:val="en-US" w:eastAsia="zh-CN"/>
              </w:rPr>
              <w:t>内容简单及</w:t>
            </w:r>
            <w:r>
              <w:rPr>
                <w:rFonts w:hint="eastAsia" w:ascii="宋体" w:hAnsi="宋体" w:eastAsia="宋体" w:cs="宋体"/>
                <w:color w:val="auto"/>
                <w:sz w:val="24"/>
                <w:szCs w:val="24"/>
                <w:highlight w:val="none"/>
              </w:rPr>
              <w:t>提供内容不符合本项目特点</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的</w:t>
            </w:r>
            <w:r>
              <w:rPr>
                <w:rFonts w:hint="eastAsia" w:ascii="宋体" w:hAnsi="宋体" w:eastAsia="宋体" w:cs="宋体"/>
                <w:color w:val="auto"/>
                <w:sz w:val="24"/>
                <w:szCs w:val="24"/>
                <w:highlight w:val="none"/>
              </w:rPr>
              <w:t>扣</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分，扣完为止</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不提供不得分。</w:t>
            </w:r>
          </w:p>
        </w:tc>
      </w:tr>
      <w:tr w14:paraId="4472765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325" w:hRule="atLeast"/>
          <w:jc w:val="center"/>
        </w:trPr>
        <w:tc>
          <w:tcPr>
            <w:tcW w:w="1391" w:type="dxa"/>
            <w:vMerge w:val="continue"/>
            <w:tcBorders>
              <w:top w:val="single" w:color="000000" w:sz="6" w:space="0"/>
              <w:left w:val="single" w:color="000000" w:sz="6" w:space="0"/>
              <w:bottom w:val="single" w:color="000000" w:sz="6" w:space="0"/>
              <w:right w:val="single" w:color="000000" w:sz="6" w:space="0"/>
            </w:tcBorders>
            <w:noWrap w:val="0"/>
            <w:vAlign w:val="top"/>
          </w:tcPr>
          <w:p w14:paraId="0B9FE39C">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sz w:val="24"/>
                <w:szCs w:val="24"/>
              </w:rPr>
            </w:pPr>
          </w:p>
        </w:tc>
        <w:tc>
          <w:tcPr>
            <w:tcW w:w="1693" w:type="dxa"/>
            <w:tcBorders>
              <w:top w:val="single" w:color="000000" w:sz="6" w:space="0"/>
              <w:left w:val="single" w:color="000000" w:sz="6" w:space="0"/>
              <w:bottom w:val="single" w:color="000000" w:sz="6" w:space="0"/>
              <w:right w:val="single" w:color="auto" w:sz="4" w:space="0"/>
            </w:tcBorders>
            <w:noWrap w:val="0"/>
            <w:vAlign w:val="center"/>
          </w:tcPr>
          <w:p w14:paraId="789A22DA">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设计工作量及计划安排</w:t>
            </w:r>
          </w:p>
          <w:p w14:paraId="3C2E5EBB">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highlight w:val="none"/>
              </w:rPr>
              <w:t>（10分）</w:t>
            </w:r>
          </w:p>
        </w:tc>
        <w:tc>
          <w:tcPr>
            <w:tcW w:w="6106" w:type="dxa"/>
            <w:tcBorders>
              <w:top w:val="single" w:color="000000" w:sz="6" w:space="0"/>
              <w:left w:val="single" w:color="auto" w:sz="4" w:space="0"/>
              <w:bottom w:val="single" w:color="000000" w:sz="6" w:space="0"/>
              <w:right w:val="single" w:color="000000" w:sz="6" w:space="0"/>
            </w:tcBorders>
            <w:noWrap w:val="0"/>
            <w:vAlign w:val="center"/>
          </w:tcPr>
          <w:p w14:paraId="2A36D63B">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highlight w:val="none"/>
              </w:rPr>
              <w:t>供应商提供设计工作量及计划安排的得10分</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每有一处缺陷</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缺陷是指凭空编造、只有简单描述无实质性内容，内容前后不一致、前后逻辑错误、涉及的规范及标准错误、内容缺失、</w:t>
            </w:r>
            <w:r>
              <w:rPr>
                <w:rFonts w:hint="eastAsia" w:ascii="宋体" w:hAnsi="宋体" w:eastAsia="宋体" w:cs="宋体"/>
                <w:color w:val="auto"/>
                <w:sz w:val="24"/>
                <w:szCs w:val="24"/>
                <w:highlight w:val="none"/>
                <w:lang w:val="en-US" w:eastAsia="zh-CN"/>
              </w:rPr>
              <w:t>内容简单及</w:t>
            </w:r>
            <w:r>
              <w:rPr>
                <w:rFonts w:hint="eastAsia" w:ascii="宋体" w:hAnsi="宋体" w:eastAsia="宋体" w:cs="宋体"/>
                <w:color w:val="auto"/>
                <w:sz w:val="24"/>
                <w:szCs w:val="24"/>
                <w:highlight w:val="none"/>
              </w:rPr>
              <w:t>提供内容不符合本项目特点</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的</w:t>
            </w:r>
            <w:r>
              <w:rPr>
                <w:rFonts w:hint="eastAsia" w:ascii="宋体" w:hAnsi="宋体" w:eastAsia="宋体" w:cs="宋体"/>
                <w:color w:val="auto"/>
                <w:sz w:val="24"/>
                <w:szCs w:val="24"/>
                <w:highlight w:val="none"/>
              </w:rPr>
              <w:t>扣</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 xml:space="preserve"> 分，扣完为止</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不提供不得分。</w:t>
            </w:r>
          </w:p>
        </w:tc>
      </w:tr>
      <w:tr w14:paraId="1E28533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125" w:hRule="atLeast"/>
          <w:jc w:val="center"/>
        </w:trPr>
        <w:tc>
          <w:tcPr>
            <w:tcW w:w="1391" w:type="dxa"/>
            <w:vMerge w:val="continue"/>
            <w:tcBorders>
              <w:top w:val="single" w:color="000000" w:sz="6" w:space="0"/>
              <w:left w:val="single" w:color="000000" w:sz="6" w:space="0"/>
              <w:bottom w:val="single" w:color="000000" w:sz="6" w:space="0"/>
              <w:right w:val="single" w:color="000000" w:sz="6" w:space="0"/>
            </w:tcBorders>
            <w:noWrap w:val="0"/>
            <w:vAlign w:val="top"/>
          </w:tcPr>
          <w:p w14:paraId="31473703">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sz w:val="24"/>
                <w:szCs w:val="24"/>
              </w:rPr>
            </w:pPr>
          </w:p>
        </w:tc>
        <w:tc>
          <w:tcPr>
            <w:tcW w:w="1693" w:type="dxa"/>
            <w:tcBorders>
              <w:top w:val="single" w:color="000000" w:sz="6" w:space="0"/>
              <w:left w:val="single" w:color="000000" w:sz="6" w:space="0"/>
              <w:bottom w:val="single" w:color="000000" w:sz="6" w:space="0"/>
              <w:right w:val="single" w:color="auto" w:sz="4" w:space="0"/>
            </w:tcBorders>
            <w:noWrap w:val="0"/>
            <w:vAlign w:val="center"/>
          </w:tcPr>
          <w:p w14:paraId="0A01900F">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设计的质量保证措施、进度保证措施</w:t>
            </w:r>
          </w:p>
          <w:p w14:paraId="4F14AFBF">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highlight w:val="none"/>
              </w:rPr>
              <w:t>（10分）</w:t>
            </w:r>
          </w:p>
        </w:tc>
        <w:tc>
          <w:tcPr>
            <w:tcW w:w="6106" w:type="dxa"/>
            <w:tcBorders>
              <w:top w:val="single" w:color="000000" w:sz="6" w:space="0"/>
              <w:left w:val="single" w:color="auto" w:sz="4" w:space="0"/>
              <w:bottom w:val="single" w:color="000000" w:sz="6" w:space="0"/>
              <w:right w:val="single" w:color="000000" w:sz="6" w:space="0"/>
            </w:tcBorders>
            <w:noWrap w:val="0"/>
            <w:vAlign w:val="center"/>
          </w:tcPr>
          <w:p w14:paraId="38E09A28">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highlight w:val="none"/>
              </w:rPr>
              <w:t>供应商提供设计的质量保证措施、进度保证措施的得10分</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每有一处缺陷</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缺陷是指凭空编造、只有简单描述无实质性内容，内容前后不一致、前后逻辑错误、涉及的规范及标准错误、内容缺失、</w:t>
            </w:r>
            <w:r>
              <w:rPr>
                <w:rFonts w:hint="eastAsia" w:ascii="宋体" w:hAnsi="宋体" w:eastAsia="宋体" w:cs="宋体"/>
                <w:color w:val="auto"/>
                <w:sz w:val="24"/>
                <w:szCs w:val="24"/>
                <w:highlight w:val="none"/>
                <w:lang w:val="en-US" w:eastAsia="zh-CN"/>
              </w:rPr>
              <w:t>内容简单及</w:t>
            </w:r>
            <w:r>
              <w:rPr>
                <w:rFonts w:hint="eastAsia" w:ascii="宋体" w:hAnsi="宋体" w:eastAsia="宋体" w:cs="宋体"/>
                <w:color w:val="auto"/>
                <w:sz w:val="24"/>
                <w:szCs w:val="24"/>
                <w:highlight w:val="none"/>
              </w:rPr>
              <w:t>提供内容不符合本项目特点</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的</w:t>
            </w:r>
            <w:r>
              <w:rPr>
                <w:rFonts w:hint="eastAsia" w:ascii="宋体" w:hAnsi="宋体" w:eastAsia="宋体" w:cs="宋体"/>
                <w:color w:val="auto"/>
                <w:sz w:val="24"/>
                <w:szCs w:val="24"/>
                <w:highlight w:val="none"/>
              </w:rPr>
              <w:t>扣</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 xml:space="preserve"> 分，扣完为止</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不提供不得分。</w:t>
            </w:r>
          </w:p>
        </w:tc>
      </w:tr>
      <w:tr w14:paraId="4E0620E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352" w:hRule="atLeast"/>
          <w:jc w:val="center"/>
        </w:trPr>
        <w:tc>
          <w:tcPr>
            <w:tcW w:w="1391" w:type="dxa"/>
            <w:vMerge w:val="continue"/>
            <w:tcBorders>
              <w:top w:val="single" w:color="000000" w:sz="6" w:space="0"/>
              <w:left w:val="single" w:color="000000" w:sz="6" w:space="0"/>
              <w:bottom w:val="single" w:color="000000" w:sz="6" w:space="0"/>
              <w:right w:val="single" w:color="000000" w:sz="6" w:space="0"/>
            </w:tcBorders>
            <w:noWrap w:val="0"/>
            <w:vAlign w:val="top"/>
          </w:tcPr>
          <w:p w14:paraId="609AFA0D">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sz w:val="24"/>
                <w:szCs w:val="24"/>
              </w:rPr>
            </w:pPr>
          </w:p>
        </w:tc>
        <w:tc>
          <w:tcPr>
            <w:tcW w:w="1693" w:type="dxa"/>
            <w:tcBorders>
              <w:top w:val="single" w:color="000000" w:sz="6" w:space="0"/>
              <w:left w:val="single" w:color="000000" w:sz="6" w:space="0"/>
              <w:bottom w:val="single" w:color="000000" w:sz="6" w:space="0"/>
              <w:right w:val="single" w:color="auto" w:sz="4" w:space="0"/>
            </w:tcBorders>
            <w:noWrap w:val="0"/>
            <w:vAlign w:val="center"/>
          </w:tcPr>
          <w:p w14:paraId="065808B9">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后续服务的安排及保证措施</w:t>
            </w:r>
          </w:p>
          <w:p w14:paraId="0101CFE2">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highlight w:val="none"/>
              </w:rPr>
              <w:t>（10分）</w:t>
            </w:r>
          </w:p>
        </w:tc>
        <w:tc>
          <w:tcPr>
            <w:tcW w:w="6106" w:type="dxa"/>
            <w:tcBorders>
              <w:top w:val="single" w:color="000000" w:sz="6" w:space="0"/>
              <w:left w:val="single" w:color="auto" w:sz="4" w:space="0"/>
              <w:bottom w:val="single" w:color="000000" w:sz="6" w:space="0"/>
              <w:right w:val="single" w:color="000000" w:sz="6" w:space="0"/>
            </w:tcBorders>
            <w:noWrap w:val="0"/>
            <w:vAlign w:val="center"/>
          </w:tcPr>
          <w:p w14:paraId="77097C0A">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供应商提供后续服务的安排及保证措施的得10分。</w:t>
            </w:r>
            <w:r>
              <w:rPr>
                <w:rFonts w:hint="eastAsia" w:ascii="宋体" w:hAnsi="宋体" w:eastAsia="宋体" w:cs="宋体"/>
                <w:color w:val="auto"/>
                <w:sz w:val="24"/>
                <w:szCs w:val="24"/>
                <w:highlight w:val="none"/>
              </w:rPr>
              <w:t>每有一处缺陷</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缺陷是指凭空编造、只有简单描述无实质性内容，内容前后不一致、前后逻辑错误、涉及的规范及标准错误、内容缺失、</w:t>
            </w:r>
            <w:r>
              <w:rPr>
                <w:rFonts w:hint="eastAsia" w:ascii="宋体" w:hAnsi="宋体" w:eastAsia="宋体" w:cs="宋体"/>
                <w:color w:val="auto"/>
                <w:sz w:val="24"/>
                <w:szCs w:val="24"/>
                <w:highlight w:val="none"/>
                <w:lang w:val="en-US" w:eastAsia="zh-CN"/>
              </w:rPr>
              <w:t>内容简单及</w:t>
            </w:r>
            <w:r>
              <w:rPr>
                <w:rFonts w:hint="eastAsia" w:ascii="宋体" w:hAnsi="宋体" w:eastAsia="宋体" w:cs="宋体"/>
                <w:color w:val="auto"/>
                <w:sz w:val="24"/>
                <w:szCs w:val="24"/>
                <w:highlight w:val="none"/>
              </w:rPr>
              <w:t>提供内容不符合本项目特点</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的</w:t>
            </w:r>
            <w:r>
              <w:rPr>
                <w:rFonts w:hint="eastAsia" w:ascii="宋体" w:hAnsi="宋体" w:eastAsia="宋体" w:cs="宋体"/>
                <w:color w:val="auto"/>
                <w:sz w:val="24"/>
                <w:szCs w:val="24"/>
                <w:highlight w:val="none"/>
              </w:rPr>
              <w:t>扣</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 xml:space="preserve"> 分，扣完为止</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不提供不得分。</w:t>
            </w:r>
          </w:p>
        </w:tc>
      </w:tr>
      <w:tr w14:paraId="5DD50F0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398" w:hRule="atLeast"/>
          <w:jc w:val="center"/>
        </w:trPr>
        <w:tc>
          <w:tcPr>
            <w:tcW w:w="1391" w:type="dxa"/>
            <w:vMerge w:val="restart"/>
            <w:tcBorders>
              <w:top w:val="single" w:color="000000" w:sz="6" w:space="0"/>
              <w:left w:val="single" w:color="000000" w:sz="6" w:space="0"/>
              <w:right w:val="single" w:color="000000" w:sz="6" w:space="0"/>
            </w:tcBorders>
            <w:noWrap w:val="0"/>
            <w:vAlign w:val="center"/>
          </w:tcPr>
          <w:p w14:paraId="654FE81E">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商务</w:t>
            </w:r>
            <w:r>
              <w:rPr>
                <w:rFonts w:hint="eastAsia" w:ascii="宋体" w:hAnsi="宋体" w:eastAsia="宋体" w:cs="宋体"/>
                <w:color w:val="auto"/>
                <w:sz w:val="24"/>
                <w:szCs w:val="24"/>
                <w:lang w:eastAsia="zh-CN"/>
              </w:rPr>
              <w:t>部分</w:t>
            </w:r>
          </w:p>
          <w:p w14:paraId="27282DC2">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35</w:t>
            </w:r>
            <w:r>
              <w:rPr>
                <w:rFonts w:hint="eastAsia" w:ascii="宋体" w:hAnsi="宋体" w:eastAsia="宋体" w:cs="宋体"/>
                <w:color w:val="auto"/>
                <w:sz w:val="24"/>
                <w:szCs w:val="24"/>
              </w:rPr>
              <w:t>分）</w:t>
            </w:r>
          </w:p>
        </w:tc>
        <w:tc>
          <w:tcPr>
            <w:tcW w:w="1693" w:type="dxa"/>
            <w:tcBorders>
              <w:top w:val="single" w:color="000000" w:sz="6" w:space="0"/>
              <w:left w:val="single" w:color="000000" w:sz="6" w:space="0"/>
              <w:bottom w:val="single" w:color="auto" w:sz="4" w:space="0"/>
              <w:right w:val="single" w:color="auto" w:sz="4" w:space="0"/>
            </w:tcBorders>
            <w:noWrap w:val="0"/>
            <w:vAlign w:val="center"/>
          </w:tcPr>
          <w:p w14:paraId="168BBF3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120" w:afterAutospacing="0" w:line="288" w:lineRule="auto"/>
              <w:ind w:left="0" w:right="-21"/>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企业业绩</w:t>
            </w:r>
          </w:p>
          <w:p w14:paraId="12896FC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120" w:afterAutospacing="0" w:line="288" w:lineRule="auto"/>
              <w:ind w:left="0" w:right="-21"/>
              <w:jc w:val="center"/>
              <w:textAlignment w:val="auto"/>
              <w:rPr>
                <w:rFonts w:hint="eastAsia" w:ascii="宋体" w:hAnsi="宋体" w:eastAsia="宋体" w:cs="宋体"/>
                <w:color w:val="auto"/>
                <w:sz w:val="24"/>
                <w:szCs w:val="24"/>
                <w:lang w:eastAsia="en-US"/>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分）</w:t>
            </w:r>
          </w:p>
        </w:tc>
        <w:tc>
          <w:tcPr>
            <w:tcW w:w="6106" w:type="dxa"/>
            <w:tcBorders>
              <w:top w:val="single" w:color="000000" w:sz="6" w:space="0"/>
              <w:left w:val="single" w:color="auto" w:sz="4" w:space="0"/>
              <w:bottom w:val="single" w:color="auto" w:sz="4" w:space="0"/>
              <w:right w:val="single" w:color="000000" w:sz="6" w:space="0"/>
            </w:tcBorders>
            <w:noWrap w:val="0"/>
            <w:vAlign w:val="center"/>
          </w:tcPr>
          <w:p w14:paraId="3611E6D2">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供应商自2023年1月1日以来（以合同签订日为准）承担过类似项目的设计业绩的，每有一项得3分，最多得6分。</w:t>
            </w:r>
          </w:p>
          <w:p w14:paraId="538D583F">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（提供项目完整合同扫描件或中标通知书，没有不得分）。</w:t>
            </w:r>
          </w:p>
        </w:tc>
      </w:tr>
      <w:tr w14:paraId="5FC1342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886" w:hRule="atLeast"/>
          <w:jc w:val="center"/>
        </w:trPr>
        <w:tc>
          <w:tcPr>
            <w:tcW w:w="1391" w:type="dxa"/>
            <w:vMerge w:val="continue"/>
            <w:tcBorders>
              <w:left w:val="single" w:color="000000" w:sz="6" w:space="0"/>
              <w:right w:val="single" w:color="000000" w:sz="6" w:space="0"/>
            </w:tcBorders>
            <w:noWrap w:val="0"/>
            <w:vAlign w:val="center"/>
          </w:tcPr>
          <w:p w14:paraId="53A83B48">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sz w:val="24"/>
                <w:szCs w:val="24"/>
              </w:rPr>
            </w:pPr>
          </w:p>
        </w:tc>
        <w:tc>
          <w:tcPr>
            <w:tcW w:w="1693" w:type="dxa"/>
            <w:tcBorders>
              <w:top w:val="single" w:color="auto" w:sz="4" w:space="0"/>
              <w:left w:val="single" w:color="000000" w:sz="6" w:space="0"/>
              <w:right w:val="single" w:color="auto" w:sz="4" w:space="0"/>
            </w:tcBorders>
            <w:noWrap w:val="0"/>
            <w:vAlign w:val="center"/>
          </w:tcPr>
          <w:p w14:paraId="011FBA56">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企业实力</w:t>
            </w:r>
          </w:p>
          <w:p w14:paraId="64B6BF97">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z w:val="24"/>
                <w:szCs w:val="24"/>
                <w:lang w:eastAsia="en-US"/>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p>
        </w:tc>
        <w:tc>
          <w:tcPr>
            <w:tcW w:w="6106" w:type="dxa"/>
            <w:tcBorders>
              <w:top w:val="single" w:color="auto" w:sz="4" w:space="0"/>
              <w:left w:val="single" w:color="auto" w:sz="4" w:space="0"/>
              <w:bottom w:val="single" w:color="000000" w:sz="6" w:space="0"/>
              <w:right w:val="single" w:color="000000" w:sz="6" w:space="0"/>
            </w:tcBorders>
            <w:noWrap w:val="0"/>
            <w:vAlign w:val="center"/>
          </w:tcPr>
          <w:p w14:paraId="308077E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line="288" w:lineRule="auto"/>
              <w:ind w:left="0" w:leftChars="0" w:right="0" w:right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1、除项目负责人外：</w:t>
            </w:r>
          </w:p>
          <w:p w14:paraId="1EAF55A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line="288" w:lineRule="auto"/>
              <w:ind w:left="0" w:leftChars="0" w:right="0" w:right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专业负责人：建筑专业负责人、结构专业负责人、电气专业负责人、给排水专业负责人、暖通专业负责人分项负责人，均应具备相应专业中级及以上技术职称或注册证书；各专业均具备的得10分；缺一专业人员扣2分，扣完为止。</w:t>
            </w:r>
          </w:p>
          <w:p w14:paraId="7E246DDF">
            <w:pPr>
              <w:keepNext w:val="0"/>
              <w:keepLines w:val="0"/>
              <w:pageBreakBefore w:val="0"/>
              <w:widowControl w:val="0"/>
              <w:kinsoku/>
              <w:wordWrap/>
              <w:overflowPunct/>
              <w:topLinePunct w:val="0"/>
              <w:autoSpaceDE/>
              <w:autoSpaceDN/>
              <w:bidi w:val="0"/>
              <w:adjustRightInd w:val="0"/>
              <w:snapToGrid w:val="0"/>
              <w:spacing w:line="288" w:lineRule="auto"/>
              <w:ind w:right="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备注：</w:t>
            </w:r>
            <w:r>
              <w:rPr>
                <w:rFonts w:hint="eastAsia" w:ascii="宋体" w:hAnsi="宋体" w:eastAsia="宋体" w:cs="宋体"/>
                <w:color w:val="auto"/>
                <w:sz w:val="24"/>
                <w:szCs w:val="24"/>
                <w:highlight w:val="none"/>
              </w:rPr>
              <w:t>以上人员不重复计分，响应文件中须附职称证书、毕业证、本单位近半年以来任意一个月为其缴纳社保证明材料，不足一个月的从入职当月起提供</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退休人员需提供返聘证明</w:t>
            </w:r>
            <w:r>
              <w:rPr>
                <w:rFonts w:hint="eastAsia" w:ascii="宋体" w:hAnsi="宋体" w:eastAsia="宋体" w:cs="宋体"/>
                <w:color w:val="auto"/>
                <w:sz w:val="24"/>
                <w:szCs w:val="24"/>
                <w:highlight w:val="none"/>
              </w:rPr>
              <w:t>）。</w:t>
            </w:r>
          </w:p>
        </w:tc>
      </w:tr>
      <w:tr w14:paraId="0558AC9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943" w:hRule="atLeast"/>
          <w:jc w:val="center"/>
        </w:trPr>
        <w:tc>
          <w:tcPr>
            <w:tcW w:w="1391" w:type="dxa"/>
            <w:vMerge w:val="continue"/>
            <w:tcBorders>
              <w:left w:val="single" w:color="000000" w:sz="6" w:space="0"/>
              <w:right w:val="single" w:color="000000" w:sz="6" w:space="0"/>
            </w:tcBorders>
            <w:noWrap w:val="0"/>
            <w:vAlign w:val="center"/>
          </w:tcPr>
          <w:p w14:paraId="5A868C29">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sz w:val="24"/>
                <w:szCs w:val="24"/>
              </w:rPr>
            </w:pPr>
          </w:p>
        </w:tc>
        <w:tc>
          <w:tcPr>
            <w:tcW w:w="1693" w:type="dxa"/>
            <w:tcBorders>
              <w:top w:val="single" w:color="000000" w:sz="6" w:space="0"/>
              <w:left w:val="single" w:color="000000" w:sz="6" w:space="0"/>
              <w:bottom w:val="single" w:color="000000" w:sz="6" w:space="0"/>
              <w:right w:val="single" w:color="auto" w:sz="4" w:space="0"/>
            </w:tcBorders>
            <w:noWrap w:val="0"/>
            <w:vAlign w:val="center"/>
          </w:tcPr>
          <w:p w14:paraId="6803AFE6">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服务承诺</w:t>
            </w:r>
          </w:p>
          <w:p w14:paraId="562A5814">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19</w:t>
            </w:r>
            <w:r>
              <w:rPr>
                <w:rFonts w:hint="eastAsia" w:ascii="宋体" w:hAnsi="宋体" w:eastAsia="宋体" w:cs="宋体"/>
                <w:color w:val="auto"/>
                <w:sz w:val="24"/>
                <w:szCs w:val="24"/>
                <w:highlight w:val="none"/>
              </w:rPr>
              <w:t>分）</w:t>
            </w:r>
          </w:p>
        </w:tc>
        <w:tc>
          <w:tcPr>
            <w:tcW w:w="6106" w:type="dxa"/>
            <w:tcBorders>
              <w:top w:val="single" w:color="000000" w:sz="6" w:space="0"/>
              <w:left w:val="single" w:color="auto" w:sz="4" w:space="0"/>
              <w:bottom w:val="single" w:color="000000" w:sz="6" w:space="0"/>
              <w:right w:val="single" w:color="000000" w:sz="6" w:space="0"/>
            </w:tcBorders>
            <w:noWrap w:val="0"/>
            <w:vAlign w:val="center"/>
          </w:tcPr>
          <w:p w14:paraId="0D1BE501">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Autospacing="0" w:line="288" w:lineRule="auto"/>
              <w:ind w:left="0" w:righ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承诺对项目情况进行保密，不外漏任何关于所服务项目信息的得4分，不提供不得分。</w:t>
            </w:r>
          </w:p>
          <w:p w14:paraId="24EE49A0">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Autospacing="0" w:line="288" w:lineRule="auto"/>
              <w:ind w:left="0" w:righ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供应商提供</w:t>
            </w:r>
            <w:r>
              <w:rPr>
                <w:rFonts w:hint="eastAsia" w:ascii="宋体" w:hAnsi="宋体" w:eastAsia="宋体" w:cs="宋体"/>
                <w:color w:val="auto"/>
                <w:sz w:val="24"/>
                <w:szCs w:val="24"/>
                <w:highlight w:val="none"/>
                <w:lang w:val="en-US" w:eastAsia="zh-CN"/>
              </w:rPr>
              <w:t>成果质量保证和承诺（包括</w:t>
            </w:r>
            <w:r>
              <w:rPr>
                <w:rFonts w:hint="eastAsia" w:ascii="宋体" w:hAnsi="宋体" w:eastAsia="宋体" w:cs="宋体"/>
                <w:color w:val="auto"/>
                <w:sz w:val="24"/>
                <w:szCs w:val="24"/>
                <w:highlight w:val="none"/>
              </w:rPr>
              <w:t>服从釆购人的工作安排，并积极配合工作，积极配合采购人完成相关成果文件的报审报批</w:t>
            </w:r>
            <w:r>
              <w:rPr>
                <w:rFonts w:hint="eastAsia" w:ascii="宋体" w:hAnsi="宋体" w:eastAsia="宋体" w:cs="宋体"/>
                <w:color w:val="auto"/>
                <w:sz w:val="24"/>
                <w:szCs w:val="24"/>
                <w:highlight w:val="none"/>
                <w:lang w:val="en-US" w:eastAsia="zh-CN"/>
              </w:rPr>
              <w:t>等</w:t>
            </w:r>
            <w:r>
              <w:rPr>
                <w:rFonts w:hint="eastAsia" w:ascii="宋体" w:hAnsi="宋体" w:eastAsia="宋体" w:cs="宋体"/>
                <w:color w:val="auto"/>
                <w:sz w:val="24"/>
                <w:szCs w:val="24"/>
                <w:highlight w:val="none"/>
              </w:rPr>
              <w:t>服务承诺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得</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highlight w:val="none"/>
                <w:lang w:val="en-US" w:eastAsia="zh-CN"/>
              </w:rPr>
              <w:t>缺项或</w:t>
            </w:r>
            <w:r>
              <w:rPr>
                <w:rFonts w:hint="eastAsia" w:ascii="宋体" w:hAnsi="宋体" w:eastAsia="宋体" w:cs="宋体"/>
                <w:color w:val="auto"/>
                <w:sz w:val="24"/>
                <w:szCs w:val="24"/>
                <w:highlight w:val="none"/>
              </w:rPr>
              <w:t>不提供不得分。</w:t>
            </w:r>
          </w:p>
          <w:p w14:paraId="0E3D8C1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Autospacing="0" w:line="288" w:lineRule="auto"/>
              <w:ind w:left="0" w:righ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 供应商提供服务期内不更换团队人员承诺的得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分，不提供不得分。</w:t>
            </w:r>
          </w:p>
          <w:p w14:paraId="4D538798">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.供应商具有供满足</w:t>
            </w:r>
            <w:r>
              <w:rPr>
                <w:rFonts w:hint="eastAsia" w:ascii="宋体" w:hAnsi="宋体" w:eastAsia="宋体" w:cs="宋体"/>
                <w:color w:val="auto"/>
                <w:sz w:val="24"/>
                <w:szCs w:val="24"/>
                <w:highlight w:val="none"/>
                <w:lang w:val="en-US" w:eastAsia="zh-CN"/>
              </w:rPr>
              <w:t>服务</w:t>
            </w:r>
            <w:r>
              <w:rPr>
                <w:rFonts w:hint="eastAsia" w:ascii="宋体" w:hAnsi="宋体" w:eastAsia="宋体" w:cs="宋体"/>
                <w:color w:val="auto"/>
                <w:sz w:val="24"/>
                <w:szCs w:val="24"/>
                <w:highlight w:val="none"/>
              </w:rPr>
              <w:t>需求相关的其他实质性优惠条件的每提供一</w:t>
            </w:r>
            <w:r>
              <w:rPr>
                <w:rFonts w:hint="eastAsia" w:ascii="宋体" w:hAnsi="宋体" w:eastAsia="宋体" w:cs="宋体"/>
                <w:color w:val="auto"/>
                <w:sz w:val="24"/>
                <w:szCs w:val="24"/>
                <w:highlight w:val="none"/>
                <w:lang w:val="en-US" w:eastAsia="zh-CN"/>
              </w:rPr>
              <w:t>项</w:t>
            </w:r>
            <w:r>
              <w:rPr>
                <w:rFonts w:hint="eastAsia" w:ascii="宋体" w:hAnsi="宋体" w:eastAsia="宋体" w:cs="宋体"/>
                <w:color w:val="auto"/>
                <w:sz w:val="24"/>
                <w:szCs w:val="24"/>
                <w:highlight w:val="none"/>
              </w:rPr>
              <w:t xml:space="preserve">得 2 分，最高得 </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分。</w:t>
            </w:r>
          </w:p>
        </w:tc>
      </w:tr>
    </w:tbl>
    <w:p w14:paraId="269F1D0E">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最终得分为磋商小组所有成员计分的算术平均值，计算保留小数点两位，小数点后第三位四舍五入。</w:t>
      </w:r>
    </w:p>
    <w:p w14:paraId="7E1B615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22.3磋商小组根据综合评分情况，按照评审得分由高到低顺序推荐成交候选供应商，并编写评审报告。综合得分相同的供应商，报价较低者优先；报价也相同的，由采购人自行确定。</w:t>
      </w:r>
    </w:p>
    <w:p w14:paraId="3064708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28C7575D">
      <w:pPr>
        <w:spacing w:line="560" w:lineRule="exact"/>
        <w:ind w:firstLine="480" w:firstLineChars="200"/>
        <w:rPr>
          <w:rFonts w:ascii="宋体" w:hAnsi="宋体" w:cs="宋体"/>
          <w:b/>
          <w:color w:val="auto"/>
          <w:sz w:val="24"/>
          <w:highlight w:val="none"/>
        </w:rPr>
      </w:pPr>
      <w:r>
        <w:rPr>
          <w:rFonts w:hint="eastAsia" w:ascii="宋体" w:hAnsi="宋体" w:cs="宋体"/>
          <w:color w:val="auto"/>
          <w:sz w:val="24"/>
          <w:highlight w:val="none"/>
        </w:rPr>
        <w:t>22.5若供应商的报价高于项目预算，磋商小组有权根据采购人意见及其实际情况，拒绝该报价。</w:t>
      </w:r>
    </w:p>
    <w:p w14:paraId="410F2F8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1B75473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22.7在竞争性磋商期间，供应商不得向竞争性磋商小组成员询问其它供应商竞争性磋商情况，不得进行旨在影响成交结果的活动。</w:t>
      </w:r>
    </w:p>
    <w:p w14:paraId="7177567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22.8在竞争性磋商期间，采购人将有专门人员与供应商进行联络。</w:t>
      </w:r>
    </w:p>
    <w:p w14:paraId="51D9EC47">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23.竞争性磋商终止</w:t>
      </w:r>
    </w:p>
    <w:p w14:paraId="44B6BED3">
      <w:pPr>
        <w:spacing w:line="560" w:lineRule="exact"/>
        <w:ind w:firstLine="480" w:firstLineChars="200"/>
        <w:rPr>
          <w:rFonts w:ascii="宋体" w:hAnsi="宋体" w:cs="宋体"/>
          <w:b/>
          <w:color w:val="auto"/>
          <w:sz w:val="24"/>
          <w:highlight w:val="none"/>
        </w:rPr>
      </w:pPr>
      <w:r>
        <w:rPr>
          <w:rFonts w:hint="eastAsia" w:ascii="宋体" w:hAnsi="宋体" w:cs="宋体"/>
          <w:bCs/>
          <w:color w:val="auto"/>
          <w:sz w:val="24"/>
          <w:highlight w:val="none"/>
        </w:rPr>
        <w:t>23.1出现下列情形之一时，采购人有权宣布竞争性磋商终止，并将理由通知所有供应商：</w:t>
      </w:r>
    </w:p>
    <w:p w14:paraId="2531D57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（1）因情况变化，不再符合竞争性磋商适用情形的；</w:t>
      </w:r>
    </w:p>
    <w:p w14:paraId="59F32D8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（2）出现影响采购公正的违法、违规行为的；</w:t>
      </w:r>
    </w:p>
    <w:p w14:paraId="641EF00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（3）在采购过程中符合磋商文件要求的供应商不足3家的；</w:t>
      </w:r>
    </w:p>
    <w:p w14:paraId="488117C4">
      <w:pPr>
        <w:spacing w:line="560" w:lineRule="exact"/>
        <w:ind w:firstLine="480" w:firstLineChars="200"/>
        <w:rPr>
          <w:rFonts w:ascii="宋体" w:hAnsi="宋体" w:cs="宋体"/>
          <w:b/>
          <w:color w:val="auto"/>
          <w:sz w:val="24"/>
          <w:highlight w:val="none"/>
        </w:rPr>
      </w:pPr>
      <w:r>
        <w:rPr>
          <w:rFonts w:hint="eastAsia" w:ascii="宋体" w:hAnsi="宋体" w:cs="宋体"/>
          <w:color w:val="auto"/>
          <w:sz w:val="24"/>
          <w:highlight w:val="none"/>
        </w:rPr>
        <w:t>（4）在采购活动中因重大变故，采购任务取消的；</w:t>
      </w:r>
    </w:p>
    <w:p w14:paraId="458C308C">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七、成交通知</w:t>
      </w:r>
    </w:p>
    <w:p w14:paraId="2C5E524B">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24.成交通知</w:t>
      </w:r>
    </w:p>
    <w:p w14:paraId="3811EA97">
      <w:pPr>
        <w:pStyle w:val="43"/>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24.1采购人应当自收到评审报告之日起5个工作日内在评审报告推荐的中标或者成交候选人中按顺序确定中标或者成交供应商。</w:t>
      </w:r>
    </w:p>
    <w:p w14:paraId="306BF8EF">
      <w:pPr>
        <w:tabs>
          <w:tab w:val="left" w:pos="1800"/>
        </w:tabs>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24.2</w:t>
      </w:r>
      <w:r>
        <w:rPr>
          <w:rFonts w:hint="eastAsia" w:ascii="宋体" w:hAnsi="宋体" w:cs="宋体"/>
          <w:color w:val="auto"/>
          <w:sz w:val="24"/>
          <w:highlight w:val="none"/>
          <w:lang w:val="en-US" w:eastAsia="zh-CN"/>
        </w:rPr>
        <w:t>在发出成交公告后</w:t>
      </w:r>
      <w:r>
        <w:rPr>
          <w:rFonts w:hint="eastAsia" w:ascii="宋体" w:hAnsi="宋体" w:eastAsia="宋体" w:cs="宋体"/>
          <w:color w:val="auto"/>
          <w:sz w:val="24"/>
          <w:highlight w:val="none"/>
          <w:lang w:val="en-US" w:eastAsia="zh-CN"/>
        </w:rPr>
        <w:t>请采购人、中标人登录</w:t>
      </w:r>
      <w:r>
        <w:rPr>
          <w:rFonts w:hint="eastAsia" w:ascii="宋体" w:hAnsi="宋体" w:eastAsia="宋体" w:cs="宋体"/>
          <w:color w:val="auto"/>
          <w:sz w:val="24"/>
          <w:highlight w:val="none"/>
        </w:rPr>
        <w:t>周口市公共资源</w:t>
      </w:r>
      <w:r>
        <w:rPr>
          <w:rFonts w:hint="eastAsia" w:ascii="宋体" w:hAnsi="宋体" w:eastAsia="宋体" w:cs="宋体"/>
          <w:color w:val="auto"/>
          <w:sz w:val="24"/>
          <w:szCs w:val="24"/>
          <w:highlight w:val="none"/>
        </w:rPr>
        <w:t>交易</w:t>
      </w:r>
      <w:r>
        <w:rPr>
          <w:rFonts w:hint="eastAsia" w:ascii="宋体" w:hAnsi="宋体" w:eastAsia="宋体" w:cs="宋体"/>
          <w:color w:val="auto"/>
          <w:sz w:val="24"/>
          <w:highlight w:val="none"/>
          <w:lang w:eastAsia="zh-CN"/>
        </w:rPr>
        <w:t>中心网</w:t>
      </w:r>
      <w:r>
        <w:rPr>
          <w:rFonts w:hint="eastAsia" w:ascii="宋体" w:hAnsi="宋体" w:eastAsia="宋体" w:cs="宋体"/>
          <w:color w:val="auto"/>
          <w:sz w:val="24"/>
          <w:szCs w:val="24"/>
          <w:highlight w:val="none"/>
        </w:rPr>
        <w:t>（http://jyzx.zhoukou.gov.cn）</w:t>
      </w:r>
      <w:r>
        <w:rPr>
          <w:rFonts w:hint="eastAsia" w:ascii="宋体" w:hAnsi="宋体" w:eastAsia="宋体" w:cs="宋体"/>
          <w:color w:val="auto"/>
          <w:sz w:val="24"/>
          <w:szCs w:val="24"/>
          <w:highlight w:val="none"/>
          <w:lang w:val="en-US" w:eastAsia="zh-CN"/>
        </w:rPr>
        <w:t>自行下载</w:t>
      </w:r>
      <w:r>
        <w:rPr>
          <w:rFonts w:hint="eastAsia" w:cs="宋体"/>
          <w:color w:val="auto"/>
          <w:sz w:val="24"/>
          <w:highlight w:val="none"/>
          <w:lang w:val="en-US" w:eastAsia="zh-CN"/>
        </w:rPr>
        <w:t>成交</w:t>
      </w:r>
      <w:r>
        <w:rPr>
          <w:rFonts w:hint="eastAsia" w:ascii="宋体" w:hAnsi="宋体" w:eastAsia="宋体" w:cs="宋体"/>
          <w:color w:val="auto"/>
          <w:sz w:val="24"/>
          <w:highlight w:val="none"/>
        </w:rPr>
        <w:t>通知书。</w:t>
      </w:r>
    </w:p>
    <w:p w14:paraId="40E79B4E">
      <w:pPr>
        <w:tabs>
          <w:tab w:val="left" w:pos="1800"/>
        </w:tabs>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24.3成交通知书对采购人和成交供应商具有同等法律效力。成交通知书发出后，采购人改变成交结果，或者成交供应商放弃成交，应当承担相应的法律责任。</w:t>
      </w:r>
    </w:p>
    <w:p w14:paraId="2022F3CA">
      <w:pPr>
        <w:spacing w:line="720" w:lineRule="auto"/>
        <w:jc w:val="center"/>
        <w:rPr>
          <w:rFonts w:ascii="宋体" w:hAnsi="宋体" w:cs="宋体"/>
          <w:color w:val="auto"/>
          <w:sz w:val="24"/>
          <w:highlight w:val="none"/>
        </w:rPr>
      </w:pPr>
      <w:r>
        <w:rPr>
          <w:rFonts w:hint="eastAsia" w:ascii="宋体" w:hAnsi="宋体" w:cs="宋体"/>
          <w:b/>
          <w:color w:val="auto"/>
          <w:sz w:val="24"/>
          <w:highlight w:val="none"/>
        </w:rPr>
        <w:t>八、合同授予</w:t>
      </w:r>
    </w:p>
    <w:p w14:paraId="6D56C4B9">
      <w:pPr>
        <w:tabs>
          <w:tab w:val="left" w:pos="1620"/>
        </w:tabs>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25.签订合同及合同的执行</w:t>
      </w:r>
    </w:p>
    <w:p w14:paraId="41CC6BA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25.1采购人、成交供应商按照竞争性磋商文件确定的合同文本签订政府采购合同。</w:t>
      </w:r>
    </w:p>
    <w:p w14:paraId="388DB5B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25.2采购人不得向成交供应商提出超过竞争性磋商文件以外的任何要求作为签订合同的条件，不得与成交供应商订立背离竞争性磋商文件确定的合同文本协议。</w:t>
      </w:r>
    </w:p>
    <w:p w14:paraId="29DA150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18B728B0">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九、质疑处理</w:t>
      </w:r>
    </w:p>
    <w:p w14:paraId="11335AD8">
      <w:pPr>
        <w:spacing w:line="560" w:lineRule="exact"/>
        <w:ind w:firstLine="482" w:firstLineChars="200"/>
        <w:jc w:val="both"/>
        <w:outlineLvl w:val="9"/>
        <w:rPr>
          <w:rFonts w:ascii="宋体" w:hAnsi="宋体" w:cs="宋体"/>
          <w:b/>
          <w:color w:val="auto"/>
          <w:sz w:val="24"/>
          <w:highlight w:val="none"/>
        </w:rPr>
      </w:pPr>
      <w:r>
        <w:rPr>
          <w:rFonts w:hint="eastAsia" w:ascii="宋体" w:hAnsi="宋体" w:cs="宋体"/>
          <w:b/>
          <w:color w:val="auto"/>
          <w:sz w:val="24"/>
          <w:highlight w:val="none"/>
        </w:rPr>
        <w:t>26.质疑程序及处理</w:t>
      </w:r>
    </w:p>
    <w:p w14:paraId="31CD71D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26.1</w:t>
      </w:r>
      <w:r>
        <w:rPr>
          <w:rFonts w:hint="eastAsia" w:ascii="宋体" w:hAnsi="宋体" w:cs="宋体"/>
          <w:bCs/>
          <w:color w:val="auto"/>
          <w:sz w:val="24"/>
          <w:highlight w:val="none"/>
          <w:lang w:val="en-US" w:eastAsia="zh-CN"/>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3ED45B4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26.2采购人在收到供应商的书面质疑后七个工作日内做出答复，并以书面形式通知质疑供应商和其他供应商，但答复内容不得涉及商业秘密。</w:t>
      </w:r>
    </w:p>
    <w:p w14:paraId="36432794">
      <w:pPr>
        <w:spacing w:line="560" w:lineRule="exact"/>
        <w:ind w:firstLine="480" w:firstLineChars="200"/>
        <w:rPr>
          <w:rFonts w:ascii="宋体" w:hAnsi="宋体" w:cs="宋体"/>
          <w:bCs/>
          <w:color w:val="auto"/>
          <w:sz w:val="24"/>
          <w:highlight w:val="none"/>
        </w:rPr>
      </w:pPr>
      <w:r>
        <w:rPr>
          <w:rFonts w:hint="eastAsia" w:ascii="宋体" w:hAnsi="宋体" w:cs="宋体"/>
          <w:color w:val="auto"/>
          <w:sz w:val="24"/>
          <w:highlight w:val="none"/>
        </w:rPr>
        <w:t>26.3</w:t>
      </w:r>
      <w:r>
        <w:rPr>
          <w:rFonts w:hint="eastAsia" w:ascii="宋体" w:hAnsi="宋体" w:cs="宋体"/>
          <w:bCs/>
          <w:color w:val="auto"/>
          <w:sz w:val="24"/>
          <w:highlight w:val="none"/>
        </w:rPr>
        <w:t>质疑供应商行使质疑权时，必须遵守“实事求是”和“谨慎性”原则，承担使用虚假材料或恶意方式质疑的法律责任，</w:t>
      </w:r>
      <w:r>
        <w:rPr>
          <w:rFonts w:hint="eastAsia" w:ascii="宋体" w:hAnsi="宋体" w:cs="宋体"/>
          <w:color w:val="auto"/>
          <w:sz w:val="24"/>
          <w:highlight w:val="none"/>
        </w:rPr>
        <w:t>采购人</w:t>
      </w:r>
      <w:r>
        <w:rPr>
          <w:rFonts w:hint="eastAsia" w:ascii="宋体" w:hAnsi="宋体" w:cs="宋体"/>
          <w:bCs/>
          <w:color w:val="auto"/>
          <w:sz w:val="24"/>
          <w:highlight w:val="none"/>
        </w:rPr>
        <w:t>将遵循“谁过错谁负担”的原则，由过错方提交相关的调查论证费用。</w:t>
      </w:r>
    </w:p>
    <w:p w14:paraId="54BCBF0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1EB8DB5A">
      <w:pPr>
        <w:spacing w:line="560" w:lineRule="exact"/>
        <w:rPr>
          <w:rFonts w:ascii="宋体" w:hAnsi="宋体" w:cs="宋体"/>
          <w:color w:val="auto"/>
          <w:sz w:val="24"/>
          <w:highlight w:val="none"/>
        </w:rPr>
        <w:sectPr>
          <w:footerReference r:id="rId3" w:type="default"/>
          <w:pgSz w:w="11907" w:h="16840"/>
          <w:pgMar w:top="2098" w:right="1474" w:bottom="1985" w:left="1588" w:header="851" w:footer="992" w:gutter="0"/>
          <w:cols w:space="720" w:num="1"/>
          <w:docGrid w:type="lines" w:linePitch="312" w:charSpace="0"/>
        </w:sectPr>
      </w:pPr>
    </w:p>
    <w:p w14:paraId="1BDCE9B7">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ascii="宋体" w:hAnsi="宋体" w:cs="宋体"/>
          <w:b/>
          <w:color w:val="auto"/>
          <w:sz w:val="32"/>
          <w:szCs w:val="32"/>
          <w:highlight w:val="none"/>
        </w:rPr>
      </w:pPr>
      <w:bookmarkStart w:id="28" w:name="_Toc14467"/>
      <w:r>
        <w:rPr>
          <w:rFonts w:hint="eastAsia" w:ascii="宋体" w:hAnsi="宋体" w:cs="宋体"/>
          <w:b/>
          <w:color w:val="auto"/>
          <w:sz w:val="32"/>
          <w:szCs w:val="32"/>
          <w:highlight w:val="none"/>
        </w:rPr>
        <w:t>第三章 采购项目内容及要求</w:t>
      </w:r>
      <w:bookmarkEnd w:id="28"/>
    </w:p>
    <w:p w14:paraId="52E81AF7">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val="zh-CN"/>
        </w:rPr>
        <w:t>本项目采购内容</w:t>
      </w:r>
    </w:p>
    <w:p w14:paraId="2A95889D">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一、采购内容及要求</w:t>
      </w:r>
    </w:p>
    <w:p w14:paraId="39D8B592">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（1）采购内容:郸城县住房和城乡建设局关于郸城县新村社区等9个老旧社区排水防涝设施改造项目图纸设计的采购申请项目</w:t>
      </w:r>
      <w:r>
        <w:rPr>
          <w:rFonts w:hint="eastAsia" w:ascii="宋体" w:hAnsi="宋体" w:cs="宋体"/>
          <w:color w:val="auto"/>
          <w:sz w:val="24"/>
          <w:szCs w:val="24"/>
          <w:highlight w:val="none"/>
          <w:lang w:val="en-US" w:eastAsia="zh-CN"/>
        </w:rPr>
        <w:t>，项目建设地点位于郸城县新村社区、英庄社区、丁寨社区、东街社区、育新社区、李庄社区、夏庄社区、柴堂社区、城武社区。</w:t>
      </w:r>
    </w:p>
    <w:p w14:paraId="329A9230">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主要建设规模及内容:主要建设内容包括改造DN400的排水管网9674m，DN500的排水管网6794.9m，DN600的排水管网7210.9m，DN800的排水管网2151m，雨水支管1929m，检查井994座，单篦雨水口1000座，路面破除恢复35522㎡。</w:t>
      </w:r>
    </w:p>
    <w:p w14:paraId="7B813E72">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（2）服务期限:合同签订后30日历天完成。</w:t>
      </w:r>
    </w:p>
    <w:p w14:paraId="4E053092">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（3）质量要求:合格，符合国家或行业现行规范及标准。</w:t>
      </w:r>
    </w:p>
    <w:p w14:paraId="3A2BB179">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二、设计要求</w:t>
      </w:r>
    </w:p>
    <w:p w14:paraId="5FA712C6">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（1）通过调研本项目以及与采购人的沟通，充分了解本项目设计思路及要求。</w:t>
      </w:r>
    </w:p>
    <w:p w14:paraId="005D49D4">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（2）自行组织现场的实际踏勘和测量，根据提供的相关资料，设计时做到科学布局。</w:t>
      </w:r>
    </w:p>
    <w:p w14:paraId="24931B4F">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en-US" w:eastAsia="zh-CN"/>
        </w:rPr>
        <w:t>（3）此次设计文件完整齐全，内容、深度符合</w:t>
      </w:r>
      <w:r>
        <w:rPr>
          <w:rFonts w:hint="eastAsia" w:ascii="宋体" w:hAnsi="宋体" w:cs="宋体"/>
          <w:color w:val="auto"/>
          <w:sz w:val="24"/>
          <w:szCs w:val="24"/>
          <w:highlight w:val="none"/>
          <w:lang w:val="en-US" w:eastAsia="zh-CN"/>
        </w:rPr>
        <w:t>国家</w:t>
      </w:r>
      <w:r>
        <w:rPr>
          <w:rFonts w:hint="eastAsia" w:ascii="宋体" w:hAnsi="宋体" w:eastAsia="宋体" w:cs="宋体"/>
          <w:color w:val="auto"/>
          <w:sz w:val="24"/>
          <w:szCs w:val="24"/>
          <w:highlight w:val="none"/>
          <w:lang w:val="en-US" w:eastAsia="zh-CN"/>
        </w:rPr>
        <w:t>规定，文字说明和图纸均应符合相关规范标准，表达清晰、准确。对设计人的所有设计成果文件(包括书面和电子文件等)，采购人具有使用权和提供优化建议的权力。</w:t>
      </w:r>
    </w:p>
    <w:p w14:paraId="0DEB1701">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2、服务内容及要求</w:t>
      </w:r>
    </w:p>
    <w:p w14:paraId="14934720">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2.1服务要求：服务年限,在接到采购方服务请求后，1小时响应，2小时内上门解决问题；质保期内提供免费上门服务，质保期外的收费按相关行业规则或由双方协商收取。</w:t>
      </w:r>
    </w:p>
    <w:p w14:paraId="730467C3">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2.2</w:t>
      </w:r>
      <w:r>
        <w:rPr>
          <w:rFonts w:hint="eastAsia" w:ascii="宋体" w:hAnsi="宋体" w:eastAsia="宋体" w:cs="宋体"/>
          <w:color w:val="auto"/>
          <w:sz w:val="24"/>
          <w:szCs w:val="24"/>
          <w:highlight w:val="none"/>
          <w:lang w:val="en-US" w:eastAsia="zh-CN"/>
        </w:rPr>
        <w:t>服务</w:t>
      </w:r>
      <w:r>
        <w:rPr>
          <w:rFonts w:hint="eastAsia" w:ascii="宋体" w:hAnsi="宋体" w:eastAsia="宋体" w:cs="宋体"/>
          <w:color w:val="auto"/>
          <w:sz w:val="24"/>
          <w:szCs w:val="24"/>
          <w:highlight w:val="none"/>
          <w:lang w:val="zh-CN"/>
        </w:rPr>
        <w:t>地点：采购人指定地点。</w:t>
      </w:r>
    </w:p>
    <w:p w14:paraId="43958272">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2.3</w:t>
      </w:r>
      <w:r>
        <w:rPr>
          <w:rFonts w:hint="eastAsia" w:ascii="宋体" w:hAnsi="宋体" w:eastAsia="宋体" w:cs="宋体"/>
          <w:color w:val="auto"/>
          <w:sz w:val="24"/>
          <w:szCs w:val="24"/>
          <w:highlight w:val="none"/>
          <w:lang w:val="en-US" w:eastAsia="zh-CN"/>
        </w:rPr>
        <w:t>服务</w:t>
      </w:r>
      <w:r>
        <w:rPr>
          <w:rFonts w:hint="eastAsia" w:ascii="宋体" w:hAnsi="宋体" w:eastAsia="宋体" w:cs="宋体"/>
          <w:color w:val="auto"/>
          <w:sz w:val="24"/>
          <w:szCs w:val="24"/>
          <w:highlight w:val="none"/>
          <w:lang w:val="zh-CN"/>
        </w:rPr>
        <w:t>日期：</w:t>
      </w:r>
      <w:r>
        <w:rPr>
          <w:rFonts w:hint="eastAsia" w:ascii="宋体" w:hAnsi="宋体" w:eastAsia="宋体" w:cs="宋体"/>
          <w:color w:val="auto"/>
          <w:sz w:val="24"/>
          <w:szCs w:val="24"/>
          <w:highlight w:val="none"/>
          <w:lang w:val="en-US" w:eastAsia="zh-CN"/>
        </w:rPr>
        <w:t>合同签订后30日历天完成。</w:t>
      </w:r>
    </w:p>
    <w:p w14:paraId="2899690E">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2.4验收：由最终用户组织验收。</w:t>
      </w:r>
    </w:p>
    <w:p w14:paraId="73AA602D">
      <w:pPr>
        <w:keepNext w:val="0"/>
        <w:keepLines w:val="0"/>
        <w:pageBreakBefore w:val="0"/>
        <w:widowControl w:val="0"/>
        <w:kinsoku/>
        <w:wordWrap/>
        <w:overflowPunct/>
        <w:topLinePunct w:val="0"/>
        <w:autoSpaceDE/>
        <w:autoSpaceDN/>
        <w:bidi w:val="0"/>
        <w:adjustRightInd/>
        <w:snapToGrid/>
        <w:ind w:firstLine="480" w:firstLineChars="200"/>
        <w:textAlignment w:val="auto"/>
        <w:rPr>
          <w:rStyle w:val="74"/>
          <w:rFonts w:hint="eastAsia" w:ascii="宋体" w:hAnsi="宋体" w:cs="宋体"/>
          <w:color w:val="auto"/>
          <w:sz w:val="24"/>
          <w:highlight w:val="none"/>
          <w:lang w:val="zh-CN"/>
        </w:rPr>
      </w:pPr>
      <w:r>
        <w:rPr>
          <w:rStyle w:val="74"/>
          <w:rFonts w:hint="eastAsia" w:ascii="宋体" w:hAnsi="宋体" w:cs="宋体"/>
          <w:color w:val="auto"/>
          <w:sz w:val="24"/>
          <w:highlight w:val="none"/>
          <w:lang w:val="zh-CN"/>
        </w:rPr>
        <w:br w:type="page"/>
      </w:r>
    </w:p>
    <w:p w14:paraId="1BE50B69">
      <w:pPr>
        <w:spacing w:line="480" w:lineRule="auto"/>
        <w:jc w:val="center"/>
        <w:outlineLvl w:val="0"/>
        <w:rPr>
          <w:rFonts w:ascii="宋体" w:hAnsi="宋体" w:cs="宋体"/>
          <w:color w:val="auto"/>
          <w:sz w:val="32"/>
          <w:szCs w:val="32"/>
          <w:highlight w:val="none"/>
        </w:rPr>
      </w:pPr>
      <w:bookmarkStart w:id="29" w:name="_Toc23608"/>
      <w:r>
        <w:rPr>
          <w:rFonts w:hint="eastAsia" w:ascii="宋体" w:hAnsi="宋体" w:cs="宋体"/>
          <w:b/>
          <w:bCs/>
          <w:color w:val="auto"/>
          <w:sz w:val="32"/>
          <w:szCs w:val="32"/>
          <w:highlight w:val="none"/>
        </w:rPr>
        <w:t>第四章 响应性文件内容及格式</w:t>
      </w:r>
      <w:bookmarkEnd w:id="29"/>
    </w:p>
    <w:p w14:paraId="5EB7DE6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注：请供应商按照以下文件的要求格式、内容，顺序制作响应性文件，并编制目录及</w:t>
      </w:r>
      <w:r>
        <w:rPr>
          <w:rFonts w:hint="eastAsia" w:ascii="宋体" w:hAnsi="宋体" w:eastAsia="宋体" w:cs="宋体"/>
          <w:color w:val="auto"/>
          <w:sz w:val="24"/>
          <w:highlight w:val="none"/>
          <w:lang w:val="en-US" w:eastAsia="zh-CN"/>
        </w:rPr>
        <w:t>分</w:t>
      </w:r>
      <w:r>
        <w:rPr>
          <w:rFonts w:hint="eastAsia" w:ascii="宋体" w:hAnsi="宋体" w:eastAsia="宋体" w:cs="宋体"/>
          <w:color w:val="auto"/>
          <w:sz w:val="24"/>
          <w:highlight w:val="none"/>
        </w:rPr>
        <w:t>页码</w:t>
      </w:r>
      <w:r>
        <w:rPr>
          <w:rFonts w:hint="eastAsia" w:ascii="宋体" w:hAnsi="宋体" w:eastAsia="宋体" w:cs="宋体"/>
          <w:color w:val="auto"/>
          <w:sz w:val="24"/>
          <w:highlight w:val="none"/>
          <w:lang w:val="en-US" w:eastAsia="zh-CN"/>
        </w:rPr>
        <w:t>总页码</w:t>
      </w:r>
      <w:r>
        <w:rPr>
          <w:rFonts w:hint="eastAsia" w:ascii="宋体" w:hAnsi="宋体" w:cs="宋体"/>
          <w:color w:val="auto"/>
          <w:sz w:val="24"/>
          <w:highlight w:val="none"/>
        </w:rPr>
        <w:t>，否则可能将影响对响应性文件的评价。</w:t>
      </w:r>
    </w:p>
    <w:p w14:paraId="5C853A4D">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重要提示：</w:t>
      </w:r>
    </w:p>
    <w:p w14:paraId="1717D191">
      <w:pPr>
        <w:snapToGri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lang w:val="en-US" w:eastAsia="zh-CN"/>
        </w:rPr>
        <w:t>1</w:t>
      </w:r>
      <w:r>
        <w:rPr>
          <w:rFonts w:hint="eastAsia" w:ascii="宋体" w:hAnsi="宋体" w:cs="宋体"/>
          <w:color w:val="auto"/>
          <w:sz w:val="24"/>
          <w:highlight w:val="none"/>
        </w:rPr>
        <w:t>．供应商在编制响应性文件时，对于给定格式的文件内容，必须按照给定的标准格式进行填报；对于没有给定标准格式的文件内容，可以由供应商自行设计。</w:t>
      </w:r>
    </w:p>
    <w:p w14:paraId="35677F80">
      <w:pPr>
        <w:snapToGrid w:val="0"/>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lang w:val="en-US" w:eastAsia="zh-CN"/>
        </w:rPr>
        <w:t>2</w:t>
      </w:r>
      <w:r>
        <w:rPr>
          <w:rFonts w:hint="eastAsia" w:ascii="宋体" w:hAnsi="宋体" w:cs="宋体"/>
          <w:color w:val="auto"/>
          <w:sz w:val="24"/>
          <w:highlight w:val="none"/>
        </w:rPr>
        <w:t>.法定代表人本人参加竞争性磋商的，不需提供授权委托书。</w:t>
      </w:r>
    </w:p>
    <w:p w14:paraId="2681619A">
      <w:pPr>
        <w:rPr>
          <w:rFonts w:hint="eastAsia" w:ascii="宋体" w:hAnsi="宋体" w:cs="宋体"/>
          <w:color w:val="auto"/>
          <w:sz w:val="24"/>
          <w:highlight w:val="none"/>
        </w:rPr>
      </w:pPr>
      <w:r>
        <w:rPr>
          <w:rFonts w:hint="eastAsia" w:ascii="宋体" w:hAnsi="宋体" w:cs="宋体"/>
          <w:color w:val="auto"/>
          <w:sz w:val="24"/>
          <w:highlight w:val="none"/>
        </w:rPr>
        <w:br w:type="page"/>
      </w:r>
    </w:p>
    <w:p w14:paraId="386A87D8">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格式2-1</w:t>
      </w:r>
    </w:p>
    <w:p w14:paraId="252FF9AB">
      <w:pPr>
        <w:widowControl/>
        <w:jc w:val="center"/>
        <w:rPr>
          <w:rFonts w:hint="eastAsia" w:ascii="宋体" w:hAnsi="宋体" w:eastAsia="宋体" w:cs="宋体"/>
          <w:color w:val="auto"/>
          <w:kern w:val="0"/>
          <w:sz w:val="24"/>
          <w:highlight w:val="none"/>
          <w:lang w:eastAsia="zh-CN"/>
        </w:rPr>
      </w:pPr>
      <w:r>
        <w:rPr>
          <w:rFonts w:hint="eastAsia" w:ascii="宋体" w:hAnsi="宋体" w:cs="宋体"/>
          <w:color w:val="auto"/>
          <w:sz w:val="24"/>
          <w:highlight w:val="none"/>
        </w:rPr>
        <w:t>企业营业执照副本</w:t>
      </w:r>
      <w:r>
        <w:rPr>
          <w:rFonts w:hint="eastAsia" w:ascii="宋体" w:hAnsi="宋体" w:cs="宋体"/>
          <w:color w:val="auto"/>
          <w:sz w:val="24"/>
          <w:highlight w:val="none"/>
          <w:lang w:val="en-US" w:eastAsia="zh-CN"/>
        </w:rPr>
        <w:t>及</w:t>
      </w:r>
      <w:r>
        <w:rPr>
          <w:rFonts w:hint="eastAsia" w:ascii="宋体" w:hAnsi="宋体" w:cs="宋体"/>
          <w:color w:val="auto"/>
          <w:kern w:val="0"/>
          <w:sz w:val="24"/>
          <w:highlight w:val="none"/>
        </w:rPr>
        <w:t>资格性证明材料</w:t>
      </w:r>
    </w:p>
    <w:p w14:paraId="1EFD9C0D">
      <w:pPr>
        <w:pStyle w:val="43"/>
        <w:rPr>
          <w:rFonts w:hint="eastAsia"/>
          <w:color w:val="auto"/>
          <w:highlight w:val="none"/>
          <w:lang w:eastAsia="zh-CN"/>
        </w:rPr>
      </w:pPr>
    </w:p>
    <w:p w14:paraId="02A78941">
      <w:pPr>
        <w:spacing w:line="360" w:lineRule="auto"/>
        <w:jc w:val="left"/>
        <w:rPr>
          <w:rFonts w:hint="eastAsia" w:ascii="宋体" w:hAnsi="宋体" w:eastAsia="宋体" w:cs="宋体"/>
          <w:color w:val="auto"/>
          <w:sz w:val="24"/>
          <w:highlight w:val="none"/>
          <w:lang w:eastAsia="zh-CN"/>
        </w:rPr>
      </w:pPr>
      <w:r>
        <w:rPr>
          <w:rFonts w:hint="eastAsia" w:ascii="宋体" w:hAnsi="宋体" w:cs="宋体"/>
          <w:color w:val="auto"/>
          <w:sz w:val="24"/>
          <w:highlight w:val="none"/>
        </w:rPr>
        <w:t>格式2-</w:t>
      </w:r>
      <w:r>
        <w:rPr>
          <w:rFonts w:hint="eastAsia" w:ascii="宋体" w:hAnsi="宋体" w:cs="宋体"/>
          <w:color w:val="auto"/>
          <w:sz w:val="24"/>
          <w:highlight w:val="none"/>
          <w:lang w:val="en-US" w:eastAsia="zh-CN"/>
        </w:rPr>
        <w:t>2</w:t>
      </w:r>
    </w:p>
    <w:p w14:paraId="33392D4A">
      <w:pPr>
        <w:spacing w:line="360" w:lineRule="auto"/>
        <w:jc w:val="center"/>
        <w:rPr>
          <w:rFonts w:ascii="宋体" w:hAnsi="宋体" w:cs="宋体"/>
          <w:color w:val="auto"/>
          <w:sz w:val="24"/>
          <w:highlight w:val="none"/>
        </w:rPr>
      </w:pPr>
      <w:r>
        <w:rPr>
          <w:rFonts w:hint="eastAsia" w:ascii="宋体" w:hAnsi="宋体" w:cs="宋体"/>
          <w:color w:val="auto"/>
          <w:sz w:val="24"/>
          <w:highlight w:val="none"/>
        </w:rPr>
        <w:t>法定代表人身份证明书</w:t>
      </w:r>
    </w:p>
    <w:p w14:paraId="7AAC6774">
      <w:pPr>
        <w:spacing w:line="360" w:lineRule="auto"/>
        <w:jc w:val="center"/>
        <w:rPr>
          <w:rFonts w:ascii="宋体" w:hAnsi="宋体" w:cs="宋体"/>
          <w:color w:val="auto"/>
          <w:sz w:val="24"/>
          <w:highlight w:val="none"/>
        </w:rPr>
      </w:pPr>
      <w:r>
        <w:rPr>
          <w:rFonts w:hint="eastAsia" w:ascii="宋体" w:hAnsi="宋体" w:cs="宋体"/>
          <w:color w:val="auto"/>
          <w:sz w:val="24"/>
          <w:highlight w:val="none"/>
        </w:rPr>
        <w:t>（法定代表人参加竞争性磋商的，出具此证明书）</w:t>
      </w:r>
    </w:p>
    <w:p w14:paraId="740B6E81">
      <w:pPr>
        <w:spacing w:line="360" w:lineRule="auto"/>
        <w:ind w:firstLine="480" w:firstLineChars="200"/>
        <w:rPr>
          <w:rFonts w:ascii="宋体" w:hAnsi="宋体" w:cs="宋体"/>
          <w:color w:val="auto"/>
          <w:sz w:val="24"/>
          <w:highlight w:val="none"/>
        </w:rPr>
      </w:pPr>
    </w:p>
    <w:p w14:paraId="3587FB75">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同志，系我单位法定代表人，任职务。</w:t>
      </w:r>
    </w:p>
    <w:p w14:paraId="4D85781A">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特此证明。</w:t>
      </w:r>
    </w:p>
    <w:p w14:paraId="0571D406">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附：联系地址：               </w:t>
      </w:r>
    </w:p>
    <w:p w14:paraId="3CF7F744">
      <w:pPr>
        <w:spacing w:line="360" w:lineRule="auto"/>
        <w:ind w:firstLine="960" w:firstLineChars="400"/>
        <w:rPr>
          <w:rFonts w:ascii="宋体" w:hAnsi="宋体" w:cs="宋体"/>
          <w:b/>
          <w:color w:val="auto"/>
          <w:sz w:val="24"/>
          <w:highlight w:val="none"/>
        </w:rPr>
      </w:pPr>
      <w:r>
        <w:rPr>
          <w:rFonts w:hint="eastAsia" w:ascii="宋体" w:hAnsi="宋体" w:cs="宋体"/>
          <w:color w:val="auto"/>
          <w:sz w:val="24"/>
          <w:highlight w:val="none"/>
        </w:rPr>
        <w:t>联系电话：</w:t>
      </w:r>
    </w:p>
    <w:tbl>
      <w:tblPr>
        <w:tblStyle w:val="27"/>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07E69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6F0C2BBD">
            <w:pPr>
              <w:spacing w:line="480" w:lineRule="exact"/>
              <w:rPr>
                <w:rFonts w:ascii="宋体" w:hAnsi="宋体" w:cs="宋体"/>
                <w:b/>
                <w:bCs/>
                <w:color w:val="auto"/>
                <w:sz w:val="24"/>
                <w:highlight w:val="none"/>
              </w:rPr>
            </w:pPr>
          </w:p>
          <w:p w14:paraId="5E5AE03C">
            <w:pPr>
              <w:spacing w:line="480" w:lineRule="exact"/>
              <w:rPr>
                <w:rFonts w:ascii="宋体" w:hAnsi="宋体" w:cs="宋体"/>
                <w:b/>
                <w:bCs/>
                <w:color w:val="auto"/>
                <w:sz w:val="24"/>
                <w:highlight w:val="none"/>
              </w:rPr>
            </w:pPr>
          </w:p>
          <w:p w14:paraId="25523091">
            <w:pPr>
              <w:spacing w:line="480" w:lineRule="exact"/>
              <w:jc w:val="center"/>
              <w:rPr>
                <w:rFonts w:ascii="宋体" w:hAnsi="宋体" w:cs="宋体"/>
                <w:b/>
                <w:bCs/>
                <w:color w:val="auto"/>
                <w:sz w:val="24"/>
                <w:highlight w:val="none"/>
              </w:rPr>
            </w:pPr>
            <w:r>
              <w:rPr>
                <w:rFonts w:hint="eastAsia" w:ascii="宋体" w:hAnsi="宋体" w:cs="宋体"/>
                <w:b/>
                <w:bCs/>
                <w:color w:val="auto"/>
                <w:sz w:val="24"/>
                <w:highlight w:val="none"/>
              </w:rPr>
              <w:t>（※附：法定代表人身份证复印件※）</w:t>
            </w:r>
          </w:p>
          <w:p w14:paraId="282549D5">
            <w:pPr>
              <w:spacing w:line="480" w:lineRule="exact"/>
              <w:rPr>
                <w:rFonts w:ascii="宋体" w:hAnsi="宋体" w:cs="宋体"/>
                <w:color w:val="auto"/>
                <w:sz w:val="24"/>
                <w:highlight w:val="none"/>
              </w:rPr>
            </w:pPr>
          </w:p>
          <w:p w14:paraId="53732C3A">
            <w:pPr>
              <w:spacing w:line="480" w:lineRule="exact"/>
              <w:rPr>
                <w:rFonts w:ascii="宋体" w:hAnsi="宋体" w:cs="宋体"/>
                <w:color w:val="auto"/>
                <w:sz w:val="24"/>
                <w:highlight w:val="none"/>
              </w:rPr>
            </w:pPr>
          </w:p>
        </w:tc>
      </w:tr>
    </w:tbl>
    <w:p w14:paraId="09A85F09">
      <w:pPr>
        <w:spacing w:line="360" w:lineRule="auto"/>
        <w:ind w:firstLine="960" w:firstLineChars="400"/>
        <w:rPr>
          <w:rFonts w:ascii="宋体" w:hAnsi="宋体" w:cs="宋体"/>
          <w:color w:val="auto"/>
          <w:sz w:val="24"/>
          <w:highlight w:val="none"/>
        </w:rPr>
      </w:pPr>
    </w:p>
    <w:p w14:paraId="5B19A384">
      <w:pPr>
        <w:spacing w:line="360" w:lineRule="auto"/>
        <w:ind w:firstLine="3840" w:firstLineChars="1600"/>
        <w:rPr>
          <w:rFonts w:ascii="宋体" w:hAnsi="宋体" w:cs="宋体"/>
          <w:color w:val="auto"/>
          <w:sz w:val="24"/>
          <w:highlight w:val="none"/>
        </w:rPr>
      </w:pPr>
    </w:p>
    <w:p w14:paraId="28F42A06">
      <w:pPr>
        <w:spacing w:line="360" w:lineRule="auto"/>
        <w:ind w:firstLine="3840" w:firstLineChars="1600"/>
        <w:rPr>
          <w:rFonts w:ascii="宋体" w:hAnsi="宋体" w:cs="宋体"/>
          <w:color w:val="auto"/>
          <w:sz w:val="24"/>
          <w:highlight w:val="none"/>
        </w:rPr>
      </w:pPr>
    </w:p>
    <w:p w14:paraId="08B9CC87">
      <w:pPr>
        <w:spacing w:line="360" w:lineRule="auto"/>
        <w:ind w:firstLine="3840" w:firstLineChars="1600"/>
        <w:rPr>
          <w:rFonts w:ascii="宋体" w:hAnsi="宋体" w:cs="宋体"/>
          <w:color w:val="auto"/>
          <w:sz w:val="24"/>
          <w:highlight w:val="none"/>
        </w:rPr>
      </w:pPr>
    </w:p>
    <w:p w14:paraId="404826F2">
      <w:pPr>
        <w:spacing w:line="360" w:lineRule="auto"/>
        <w:jc w:val="center"/>
        <w:rPr>
          <w:rFonts w:ascii="宋体" w:hAnsi="宋体" w:cs="宋体"/>
          <w:color w:val="auto"/>
          <w:sz w:val="24"/>
          <w:highlight w:val="none"/>
        </w:rPr>
      </w:pPr>
    </w:p>
    <w:p w14:paraId="67ED9993">
      <w:pPr>
        <w:spacing w:line="360" w:lineRule="auto"/>
        <w:jc w:val="center"/>
        <w:rPr>
          <w:rFonts w:ascii="宋体" w:hAnsi="宋体" w:cs="宋体"/>
          <w:color w:val="auto"/>
          <w:sz w:val="24"/>
          <w:highlight w:val="none"/>
        </w:rPr>
      </w:pPr>
    </w:p>
    <w:p w14:paraId="02946CA3">
      <w:pPr>
        <w:spacing w:line="360" w:lineRule="auto"/>
        <w:jc w:val="center"/>
        <w:rPr>
          <w:rFonts w:ascii="宋体" w:hAnsi="宋体" w:cs="宋体"/>
          <w:color w:val="auto"/>
          <w:sz w:val="24"/>
          <w:highlight w:val="none"/>
        </w:rPr>
      </w:pPr>
    </w:p>
    <w:p w14:paraId="67EC6F68">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rPr>
        <w:t xml:space="preserve">章： </w:t>
      </w:r>
    </w:p>
    <w:p w14:paraId="7C573768">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51B467E6">
      <w:pPr>
        <w:spacing w:line="360" w:lineRule="auto"/>
        <w:jc w:val="center"/>
        <w:rPr>
          <w:rFonts w:ascii="宋体" w:hAnsi="宋体" w:cs="宋体"/>
          <w:color w:val="auto"/>
          <w:sz w:val="24"/>
          <w:highlight w:val="none"/>
        </w:rPr>
      </w:pPr>
    </w:p>
    <w:p w14:paraId="25A0CCB0">
      <w:pPr>
        <w:spacing w:line="360" w:lineRule="auto"/>
        <w:jc w:val="center"/>
        <w:rPr>
          <w:rFonts w:ascii="宋体" w:hAnsi="宋体" w:cs="宋体"/>
          <w:color w:val="auto"/>
          <w:sz w:val="24"/>
          <w:highlight w:val="none"/>
        </w:rPr>
      </w:pPr>
    </w:p>
    <w:p w14:paraId="6B3FEA69">
      <w:pPr>
        <w:spacing w:line="360" w:lineRule="auto"/>
        <w:jc w:val="center"/>
        <w:rPr>
          <w:rFonts w:ascii="宋体" w:hAnsi="宋体" w:cs="宋体"/>
          <w:color w:val="auto"/>
          <w:sz w:val="24"/>
          <w:highlight w:val="none"/>
        </w:rPr>
      </w:pPr>
    </w:p>
    <w:p w14:paraId="350AA5A0">
      <w:pPr>
        <w:pStyle w:val="43"/>
        <w:ind w:firstLine="240"/>
        <w:rPr>
          <w:rFonts w:ascii="宋体" w:hAnsi="宋体" w:cs="宋体"/>
          <w:color w:val="auto"/>
          <w:sz w:val="24"/>
          <w:highlight w:val="none"/>
        </w:rPr>
      </w:pPr>
    </w:p>
    <w:p w14:paraId="654F67C0">
      <w:pPr>
        <w:pStyle w:val="43"/>
        <w:ind w:firstLine="240"/>
        <w:rPr>
          <w:rFonts w:ascii="宋体" w:hAnsi="宋体" w:cs="宋体"/>
          <w:color w:val="auto"/>
          <w:sz w:val="24"/>
          <w:highlight w:val="none"/>
        </w:rPr>
      </w:pPr>
    </w:p>
    <w:p w14:paraId="683811E8">
      <w:pPr>
        <w:pStyle w:val="43"/>
        <w:ind w:firstLine="240"/>
        <w:rPr>
          <w:rFonts w:ascii="宋体" w:hAnsi="宋体" w:cs="宋体"/>
          <w:color w:val="auto"/>
          <w:sz w:val="24"/>
          <w:highlight w:val="none"/>
        </w:rPr>
      </w:pPr>
    </w:p>
    <w:p w14:paraId="442369DD">
      <w:pPr>
        <w:pStyle w:val="43"/>
        <w:ind w:firstLine="240"/>
        <w:rPr>
          <w:rFonts w:ascii="宋体" w:hAnsi="宋体" w:cs="宋体"/>
          <w:color w:val="auto"/>
          <w:sz w:val="24"/>
          <w:highlight w:val="none"/>
        </w:rPr>
      </w:pPr>
    </w:p>
    <w:p w14:paraId="42EBD075">
      <w:pPr>
        <w:pStyle w:val="43"/>
        <w:ind w:firstLine="240"/>
        <w:rPr>
          <w:rFonts w:ascii="宋体" w:hAnsi="宋体" w:cs="宋体"/>
          <w:color w:val="auto"/>
          <w:sz w:val="24"/>
          <w:highlight w:val="none"/>
        </w:rPr>
      </w:pPr>
    </w:p>
    <w:p w14:paraId="617DAF9A">
      <w:pPr>
        <w:pStyle w:val="43"/>
        <w:ind w:firstLine="240"/>
        <w:rPr>
          <w:rFonts w:ascii="宋体" w:hAnsi="宋体" w:cs="宋体"/>
          <w:color w:val="auto"/>
          <w:sz w:val="24"/>
          <w:highlight w:val="none"/>
        </w:rPr>
      </w:pPr>
    </w:p>
    <w:p w14:paraId="37AEE250">
      <w:pPr>
        <w:pStyle w:val="43"/>
        <w:ind w:firstLine="240"/>
        <w:rPr>
          <w:rFonts w:ascii="宋体" w:hAnsi="宋体" w:cs="宋体"/>
          <w:color w:val="auto"/>
          <w:sz w:val="24"/>
          <w:highlight w:val="none"/>
        </w:rPr>
      </w:pPr>
    </w:p>
    <w:p w14:paraId="13713E0D">
      <w:pPr>
        <w:pStyle w:val="43"/>
        <w:ind w:firstLine="240"/>
        <w:rPr>
          <w:rFonts w:ascii="宋体" w:hAnsi="宋体" w:cs="宋体"/>
          <w:color w:val="auto"/>
          <w:sz w:val="24"/>
          <w:highlight w:val="none"/>
        </w:rPr>
      </w:pPr>
    </w:p>
    <w:p w14:paraId="5D310D75">
      <w:pPr>
        <w:spacing w:line="360" w:lineRule="auto"/>
        <w:jc w:val="left"/>
        <w:rPr>
          <w:rFonts w:hint="eastAsia" w:ascii="宋体" w:hAnsi="宋体" w:eastAsia="宋体" w:cs="宋体"/>
          <w:color w:val="auto"/>
          <w:sz w:val="24"/>
          <w:highlight w:val="none"/>
          <w:lang w:eastAsia="zh-CN"/>
        </w:rPr>
      </w:pPr>
      <w:r>
        <w:rPr>
          <w:rFonts w:hint="eastAsia" w:ascii="宋体" w:hAnsi="宋体" w:cs="宋体"/>
          <w:color w:val="auto"/>
          <w:sz w:val="24"/>
          <w:highlight w:val="none"/>
        </w:rPr>
        <w:t>格式2-</w:t>
      </w:r>
      <w:r>
        <w:rPr>
          <w:rFonts w:hint="eastAsia" w:ascii="宋体" w:hAnsi="宋体" w:cs="宋体"/>
          <w:color w:val="auto"/>
          <w:sz w:val="24"/>
          <w:highlight w:val="none"/>
          <w:lang w:val="en-US" w:eastAsia="zh-CN"/>
        </w:rPr>
        <w:t>3</w:t>
      </w:r>
    </w:p>
    <w:p w14:paraId="2F5BFAB4">
      <w:pPr>
        <w:spacing w:line="360" w:lineRule="auto"/>
        <w:ind w:firstLine="480" w:firstLineChars="200"/>
        <w:jc w:val="center"/>
        <w:rPr>
          <w:rFonts w:ascii="宋体" w:hAnsi="宋体" w:cs="宋体"/>
          <w:color w:val="auto"/>
          <w:sz w:val="24"/>
          <w:highlight w:val="none"/>
        </w:rPr>
      </w:pPr>
      <w:r>
        <w:rPr>
          <w:rFonts w:hint="eastAsia" w:ascii="宋体" w:hAnsi="宋体" w:cs="宋体"/>
          <w:color w:val="auto"/>
          <w:sz w:val="24"/>
          <w:highlight w:val="none"/>
        </w:rPr>
        <w:t>授权委托书</w:t>
      </w:r>
    </w:p>
    <w:p w14:paraId="2A3504F5">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（委托代理人参加竞争性磋商的，出具此证明书）</w:t>
      </w:r>
    </w:p>
    <w:p w14:paraId="1DF0FC86">
      <w:pPr>
        <w:spacing w:line="360" w:lineRule="auto"/>
        <w:ind w:firstLine="480" w:firstLineChars="200"/>
        <w:rPr>
          <w:rFonts w:ascii="宋体" w:hAnsi="宋体" w:cs="宋体"/>
          <w:color w:val="auto"/>
          <w:sz w:val="24"/>
          <w:highlight w:val="none"/>
        </w:rPr>
      </w:pPr>
    </w:p>
    <w:p w14:paraId="76B5D074">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委托人授权（被委托人的姓名、职务）为委托人的委托代理人，就项目编号为的项目及合同的执行，以本单位名义处理一切与之有关的事务。</w:t>
      </w:r>
    </w:p>
    <w:p w14:paraId="4FECA640">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本授权书于年月日签字生效，特此声明。</w:t>
      </w:r>
    </w:p>
    <w:p w14:paraId="699C6979">
      <w:pPr>
        <w:spacing w:line="360" w:lineRule="auto"/>
        <w:rPr>
          <w:rFonts w:ascii="宋体" w:hAnsi="宋体" w:cs="宋体"/>
          <w:color w:val="auto"/>
          <w:sz w:val="24"/>
          <w:highlight w:val="none"/>
        </w:rPr>
      </w:pPr>
    </w:p>
    <w:p w14:paraId="3C5A4BDD">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委托人：</w:t>
      </w:r>
    </w:p>
    <w:p w14:paraId="109BB6E0">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 xml:space="preserve">电子签章：       </w:t>
      </w:r>
    </w:p>
    <w:p w14:paraId="3DF519E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被委托人：</w:t>
      </w:r>
    </w:p>
    <w:p w14:paraId="04743C4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法定代表人：</w:t>
      </w:r>
    </w:p>
    <w:tbl>
      <w:tblPr>
        <w:tblStyle w:val="27"/>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241D5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15FEE847">
            <w:pPr>
              <w:spacing w:line="480" w:lineRule="exact"/>
              <w:rPr>
                <w:rFonts w:ascii="宋体" w:hAnsi="宋体" w:cs="宋体"/>
                <w:b/>
                <w:bCs/>
                <w:color w:val="auto"/>
                <w:sz w:val="24"/>
                <w:highlight w:val="none"/>
              </w:rPr>
            </w:pPr>
          </w:p>
          <w:p w14:paraId="6E8CA7B5">
            <w:pPr>
              <w:spacing w:line="480" w:lineRule="exact"/>
              <w:rPr>
                <w:rFonts w:ascii="宋体" w:hAnsi="宋体" w:cs="宋体"/>
                <w:b/>
                <w:bCs/>
                <w:color w:val="auto"/>
                <w:sz w:val="24"/>
                <w:highlight w:val="none"/>
              </w:rPr>
            </w:pPr>
          </w:p>
          <w:p w14:paraId="78CF2DBD">
            <w:pPr>
              <w:spacing w:line="480" w:lineRule="exact"/>
              <w:jc w:val="center"/>
              <w:rPr>
                <w:rFonts w:ascii="宋体" w:hAnsi="宋体" w:cs="宋体"/>
                <w:color w:val="auto"/>
                <w:sz w:val="24"/>
                <w:highlight w:val="none"/>
              </w:rPr>
            </w:pPr>
            <w:r>
              <w:rPr>
                <w:rFonts w:hint="eastAsia" w:ascii="宋体" w:hAnsi="宋体" w:cs="宋体"/>
                <w:b/>
                <w:bCs/>
                <w:color w:val="auto"/>
                <w:sz w:val="24"/>
                <w:highlight w:val="none"/>
              </w:rPr>
              <w:t>（※附：被委托人身份证复印件※）</w:t>
            </w:r>
          </w:p>
        </w:tc>
      </w:tr>
    </w:tbl>
    <w:p w14:paraId="320114DF">
      <w:pPr>
        <w:spacing w:line="360" w:lineRule="auto"/>
        <w:ind w:firstLine="480" w:firstLineChars="200"/>
        <w:rPr>
          <w:rFonts w:ascii="宋体" w:hAnsi="宋体" w:cs="宋体"/>
          <w:color w:val="auto"/>
          <w:sz w:val="24"/>
          <w:highlight w:val="none"/>
        </w:rPr>
      </w:pPr>
    </w:p>
    <w:p w14:paraId="2DC7419C">
      <w:pPr>
        <w:spacing w:line="360" w:lineRule="auto"/>
        <w:ind w:firstLine="480" w:firstLineChars="200"/>
        <w:rPr>
          <w:rFonts w:ascii="宋体" w:hAnsi="宋体" w:cs="宋体"/>
          <w:color w:val="auto"/>
          <w:sz w:val="24"/>
          <w:highlight w:val="none"/>
        </w:rPr>
      </w:pPr>
    </w:p>
    <w:p w14:paraId="656D6A67">
      <w:pPr>
        <w:spacing w:line="360" w:lineRule="auto"/>
        <w:ind w:firstLine="480" w:firstLineChars="200"/>
        <w:rPr>
          <w:rFonts w:ascii="宋体" w:hAnsi="宋体" w:cs="宋体"/>
          <w:color w:val="auto"/>
          <w:sz w:val="24"/>
          <w:highlight w:val="none"/>
        </w:rPr>
      </w:pPr>
    </w:p>
    <w:p w14:paraId="348FF110">
      <w:pPr>
        <w:spacing w:line="360" w:lineRule="auto"/>
        <w:ind w:firstLine="4920" w:firstLineChars="2050"/>
        <w:rPr>
          <w:rFonts w:ascii="宋体" w:hAnsi="宋体" w:cs="宋体"/>
          <w:color w:val="auto"/>
          <w:sz w:val="24"/>
          <w:highlight w:val="none"/>
        </w:rPr>
      </w:pPr>
    </w:p>
    <w:p w14:paraId="018BB868">
      <w:pPr>
        <w:spacing w:line="360" w:lineRule="auto"/>
        <w:jc w:val="center"/>
        <w:rPr>
          <w:rFonts w:ascii="宋体" w:hAnsi="宋体" w:cs="宋体"/>
          <w:color w:val="auto"/>
          <w:sz w:val="24"/>
          <w:highlight w:val="none"/>
        </w:rPr>
      </w:pPr>
    </w:p>
    <w:p w14:paraId="26BCD803">
      <w:pPr>
        <w:spacing w:line="360" w:lineRule="auto"/>
        <w:jc w:val="center"/>
        <w:rPr>
          <w:rFonts w:hint="eastAsia" w:ascii="宋体" w:hAnsi="宋体" w:cs="宋体"/>
          <w:color w:val="auto"/>
          <w:sz w:val="24"/>
          <w:highlight w:val="none"/>
        </w:rPr>
      </w:pPr>
    </w:p>
    <w:p w14:paraId="3E525AA6">
      <w:pPr>
        <w:spacing w:line="360" w:lineRule="auto"/>
        <w:jc w:val="center"/>
        <w:rPr>
          <w:rFonts w:hint="eastAsia" w:ascii="宋体" w:hAnsi="宋体" w:cs="宋体"/>
          <w:color w:val="auto"/>
          <w:sz w:val="24"/>
          <w:highlight w:val="none"/>
        </w:rPr>
      </w:pPr>
    </w:p>
    <w:p w14:paraId="7741132F">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rPr>
        <w:t xml:space="preserve">章： </w:t>
      </w:r>
    </w:p>
    <w:p w14:paraId="16FC257B">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w:t>
      </w:r>
    </w:p>
    <w:p w14:paraId="52C587F2">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 xml:space="preserve"> 年   月   日</w:t>
      </w:r>
    </w:p>
    <w:p w14:paraId="6E340463">
      <w:pPr>
        <w:rPr>
          <w:rFonts w:hint="eastAsia" w:ascii="宋体" w:hAnsi="宋体" w:cs="宋体"/>
          <w:color w:val="auto"/>
          <w:sz w:val="24"/>
          <w:highlight w:val="none"/>
        </w:rPr>
      </w:pPr>
      <w:r>
        <w:rPr>
          <w:rFonts w:hint="eastAsia" w:ascii="宋体" w:hAnsi="宋体" w:cs="宋体"/>
          <w:color w:val="auto"/>
          <w:sz w:val="24"/>
          <w:highlight w:val="none"/>
        </w:rPr>
        <w:br w:type="page"/>
      </w:r>
    </w:p>
    <w:p w14:paraId="270CBBCB">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格式2-3政府采购法第二十二条及参加政府采购活动前三年内无重大违法记录的书面声明</w:t>
      </w:r>
    </w:p>
    <w:p w14:paraId="5AD4206B">
      <w:pPr>
        <w:spacing w:line="360" w:lineRule="auto"/>
        <w:jc w:val="left"/>
        <w:rPr>
          <w:rFonts w:ascii="宋体" w:hAnsi="宋体" w:cs="宋体"/>
          <w:color w:val="auto"/>
          <w:sz w:val="24"/>
          <w:highlight w:val="none"/>
        </w:rPr>
      </w:pPr>
    </w:p>
    <w:p w14:paraId="678C27A2">
      <w:pPr>
        <w:spacing w:line="360" w:lineRule="auto"/>
        <w:jc w:val="left"/>
        <w:rPr>
          <w:rFonts w:ascii="宋体" w:hAnsi="宋体" w:cs="宋体"/>
          <w:color w:val="auto"/>
          <w:sz w:val="24"/>
          <w:highlight w:val="none"/>
        </w:rPr>
      </w:pPr>
    </w:p>
    <w:p w14:paraId="4A8E2CC5">
      <w:pPr>
        <w:spacing w:line="360" w:lineRule="auto"/>
        <w:jc w:val="left"/>
        <w:rPr>
          <w:rFonts w:ascii="宋体" w:hAnsi="宋体" w:cs="宋体"/>
          <w:color w:val="auto"/>
          <w:sz w:val="24"/>
          <w:highlight w:val="none"/>
        </w:rPr>
      </w:pPr>
    </w:p>
    <w:p w14:paraId="590EBD7D">
      <w:pPr>
        <w:spacing w:line="360" w:lineRule="auto"/>
        <w:jc w:val="left"/>
        <w:rPr>
          <w:rFonts w:ascii="宋体" w:hAnsi="宋体" w:cs="宋体"/>
          <w:color w:val="auto"/>
          <w:sz w:val="24"/>
          <w:highlight w:val="none"/>
        </w:rPr>
      </w:pPr>
    </w:p>
    <w:p w14:paraId="2CD1E1EA">
      <w:pPr>
        <w:rPr>
          <w:rFonts w:hint="eastAsia" w:ascii="宋体" w:hAnsi="宋体" w:cs="宋体"/>
          <w:color w:val="auto"/>
          <w:sz w:val="24"/>
          <w:highlight w:val="none"/>
        </w:rPr>
      </w:pPr>
      <w:r>
        <w:rPr>
          <w:rFonts w:hint="eastAsia" w:ascii="宋体" w:hAnsi="宋体" w:cs="宋体"/>
          <w:color w:val="auto"/>
          <w:sz w:val="24"/>
          <w:highlight w:val="none"/>
        </w:rPr>
        <w:br w:type="page"/>
      </w:r>
    </w:p>
    <w:p w14:paraId="4968A0ED">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格式3</w:t>
      </w:r>
    </w:p>
    <w:p w14:paraId="5381893E">
      <w:pPr>
        <w:spacing w:line="560" w:lineRule="exact"/>
        <w:jc w:val="center"/>
        <w:rPr>
          <w:rFonts w:ascii="宋体" w:hAnsi="宋体" w:cs="宋体"/>
          <w:color w:val="auto"/>
          <w:sz w:val="24"/>
          <w:highlight w:val="none"/>
        </w:rPr>
      </w:pPr>
      <w:r>
        <w:rPr>
          <w:rFonts w:hint="eastAsia" w:ascii="宋体" w:hAnsi="宋体" w:cs="宋体"/>
          <w:color w:val="auto"/>
          <w:sz w:val="24"/>
          <w:highlight w:val="none"/>
        </w:rPr>
        <w:t>投标函</w:t>
      </w:r>
    </w:p>
    <w:p w14:paraId="1FB9A650">
      <w:pPr>
        <w:pStyle w:val="24"/>
        <w:shd w:val="clear" w:color="auto" w:fill="FFFFFF"/>
        <w:adjustRightInd w:val="0"/>
        <w:snapToGrid w:val="0"/>
        <w:spacing w:before="0" w:beforeAutospacing="0" w:after="0" w:afterAutospacing="0" w:line="360" w:lineRule="auto"/>
        <w:rPr>
          <w:rFonts w:ascii="宋体" w:hAnsi="宋体" w:cs="宋体"/>
          <w:color w:val="auto"/>
          <w:kern w:val="0"/>
          <w:sz w:val="24"/>
          <w:highlight w:val="none"/>
        </w:rPr>
      </w:pPr>
      <w:r>
        <w:rPr>
          <w:rFonts w:hint="eastAsia" w:cs="宋体"/>
          <w:color w:val="auto"/>
          <w:szCs w:val="24"/>
          <w:highlight w:val="none"/>
        </w:rPr>
        <w:t>致：</w:t>
      </w:r>
      <w:r>
        <w:rPr>
          <w:rFonts w:hint="eastAsia" w:ascii="宋体" w:hAnsi="宋体" w:eastAsia="宋体" w:cs="宋体"/>
          <w:b w:val="0"/>
          <w:color w:val="auto"/>
          <w:kern w:val="2"/>
          <w:sz w:val="24"/>
          <w:highlight w:val="none"/>
          <w:lang w:val="en-US" w:eastAsia="zh-CN" w:bidi="ar-SA"/>
        </w:rPr>
        <w:t>（采购人或采购代理机构）</w:t>
      </w:r>
    </w:p>
    <w:p w14:paraId="501F7905">
      <w:pPr>
        <w:pStyle w:val="63"/>
        <w:ind w:firstLine="600" w:firstLineChars="250"/>
        <w:rPr>
          <w:rFonts w:ascii="宋体" w:hAnsi="宋体"/>
          <w:color w:val="auto"/>
          <w:sz w:val="24"/>
          <w:szCs w:val="24"/>
          <w:highlight w:val="none"/>
        </w:rPr>
      </w:pPr>
      <w:r>
        <w:rPr>
          <w:rFonts w:hint="eastAsia" w:ascii="宋体" w:hAnsi="宋体"/>
          <w:color w:val="auto"/>
          <w:sz w:val="24"/>
          <w:szCs w:val="24"/>
          <w:highlight w:val="none"/>
        </w:rPr>
        <w:t>根据贵方</w:t>
      </w:r>
      <w:r>
        <w:rPr>
          <w:rFonts w:hint="eastAsia" w:ascii="宋体" w:hAnsi="宋体"/>
          <w:color w:val="auto"/>
          <w:sz w:val="24"/>
          <w:szCs w:val="24"/>
          <w:highlight w:val="none"/>
          <w:u w:val="single"/>
        </w:rPr>
        <w:t>（本项目名称）</w:t>
      </w:r>
      <w:r>
        <w:rPr>
          <w:rFonts w:hint="eastAsia" w:ascii="宋体" w:hAnsi="宋体"/>
          <w:color w:val="auto"/>
          <w:sz w:val="24"/>
          <w:szCs w:val="24"/>
          <w:highlight w:val="none"/>
        </w:rPr>
        <w:t>项目的竞争性磋商邀请（项目编号</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），委托代理人 (全名、职务)代表 供应商名称、地址)提交投标文件，报价为</w:t>
      </w:r>
      <w:r>
        <w:rPr>
          <w:rFonts w:hint="eastAsia" w:ascii="宋体" w:hAnsi="宋体"/>
          <w:color w:val="auto"/>
          <w:sz w:val="24"/>
          <w:szCs w:val="24"/>
          <w:highlight w:val="none"/>
          <w:u w:val="single"/>
        </w:rPr>
        <w:t>：    元，</w:t>
      </w:r>
      <w:r>
        <w:rPr>
          <w:rFonts w:hint="eastAsia" w:ascii="宋体" w:hAnsi="宋体"/>
          <w:color w:val="auto"/>
          <w:sz w:val="24"/>
          <w:szCs w:val="24"/>
          <w:highlight w:val="none"/>
        </w:rPr>
        <w:t>并对之负法律责任。</w:t>
      </w:r>
    </w:p>
    <w:p w14:paraId="2C73A7D1">
      <w:pPr>
        <w:ind w:firstLine="568" w:firstLineChars="237"/>
        <w:rPr>
          <w:rFonts w:ascii="宋体" w:hAnsi="宋体" w:cs="宋体"/>
          <w:color w:val="auto"/>
          <w:sz w:val="24"/>
          <w:highlight w:val="none"/>
        </w:rPr>
      </w:pPr>
      <w:r>
        <w:rPr>
          <w:rFonts w:hint="eastAsia" w:ascii="宋体" w:hAnsi="宋体" w:cs="宋体"/>
          <w:color w:val="auto"/>
          <w:sz w:val="24"/>
          <w:highlight w:val="none"/>
        </w:rPr>
        <w:t>据此函，宣布同意如下：</w:t>
      </w:r>
    </w:p>
    <w:p w14:paraId="4E098A18">
      <w:pPr>
        <w:ind w:firstLine="480" w:firstLineChars="200"/>
        <w:rPr>
          <w:rFonts w:ascii="宋体" w:hAnsi="宋体" w:cs="宋体"/>
          <w:color w:val="auto"/>
          <w:sz w:val="24"/>
          <w:highlight w:val="none"/>
        </w:rPr>
      </w:pPr>
      <w:r>
        <w:rPr>
          <w:rFonts w:hint="eastAsia" w:ascii="宋体" w:hAnsi="宋体" w:cs="宋体"/>
          <w:color w:val="auto"/>
          <w:sz w:val="24"/>
          <w:highlight w:val="none"/>
        </w:rPr>
        <w:t>(1)我们完全理解贵方不一定要接受最低报价，并同意本文件规定的响应性文件有效期。</w:t>
      </w:r>
    </w:p>
    <w:p w14:paraId="6F35DEC8">
      <w:pPr>
        <w:ind w:firstLine="480" w:firstLineChars="200"/>
        <w:rPr>
          <w:rFonts w:ascii="宋体" w:hAnsi="宋体" w:cs="宋体"/>
          <w:color w:val="auto"/>
          <w:sz w:val="24"/>
          <w:highlight w:val="none"/>
        </w:rPr>
      </w:pPr>
      <w:r>
        <w:rPr>
          <w:rFonts w:hint="eastAsia" w:ascii="宋体" w:hAnsi="宋体" w:cs="宋体"/>
          <w:color w:val="auto"/>
          <w:sz w:val="24"/>
          <w:highlight w:val="none"/>
        </w:rPr>
        <w:t>(2)我们已详细审核全部竞争性磋商文件，我们知道必须放弃提出含糊不清或误解的问题的权利。</w:t>
      </w:r>
    </w:p>
    <w:p w14:paraId="63BECE3B">
      <w:pPr>
        <w:numPr>
          <w:ilvl w:val="0"/>
          <w:numId w:val="5"/>
        </w:numPr>
        <w:ind w:firstLine="480" w:firstLineChars="200"/>
        <w:rPr>
          <w:rFonts w:ascii="宋体" w:hAnsi="宋体" w:cs="宋体"/>
          <w:color w:val="auto"/>
          <w:sz w:val="24"/>
          <w:highlight w:val="none"/>
        </w:rPr>
      </w:pPr>
      <w:r>
        <w:rPr>
          <w:rFonts w:hint="eastAsia" w:ascii="宋体" w:hAnsi="宋体" w:cs="宋体"/>
          <w:color w:val="auto"/>
          <w:sz w:val="24"/>
          <w:highlight w:val="none"/>
        </w:rPr>
        <w:t>同意向贵方提供贵方可能另外要求的与其竞争性磋商有关的任何证据和资料。</w:t>
      </w:r>
    </w:p>
    <w:p w14:paraId="008C903E">
      <w:pPr>
        <w:ind w:firstLine="480" w:firstLineChars="200"/>
        <w:rPr>
          <w:rFonts w:ascii="宋体" w:hAnsi="宋体" w:cs="宋体"/>
          <w:color w:val="auto"/>
          <w:sz w:val="24"/>
          <w:highlight w:val="none"/>
        </w:rPr>
      </w:pPr>
      <w:r>
        <w:rPr>
          <w:rFonts w:hint="eastAsia" w:ascii="宋体" w:hAnsi="宋体" w:cs="宋体"/>
          <w:color w:val="auto"/>
          <w:sz w:val="24"/>
          <w:highlight w:val="none"/>
        </w:rPr>
        <w:t>(4)一旦我们成交，我们将严格履行合同责任和义务。</w:t>
      </w:r>
    </w:p>
    <w:p w14:paraId="3647BD7D">
      <w:pPr>
        <w:ind w:firstLine="480" w:firstLineChars="200"/>
        <w:rPr>
          <w:rFonts w:ascii="宋体" w:hAnsi="宋体" w:cs="宋体"/>
          <w:color w:val="auto"/>
          <w:sz w:val="24"/>
          <w:highlight w:val="none"/>
        </w:rPr>
      </w:pPr>
      <w:r>
        <w:rPr>
          <w:rFonts w:hint="eastAsia" w:ascii="宋体" w:hAnsi="宋体" w:cs="宋体"/>
          <w:color w:val="auto"/>
          <w:sz w:val="24"/>
          <w:highlight w:val="none"/>
        </w:rPr>
        <w:t>(5)我们完全理解不向未成交人解释未成交理由的义务。</w:t>
      </w:r>
    </w:p>
    <w:p w14:paraId="42DDAF79">
      <w:pPr>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(6)</w:t>
      </w:r>
      <w:r>
        <w:rPr>
          <w:rFonts w:hint="eastAsia" w:ascii="宋体" w:hAnsi="宋体" w:cs="宋体"/>
          <w:color w:val="auto"/>
          <w:sz w:val="24"/>
          <w:highlight w:val="none"/>
          <w:lang w:val="zh-CN"/>
        </w:rPr>
        <w:t>如果我们的谈判响应文件被接受，我们将履行谈判文件中规定的每一项要求，按期、按质、按量履行合同。</w:t>
      </w:r>
    </w:p>
    <w:p w14:paraId="48B362BC">
      <w:pPr>
        <w:ind w:firstLine="480" w:firstLineChars="200"/>
        <w:rPr>
          <w:rFonts w:ascii="宋体" w:hAnsi="宋体" w:cs="宋体"/>
          <w:color w:val="auto"/>
          <w:sz w:val="24"/>
          <w:highlight w:val="none"/>
        </w:rPr>
      </w:pPr>
      <w:r>
        <w:rPr>
          <w:rFonts w:hint="eastAsia" w:ascii="宋体" w:hAnsi="宋体" w:cs="宋体"/>
          <w:color w:val="auto"/>
          <w:sz w:val="24"/>
          <w:highlight w:val="none"/>
        </w:rPr>
        <w:t>(7)</w:t>
      </w:r>
      <w:r>
        <w:rPr>
          <w:rFonts w:hint="eastAsia" w:ascii="宋体" w:hAnsi="宋体" w:cs="宋体"/>
          <w:color w:val="auto"/>
          <w:sz w:val="24"/>
          <w:highlight w:val="none"/>
          <w:lang w:val="zh-CN"/>
        </w:rPr>
        <w:t>我方愿按《中华人民共和国合同法》履行我方的全部责任。</w:t>
      </w:r>
    </w:p>
    <w:p w14:paraId="671E15B7">
      <w:pPr>
        <w:ind w:firstLine="480" w:firstLineChars="200"/>
        <w:rPr>
          <w:rFonts w:ascii="宋体" w:hAnsi="宋体" w:cs="宋体"/>
          <w:color w:val="auto"/>
          <w:sz w:val="24"/>
          <w:highlight w:val="none"/>
        </w:rPr>
      </w:pPr>
      <w:r>
        <w:rPr>
          <w:rFonts w:hint="eastAsia" w:ascii="宋体" w:hAnsi="宋体" w:cs="宋体"/>
          <w:color w:val="auto"/>
          <w:sz w:val="24"/>
          <w:highlight w:val="none"/>
        </w:rPr>
        <w:t>(8)与本次竞争性磋商有关的正式通讯地址为：</w:t>
      </w:r>
    </w:p>
    <w:p w14:paraId="4CA9CD33">
      <w:pPr>
        <w:ind w:firstLine="480" w:firstLineChars="200"/>
        <w:rPr>
          <w:rFonts w:ascii="宋体" w:hAnsi="宋体" w:cs="宋体"/>
          <w:color w:val="auto"/>
          <w:sz w:val="24"/>
          <w:highlight w:val="none"/>
        </w:rPr>
      </w:pPr>
      <w:r>
        <w:rPr>
          <w:rFonts w:hint="eastAsia" w:ascii="宋体" w:hAnsi="宋体" w:cs="宋体"/>
          <w:color w:val="auto"/>
          <w:sz w:val="24"/>
          <w:highlight w:val="none"/>
        </w:rPr>
        <w:t>地 址：                  邮 编：</w:t>
      </w:r>
    </w:p>
    <w:p w14:paraId="6CB3CFFD">
      <w:pPr>
        <w:ind w:firstLine="480" w:firstLineChars="200"/>
        <w:rPr>
          <w:rFonts w:ascii="宋体" w:hAnsi="宋体" w:cs="宋体"/>
          <w:color w:val="auto"/>
          <w:sz w:val="24"/>
          <w:highlight w:val="none"/>
        </w:rPr>
      </w:pPr>
      <w:r>
        <w:rPr>
          <w:rFonts w:hint="eastAsia" w:ascii="宋体" w:hAnsi="宋体" w:cs="宋体"/>
          <w:color w:val="auto"/>
          <w:sz w:val="24"/>
          <w:highlight w:val="none"/>
        </w:rPr>
        <w:t>电 话：                  电子信箱：</w:t>
      </w:r>
    </w:p>
    <w:p w14:paraId="0A170A31">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我们保证：</w:t>
      </w:r>
    </w:p>
    <w:p w14:paraId="08435BD2">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(1)不提供虚假材料谋取成交；</w:t>
      </w:r>
    </w:p>
    <w:p w14:paraId="523E22C2">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(2)不以不正当手段抵毁、排挤其他供应商；</w:t>
      </w:r>
    </w:p>
    <w:p w14:paraId="695DE018">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(3)不与采购人和其它供应商恶意串通；</w:t>
      </w:r>
    </w:p>
    <w:p w14:paraId="0C13C564">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(4)不向采购人和采购代理机构提供不正当利益；</w:t>
      </w:r>
    </w:p>
    <w:p w14:paraId="074C4C9B">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(5)不拒绝有关部门监督检查或提供虚假情况。</w:t>
      </w:r>
    </w:p>
    <w:p w14:paraId="7C511947">
      <w:pPr>
        <w:spacing w:line="560" w:lineRule="exact"/>
        <w:jc w:val="left"/>
        <w:rPr>
          <w:rFonts w:ascii="宋体" w:hAnsi="宋体" w:cs="宋体"/>
          <w:color w:val="auto"/>
          <w:sz w:val="24"/>
          <w:highlight w:val="none"/>
        </w:rPr>
      </w:pPr>
    </w:p>
    <w:p w14:paraId="4111A60A">
      <w:pPr>
        <w:spacing w:line="560" w:lineRule="exact"/>
        <w:jc w:val="left"/>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 xml:space="preserve">     联系人：              联系电话：</w:t>
      </w:r>
    </w:p>
    <w:p w14:paraId="0C8C07A6">
      <w:pPr>
        <w:spacing w:line="360" w:lineRule="auto"/>
        <w:jc w:val="left"/>
        <w:rPr>
          <w:rFonts w:ascii="宋体" w:hAnsi="宋体" w:cs="宋体"/>
          <w:color w:val="auto"/>
          <w:sz w:val="24"/>
          <w:highlight w:val="none"/>
        </w:rPr>
      </w:pPr>
    </w:p>
    <w:p w14:paraId="32E1D113">
      <w:pPr>
        <w:spacing w:line="360" w:lineRule="auto"/>
        <w:jc w:val="left"/>
        <w:rPr>
          <w:rFonts w:ascii="宋体" w:hAnsi="宋体" w:cs="宋体"/>
          <w:color w:val="auto"/>
          <w:sz w:val="24"/>
          <w:highlight w:val="none"/>
        </w:rPr>
      </w:pPr>
    </w:p>
    <w:p w14:paraId="3073074C">
      <w:pPr>
        <w:spacing w:line="360" w:lineRule="auto"/>
        <w:jc w:val="left"/>
        <w:rPr>
          <w:rFonts w:ascii="宋体" w:hAnsi="宋体" w:cs="宋体"/>
          <w:color w:val="auto"/>
          <w:sz w:val="24"/>
          <w:highlight w:val="none"/>
        </w:rPr>
      </w:pPr>
    </w:p>
    <w:p w14:paraId="080BF8B8">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rPr>
        <w:t xml:space="preserve">章： </w:t>
      </w:r>
    </w:p>
    <w:p w14:paraId="47D03098">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1ED77997">
      <w:pPr>
        <w:spacing w:line="360" w:lineRule="auto"/>
        <w:jc w:val="left"/>
        <w:rPr>
          <w:rFonts w:hint="eastAsia" w:ascii="宋体" w:hAnsi="宋体" w:eastAsia="宋体" w:cs="宋体"/>
          <w:color w:val="auto"/>
          <w:sz w:val="24"/>
          <w:highlight w:val="none"/>
        </w:rPr>
      </w:pPr>
      <w:r>
        <w:rPr>
          <w:rFonts w:hint="eastAsia" w:ascii="宋体" w:hAnsi="宋体" w:cs="宋体"/>
          <w:color w:val="auto"/>
          <w:sz w:val="24"/>
          <w:highlight w:val="none"/>
        </w:rPr>
        <w:br w:type="page"/>
      </w:r>
      <w:r>
        <w:rPr>
          <w:rFonts w:hint="eastAsia" w:ascii="宋体" w:hAnsi="宋体" w:cs="宋体"/>
          <w:color w:val="auto"/>
          <w:sz w:val="24"/>
          <w:highlight w:val="none"/>
        </w:rPr>
        <w:t>格式4</w:t>
      </w:r>
    </w:p>
    <w:p w14:paraId="10DB2780">
      <w:pPr>
        <w:spacing w:line="360" w:lineRule="auto"/>
        <w:jc w:val="center"/>
        <w:rPr>
          <w:rFonts w:hint="eastAsia" w:ascii="宋体" w:hAnsi="宋体" w:eastAsia="宋体" w:cs="宋体"/>
          <w:color w:val="auto"/>
          <w:sz w:val="24"/>
          <w:highlight w:val="none"/>
        </w:rPr>
      </w:pPr>
      <w:bookmarkStart w:id="30" w:name="_Toc495414231"/>
      <w:bookmarkStart w:id="31" w:name="_Toc197934561"/>
      <w:r>
        <w:rPr>
          <w:rFonts w:hint="eastAsia" w:ascii="宋体" w:hAnsi="宋体" w:eastAsia="宋体" w:cs="宋体"/>
          <w:color w:val="auto"/>
          <w:sz w:val="24"/>
          <w:highlight w:val="none"/>
        </w:rPr>
        <w:t>一．报价一览表</w:t>
      </w:r>
      <w:bookmarkEnd w:id="30"/>
      <w:bookmarkEnd w:id="31"/>
    </w:p>
    <w:tbl>
      <w:tblPr>
        <w:tblStyle w:val="27"/>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5B4CA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12651053">
            <w:pPr>
              <w:widowControl/>
              <w:spacing w:line="360" w:lineRule="exact"/>
              <w:jc w:val="center"/>
              <w:rPr>
                <w:rFonts w:ascii="宋体" w:hAnsi="宋体" w:cs="宋体"/>
                <w:color w:val="auto"/>
                <w:sz w:val="24"/>
                <w:highlight w:val="none"/>
              </w:rPr>
            </w:pPr>
            <w:r>
              <w:rPr>
                <w:rFonts w:hint="eastAsia" w:ascii="宋体" w:hAnsi="宋体" w:cs="宋体"/>
                <w:color w:val="auto"/>
                <w:sz w:val="24"/>
                <w:highlight w:val="none"/>
              </w:rPr>
              <w:t>项目名称</w:t>
            </w:r>
          </w:p>
        </w:tc>
        <w:tc>
          <w:tcPr>
            <w:tcW w:w="6667" w:type="dxa"/>
            <w:tcBorders>
              <w:top w:val="single" w:color="auto" w:sz="4" w:space="0"/>
              <w:bottom w:val="single" w:color="auto" w:sz="4" w:space="0"/>
              <w:right w:val="single" w:color="auto" w:sz="4" w:space="0"/>
            </w:tcBorders>
            <w:vAlign w:val="center"/>
          </w:tcPr>
          <w:p w14:paraId="0642CBC4">
            <w:pPr>
              <w:spacing w:line="360" w:lineRule="exact"/>
              <w:jc w:val="both"/>
              <w:rPr>
                <w:rFonts w:ascii="宋体" w:hAnsi="宋体" w:cs="宋体"/>
                <w:color w:val="auto"/>
                <w:sz w:val="24"/>
                <w:highlight w:val="none"/>
              </w:rPr>
            </w:pPr>
          </w:p>
        </w:tc>
      </w:tr>
      <w:tr w14:paraId="6FDFD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6FC1FEA">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投标人全称</w:t>
            </w:r>
          </w:p>
        </w:tc>
        <w:tc>
          <w:tcPr>
            <w:tcW w:w="6667" w:type="dxa"/>
            <w:tcBorders>
              <w:top w:val="nil"/>
            </w:tcBorders>
            <w:vAlign w:val="center"/>
          </w:tcPr>
          <w:p w14:paraId="2C8A7B26">
            <w:pPr>
              <w:spacing w:line="360" w:lineRule="auto"/>
              <w:rPr>
                <w:rFonts w:ascii="宋体" w:hAnsi="宋体" w:cs="宋体"/>
                <w:color w:val="auto"/>
                <w:sz w:val="24"/>
                <w:highlight w:val="none"/>
              </w:rPr>
            </w:pPr>
          </w:p>
        </w:tc>
      </w:tr>
      <w:tr w14:paraId="21417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1C040825">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最终投标报价（包：）</w:t>
            </w:r>
          </w:p>
          <w:p w14:paraId="4C26592B">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（人民币）</w:t>
            </w:r>
          </w:p>
        </w:tc>
        <w:tc>
          <w:tcPr>
            <w:tcW w:w="6667" w:type="dxa"/>
            <w:tcBorders>
              <w:top w:val="nil"/>
            </w:tcBorders>
            <w:vAlign w:val="center"/>
          </w:tcPr>
          <w:p w14:paraId="3F6ADB10">
            <w:pPr>
              <w:spacing w:line="360" w:lineRule="auto"/>
              <w:ind w:right="-670"/>
              <w:rPr>
                <w:rFonts w:ascii="宋体" w:hAnsi="宋体" w:cs="宋体"/>
                <w:color w:val="auto"/>
                <w:sz w:val="24"/>
                <w:highlight w:val="none"/>
              </w:rPr>
            </w:pPr>
            <w:r>
              <w:rPr>
                <w:rFonts w:hint="eastAsia" w:ascii="宋体" w:hAnsi="宋体" w:cs="宋体"/>
                <w:color w:val="auto"/>
                <w:sz w:val="24"/>
                <w:highlight w:val="none"/>
              </w:rPr>
              <w:t xml:space="preserve">投标总价：       大写：           </w:t>
            </w:r>
          </w:p>
        </w:tc>
      </w:tr>
      <w:tr w14:paraId="572E7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3934BDF2">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备注</w:t>
            </w:r>
          </w:p>
        </w:tc>
        <w:tc>
          <w:tcPr>
            <w:tcW w:w="6667" w:type="dxa"/>
            <w:tcBorders>
              <w:top w:val="nil"/>
            </w:tcBorders>
            <w:vAlign w:val="center"/>
          </w:tcPr>
          <w:p w14:paraId="00FFA40E">
            <w:pPr>
              <w:spacing w:line="360" w:lineRule="auto"/>
              <w:jc w:val="left"/>
              <w:rPr>
                <w:rFonts w:ascii="宋体" w:hAnsi="宋体" w:cs="宋体"/>
                <w:color w:val="auto"/>
                <w:sz w:val="24"/>
                <w:highlight w:val="none"/>
              </w:rPr>
            </w:pPr>
          </w:p>
        </w:tc>
      </w:tr>
    </w:tbl>
    <w:p w14:paraId="1E2BEC27">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rPr>
        <w:t xml:space="preserve">章： </w:t>
      </w:r>
    </w:p>
    <w:p w14:paraId="4D3682E7">
      <w:pPr>
        <w:spacing w:line="360" w:lineRule="auto"/>
        <w:rPr>
          <w:rFonts w:hint="eastAsia" w:ascii="宋体" w:hAnsi="宋体" w:eastAsia="宋体" w:cs="宋体"/>
          <w:color w:val="auto"/>
          <w:sz w:val="24"/>
          <w:highlight w:val="none"/>
          <w:lang w:eastAsia="zh-CN"/>
        </w:rPr>
      </w:pPr>
      <w:r>
        <w:rPr>
          <w:rFonts w:hint="eastAsia" w:ascii="宋体" w:hAnsi="宋体" w:cs="宋体"/>
          <w:color w:val="auto"/>
          <w:sz w:val="24"/>
          <w:highlight w:val="none"/>
        </w:rPr>
        <w:t>备注：</w:t>
      </w:r>
    </w:p>
    <w:p w14:paraId="236A566E">
      <w:pPr>
        <w:spacing w:line="360" w:lineRule="auto"/>
        <w:rPr>
          <w:rFonts w:ascii="宋体" w:hAnsi="宋体" w:cs="宋体"/>
          <w:color w:val="auto"/>
          <w:sz w:val="24"/>
          <w:highlight w:val="none"/>
        </w:rPr>
      </w:pPr>
      <w:r>
        <w:rPr>
          <w:rFonts w:hint="eastAsia" w:ascii="宋体" w:hAnsi="宋体" w:cs="宋体"/>
          <w:color w:val="auto"/>
          <w:sz w:val="24"/>
          <w:highlight w:val="none"/>
        </w:rPr>
        <w:t>1、此表用于开标会唱标之用。</w:t>
      </w:r>
    </w:p>
    <w:p w14:paraId="364F7C54">
      <w:pPr>
        <w:spacing w:line="360" w:lineRule="auto"/>
        <w:rPr>
          <w:rFonts w:ascii="宋体" w:hAnsi="宋体" w:cs="宋体"/>
          <w:color w:val="auto"/>
          <w:sz w:val="24"/>
          <w:highlight w:val="none"/>
        </w:rPr>
      </w:pPr>
      <w:r>
        <w:rPr>
          <w:rFonts w:hint="eastAsia" w:ascii="宋体" w:hAnsi="宋体" w:cs="宋体"/>
          <w:color w:val="auto"/>
          <w:sz w:val="24"/>
          <w:highlight w:val="none"/>
        </w:rPr>
        <w:t>2、表中最终投标报价即为优惠后报价，并作为评审及定标依据。任何有选择或有条件的最终投标报价，或者表中某一包填写多个报价，均为无效报价。</w:t>
      </w:r>
    </w:p>
    <w:p w14:paraId="7BF0BD0E">
      <w:pPr>
        <w:spacing w:line="360" w:lineRule="auto"/>
        <w:jc w:val="left"/>
        <w:rPr>
          <w:rFonts w:ascii="宋体" w:hAnsi="宋体" w:cs="宋体"/>
          <w:color w:val="auto"/>
          <w:sz w:val="24"/>
          <w:highlight w:val="none"/>
        </w:rPr>
      </w:pPr>
      <w:bookmarkStart w:id="32" w:name="_Toc495414234"/>
      <w:bookmarkStart w:id="33" w:name="_Toc220232409"/>
    </w:p>
    <w:p w14:paraId="36529120">
      <w:pPr>
        <w:pStyle w:val="43"/>
        <w:ind w:firstLine="240"/>
        <w:rPr>
          <w:rFonts w:ascii="宋体" w:hAnsi="宋体" w:cs="宋体"/>
          <w:color w:val="auto"/>
          <w:sz w:val="24"/>
          <w:highlight w:val="none"/>
        </w:rPr>
      </w:pPr>
    </w:p>
    <w:p w14:paraId="01177790">
      <w:pPr>
        <w:pStyle w:val="43"/>
        <w:ind w:firstLine="240"/>
        <w:rPr>
          <w:rFonts w:ascii="宋体" w:hAnsi="宋体" w:cs="宋体"/>
          <w:color w:val="auto"/>
          <w:sz w:val="24"/>
          <w:highlight w:val="none"/>
        </w:rPr>
      </w:pPr>
    </w:p>
    <w:p w14:paraId="407DEBC6">
      <w:pPr>
        <w:pStyle w:val="43"/>
        <w:ind w:firstLine="240"/>
        <w:rPr>
          <w:rFonts w:ascii="宋体" w:hAnsi="宋体" w:cs="宋体"/>
          <w:color w:val="auto"/>
          <w:sz w:val="24"/>
          <w:highlight w:val="none"/>
        </w:rPr>
      </w:pPr>
    </w:p>
    <w:p w14:paraId="41A4AF41">
      <w:pPr>
        <w:pStyle w:val="43"/>
        <w:ind w:firstLine="240"/>
        <w:rPr>
          <w:rFonts w:ascii="宋体" w:hAnsi="宋体" w:cs="宋体"/>
          <w:color w:val="auto"/>
          <w:sz w:val="24"/>
          <w:highlight w:val="none"/>
        </w:rPr>
      </w:pPr>
    </w:p>
    <w:p w14:paraId="14FAC393">
      <w:pPr>
        <w:pStyle w:val="43"/>
        <w:ind w:firstLine="240"/>
        <w:rPr>
          <w:rFonts w:ascii="宋体" w:hAnsi="宋体" w:cs="宋体"/>
          <w:color w:val="auto"/>
          <w:sz w:val="24"/>
          <w:highlight w:val="none"/>
        </w:rPr>
      </w:pPr>
    </w:p>
    <w:p w14:paraId="7E446A09">
      <w:pPr>
        <w:pStyle w:val="43"/>
        <w:ind w:firstLine="240"/>
        <w:rPr>
          <w:rFonts w:ascii="宋体" w:hAnsi="宋体" w:cs="宋体"/>
          <w:color w:val="auto"/>
          <w:sz w:val="24"/>
          <w:highlight w:val="none"/>
        </w:rPr>
      </w:pPr>
    </w:p>
    <w:p w14:paraId="7DFB0467">
      <w:pPr>
        <w:spacing w:line="360" w:lineRule="auto"/>
        <w:jc w:val="left"/>
        <w:rPr>
          <w:rFonts w:ascii="宋体" w:hAnsi="宋体" w:cs="宋体"/>
          <w:color w:val="auto"/>
          <w:sz w:val="24"/>
          <w:highlight w:val="none"/>
        </w:rPr>
      </w:pPr>
    </w:p>
    <w:p w14:paraId="2D99F3BD">
      <w:pPr>
        <w:spacing w:line="360" w:lineRule="auto"/>
        <w:jc w:val="left"/>
        <w:rPr>
          <w:rFonts w:hint="eastAsia" w:ascii="宋体" w:hAnsi="宋体" w:cs="宋体"/>
          <w:color w:val="auto"/>
          <w:sz w:val="24"/>
          <w:highlight w:val="none"/>
        </w:rPr>
      </w:pPr>
    </w:p>
    <w:p w14:paraId="08C5A19F">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格式5</w:t>
      </w:r>
    </w:p>
    <w:p w14:paraId="62A9AB61">
      <w:pPr>
        <w:bidi w:val="0"/>
        <w:jc w:val="center"/>
        <w:rPr>
          <w:color w:val="auto"/>
          <w:sz w:val="32"/>
          <w:szCs w:val="40"/>
          <w:highlight w:val="none"/>
        </w:rPr>
      </w:pPr>
      <w:r>
        <w:rPr>
          <w:rFonts w:hint="eastAsia"/>
          <w:color w:val="auto"/>
          <w:sz w:val="32"/>
          <w:szCs w:val="40"/>
          <w:highlight w:val="none"/>
        </w:rPr>
        <w:t>投标分项报价表</w:t>
      </w:r>
      <w:bookmarkEnd w:id="32"/>
      <w:bookmarkEnd w:id="33"/>
    </w:p>
    <w:tbl>
      <w:tblPr>
        <w:tblStyle w:val="27"/>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66BF8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0573FCAB">
            <w:pPr>
              <w:pStyle w:val="67"/>
              <w:widowControl w:val="0"/>
              <w:spacing w:before="0" w:beforeAutospacing="0" w:after="0" w:afterAutospacing="0" w:line="340" w:lineRule="exact"/>
              <w:rPr>
                <w:rFonts w:cs="宋体"/>
                <w:b w:val="0"/>
                <w:bCs w:val="0"/>
                <w:color w:val="auto"/>
                <w:kern w:val="2"/>
                <w:sz w:val="24"/>
                <w:szCs w:val="24"/>
                <w:highlight w:val="none"/>
              </w:rPr>
            </w:pPr>
            <w:r>
              <w:rPr>
                <w:rFonts w:hint="eastAsia" w:cs="宋体"/>
                <w:b w:val="0"/>
                <w:bCs w:val="0"/>
                <w:color w:val="auto"/>
                <w:kern w:val="2"/>
                <w:sz w:val="24"/>
                <w:szCs w:val="24"/>
                <w:highlight w:val="none"/>
              </w:rPr>
              <w:t>序号</w:t>
            </w:r>
          </w:p>
        </w:tc>
        <w:tc>
          <w:tcPr>
            <w:tcW w:w="2205" w:type="dxa"/>
            <w:vAlign w:val="center"/>
          </w:tcPr>
          <w:p w14:paraId="3234C5E5">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服务项目名称</w:t>
            </w:r>
          </w:p>
        </w:tc>
        <w:tc>
          <w:tcPr>
            <w:tcW w:w="957" w:type="dxa"/>
            <w:vAlign w:val="center"/>
          </w:tcPr>
          <w:p w14:paraId="49F66A63">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单位</w:t>
            </w:r>
          </w:p>
        </w:tc>
        <w:tc>
          <w:tcPr>
            <w:tcW w:w="840" w:type="dxa"/>
            <w:vAlign w:val="center"/>
          </w:tcPr>
          <w:p w14:paraId="3D299EA5">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数量</w:t>
            </w:r>
          </w:p>
        </w:tc>
        <w:tc>
          <w:tcPr>
            <w:tcW w:w="1260" w:type="dxa"/>
            <w:vAlign w:val="center"/>
          </w:tcPr>
          <w:p w14:paraId="68606B8A">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单价</w:t>
            </w:r>
          </w:p>
        </w:tc>
        <w:tc>
          <w:tcPr>
            <w:tcW w:w="1340" w:type="dxa"/>
            <w:vAlign w:val="center"/>
          </w:tcPr>
          <w:p w14:paraId="6F52BE58">
            <w:pPr>
              <w:spacing w:line="340" w:lineRule="exact"/>
              <w:jc w:val="center"/>
              <w:rPr>
                <w:rFonts w:ascii="宋体" w:hAnsi="宋体" w:cs="宋体"/>
                <w:color w:val="auto"/>
                <w:sz w:val="24"/>
                <w:highlight w:val="none"/>
              </w:rPr>
            </w:pPr>
            <w:r>
              <w:rPr>
                <w:rFonts w:hint="eastAsia" w:ascii="宋体" w:hAnsi="宋体" w:cs="宋体"/>
                <w:bCs/>
                <w:color w:val="auto"/>
                <w:sz w:val="24"/>
                <w:highlight w:val="none"/>
              </w:rPr>
              <w:t>小计</w:t>
            </w:r>
          </w:p>
        </w:tc>
        <w:tc>
          <w:tcPr>
            <w:tcW w:w="1347" w:type="dxa"/>
            <w:vAlign w:val="center"/>
          </w:tcPr>
          <w:p w14:paraId="61A8E99A">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备注</w:t>
            </w:r>
          </w:p>
        </w:tc>
      </w:tr>
      <w:tr w14:paraId="54A9F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6C2F91BB">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w:t>
            </w:r>
          </w:p>
        </w:tc>
        <w:tc>
          <w:tcPr>
            <w:tcW w:w="2205" w:type="dxa"/>
          </w:tcPr>
          <w:p w14:paraId="4E01721F">
            <w:pPr>
              <w:spacing w:line="340" w:lineRule="exact"/>
              <w:rPr>
                <w:rFonts w:ascii="宋体" w:hAnsi="宋体" w:cs="宋体"/>
                <w:color w:val="auto"/>
                <w:sz w:val="24"/>
                <w:highlight w:val="none"/>
              </w:rPr>
            </w:pPr>
          </w:p>
        </w:tc>
        <w:tc>
          <w:tcPr>
            <w:tcW w:w="957" w:type="dxa"/>
          </w:tcPr>
          <w:p w14:paraId="71EC0CCA">
            <w:pPr>
              <w:spacing w:line="340" w:lineRule="exact"/>
              <w:rPr>
                <w:rFonts w:ascii="宋体" w:hAnsi="宋体" w:cs="宋体"/>
                <w:color w:val="auto"/>
                <w:sz w:val="24"/>
                <w:highlight w:val="none"/>
              </w:rPr>
            </w:pPr>
          </w:p>
        </w:tc>
        <w:tc>
          <w:tcPr>
            <w:tcW w:w="840" w:type="dxa"/>
          </w:tcPr>
          <w:p w14:paraId="51DE779F">
            <w:pPr>
              <w:spacing w:line="340" w:lineRule="exact"/>
              <w:rPr>
                <w:rFonts w:ascii="宋体" w:hAnsi="宋体" w:cs="宋体"/>
                <w:color w:val="auto"/>
                <w:sz w:val="24"/>
                <w:highlight w:val="none"/>
              </w:rPr>
            </w:pPr>
          </w:p>
        </w:tc>
        <w:tc>
          <w:tcPr>
            <w:tcW w:w="1260" w:type="dxa"/>
          </w:tcPr>
          <w:p w14:paraId="1C545F34">
            <w:pPr>
              <w:spacing w:line="340" w:lineRule="exact"/>
              <w:rPr>
                <w:rFonts w:ascii="宋体" w:hAnsi="宋体" w:cs="宋体"/>
                <w:color w:val="auto"/>
                <w:sz w:val="24"/>
                <w:highlight w:val="none"/>
              </w:rPr>
            </w:pPr>
          </w:p>
        </w:tc>
        <w:tc>
          <w:tcPr>
            <w:tcW w:w="1340" w:type="dxa"/>
          </w:tcPr>
          <w:p w14:paraId="2FD32A5E">
            <w:pPr>
              <w:spacing w:line="340" w:lineRule="exact"/>
              <w:rPr>
                <w:rFonts w:ascii="宋体" w:hAnsi="宋体" w:cs="宋体"/>
                <w:color w:val="auto"/>
                <w:sz w:val="24"/>
                <w:highlight w:val="none"/>
              </w:rPr>
            </w:pPr>
          </w:p>
        </w:tc>
        <w:tc>
          <w:tcPr>
            <w:tcW w:w="1347" w:type="dxa"/>
          </w:tcPr>
          <w:p w14:paraId="025931BB">
            <w:pPr>
              <w:spacing w:line="340" w:lineRule="exact"/>
              <w:rPr>
                <w:rFonts w:ascii="宋体" w:hAnsi="宋体" w:cs="宋体"/>
                <w:color w:val="auto"/>
                <w:sz w:val="24"/>
                <w:highlight w:val="none"/>
              </w:rPr>
            </w:pPr>
          </w:p>
        </w:tc>
      </w:tr>
      <w:tr w14:paraId="0A9A8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2A841C5">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2</w:t>
            </w:r>
          </w:p>
        </w:tc>
        <w:tc>
          <w:tcPr>
            <w:tcW w:w="2205" w:type="dxa"/>
          </w:tcPr>
          <w:p w14:paraId="6A063675">
            <w:pPr>
              <w:spacing w:line="340" w:lineRule="exact"/>
              <w:rPr>
                <w:rFonts w:ascii="宋体" w:hAnsi="宋体" w:cs="宋体"/>
                <w:color w:val="auto"/>
                <w:sz w:val="24"/>
                <w:highlight w:val="none"/>
              </w:rPr>
            </w:pPr>
          </w:p>
        </w:tc>
        <w:tc>
          <w:tcPr>
            <w:tcW w:w="957" w:type="dxa"/>
          </w:tcPr>
          <w:p w14:paraId="6F0B1C60">
            <w:pPr>
              <w:spacing w:line="340" w:lineRule="exact"/>
              <w:rPr>
                <w:rFonts w:ascii="宋体" w:hAnsi="宋体" w:cs="宋体"/>
                <w:color w:val="auto"/>
                <w:sz w:val="24"/>
                <w:highlight w:val="none"/>
              </w:rPr>
            </w:pPr>
          </w:p>
        </w:tc>
        <w:tc>
          <w:tcPr>
            <w:tcW w:w="840" w:type="dxa"/>
          </w:tcPr>
          <w:p w14:paraId="39CBD266">
            <w:pPr>
              <w:spacing w:line="340" w:lineRule="exact"/>
              <w:rPr>
                <w:rFonts w:ascii="宋体" w:hAnsi="宋体" w:cs="宋体"/>
                <w:color w:val="auto"/>
                <w:sz w:val="24"/>
                <w:highlight w:val="none"/>
              </w:rPr>
            </w:pPr>
          </w:p>
        </w:tc>
        <w:tc>
          <w:tcPr>
            <w:tcW w:w="1260" w:type="dxa"/>
          </w:tcPr>
          <w:p w14:paraId="3E9CB49B">
            <w:pPr>
              <w:spacing w:line="340" w:lineRule="exact"/>
              <w:rPr>
                <w:rFonts w:ascii="宋体" w:hAnsi="宋体" w:cs="宋体"/>
                <w:color w:val="auto"/>
                <w:sz w:val="24"/>
                <w:highlight w:val="none"/>
              </w:rPr>
            </w:pPr>
          </w:p>
        </w:tc>
        <w:tc>
          <w:tcPr>
            <w:tcW w:w="1340" w:type="dxa"/>
          </w:tcPr>
          <w:p w14:paraId="3BBA285F">
            <w:pPr>
              <w:spacing w:line="340" w:lineRule="exact"/>
              <w:rPr>
                <w:rFonts w:ascii="宋体" w:hAnsi="宋体" w:cs="宋体"/>
                <w:color w:val="auto"/>
                <w:sz w:val="24"/>
                <w:highlight w:val="none"/>
              </w:rPr>
            </w:pPr>
          </w:p>
        </w:tc>
        <w:tc>
          <w:tcPr>
            <w:tcW w:w="1347" w:type="dxa"/>
          </w:tcPr>
          <w:p w14:paraId="689086F1">
            <w:pPr>
              <w:spacing w:line="340" w:lineRule="exact"/>
              <w:rPr>
                <w:rFonts w:ascii="宋体" w:hAnsi="宋体" w:cs="宋体"/>
                <w:color w:val="auto"/>
                <w:sz w:val="24"/>
                <w:highlight w:val="none"/>
              </w:rPr>
            </w:pPr>
          </w:p>
        </w:tc>
      </w:tr>
      <w:tr w14:paraId="78F62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34809A6">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3</w:t>
            </w:r>
          </w:p>
        </w:tc>
        <w:tc>
          <w:tcPr>
            <w:tcW w:w="2205" w:type="dxa"/>
          </w:tcPr>
          <w:p w14:paraId="45CE820C">
            <w:pPr>
              <w:spacing w:line="340" w:lineRule="exact"/>
              <w:rPr>
                <w:rFonts w:ascii="宋体" w:hAnsi="宋体" w:cs="宋体"/>
                <w:color w:val="auto"/>
                <w:sz w:val="24"/>
                <w:highlight w:val="none"/>
              </w:rPr>
            </w:pPr>
          </w:p>
        </w:tc>
        <w:tc>
          <w:tcPr>
            <w:tcW w:w="957" w:type="dxa"/>
          </w:tcPr>
          <w:p w14:paraId="4CDEA77E">
            <w:pPr>
              <w:spacing w:line="340" w:lineRule="exact"/>
              <w:rPr>
                <w:rFonts w:ascii="宋体" w:hAnsi="宋体" w:cs="宋体"/>
                <w:color w:val="auto"/>
                <w:sz w:val="24"/>
                <w:highlight w:val="none"/>
              </w:rPr>
            </w:pPr>
          </w:p>
        </w:tc>
        <w:tc>
          <w:tcPr>
            <w:tcW w:w="840" w:type="dxa"/>
          </w:tcPr>
          <w:p w14:paraId="018AE153">
            <w:pPr>
              <w:spacing w:line="340" w:lineRule="exact"/>
              <w:rPr>
                <w:rFonts w:ascii="宋体" w:hAnsi="宋体" w:cs="宋体"/>
                <w:color w:val="auto"/>
                <w:sz w:val="24"/>
                <w:highlight w:val="none"/>
              </w:rPr>
            </w:pPr>
          </w:p>
        </w:tc>
        <w:tc>
          <w:tcPr>
            <w:tcW w:w="1260" w:type="dxa"/>
          </w:tcPr>
          <w:p w14:paraId="12465041">
            <w:pPr>
              <w:spacing w:line="340" w:lineRule="exact"/>
              <w:rPr>
                <w:rFonts w:ascii="宋体" w:hAnsi="宋体" w:cs="宋体"/>
                <w:color w:val="auto"/>
                <w:sz w:val="24"/>
                <w:highlight w:val="none"/>
              </w:rPr>
            </w:pPr>
          </w:p>
        </w:tc>
        <w:tc>
          <w:tcPr>
            <w:tcW w:w="1340" w:type="dxa"/>
          </w:tcPr>
          <w:p w14:paraId="33C1F5CC">
            <w:pPr>
              <w:spacing w:line="340" w:lineRule="exact"/>
              <w:rPr>
                <w:rFonts w:ascii="宋体" w:hAnsi="宋体" w:cs="宋体"/>
                <w:color w:val="auto"/>
                <w:sz w:val="24"/>
                <w:highlight w:val="none"/>
              </w:rPr>
            </w:pPr>
          </w:p>
        </w:tc>
        <w:tc>
          <w:tcPr>
            <w:tcW w:w="1347" w:type="dxa"/>
          </w:tcPr>
          <w:p w14:paraId="0AF10787">
            <w:pPr>
              <w:spacing w:line="340" w:lineRule="exact"/>
              <w:rPr>
                <w:rFonts w:ascii="宋体" w:hAnsi="宋体" w:cs="宋体"/>
                <w:color w:val="auto"/>
                <w:sz w:val="24"/>
                <w:highlight w:val="none"/>
              </w:rPr>
            </w:pPr>
          </w:p>
        </w:tc>
      </w:tr>
      <w:tr w14:paraId="6C205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FEE9094">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4</w:t>
            </w:r>
          </w:p>
        </w:tc>
        <w:tc>
          <w:tcPr>
            <w:tcW w:w="2205" w:type="dxa"/>
          </w:tcPr>
          <w:p w14:paraId="10839935">
            <w:pPr>
              <w:spacing w:line="340" w:lineRule="exact"/>
              <w:rPr>
                <w:rFonts w:ascii="宋体" w:hAnsi="宋体" w:cs="宋体"/>
                <w:color w:val="auto"/>
                <w:sz w:val="24"/>
                <w:highlight w:val="none"/>
              </w:rPr>
            </w:pPr>
          </w:p>
        </w:tc>
        <w:tc>
          <w:tcPr>
            <w:tcW w:w="957" w:type="dxa"/>
          </w:tcPr>
          <w:p w14:paraId="5CFC5DDE">
            <w:pPr>
              <w:spacing w:line="340" w:lineRule="exact"/>
              <w:rPr>
                <w:rFonts w:ascii="宋体" w:hAnsi="宋体" w:cs="宋体"/>
                <w:color w:val="auto"/>
                <w:sz w:val="24"/>
                <w:highlight w:val="none"/>
              </w:rPr>
            </w:pPr>
          </w:p>
        </w:tc>
        <w:tc>
          <w:tcPr>
            <w:tcW w:w="840" w:type="dxa"/>
          </w:tcPr>
          <w:p w14:paraId="1756C4AC">
            <w:pPr>
              <w:spacing w:line="340" w:lineRule="exact"/>
              <w:rPr>
                <w:rFonts w:ascii="宋体" w:hAnsi="宋体" w:cs="宋体"/>
                <w:color w:val="auto"/>
                <w:sz w:val="24"/>
                <w:highlight w:val="none"/>
              </w:rPr>
            </w:pPr>
          </w:p>
        </w:tc>
        <w:tc>
          <w:tcPr>
            <w:tcW w:w="1260" w:type="dxa"/>
          </w:tcPr>
          <w:p w14:paraId="62FE7CB1">
            <w:pPr>
              <w:spacing w:line="340" w:lineRule="exact"/>
              <w:rPr>
                <w:rFonts w:ascii="宋体" w:hAnsi="宋体" w:cs="宋体"/>
                <w:color w:val="auto"/>
                <w:sz w:val="24"/>
                <w:highlight w:val="none"/>
              </w:rPr>
            </w:pPr>
          </w:p>
        </w:tc>
        <w:tc>
          <w:tcPr>
            <w:tcW w:w="1340" w:type="dxa"/>
          </w:tcPr>
          <w:p w14:paraId="0EFBE6C1">
            <w:pPr>
              <w:spacing w:line="340" w:lineRule="exact"/>
              <w:rPr>
                <w:rFonts w:ascii="宋体" w:hAnsi="宋体" w:cs="宋体"/>
                <w:color w:val="auto"/>
                <w:sz w:val="24"/>
                <w:highlight w:val="none"/>
              </w:rPr>
            </w:pPr>
          </w:p>
        </w:tc>
        <w:tc>
          <w:tcPr>
            <w:tcW w:w="1347" w:type="dxa"/>
          </w:tcPr>
          <w:p w14:paraId="79162870">
            <w:pPr>
              <w:spacing w:line="340" w:lineRule="exact"/>
              <w:rPr>
                <w:rFonts w:ascii="宋体" w:hAnsi="宋体" w:cs="宋体"/>
                <w:color w:val="auto"/>
                <w:sz w:val="24"/>
                <w:highlight w:val="none"/>
              </w:rPr>
            </w:pPr>
          </w:p>
        </w:tc>
      </w:tr>
      <w:tr w14:paraId="1731C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95BDAEE">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5</w:t>
            </w:r>
          </w:p>
        </w:tc>
        <w:tc>
          <w:tcPr>
            <w:tcW w:w="2205" w:type="dxa"/>
          </w:tcPr>
          <w:p w14:paraId="25017E17">
            <w:pPr>
              <w:spacing w:line="340" w:lineRule="exact"/>
              <w:rPr>
                <w:rFonts w:ascii="宋体" w:hAnsi="宋体" w:cs="宋体"/>
                <w:color w:val="auto"/>
                <w:sz w:val="24"/>
                <w:highlight w:val="none"/>
              </w:rPr>
            </w:pPr>
          </w:p>
        </w:tc>
        <w:tc>
          <w:tcPr>
            <w:tcW w:w="957" w:type="dxa"/>
          </w:tcPr>
          <w:p w14:paraId="743F7F96">
            <w:pPr>
              <w:spacing w:line="340" w:lineRule="exact"/>
              <w:rPr>
                <w:rFonts w:ascii="宋体" w:hAnsi="宋体" w:cs="宋体"/>
                <w:color w:val="auto"/>
                <w:sz w:val="24"/>
                <w:highlight w:val="none"/>
              </w:rPr>
            </w:pPr>
          </w:p>
        </w:tc>
        <w:tc>
          <w:tcPr>
            <w:tcW w:w="840" w:type="dxa"/>
          </w:tcPr>
          <w:p w14:paraId="78E3AF11">
            <w:pPr>
              <w:spacing w:line="340" w:lineRule="exact"/>
              <w:rPr>
                <w:rFonts w:ascii="宋体" w:hAnsi="宋体" w:cs="宋体"/>
                <w:color w:val="auto"/>
                <w:sz w:val="24"/>
                <w:highlight w:val="none"/>
              </w:rPr>
            </w:pPr>
          </w:p>
        </w:tc>
        <w:tc>
          <w:tcPr>
            <w:tcW w:w="1260" w:type="dxa"/>
          </w:tcPr>
          <w:p w14:paraId="74B7318D">
            <w:pPr>
              <w:spacing w:line="340" w:lineRule="exact"/>
              <w:rPr>
                <w:rFonts w:ascii="宋体" w:hAnsi="宋体" w:cs="宋体"/>
                <w:color w:val="auto"/>
                <w:sz w:val="24"/>
                <w:highlight w:val="none"/>
              </w:rPr>
            </w:pPr>
          </w:p>
        </w:tc>
        <w:tc>
          <w:tcPr>
            <w:tcW w:w="1340" w:type="dxa"/>
          </w:tcPr>
          <w:p w14:paraId="23EAACEF">
            <w:pPr>
              <w:spacing w:line="340" w:lineRule="exact"/>
              <w:rPr>
                <w:rFonts w:ascii="宋体" w:hAnsi="宋体" w:cs="宋体"/>
                <w:color w:val="auto"/>
                <w:sz w:val="24"/>
                <w:highlight w:val="none"/>
              </w:rPr>
            </w:pPr>
          </w:p>
        </w:tc>
        <w:tc>
          <w:tcPr>
            <w:tcW w:w="1347" w:type="dxa"/>
          </w:tcPr>
          <w:p w14:paraId="4FBD2FB5">
            <w:pPr>
              <w:spacing w:line="340" w:lineRule="exact"/>
              <w:rPr>
                <w:rFonts w:ascii="宋体" w:hAnsi="宋体" w:cs="宋体"/>
                <w:color w:val="auto"/>
                <w:sz w:val="24"/>
                <w:highlight w:val="none"/>
              </w:rPr>
            </w:pPr>
          </w:p>
        </w:tc>
      </w:tr>
      <w:tr w14:paraId="2F590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F13CAE4">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6</w:t>
            </w:r>
          </w:p>
        </w:tc>
        <w:tc>
          <w:tcPr>
            <w:tcW w:w="2205" w:type="dxa"/>
          </w:tcPr>
          <w:p w14:paraId="0778002F">
            <w:pPr>
              <w:spacing w:line="340" w:lineRule="exact"/>
              <w:rPr>
                <w:rFonts w:ascii="宋体" w:hAnsi="宋体" w:cs="宋体"/>
                <w:color w:val="auto"/>
                <w:sz w:val="24"/>
                <w:highlight w:val="none"/>
              </w:rPr>
            </w:pPr>
          </w:p>
        </w:tc>
        <w:tc>
          <w:tcPr>
            <w:tcW w:w="957" w:type="dxa"/>
          </w:tcPr>
          <w:p w14:paraId="2AE8D737">
            <w:pPr>
              <w:spacing w:line="340" w:lineRule="exact"/>
              <w:rPr>
                <w:rFonts w:ascii="宋体" w:hAnsi="宋体" w:cs="宋体"/>
                <w:color w:val="auto"/>
                <w:sz w:val="24"/>
                <w:highlight w:val="none"/>
              </w:rPr>
            </w:pPr>
          </w:p>
        </w:tc>
        <w:tc>
          <w:tcPr>
            <w:tcW w:w="840" w:type="dxa"/>
          </w:tcPr>
          <w:p w14:paraId="3032D8A2">
            <w:pPr>
              <w:spacing w:line="340" w:lineRule="exact"/>
              <w:rPr>
                <w:rFonts w:ascii="宋体" w:hAnsi="宋体" w:cs="宋体"/>
                <w:color w:val="auto"/>
                <w:sz w:val="24"/>
                <w:highlight w:val="none"/>
              </w:rPr>
            </w:pPr>
          </w:p>
        </w:tc>
        <w:tc>
          <w:tcPr>
            <w:tcW w:w="1260" w:type="dxa"/>
          </w:tcPr>
          <w:p w14:paraId="72C5C8D6">
            <w:pPr>
              <w:spacing w:line="340" w:lineRule="exact"/>
              <w:rPr>
                <w:rFonts w:ascii="宋体" w:hAnsi="宋体" w:cs="宋体"/>
                <w:color w:val="auto"/>
                <w:sz w:val="24"/>
                <w:highlight w:val="none"/>
              </w:rPr>
            </w:pPr>
          </w:p>
        </w:tc>
        <w:tc>
          <w:tcPr>
            <w:tcW w:w="1340" w:type="dxa"/>
          </w:tcPr>
          <w:p w14:paraId="44B6AC95">
            <w:pPr>
              <w:spacing w:line="340" w:lineRule="exact"/>
              <w:rPr>
                <w:rFonts w:ascii="宋体" w:hAnsi="宋体" w:cs="宋体"/>
                <w:color w:val="auto"/>
                <w:sz w:val="24"/>
                <w:highlight w:val="none"/>
              </w:rPr>
            </w:pPr>
          </w:p>
        </w:tc>
        <w:tc>
          <w:tcPr>
            <w:tcW w:w="1347" w:type="dxa"/>
          </w:tcPr>
          <w:p w14:paraId="4CE58B48">
            <w:pPr>
              <w:spacing w:line="340" w:lineRule="exact"/>
              <w:rPr>
                <w:rFonts w:ascii="宋体" w:hAnsi="宋体" w:cs="宋体"/>
                <w:color w:val="auto"/>
                <w:sz w:val="24"/>
                <w:highlight w:val="none"/>
              </w:rPr>
            </w:pPr>
          </w:p>
        </w:tc>
      </w:tr>
      <w:tr w14:paraId="3EDF9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F70A2D6">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7</w:t>
            </w:r>
          </w:p>
        </w:tc>
        <w:tc>
          <w:tcPr>
            <w:tcW w:w="2205" w:type="dxa"/>
          </w:tcPr>
          <w:p w14:paraId="113B8EB7">
            <w:pPr>
              <w:spacing w:line="340" w:lineRule="exact"/>
              <w:rPr>
                <w:rFonts w:ascii="宋体" w:hAnsi="宋体" w:cs="宋体"/>
                <w:color w:val="auto"/>
                <w:sz w:val="24"/>
                <w:highlight w:val="none"/>
              </w:rPr>
            </w:pPr>
          </w:p>
        </w:tc>
        <w:tc>
          <w:tcPr>
            <w:tcW w:w="957" w:type="dxa"/>
          </w:tcPr>
          <w:p w14:paraId="7FB11383">
            <w:pPr>
              <w:spacing w:line="340" w:lineRule="exact"/>
              <w:rPr>
                <w:rFonts w:ascii="宋体" w:hAnsi="宋体" w:cs="宋体"/>
                <w:color w:val="auto"/>
                <w:sz w:val="24"/>
                <w:highlight w:val="none"/>
              </w:rPr>
            </w:pPr>
          </w:p>
        </w:tc>
        <w:tc>
          <w:tcPr>
            <w:tcW w:w="840" w:type="dxa"/>
          </w:tcPr>
          <w:p w14:paraId="08BF12CA">
            <w:pPr>
              <w:spacing w:line="340" w:lineRule="exact"/>
              <w:rPr>
                <w:rFonts w:ascii="宋体" w:hAnsi="宋体" w:cs="宋体"/>
                <w:color w:val="auto"/>
                <w:sz w:val="24"/>
                <w:highlight w:val="none"/>
              </w:rPr>
            </w:pPr>
          </w:p>
        </w:tc>
        <w:tc>
          <w:tcPr>
            <w:tcW w:w="1260" w:type="dxa"/>
          </w:tcPr>
          <w:p w14:paraId="7F57BA20">
            <w:pPr>
              <w:spacing w:line="340" w:lineRule="exact"/>
              <w:rPr>
                <w:rFonts w:ascii="宋体" w:hAnsi="宋体" w:cs="宋体"/>
                <w:color w:val="auto"/>
                <w:sz w:val="24"/>
                <w:highlight w:val="none"/>
              </w:rPr>
            </w:pPr>
          </w:p>
        </w:tc>
        <w:tc>
          <w:tcPr>
            <w:tcW w:w="1340" w:type="dxa"/>
          </w:tcPr>
          <w:p w14:paraId="61E6FD52">
            <w:pPr>
              <w:spacing w:line="340" w:lineRule="exact"/>
              <w:rPr>
                <w:rFonts w:ascii="宋体" w:hAnsi="宋体" w:cs="宋体"/>
                <w:color w:val="auto"/>
                <w:sz w:val="24"/>
                <w:highlight w:val="none"/>
              </w:rPr>
            </w:pPr>
          </w:p>
        </w:tc>
        <w:tc>
          <w:tcPr>
            <w:tcW w:w="1347" w:type="dxa"/>
          </w:tcPr>
          <w:p w14:paraId="7CA278E4">
            <w:pPr>
              <w:spacing w:line="340" w:lineRule="exact"/>
              <w:rPr>
                <w:rFonts w:ascii="宋体" w:hAnsi="宋体" w:cs="宋体"/>
                <w:color w:val="auto"/>
                <w:sz w:val="24"/>
                <w:highlight w:val="none"/>
              </w:rPr>
            </w:pPr>
          </w:p>
        </w:tc>
      </w:tr>
      <w:tr w14:paraId="1C40B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A6025E9">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8</w:t>
            </w:r>
          </w:p>
        </w:tc>
        <w:tc>
          <w:tcPr>
            <w:tcW w:w="2205" w:type="dxa"/>
          </w:tcPr>
          <w:p w14:paraId="131ADF1A">
            <w:pPr>
              <w:spacing w:line="340" w:lineRule="exact"/>
              <w:rPr>
                <w:rFonts w:ascii="宋体" w:hAnsi="宋体" w:cs="宋体"/>
                <w:color w:val="auto"/>
                <w:sz w:val="24"/>
                <w:highlight w:val="none"/>
              </w:rPr>
            </w:pPr>
          </w:p>
        </w:tc>
        <w:tc>
          <w:tcPr>
            <w:tcW w:w="957" w:type="dxa"/>
          </w:tcPr>
          <w:p w14:paraId="7EB52204">
            <w:pPr>
              <w:spacing w:line="340" w:lineRule="exact"/>
              <w:rPr>
                <w:rFonts w:ascii="宋体" w:hAnsi="宋体" w:cs="宋体"/>
                <w:color w:val="auto"/>
                <w:sz w:val="24"/>
                <w:highlight w:val="none"/>
              </w:rPr>
            </w:pPr>
          </w:p>
        </w:tc>
        <w:tc>
          <w:tcPr>
            <w:tcW w:w="840" w:type="dxa"/>
          </w:tcPr>
          <w:p w14:paraId="7C7DB5F6">
            <w:pPr>
              <w:spacing w:line="340" w:lineRule="exact"/>
              <w:rPr>
                <w:rFonts w:ascii="宋体" w:hAnsi="宋体" w:cs="宋体"/>
                <w:color w:val="auto"/>
                <w:sz w:val="24"/>
                <w:highlight w:val="none"/>
              </w:rPr>
            </w:pPr>
          </w:p>
        </w:tc>
        <w:tc>
          <w:tcPr>
            <w:tcW w:w="1260" w:type="dxa"/>
          </w:tcPr>
          <w:p w14:paraId="4BB9949D">
            <w:pPr>
              <w:spacing w:line="340" w:lineRule="exact"/>
              <w:rPr>
                <w:rFonts w:ascii="宋体" w:hAnsi="宋体" w:cs="宋体"/>
                <w:color w:val="auto"/>
                <w:sz w:val="24"/>
                <w:highlight w:val="none"/>
              </w:rPr>
            </w:pPr>
          </w:p>
        </w:tc>
        <w:tc>
          <w:tcPr>
            <w:tcW w:w="1340" w:type="dxa"/>
          </w:tcPr>
          <w:p w14:paraId="6C7D5362">
            <w:pPr>
              <w:spacing w:line="340" w:lineRule="exact"/>
              <w:rPr>
                <w:rFonts w:ascii="宋体" w:hAnsi="宋体" w:cs="宋体"/>
                <w:color w:val="auto"/>
                <w:sz w:val="24"/>
                <w:highlight w:val="none"/>
              </w:rPr>
            </w:pPr>
          </w:p>
        </w:tc>
        <w:tc>
          <w:tcPr>
            <w:tcW w:w="1347" w:type="dxa"/>
          </w:tcPr>
          <w:p w14:paraId="6AB4E926">
            <w:pPr>
              <w:spacing w:line="340" w:lineRule="exact"/>
              <w:rPr>
                <w:rFonts w:ascii="宋体" w:hAnsi="宋体" w:cs="宋体"/>
                <w:color w:val="auto"/>
                <w:sz w:val="24"/>
                <w:highlight w:val="none"/>
              </w:rPr>
            </w:pPr>
          </w:p>
        </w:tc>
      </w:tr>
      <w:tr w14:paraId="47DDF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92B1AE2">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9</w:t>
            </w:r>
          </w:p>
        </w:tc>
        <w:tc>
          <w:tcPr>
            <w:tcW w:w="2205" w:type="dxa"/>
          </w:tcPr>
          <w:p w14:paraId="345E76D4">
            <w:pPr>
              <w:spacing w:line="340" w:lineRule="exact"/>
              <w:rPr>
                <w:rFonts w:ascii="宋体" w:hAnsi="宋体" w:cs="宋体"/>
                <w:color w:val="auto"/>
                <w:sz w:val="24"/>
                <w:highlight w:val="none"/>
              </w:rPr>
            </w:pPr>
          </w:p>
        </w:tc>
        <w:tc>
          <w:tcPr>
            <w:tcW w:w="957" w:type="dxa"/>
          </w:tcPr>
          <w:p w14:paraId="7F3B24AE">
            <w:pPr>
              <w:spacing w:line="340" w:lineRule="exact"/>
              <w:rPr>
                <w:rFonts w:ascii="宋体" w:hAnsi="宋体" w:cs="宋体"/>
                <w:color w:val="auto"/>
                <w:sz w:val="24"/>
                <w:highlight w:val="none"/>
              </w:rPr>
            </w:pPr>
          </w:p>
        </w:tc>
        <w:tc>
          <w:tcPr>
            <w:tcW w:w="840" w:type="dxa"/>
          </w:tcPr>
          <w:p w14:paraId="4EE0DE22">
            <w:pPr>
              <w:spacing w:line="340" w:lineRule="exact"/>
              <w:rPr>
                <w:rFonts w:ascii="宋体" w:hAnsi="宋体" w:cs="宋体"/>
                <w:color w:val="auto"/>
                <w:sz w:val="24"/>
                <w:highlight w:val="none"/>
              </w:rPr>
            </w:pPr>
          </w:p>
        </w:tc>
        <w:tc>
          <w:tcPr>
            <w:tcW w:w="1260" w:type="dxa"/>
          </w:tcPr>
          <w:p w14:paraId="01BB037F">
            <w:pPr>
              <w:spacing w:line="340" w:lineRule="exact"/>
              <w:rPr>
                <w:rFonts w:ascii="宋体" w:hAnsi="宋体" w:cs="宋体"/>
                <w:color w:val="auto"/>
                <w:sz w:val="24"/>
                <w:highlight w:val="none"/>
              </w:rPr>
            </w:pPr>
          </w:p>
        </w:tc>
        <w:tc>
          <w:tcPr>
            <w:tcW w:w="1340" w:type="dxa"/>
          </w:tcPr>
          <w:p w14:paraId="1AC1425E">
            <w:pPr>
              <w:spacing w:line="340" w:lineRule="exact"/>
              <w:rPr>
                <w:rFonts w:ascii="宋体" w:hAnsi="宋体" w:cs="宋体"/>
                <w:color w:val="auto"/>
                <w:sz w:val="24"/>
                <w:highlight w:val="none"/>
              </w:rPr>
            </w:pPr>
          </w:p>
        </w:tc>
        <w:tc>
          <w:tcPr>
            <w:tcW w:w="1347" w:type="dxa"/>
          </w:tcPr>
          <w:p w14:paraId="40526BBB">
            <w:pPr>
              <w:spacing w:line="340" w:lineRule="exact"/>
              <w:rPr>
                <w:rFonts w:ascii="宋体" w:hAnsi="宋体" w:cs="宋体"/>
                <w:color w:val="auto"/>
                <w:sz w:val="24"/>
                <w:highlight w:val="none"/>
              </w:rPr>
            </w:pPr>
          </w:p>
        </w:tc>
      </w:tr>
      <w:tr w14:paraId="3CB66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476F221">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10</w:t>
            </w:r>
          </w:p>
        </w:tc>
        <w:tc>
          <w:tcPr>
            <w:tcW w:w="2205" w:type="dxa"/>
          </w:tcPr>
          <w:p w14:paraId="3BD6C1C5">
            <w:pPr>
              <w:spacing w:line="340" w:lineRule="exact"/>
              <w:rPr>
                <w:rFonts w:ascii="宋体" w:hAnsi="宋体" w:cs="宋体"/>
                <w:color w:val="auto"/>
                <w:sz w:val="24"/>
                <w:highlight w:val="none"/>
              </w:rPr>
            </w:pPr>
          </w:p>
        </w:tc>
        <w:tc>
          <w:tcPr>
            <w:tcW w:w="957" w:type="dxa"/>
          </w:tcPr>
          <w:p w14:paraId="5B222A4F">
            <w:pPr>
              <w:spacing w:line="340" w:lineRule="exact"/>
              <w:rPr>
                <w:rFonts w:ascii="宋体" w:hAnsi="宋体" w:cs="宋体"/>
                <w:color w:val="auto"/>
                <w:sz w:val="24"/>
                <w:highlight w:val="none"/>
              </w:rPr>
            </w:pPr>
          </w:p>
        </w:tc>
        <w:tc>
          <w:tcPr>
            <w:tcW w:w="840" w:type="dxa"/>
          </w:tcPr>
          <w:p w14:paraId="4858347D">
            <w:pPr>
              <w:spacing w:line="340" w:lineRule="exact"/>
              <w:rPr>
                <w:rFonts w:ascii="宋体" w:hAnsi="宋体" w:cs="宋体"/>
                <w:color w:val="auto"/>
                <w:sz w:val="24"/>
                <w:highlight w:val="none"/>
              </w:rPr>
            </w:pPr>
          </w:p>
        </w:tc>
        <w:tc>
          <w:tcPr>
            <w:tcW w:w="1260" w:type="dxa"/>
          </w:tcPr>
          <w:p w14:paraId="3D3610F1">
            <w:pPr>
              <w:spacing w:line="340" w:lineRule="exact"/>
              <w:rPr>
                <w:rFonts w:ascii="宋体" w:hAnsi="宋体" w:cs="宋体"/>
                <w:color w:val="auto"/>
                <w:sz w:val="24"/>
                <w:highlight w:val="none"/>
              </w:rPr>
            </w:pPr>
          </w:p>
        </w:tc>
        <w:tc>
          <w:tcPr>
            <w:tcW w:w="1340" w:type="dxa"/>
          </w:tcPr>
          <w:p w14:paraId="3CE7115F">
            <w:pPr>
              <w:spacing w:line="340" w:lineRule="exact"/>
              <w:rPr>
                <w:rFonts w:ascii="宋体" w:hAnsi="宋体" w:cs="宋体"/>
                <w:color w:val="auto"/>
                <w:sz w:val="24"/>
                <w:highlight w:val="none"/>
              </w:rPr>
            </w:pPr>
          </w:p>
        </w:tc>
        <w:tc>
          <w:tcPr>
            <w:tcW w:w="1347" w:type="dxa"/>
          </w:tcPr>
          <w:p w14:paraId="5C63E007">
            <w:pPr>
              <w:spacing w:line="340" w:lineRule="exact"/>
              <w:rPr>
                <w:rFonts w:ascii="宋体" w:hAnsi="宋体" w:cs="宋体"/>
                <w:color w:val="auto"/>
                <w:sz w:val="24"/>
                <w:highlight w:val="none"/>
              </w:rPr>
            </w:pPr>
          </w:p>
        </w:tc>
      </w:tr>
      <w:tr w14:paraId="069E8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331782D">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11</w:t>
            </w:r>
          </w:p>
        </w:tc>
        <w:tc>
          <w:tcPr>
            <w:tcW w:w="2205" w:type="dxa"/>
          </w:tcPr>
          <w:p w14:paraId="573BCFD0">
            <w:pPr>
              <w:spacing w:line="340" w:lineRule="exact"/>
              <w:rPr>
                <w:rFonts w:ascii="宋体" w:hAnsi="宋体" w:cs="宋体"/>
                <w:color w:val="auto"/>
                <w:sz w:val="24"/>
                <w:highlight w:val="none"/>
              </w:rPr>
            </w:pPr>
          </w:p>
        </w:tc>
        <w:tc>
          <w:tcPr>
            <w:tcW w:w="957" w:type="dxa"/>
          </w:tcPr>
          <w:p w14:paraId="110875FE">
            <w:pPr>
              <w:spacing w:line="340" w:lineRule="exact"/>
              <w:rPr>
                <w:rFonts w:ascii="宋体" w:hAnsi="宋体" w:cs="宋体"/>
                <w:color w:val="auto"/>
                <w:sz w:val="24"/>
                <w:highlight w:val="none"/>
              </w:rPr>
            </w:pPr>
          </w:p>
        </w:tc>
        <w:tc>
          <w:tcPr>
            <w:tcW w:w="840" w:type="dxa"/>
          </w:tcPr>
          <w:p w14:paraId="1461C399">
            <w:pPr>
              <w:spacing w:line="340" w:lineRule="exact"/>
              <w:rPr>
                <w:rFonts w:ascii="宋体" w:hAnsi="宋体" w:cs="宋体"/>
                <w:color w:val="auto"/>
                <w:sz w:val="24"/>
                <w:highlight w:val="none"/>
              </w:rPr>
            </w:pPr>
          </w:p>
        </w:tc>
        <w:tc>
          <w:tcPr>
            <w:tcW w:w="1260" w:type="dxa"/>
          </w:tcPr>
          <w:p w14:paraId="57903698">
            <w:pPr>
              <w:spacing w:line="340" w:lineRule="exact"/>
              <w:rPr>
                <w:rFonts w:ascii="宋体" w:hAnsi="宋体" w:cs="宋体"/>
                <w:color w:val="auto"/>
                <w:sz w:val="24"/>
                <w:highlight w:val="none"/>
              </w:rPr>
            </w:pPr>
          </w:p>
        </w:tc>
        <w:tc>
          <w:tcPr>
            <w:tcW w:w="1340" w:type="dxa"/>
          </w:tcPr>
          <w:p w14:paraId="6D07A17B">
            <w:pPr>
              <w:spacing w:line="340" w:lineRule="exact"/>
              <w:rPr>
                <w:rFonts w:ascii="宋体" w:hAnsi="宋体" w:cs="宋体"/>
                <w:color w:val="auto"/>
                <w:sz w:val="24"/>
                <w:highlight w:val="none"/>
              </w:rPr>
            </w:pPr>
          </w:p>
        </w:tc>
        <w:tc>
          <w:tcPr>
            <w:tcW w:w="1347" w:type="dxa"/>
          </w:tcPr>
          <w:p w14:paraId="44557040">
            <w:pPr>
              <w:spacing w:line="340" w:lineRule="exact"/>
              <w:rPr>
                <w:rFonts w:ascii="宋体" w:hAnsi="宋体" w:cs="宋体"/>
                <w:color w:val="auto"/>
                <w:sz w:val="24"/>
                <w:highlight w:val="none"/>
              </w:rPr>
            </w:pPr>
          </w:p>
        </w:tc>
      </w:tr>
      <w:tr w14:paraId="0A989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13E0C86">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12</w:t>
            </w:r>
          </w:p>
        </w:tc>
        <w:tc>
          <w:tcPr>
            <w:tcW w:w="2205" w:type="dxa"/>
          </w:tcPr>
          <w:p w14:paraId="65928AF4">
            <w:pPr>
              <w:spacing w:line="340" w:lineRule="exact"/>
              <w:rPr>
                <w:rFonts w:ascii="宋体" w:hAnsi="宋体" w:cs="宋体"/>
                <w:color w:val="auto"/>
                <w:sz w:val="24"/>
                <w:highlight w:val="none"/>
              </w:rPr>
            </w:pPr>
          </w:p>
        </w:tc>
        <w:tc>
          <w:tcPr>
            <w:tcW w:w="957" w:type="dxa"/>
          </w:tcPr>
          <w:p w14:paraId="0233827A">
            <w:pPr>
              <w:spacing w:line="340" w:lineRule="exact"/>
              <w:rPr>
                <w:rFonts w:ascii="宋体" w:hAnsi="宋体" w:cs="宋体"/>
                <w:color w:val="auto"/>
                <w:sz w:val="24"/>
                <w:highlight w:val="none"/>
              </w:rPr>
            </w:pPr>
          </w:p>
        </w:tc>
        <w:tc>
          <w:tcPr>
            <w:tcW w:w="840" w:type="dxa"/>
          </w:tcPr>
          <w:p w14:paraId="312B1960">
            <w:pPr>
              <w:spacing w:line="340" w:lineRule="exact"/>
              <w:rPr>
                <w:rFonts w:ascii="宋体" w:hAnsi="宋体" w:cs="宋体"/>
                <w:color w:val="auto"/>
                <w:sz w:val="24"/>
                <w:highlight w:val="none"/>
              </w:rPr>
            </w:pPr>
          </w:p>
        </w:tc>
        <w:tc>
          <w:tcPr>
            <w:tcW w:w="1260" w:type="dxa"/>
          </w:tcPr>
          <w:p w14:paraId="10B9AB8C">
            <w:pPr>
              <w:spacing w:line="340" w:lineRule="exact"/>
              <w:rPr>
                <w:rFonts w:ascii="宋体" w:hAnsi="宋体" w:cs="宋体"/>
                <w:color w:val="auto"/>
                <w:sz w:val="24"/>
                <w:highlight w:val="none"/>
              </w:rPr>
            </w:pPr>
          </w:p>
        </w:tc>
        <w:tc>
          <w:tcPr>
            <w:tcW w:w="1340" w:type="dxa"/>
          </w:tcPr>
          <w:p w14:paraId="3ED407AC">
            <w:pPr>
              <w:spacing w:line="340" w:lineRule="exact"/>
              <w:rPr>
                <w:rFonts w:ascii="宋体" w:hAnsi="宋体" w:cs="宋体"/>
                <w:color w:val="auto"/>
                <w:sz w:val="24"/>
                <w:highlight w:val="none"/>
              </w:rPr>
            </w:pPr>
          </w:p>
        </w:tc>
        <w:tc>
          <w:tcPr>
            <w:tcW w:w="1347" w:type="dxa"/>
          </w:tcPr>
          <w:p w14:paraId="56DB6675">
            <w:pPr>
              <w:spacing w:line="340" w:lineRule="exact"/>
              <w:rPr>
                <w:rFonts w:ascii="宋体" w:hAnsi="宋体" w:cs="宋体"/>
                <w:color w:val="auto"/>
                <w:sz w:val="24"/>
                <w:highlight w:val="none"/>
              </w:rPr>
            </w:pPr>
          </w:p>
        </w:tc>
      </w:tr>
      <w:tr w14:paraId="2EA1A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74C8B5D">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13</w:t>
            </w:r>
          </w:p>
        </w:tc>
        <w:tc>
          <w:tcPr>
            <w:tcW w:w="2205" w:type="dxa"/>
          </w:tcPr>
          <w:p w14:paraId="487B430B">
            <w:pPr>
              <w:spacing w:line="340" w:lineRule="exact"/>
              <w:rPr>
                <w:rFonts w:ascii="宋体" w:hAnsi="宋体" w:cs="宋体"/>
                <w:color w:val="auto"/>
                <w:sz w:val="24"/>
                <w:highlight w:val="none"/>
              </w:rPr>
            </w:pPr>
          </w:p>
        </w:tc>
        <w:tc>
          <w:tcPr>
            <w:tcW w:w="957" w:type="dxa"/>
          </w:tcPr>
          <w:p w14:paraId="5102DFF1">
            <w:pPr>
              <w:spacing w:line="340" w:lineRule="exact"/>
              <w:rPr>
                <w:rFonts w:ascii="宋体" w:hAnsi="宋体" w:cs="宋体"/>
                <w:color w:val="auto"/>
                <w:sz w:val="24"/>
                <w:highlight w:val="none"/>
              </w:rPr>
            </w:pPr>
          </w:p>
        </w:tc>
        <w:tc>
          <w:tcPr>
            <w:tcW w:w="840" w:type="dxa"/>
          </w:tcPr>
          <w:p w14:paraId="754A6234">
            <w:pPr>
              <w:spacing w:line="340" w:lineRule="exact"/>
              <w:rPr>
                <w:rFonts w:ascii="宋体" w:hAnsi="宋体" w:cs="宋体"/>
                <w:color w:val="auto"/>
                <w:sz w:val="24"/>
                <w:highlight w:val="none"/>
              </w:rPr>
            </w:pPr>
          </w:p>
        </w:tc>
        <w:tc>
          <w:tcPr>
            <w:tcW w:w="1260" w:type="dxa"/>
          </w:tcPr>
          <w:p w14:paraId="61FC6919">
            <w:pPr>
              <w:spacing w:line="340" w:lineRule="exact"/>
              <w:rPr>
                <w:rFonts w:ascii="宋体" w:hAnsi="宋体" w:cs="宋体"/>
                <w:color w:val="auto"/>
                <w:sz w:val="24"/>
                <w:highlight w:val="none"/>
              </w:rPr>
            </w:pPr>
          </w:p>
        </w:tc>
        <w:tc>
          <w:tcPr>
            <w:tcW w:w="1340" w:type="dxa"/>
          </w:tcPr>
          <w:p w14:paraId="6093EB31">
            <w:pPr>
              <w:spacing w:line="340" w:lineRule="exact"/>
              <w:rPr>
                <w:rFonts w:ascii="宋体" w:hAnsi="宋体" w:cs="宋体"/>
                <w:color w:val="auto"/>
                <w:sz w:val="24"/>
                <w:highlight w:val="none"/>
              </w:rPr>
            </w:pPr>
          </w:p>
        </w:tc>
        <w:tc>
          <w:tcPr>
            <w:tcW w:w="1347" w:type="dxa"/>
          </w:tcPr>
          <w:p w14:paraId="390656DE">
            <w:pPr>
              <w:spacing w:line="340" w:lineRule="exact"/>
              <w:rPr>
                <w:rFonts w:ascii="宋体" w:hAnsi="宋体" w:cs="宋体"/>
                <w:color w:val="auto"/>
                <w:sz w:val="24"/>
                <w:highlight w:val="none"/>
              </w:rPr>
            </w:pPr>
          </w:p>
        </w:tc>
      </w:tr>
      <w:tr w14:paraId="3D79D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9B10763">
            <w:pPr>
              <w:spacing w:line="340" w:lineRule="exact"/>
              <w:jc w:val="center"/>
              <w:rPr>
                <w:rFonts w:ascii="宋体" w:hAnsi="宋体" w:cs="宋体"/>
                <w:color w:val="auto"/>
                <w:sz w:val="24"/>
                <w:highlight w:val="none"/>
              </w:rPr>
            </w:pPr>
          </w:p>
        </w:tc>
        <w:tc>
          <w:tcPr>
            <w:tcW w:w="2205" w:type="dxa"/>
            <w:vAlign w:val="center"/>
          </w:tcPr>
          <w:p w14:paraId="711A471B">
            <w:pPr>
              <w:pStyle w:val="68"/>
              <w:spacing w:line="340" w:lineRule="exact"/>
              <w:rPr>
                <w:rFonts w:ascii="宋体" w:hAnsi="宋体" w:cs="宋体"/>
                <w:color w:val="auto"/>
                <w:szCs w:val="24"/>
                <w:highlight w:val="none"/>
              </w:rPr>
            </w:pPr>
            <w:r>
              <w:rPr>
                <w:rFonts w:hint="eastAsia" w:ascii="宋体" w:hAnsi="宋体" w:cs="宋体"/>
                <w:color w:val="auto"/>
                <w:szCs w:val="24"/>
                <w:highlight w:val="none"/>
              </w:rPr>
              <w:t>其他费用</w:t>
            </w:r>
          </w:p>
        </w:tc>
        <w:tc>
          <w:tcPr>
            <w:tcW w:w="957" w:type="dxa"/>
          </w:tcPr>
          <w:p w14:paraId="37B8C68D">
            <w:pPr>
              <w:spacing w:line="340" w:lineRule="exact"/>
              <w:rPr>
                <w:rFonts w:ascii="宋体" w:hAnsi="宋体" w:cs="宋体"/>
                <w:color w:val="auto"/>
                <w:sz w:val="24"/>
                <w:highlight w:val="none"/>
              </w:rPr>
            </w:pPr>
          </w:p>
        </w:tc>
        <w:tc>
          <w:tcPr>
            <w:tcW w:w="840" w:type="dxa"/>
          </w:tcPr>
          <w:p w14:paraId="244BB71C">
            <w:pPr>
              <w:spacing w:line="340" w:lineRule="exact"/>
              <w:rPr>
                <w:rFonts w:ascii="宋体" w:hAnsi="宋体" w:cs="宋体"/>
                <w:color w:val="auto"/>
                <w:sz w:val="24"/>
                <w:highlight w:val="none"/>
              </w:rPr>
            </w:pPr>
          </w:p>
        </w:tc>
        <w:tc>
          <w:tcPr>
            <w:tcW w:w="1260" w:type="dxa"/>
          </w:tcPr>
          <w:p w14:paraId="1D6D7985">
            <w:pPr>
              <w:spacing w:line="340" w:lineRule="exact"/>
              <w:rPr>
                <w:rFonts w:ascii="宋体" w:hAnsi="宋体" w:cs="宋体"/>
                <w:color w:val="auto"/>
                <w:sz w:val="24"/>
                <w:highlight w:val="none"/>
              </w:rPr>
            </w:pPr>
          </w:p>
        </w:tc>
        <w:tc>
          <w:tcPr>
            <w:tcW w:w="1340" w:type="dxa"/>
          </w:tcPr>
          <w:p w14:paraId="597EB120">
            <w:pPr>
              <w:spacing w:line="340" w:lineRule="exact"/>
              <w:rPr>
                <w:rFonts w:ascii="宋体" w:hAnsi="宋体" w:cs="宋体"/>
                <w:color w:val="auto"/>
                <w:sz w:val="24"/>
                <w:highlight w:val="none"/>
              </w:rPr>
            </w:pPr>
          </w:p>
        </w:tc>
        <w:tc>
          <w:tcPr>
            <w:tcW w:w="1347" w:type="dxa"/>
          </w:tcPr>
          <w:p w14:paraId="66294B94">
            <w:pPr>
              <w:spacing w:line="340" w:lineRule="exact"/>
              <w:rPr>
                <w:rFonts w:ascii="宋体" w:hAnsi="宋体" w:cs="宋体"/>
                <w:color w:val="auto"/>
                <w:sz w:val="24"/>
                <w:highlight w:val="none"/>
              </w:rPr>
            </w:pPr>
          </w:p>
        </w:tc>
      </w:tr>
      <w:tr w14:paraId="7D7EB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F2918E5">
            <w:pPr>
              <w:spacing w:line="340" w:lineRule="exact"/>
              <w:jc w:val="center"/>
              <w:rPr>
                <w:rFonts w:ascii="宋体" w:hAnsi="宋体" w:cs="宋体"/>
                <w:color w:val="auto"/>
                <w:sz w:val="24"/>
                <w:highlight w:val="none"/>
              </w:rPr>
            </w:pPr>
          </w:p>
        </w:tc>
        <w:tc>
          <w:tcPr>
            <w:tcW w:w="2205" w:type="dxa"/>
          </w:tcPr>
          <w:p w14:paraId="09E12913">
            <w:pPr>
              <w:spacing w:line="340" w:lineRule="exact"/>
              <w:rPr>
                <w:rFonts w:ascii="宋体" w:hAnsi="宋体" w:cs="宋体"/>
                <w:color w:val="auto"/>
                <w:sz w:val="24"/>
                <w:highlight w:val="none"/>
              </w:rPr>
            </w:pPr>
            <w:r>
              <w:rPr>
                <w:rFonts w:hint="eastAsia" w:ascii="宋体" w:hAnsi="宋体" w:cs="宋体"/>
                <w:color w:val="auto"/>
                <w:sz w:val="24"/>
                <w:highlight w:val="none"/>
              </w:rPr>
              <w:t>…</w:t>
            </w:r>
          </w:p>
        </w:tc>
        <w:tc>
          <w:tcPr>
            <w:tcW w:w="957" w:type="dxa"/>
          </w:tcPr>
          <w:p w14:paraId="5B8A41E0">
            <w:pPr>
              <w:spacing w:line="340" w:lineRule="exact"/>
              <w:rPr>
                <w:rFonts w:ascii="宋体" w:hAnsi="宋体" w:cs="宋体"/>
                <w:color w:val="auto"/>
                <w:sz w:val="24"/>
                <w:highlight w:val="none"/>
              </w:rPr>
            </w:pPr>
          </w:p>
        </w:tc>
        <w:tc>
          <w:tcPr>
            <w:tcW w:w="840" w:type="dxa"/>
          </w:tcPr>
          <w:p w14:paraId="31A27D15">
            <w:pPr>
              <w:spacing w:line="340" w:lineRule="exact"/>
              <w:rPr>
                <w:rFonts w:ascii="宋体" w:hAnsi="宋体" w:cs="宋体"/>
                <w:color w:val="auto"/>
                <w:sz w:val="24"/>
                <w:highlight w:val="none"/>
              </w:rPr>
            </w:pPr>
          </w:p>
        </w:tc>
        <w:tc>
          <w:tcPr>
            <w:tcW w:w="1260" w:type="dxa"/>
          </w:tcPr>
          <w:p w14:paraId="7BF64154">
            <w:pPr>
              <w:spacing w:line="340" w:lineRule="exact"/>
              <w:rPr>
                <w:rFonts w:ascii="宋体" w:hAnsi="宋体" w:cs="宋体"/>
                <w:color w:val="auto"/>
                <w:sz w:val="24"/>
                <w:highlight w:val="none"/>
              </w:rPr>
            </w:pPr>
          </w:p>
        </w:tc>
        <w:tc>
          <w:tcPr>
            <w:tcW w:w="1340" w:type="dxa"/>
          </w:tcPr>
          <w:p w14:paraId="4C654518">
            <w:pPr>
              <w:spacing w:line="340" w:lineRule="exact"/>
              <w:rPr>
                <w:rFonts w:ascii="宋体" w:hAnsi="宋体" w:cs="宋体"/>
                <w:color w:val="auto"/>
                <w:sz w:val="24"/>
                <w:highlight w:val="none"/>
              </w:rPr>
            </w:pPr>
          </w:p>
        </w:tc>
        <w:tc>
          <w:tcPr>
            <w:tcW w:w="1347" w:type="dxa"/>
          </w:tcPr>
          <w:p w14:paraId="6093A6F9">
            <w:pPr>
              <w:spacing w:line="340" w:lineRule="exact"/>
              <w:rPr>
                <w:rFonts w:ascii="宋体" w:hAnsi="宋体" w:cs="宋体"/>
                <w:color w:val="auto"/>
                <w:sz w:val="24"/>
                <w:highlight w:val="none"/>
              </w:rPr>
            </w:pPr>
          </w:p>
        </w:tc>
      </w:tr>
      <w:tr w14:paraId="7818E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98BD529">
            <w:pPr>
              <w:spacing w:line="340" w:lineRule="exact"/>
              <w:jc w:val="center"/>
              <w:rPr>
                <w:rFonts w:ascii="宋体" w:hAnsi="宋体" w:cs="宋体"/>
                <w:color w:val="auto"/>
                <w:sz w:val="24"/>
                <w:highlight w:val="none"/>
              </w:rPr>
            </w:pPr>
          </w:p>
        </w:tc>
        <w:tc>
          <w:tcPr>
            <w:tcW w:w="2205" w:type="dxa"/>
          </w:tcPr>
          <w:p w14:paraId="1556FA3A">
            <w:pPr>
              <w:pStyle w:val="68"/>
              <w:spacing w:line="340" w:lineRule="exact"/>
              <w:rPr>
                <w:rFonts w:ascii="宋体" w:hAnsi="宋体" w:cs="宋体"/>
                <w:color w:val="auto"/>
                <w:szCs w:val="24"/>
                <w:highlight w:val="none"/>
              </w:rPr>
            </w:pPr>
            <w:r>
              <w:rPr>
                <w:rFonts w:hint="eastAsia" w:ascii="宋体" w:hAnsi="宋体" w:cs="宋体"/>
                <w:color w:val="auto"/>
                <w:szCs w:val="24"/>
                <w:highlight w:val="none"/>
              </w:rPr>
              <w:t>…</w:t>
            </w:r>
          </w:p>
        </w:tc>
        <w:tc>
          <w:tcPr>
            <w:tcW w:w="957" w:type="dxa"/>
          </w:tcPr>
          <w:p w14:paraId="65EDB339">
            <w:pPr>
              <w:spacing w:line="340" w:lineRule="exact"/>
              <w:rPr>
                <w:rFonts w:ascii="宋体" w:hAnsi="宋体" w:cs="宋体"/>
                <w:color w:val="auto"/>
                <w:sz w:val="24"/>
                <w:highlight w:val="none"/>
              </w:rPr>
            </w:pPr>
          </w:p>
        </w:tc>
        <w:tc>
          <w:tcPr>
            <w:tcW w:w="840" w:type="dxa"/>
          </w:tcPr>
          <w:p w14:paraId="73968189">
            <w:pPr>
              <w:spacing w:line="340" w:lineRule="exact"/>
              <w:rPr>
                <w:rFonts w:ascii="宋体" w:hAnsi="宋体" w:cs="宋体"/>
                <w:color w:val="auto"/>
                <w:sz w:val="24"/>
                <w:highlight w:val="none"/>
              </w:rPr>
            </w:pPr>
          </w:p>
        </w:tc>
        <w:tc>
          <w:tcPr>
            <w:tcW w:w="1260" w:type="dxa"/>
          </w:tcPr>
          <w:p w14:paraId="1E52D520">
            <w:pPr>
              <w:spacing w:line="340" w:lineRule="exact"/>
              <w:rPr>
                <w:rFonts w:ascii="宋体" w:hAnsi="宋体" w:cs="宋体"/>
                <w:color w:val="auto"/>
                <w:sz w:val="24"/>
                <w:highlight w:val="none"/>
              </w:rPr>
            </w:pPr>
          </w:p>
        </w:tc>
        <w:tc>
          <w:tcPr>
            <w:tcW w:w="1340" w:type="dxa"/>
          </w:tcPr>
          <w:p w14:paraId="7B17539C">
            <w:pPr>
              <w:spacing w:line="340" w:lineRule="exact"/>
              <w:rPr>
                <w:rFonts w:ascii="宋体" w:hAnsi="宋体" w:cs="宋体"/>
                <w:color w:val="auto"/>
                <w:sz w:val="24"/>
                <w:highlight w:val="none"/>
              </w:rPr>
            </w:pPr>
          </w:p>
        </w:tc>
        <w:tc>
          <w:tcPr>
            <w:tcW w:w="1347" w:type="dxa"/>
          </w:tcPr>
          <w:p w14:paraId="45B28A1C">
            <w:pPr>
              <w:spacing w:line="340" w:lineRule="exact"/>
              <w:rPr>
                <w:rFonts w:ascii="宋体" w:hAnsi="宋体" w:cs="宋体"/>
                <w:color w:val="auto"/>
                <w:sz w:val="24"/>
                <w:highlight w:val="none"/>
              </w:rPr>
            </w:pPr>
          </w:p>
        </w:tc>
      </w:tr>
      <w:tr w14:paraId="17AFE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C5E5486">
            <w:pPr>
              <w:spacing w:line="340" w:lineRule="exact"/>
              <w:jc w:val="center"/>
              <w:rPr>
                <w:rFonts w:ascii="宋体" w:hAnsi="宋体" w:cs="宋体"/>
                <w:color w:val="auto"/>
                <w:sz w:val="24"/>
                <w:highlight w:val="none"/>
              </w:rPr>
            </w:pPr>
          </w:p>
        </w:tc>
        <w:tc>
          <w:tcPr>
            <w:tcW w:w="2205" w:type="dxa"/>
          </w:tcPr>
          <w:p w14:paraId="54A0473F">
            <w:pPr>
              <w:spacing w:line="340" w:lineRule="exact"/>
              <w:rPr>
                <w:rFonts w:ascii="宋体" w:hAnsi="宋体" w:cs="宋体"/>
                <w:color w:val="auto"/>
                <w:sz w:val="24"/>
                <w:highlight w:val="none"/>
              </w:rPr>
            </w:pPr>
            <w:r>
              <w:rPr>
                <w:rFonts w:hint="eastAsia" w:ascii="宋体" w:hAnsi="宋体" w:cs="宋体"/>
                <w:color w:val="auto"/>
                <w:sz w:val="24"/>
                <w:highlight w:val="none"/>
              </w:rPr>
              <w:t>…</w:t>
            </w:r>
          </w:p>
        </w:tc>
        <w:tc>
          <w:tcPr>
            <w:tcW w:w="957" w:type="dxa"/>
          </w:tcPr>
          <w:p w14:paraId="64167CE4">
            <w:pPr>
              <w:spacing w:line="340" w:lineRule="exact"/>
              <w:rPr>
                <w:rFonts w:ascii="宋体" w:hAnsi="宋体" w:cs="宋体"/>
                <w:color w:val="auto"/>
                <w:sz w:val="24"/>
                <w:highlight w:val="none"/>
              </w:rPr>
            </w:pPr>
          </w:p>
        </w:tc>
        <w:tc>
          <w:tcPr>
            <w:tcW w:w="840" w:type="dxa"/>
          </w:tcPr>
          <w:p w14:paraId="0F0BF1AA">
            <w:pPr>
              <w:spacing w:line="340" w:lineRule="exact"/>
              <w:rPr>
                <w:rFonts w:ascii="宋体" w:hAnsi="宋体" w:cs="宋体"/>
                <w:color w:val="auto"/>
                <w:sz w:val="24"/>
                <w:highlight w:val="none"/>
              </w:rPr>
            </w:pPr>
          </w:p>
        </w:tc>
        <w:tc>
          <w:tcPr>
            <w:tcW w:w="1260" w:type="dxa"/>
          </w:tcPr>
          <w:p w14:paraId="65FDB3E5">
            <w:pPr>
              <w:spacing w:line="340" w:lineRule="exact"/>
              <w:rPr>
                <w:rFonts w:ascii="宋体" w:hAnsi="宋体" w:cs="宋体"/>
                <w:color w:val="auto"/>
                <w:sz w:val="24"/>
                <w:highlight w:val="none"/>
              </w:rPr>
            </w:pPr>
          </w:p>
        </w:tc>
        <w:tc>
          <w:tcPr>
            <w:tcW w:w="1340" w:type="dxa"/>
          </w:tcPr>
          <w:p w14:paraId="61BB3F3A">
            <w:pPr>
              <w:spacing w:line="340" w:lineRule="exact"/>
              <w:rPr>
                <w:rFonts w:ascii="宋体" w:hAnsi="宋体" w:cs="宋体"/>
                <w:color w:val="auto"/>
                <w:sz w:val="24"/>
                <w:highlight w:val="none"/>
              </w:rPr>
            </w:pPr>
          </w:p>
        </w:tc>
        <w:tc>
          <w:tcPr>
            <w:tcW w:w="1347" w:type="dxa"/>
          </w:tcPr>
          <w:p w14:paraId="340F3EF6">
            <w:pPr>
              <w:spacing w:line="340" w:lineRule="exact"/>
              <w:rPr>
                <w:rFonts w:ascii="宋体" w:hAnsi="宋体" w:cs="宋体"/>
                <w:color w:val="auto"/>
                <w:sz w:val="24"/>
                <w:highlight w:val="none"/>
              </w:rPr>
            </w:pPr>
          </w:p>
        </w:tc>
      </w:tr>
      <w:tr w14:paraId="7FFFD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6B492F9">
            <w:pPr>
              <w:spacing w:line="340" w:lineRule="exact"/>
              <w:jc w:val="center"/>
              <w:rPr>
                <w:rFonts w:ascii="宋体" w:hAnsi="宋体" w:cs="宋体"/>
                <w:color w:val="auto"/>
                <w:sz w:val="24"/>
                <w:highlight w:val="none"/>
              </w:rPr>
            </w:pPr>
          </w:p>
        </w:tc>
        <w:tc>
          <w:tcPr>
            <w:tcW w:w="2205" w:type="dxa"/>
            <w:vAlign w:val="center"/>
          </w:tcPr>
          <w:p w14:paraId="1FA4BE8E">
            <w:pPr>
              <w:pStyle w:val="68"/>
              <w:spacing w:line="340" w:lineRule="exact"/>
              <w:rPr>
                <w:rFonts w:ascii="宋体" w:hAnsi="宋体" w:cs="宋体"/>
                <w:color w:val="auto"/>
                <w:szCs w:val="24"/>
                <w:highlight w:val="none"/>
              </w:rPr>
            </w:pPr>
            <w:r>
              <w:rPr>
                <w:rFonts w:hint="eastAsia" w:ascii="宋体" w:hAnsi="宋体" w:cs="宋体"/>
                <w:color w:val="auto"/>
                <w:szCs w:val="24"/>
                <w:highlight w:val="none"/>
              </w:rPr>
              <w:t>合计</w:t>
            </w:r>
          </w:p>
        </w:tc>
        <w:tc>
          <w:tcPr>
            <w:tcW w:w="957" w:type="dxa"/>
          </w:tcPr>
          <w:p w14:paraId="7DB2B061">
            <w:pPr>
              <w:spacing w:line="340" w:lineRule="exact"/>
              <w:rPr>
                <w:rFonts w:ascii="宋体" w:hAnsi="宋体" w:cs="宋体"/>
                <w:color w:val="auto"/>
                <w:sz w:val="24"/>
                <w:highlight w:val="none"/>
              </w:rPr>
            </w:pPr>
          </w:p>
        </w:tc>
        <w:tc>
          <w:tcPr>
            <w:tcW w:w="840" w:type="dxa"/>
          </w:tcPr>
          <w:p w14:paraId="5F318967">
            <w:pPr>
              <w:spacing w:line="340" w:lineRule="exact"/>
              <w:rPr>
                <w:rFonts w:ascii="宋体" w:hAnsi="宋体" w:cs="宋体"/>
                <w:color w:val="auto"/>
                <w:sz w:val="24"/>
                <w:highlight w:val="none"/>
              </w:rPr>
            </w:pPr>
          </w:p>
        </w:tc>
        <w:tc>
          <w:tcPr>
            <w:tcW w:w="1260" w:type="dxa"/>
          </w:tcPr>
          <w:p w14:paraId="4F3E73DA">
            <w:pPr>
              <w:spacing w:line="340" w:lineRule="exact"/>
              <w:rPr>
                <w:rFonts w:ascii="宋体" w:hAnsi="宋体" w:cs="宋体"/>
                <w:color w:val="auto"/>
                <w:sz w:val="24"/>
                <w:highlight w:val="none"/>
              </w:rPr>
            </w:pPr>
          </w:p>
        </w:tc>
        <w:tc>
          <w:tcPr>
            <w:tcW w:w="1340" w:type="dxa"/>
          </w:tcPr>
          <w:p w14:paraId="4B8036A2">
            <w:pPr>
              <w:spacing w:line="340" w:lineRule="exact"/>
              <w:rPr>
                <w:rFonts w:ascii="宋体" w:hAnsi="宋体" w:cs="宋体"/>
                <w:color w:val="auto"/>
                <w:sz w:val="24"/>
                <w:highlight w:val="none"/>
              </w:rPr>
            </w:pPr>
          </w:p>
        </w:tc>
        <w:tc>
          <w:tcPr>
            <w:tcW w:w="1347" w:type="dxa"/>
          </w:tcPr>
          <w:p w14:paraId="1EFD3D8E">
            <w:pPr>
              <w:spacing w:line="340" w:lineRule="exact"/>
              <w:rPr>
                <w:rFonts w:ascii="宋体" w:hAnsi="宋体" w:cs="宋体"/>
                <w:color w:val="auto"/>
                <w:sz w:val="24"/>
                <w:highlight w:val="none"/>
              </w:rPr>
            </w:pPr>
          </w:p>
        </w:tc>
      </w:tr>
    </w:tbl>
    <w:p w14:paraId="2B0B0A69">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rPr>
        <w:t xml:space="preserve">章： </w:t>
      </w:r>
    </w:p>
    <w:p w14:paraId="682B7D60">
      <w:pPr>
        <w:spacing w:line="360" w:lineRule="auto"/>
        <w:jc w:val="right"/>
        <w:rPr>
          <w:rFonts w:ascii="宋体" w:hAnsi="宋体" w:cs="宋体"/>
          <w:color w:val="auto"/>
          <w:sz w:val="24"/>
          <w:highlight w:val="none"/>
        </w:rPr>
      </w:pPr>
      <w:r>
        <w:rPr>
          <w:rFonts w:hint="eastAsia" w:ascii="宋体" w:hAnsi="宋体" w:cs="宋体"/>
          <w:color w:val="auto"/>
          <w:sz w:val="24"/>
          <w:highlight w:val="none"/>
        </w:rPr>
        <w:t xml:space="preserve">  年  月  日</w:t>
      </w:r>
    </w:p>
    <w:p w14:paraId="65A464CB">
      <w:pPr>
        <w:adjustRightInd w:val="0"/>
        <w:snapToGrid w:val="0"/>
        <w:spacing w:line="360" w:lineRule="auto"/>
        <w:rPr>
          <w:rFonts w:ascii="宋体" w:hAnsi="宋体" w:cs="宋体"/>
          <w:color w:val="auto"/>
          <w:sz w:val="24"/>
          <w:highlight w:val="none"/>
        </w:rPr>
      </w:pPr>
      <w:r>
        <w:rPr>
          <w:rFonts w:hint="eastAsia" w:ascii="宋体" w:hAnsi="宋体" w:cs="宋体"/>
          <w:color w:val="auto"/>
          <w:sz w:val="24"/>
          <w:highlight w:val="none"/>
        </w:rPr>
        <w:t>备注：</w:t>
      </w:r>
    </w:p>
    <w:p w14:paraId="486E2549">
      <w:pPr>
        <w:spacing w:line="360" w:lineRule="auto"/>
        <w:jc w:val="left"/>
        <w:rPr>
          <w:rFonts w:ascii="宋体" w:hAnsi="宋体" w:cs="宋体"/>
          <w:color w:val="auto"/>
          <w:sz w:val="24"/>
          <w:highlight w:val="none"/>
        </w:rPr>
      </w:pPr>
      <w:r>
        <w:rPr>
          <w:rFonts w:hint="eastAsia" w:ascii="宋体" w:hAnsi="宋体" w:cs="宋体"/>
          <w:color w:val="auto"/>
          <w:sz w:val="24"/>
          <w:highlight w:val="none"/>
        </w:rPr>
        <w:t>表中所列内容为对应本项目需求的全部要求。如有漏项或缺项，投标人承担全部责任。</w:t>
      </w:r>
    </w:p>
    <w:p w14:paraId="1D5FD610">
      <w:pPr>
        <w:spacing w:line="360" w:lineRule="auto"/>
        <w:jc w:val="center"/>
        <w:rPr>
          <w:rFonts w:ascii="宋体" w:hAnsi="宋体" w:cs="宋体"/>
          <w:b/>
          <w:color w:val="auto"/>
          <w:sz w:val="24"/>
          <w:highlight w:val="none"/>
        </w:rPr>
      </w:pPr>
    </w:p>
    <w:p w14:paraId="0CCF706F">
      <w:pPr>
        <w:spacing w:line="360" w:lineRule="auto"/>
        <w:jc w:val="center"/>
        <w:rPr>
          <w:rFonts w:ascii="宋体" w:hAnsi="宋体" w:cs="宋体"/>
          <w:b/>
          <w:color w:val="auto"/>
          <w:sz w:val="24"/>
          <w:highlight w:val="none"/>
        </w:rPr>
      </w:pPr>
    </w:p>
    <w:p w14:paraId="3C399D75">
      <w:pPr>
        <w:pStyle w:val="43"/>
        <w:ind w:firstLine="241"/>
        <w:rPr>
          <w:rFonts w:ascii="宋体" w:hAnsi="宋体" w:cs="宋体"/>
          <w:b/>
          <w:color w:val="auto"/>
          <w:sz w:val="24"/>
          <w:highlight w:val="none"/>
        </w:rPr>
      </w:pPr>
    </w:p>
    <w:p w14:paraId="651907CD">
      <w:pPr>
        <w:pStyle w:val="43"/>
        <w:ind w:firstLine="241"/>
        <w:rPr>
          <w:rFonts w:ascii="宋体" w:hAnsi="宋体" w:cs="宋体"/>
          <w:b/>
          <w:color w:val="auto"/>
          <w:sz w:val="24"/>
          <w:highlight w:val="none"/>
        </w:rPr>
      </w:pPr>
    </w:p>
    <w:p w14:paraId="6E2E8319">
      <w:pPr>
        <w:rPr>
          <w:rFonts w:hint="eastAsia" w:ascii="宋体" w:hAnsi="宋体" w:cs="宋体"/>
          <w:color w:val="auto"/>
          <w:sz w:val="24"/>
          <w:highlight w:val="none"/>
        </w:rPr>
      </w:pPr>
      <w:r>
        <w:rPr>
          <w:rFonts w:hint="eastAsia" w:ascii="宋体" w:hAnsi="宋体" w:cs="宋体"/>
          <w:color w:val="auto"/>
          <w:sz w:val="24"/>
          <w:highlight w:val="none"/>
        </w:rPr>
        <w:br w:type="page"/>
      </w:r>
    </w:p>
    <w:p w14:paraId="321E1F06">
      <w:pPr>
        <w:spacing w:line="360" w:lineRule="auto"/>
        <w:jc w:val="left"/>
        <w:rPr>
          <w:rFonts w:ascii="宋体" w:hAnsi="宋体" w:cs="宋体"/>
          <w:color w:val="auto"/>
          <w:sz w:val="24"/>
          <w:highlight w:val="none"/>
        </w:rPr>
      </w:pPr>
      <w:r>
        <w:rPr>
          <w:rFonts w:hint="eastAsia" w:ascii="宋体" w:hAnsi="宋体" w:cs="宋体"/>
          <w:color w:val="auto"/>
          <w:sz w:val="24"/>
          <w:highlight w:val="none"/>
        </w:rPr>
        <w:t xml:space="preserve">格式6                     </w:t>
      </w:r>
      <w:r>
        <w:rPr>
          <w:rFonts w:hint="eastAsia" w:ascii="宋体" w:hAnsi="宋体" w:cs="宋体"/>
          <w:b/>
          <w:color w:val="auto"/>
          <w:sz w:val="24"/>
          <w:highlight w:val="none"/>
        </w:rPr>
        <w:t>技术参数响应表</w:t>
      </w:r>
    </w:p>
    <w:p w14:paraId="2F4A01D3">
      <w:pPr>
        <w:rPr>
          <w:rFonts w:ascii="宋体" w:hAnsi="宋体" w:cs="宋体"/>
          <w:color w:val="auto"/>
          <w:sz w:val="24"/>
          <w:highlight w:val="none"/>
        </w:rPr>
      </w:pPr>
    </w:p>
    <w:p w14:paraId="1AB27A98">
      <w:pPr>
        <w:rPr>
          <w:rFonts w:ascii="宋体" w:hAnsi="宋体" w:cs="宋体"/>
          <w:color w:val="auto"/>
          <w:sz w:val="24"/>
          <w:highlight w:val="none"/>
        </w:rPr>
      </w:pPr>
    </w:p>
    <w:tbl>
      <w:tblPr>
        <w:tblStyle w:val="27"/>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6337E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4BC15C8F">
            <w:pPr>
              <w:pStyle w:val="14"/>
              <w:jc w:val="center"/>
              <w:rPr>
                <w:rFonts w:hAnsi="宋体" w:cs="宋体"/>
                <w:bCs/>
                <w:color w:val="auto"/>
                <w:sz w:val="24"/>
                <w:szCs w:val="24"/>
                <w:highlight w:val="none"/>
              </w:rPr>
            </w:pPr>
            <w:r>
              <w:rPr>
                <w:rFonts w:hint="eastAsia" w:hAnsi="宋体" w:cs="宋体"/>
                <w:bCs/>
                <w:color w:val="auto"/>
                <w:sz w:val="24"/>
                <w:szCs w:val="24"/>
                <w:highlight w:val="none"/>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2BD735E1">
            <w:pPr>
              <w:pStyle w:val="14"/>
              <w:jc w:val="center"/>
              <w:rPr>
                <w:rFonts w:hAnsi="宋体" w:cs="宋体"/>
                <w:bCs/>
                <w:color w:val="auto"/>
                <w:sz w:val="24"/>
                <w:szCs w:val="24"/>
                <w:highlight w:val="none"/>
              </w:rPr>
            </w:pPr>
            <w:r>
              <w:rPr>
                <w:rFonts w:hint="eastAsia" w:hAnsi="宋体" w:cs="宋体"/>
                <w:bCs/>
                <w:color w:val="auto"/>
                <w:sz w:val="24"/>
                <w:szCs w:val="24"/>
                <w:highlight w:val="none"/>
              </w:rPr>
              <w:t>按投标人所投内容填写</w:t>
            </w:r>
          </w:p>
        </w:tc>
      </w:tr>
      <w:tr w14:paraId="3B64C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294B12E2">
            <w:pPr>
              <w:pStyle w:val="14"/>
              <w:jc w:val="center"/>
              <w:rPr>
                <w:rFonts w:hAnsi="宋体" w:cs="宋体"/>
                <w:bCs/>
                <w:color w:val="auto"/>
                <w:sz w:val="24"/>
                <w:szCs w:val="24"/>
                <w:highlight w:val="none"/>
              </w:rPr>
            </w:pPr>
            <w:r>
              <w:rPr>
                <w:rFonts w:hint="eastAsia" w:hAnsi="宋体" w:cs="宋体"/>
                <w:bCs/>
                <w:color w:val="auto"/>
                <w:sz w:val="24"/>
                <w:szCs w:val="24"/>
                <w:highlight w:val="none"/>
              </w:rPr>
              <w:t>序号</w:t>
            </w:r>
          </w:p>
        </w:tc>
        <w:tc>
          <w:tcPr>
            <w:tcW w:w="723" w:type="dxa"/>
            <w:tcBorders>
              <w:top w:val="single" w:color="auto" w:sz="4" w:space="0"/>
              <w:left w:val="nil"/>
              <w:bottom w:val="single" w:color="auto" w:sz="4" w:space="0"/>
              <w:right w:val="single" w:color="auto" w:sz="4" w:space="0"/>
            </w:tcBorders>
            <w:vAlign w:val="center"/>
          </w:tcPr>
          <w:p w14:paraId="73033063">
            <w:pPr>
              <w:pStyle w:val="14"/>
              <w:jc w:val="center"/>
              <w:rPr>
                <w:rFonts w:hAnsi="宋体" w:cs="宋体"/>
                <w:bCs/>
                <w:color w:val="auto"/>
                <w:sz w:val="24"/>
                <w:szCs w:val="24"/>
                <w:highlight w:val="none"/>
              </w:rPr>
            </w:pPr>
            <w:r>
              <w:rPr>
                <w:rFonts w:hint="eastAsia" w:hAnsi="宋体" w:cs="宋体"/>
                <w:bCs/>
                <w:color w:val="auto"/>
                <w:sz w:val="24"/>
                <w:szCs w:val="24"/>
                <w:highlight w:val="none"/>
              </w:rPr>
              <w:t>品名</w:t>
            </w:r>
          </w:p>
        </w:tc>
        <w:tc>
          <w:tcPr>
            <w:tcW w:w="3490" w:type="dxa"/>
            <w:tcBorders>
              <w:top w:val="single" w:color="auto" w:sz="4" w:space="0"/>
              <w:left w:val="nil"/>
              <w:bottom w:val="single" w:color="auto" w:sz="4" w:space="0"/>
              <w:right w:val="single" w:color="auto" w:sz="4" w:space="0"/>
            </w:tcBorders>
            <w:vAlign w:val="center"/>
          </w:tcPr>
          <w:p w14:paraId="1E0C7259">
            <w:pPr>
              <w:pStyle w:val="14"/>
              <w:jc w:val="center"/>
              <w:rPr>
                <w:rFonts w:hAnsi="宋体" w:cs="宋体"/>
                <w:bCs/>
                <w:color w:val="auto"/>
                <w:sz w:val="24"/>
                <w:szCs w:val="24"/>
                <w:highlight w:val="none"/>
              </w:rPr>
            </w:pPr>
            <w:r>
              <w:rPr>
                <w:rFonts w:hint="eastAsia" w:hAnsi="宋体" w:cs="宋体"/>
                <w:color w:val="auto"/>
                <w:sz w:val="24"/>
                <w:szCs w:val="24"/>
                <w:highlight w:val="none"/>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524AE8DB">
            <w:pPr>
              <w:pStyle w:val="14"/>
              <w:jc w:val="center"/>
              <w:rPr>
                <w:rFonts w:hAnsi="宋体" w:cs="宋体"/>
                <w:bCs/>
                <w:color w:val="auto"/>
                <w:sz w:val="24"/>
                <w:szCs w:val="24"/>
                <w:highlight w:val="none"/>
              </w:rPr>
            </w:pPr>
            <w:r>
              <w:rPr>
                <w:rFonts w:hint="eastAsia" w:hAnsi="宋体" w:cs="宋体"/>
                <w:color w:val="auto"/>
                <w:sz w:val="24"/>
                <w:szCs w:val="24"/>
                <w:highlight w:val="none"/>
              </w:rPr>
              <w:t>响应</w:t>
            </w:r>
          </w:p>
        </w:tc>
        <w:tc>
          <w:tcPr>
            <w:tcW w:w="1336" w:type="dxa"/>
            <w:tcBorders>
              <w:top w:val="single" w:color="auto" w:sz="4" w:space="0"/>
              <w:left w:val="nil"/>
              <w:bottom w:val="single" w:color="auto" w:sz="4" w:space="0"/>
              <w:right w:val="single" w:color="auto" w:sz="4" w:space="0"/>
            </w:tcBorders>
            <w:vAlign w:val="center"/>
          </w:tcPr>
          <w:p w14:paraId="67CB955A">
            <w:pPr>
              <w:pStyle w:val="14"/>
              <w:jc w:val="center"/>
              <w:rPr>
                <w:rFonts w:hAnsi="宋体" w:cs="宋体"/>
                <w:bCs/>
                <w:color w:val="auto"/>
                <w:sz w:val="24"/>
                <w:szCs w:val="24"/>
                <w:highlight w:val="none"/>
              </w:rPr>
            </w:pPr>
            <w:r>
              <w:rPr>
                <w:rFonts w:hint="eastAsia" w:hAnsi="宋体" w:cs="宋体"/>
                <w:bCs/>
                <w:color w:val="auto"/>
                <w:sz w:val="24"/>
                <w:szCs w:val="24"/>
                <w:highlight w:val="none"/>
              </w:rPr>
              <w:t>偏离说明</w:t>
            </w:r>
          </w:p>
        </w:tc>
      </w:tr>
      <w:tr w14:paraId="70FB5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8699552">
            <w:pPr>
              <w:jc w:val="center"/>
              <w:rPr>
                <w:rFonts w:ascii="宋体" w:hAnsi="宋体" w:cs="宋体"/>
                <w:color w:val="auto"/>
                <w:sz w:val="24"/>
                <w:highlight w:val="none"/>
              </w:rPr>
            </w:pPr>
            <w:r>
              <w:rPr>
                <w:rFonts w:hint="eastAsia" w:ascii="宋体" w:hAnsi="宋体" w:cs="宋体"/>
                <w:color w:val="auto"/>
                <w:sz w:val="24"/>
                <w:highlight w:val="none"/>
              </w:rPr>
              <w:t>1</w:t>
            </w:r>
          </w:p>
        </w:tc>
        <w:tc>
          <w:tcPr>
            <w:tcW w:w="723" w:type="dxa"/>
            <w:tcBorders>
              <w:top w:val="single" w:color="auto" w:sz="4" w:space="0"/>
              <w:left w:val="nil"/>
              <w:bottom w:val="single" w:color="auto" w:sz="4" w:space="0"/>
              <w:right w:val="single" w:color="auto" w:sz="4" w:space="0"/>
            </w:tcBorders>
            <w:vAlign w:val="center"/>
          </w:tcPr>
          <w:p w14:paraId="171BD95A">
            <w:pPr>
              <w:widowControl/>
              <w:jc w:val="left"/>
              <w:rPr>
                <w:rFonts w:ascii="宋体" w:hAnsi="宋体" w:cs="宋体"/>
                <w:color w:val="auto"/>
                <w:kern w:val="0"/>
                <w:sz w:val="24"/>
                <w:highlight w:val="none"/>
              </w:rPr>
            </w:pPr>
          </w:p>
        </w:tc>
        <w:tc>
          <w:tcPr>
            <w:tcW w:w="3490" w:type="dxa"/>
            <w:tcBorders>
              <w:top w:val="single" w:color="auto" w:sz="4" w:space="0"/>
              <w:left w:val="nil"/>
              <w:bottom w:val="single" w:color="auto" w:sz="4" w:space="0"/>
              <w:right w:val="single" w:color="auto" w:sz="4" w:space="0"/>
            </w:tcBorders>
          </w:tcPr>
          <w:p w14:paraId="2C6D8EAB">
            <w:pPr>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tcPr>
          <w:p w14:paraId="7A4ED1E8">
            <w:pPr>
              <w:widowControl/>
              <w:rPr>
                <w:rFonts w:ascii="宋体" w:hAnsi="宋体" w:cs="宋体"/>
                <w:color w:val="auto"/>
                <w:kern w:val="0"/>
                <w:sz w:val="24"/>
                <w:highlight w:val="none"/>
              </w:rPr>
            </w:pPr>
          </w:p>
        </w:tc>
        <w:tc>
          <w:tcPr>
            <w:tcW w:w="1336" w:type="dxa"/>
            <w:tcBorders>
              <w:top w:val="single" w:color="auto" w:sz="4" w:space="0"/>
              <w:left w:val="nil"/>
              <w:bottom w:val="single" w:color="auto" w:sz="4" w:space="0"/>
              <w:right w:val="single" w:color="auto" w:sz="4" w:space="0"/>
            </w:tcBorders>
            <w:vAlign w:val="center"/>
          </w:tcPr>
          <w:p w14:paraId="7484DB87">
            <w:pPr>
              <w:jc w:val="center"/>
              <w:rPr>
                <w:rFonts w:ascii="宋体" w:hAnsi="宋体" w:cs="宋体"/>
                <w:color w:val="auto"/>
                <w:sz w:val="24"/>
                <w:highlight w:val="none"/>
              </w:rPr>
            </w:pPr>
          </w:p>
        </w:tc>
      </w:tr>
      <w:tr w14:paraId="79983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FC021F9">
            <w:pPr>
              <w:jc w:val="center"/>
              <w:rPr>
                <w:rFonts w:ascii="宋体" w:hAnsi="宋体" w:cs="宋体"/>
                <w:color w:val="auto"/>
                <w:sz w:val="24"/>
                <w:highlight w:val="none"/>
              </w:rPr>
            </w:pPr>
            <w:r>
              <w:rPr>
                <w:rFonts w:hint="eastAsia" w:ascii="宋体" w:hAnsi="宋体" w:cs="宋体"/>
                <w:color w:val="auto"/>
                <w:sz w:val="24"/>
                <w:highlight w:val="none"/>
              </w:rPr>
              <w:t>2</w:t>
            </w:r>
          </w:p>
        </w:tc>
        <w:tc>
          <w:tcPr>
            <w:tcW w:w="723" w:type="dxa"/>
            <w:tcBorders>
              <w:top w:val="single" w:color="auto" w:sz="4" w:space="0"/>
              <w:left w:val="nil"/>
              <w:bottom w:val="single" w:color="auto" w:sz="4" w:space="0"/>
              <w:right w:val="single" w:color="auto" w:sz="4" w:space="0"/>
            </w:tcBorders>
            <w:vAlign w:val="center"/>
          </w:tcPr>
          <w:p w14:paraId="214562E3">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70617392">
            <w:pPr>
              <w:ind w:left="240" w:hanging="240" w:hangingChars="100"/>
              <w:jc w:val="left"/>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246950E4">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6194D586">
            <w:pPr>
              <w:jc w:val="center"/>
              <w:rPr>
                <w:rFonts w:ascii="宋体" w:hAnsi="宋体" w:cs="宋体"/>
                <w:color w:val="auto"/>
                <w:sz w:val="24"/>
                <w:highlight w:val="none"/>
              </w:rPr>
            </w:pPr>
          </w:p>
        </w:tc>
      </w:tr>
      <w:tr w14:paraId="6BA3F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E1EB52B">
            <w:pPr>
              <w:rPr>
                <w:rFonts w:ascii="宋体" w:hAnsi="宋体" w:cs="宋体"/>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14:paraId="5E2B4BF7">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1A9AA1B7">
            <w:pPr>
              <w:jc w:val="left"/>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7DDBFB42">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6042475C">
            <w:pPr>
              <w:jc w:val="center"/>
              <w:rPr>
                <w:rFonts w:ascii="宋体" w:hAnsi="宋体" w:cs="宋体"/>
                <w:color w:val="auto"/>
                <w:sz w:val="24"/>
                <w:highlight w:val="none"/>
              </w:rPr>
            </w:pPr>
          </w:p>
        </w:tc>
      </w:tr>
      <w:tr w14:paraId="572E9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923F91D">
            <w:pPr>
              <w:rPr>
                <w:rFonts w:ascii="宋体" w:hAnsi="宋体" w:cs="宋体"/>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14:paraId="6171D72C">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5008BD7E">
            <w:pPr>
              <w:jc w:val="left"/>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17BDC90A">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4AD7A756">
            <w:pPr>
              <w:jc w:val="center"/>
              <w:rPr>
                <w:rFonts w:ascii="宋体" w:hAnsi="宋体" w:cs="宋体"/>
                <w:color w:val="auto"/>
                <w:sz w:val="24"/>
                <w:highlight w:val="none"/>
              </w:rPr>
            </w:pPr>
          </w:p>
        </w:tc>
      </w:tr>
      <w:tr w14:paraId="77340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7960839">
            <w:pPr>
              <w:rPr>
                <w:rFonts w:ascii="宋体" w:hAnsi="宋体" w:cs="宋体"/>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14:paraId="013E723E">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6B39E157">
            <w:pPr>
              <w:ind w:left="240" w:hanging="240" w:hangingChars="100"/>
              <w:jc w:val="left"/>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2BC56ED0">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188684C6">
            <w:pPr>
              <w:jc w:val="center"/>
              <w:rPr>
                <w:rFonts w:ascii="宋体" w:hAnsi="宋体" w:cs="宋体"/>
                <w:color w:val="auto"/>
                <w:sz w:val="24"/>
                <w:highlight w:val="none"/>
              </w:rPr>
            </w:pPr>
          </w:p>
        </w:tc>
      </w:tr>
      <w:tr w14:paraId="43903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39BF60F">
            <w:pPr>
              <w:jc w:val="center"/>
              <w:rPr>
                <w:rFonts w:ascii="宋体" w:hAnsi="宋体" w:cs="宋体"/>
                <w:color w:val="auto"/>
                <w:sz w:val="24"/>
                <w:highlight w:val="none"/>
              </w:rPr>
            </w:pPr>
            <w:r>
              <w:rPr>
                <w:rFonts w:hint="eastAsia" w:ascii="宋体" w:hAnsi="宋体" w:cs="宋体"/>
                <w:color w:val="auto"/>
                <w:sz w:val="24"/>
                <w:highlight w:val="none"/>
              </w:rPr>
              <w:t>....</w:t>
            </w:r>
          </w:p>
        </w:tc>
        <w:tc>
          <w:tcPr>
            <w:tcW w:w="723" w:type="dxa"/>
            <w:tcBorders>
              <w:top w:val="single" w:color="auto" w:sz="4" w:space="0"/>
              <w:left w:val="nil"/>
              <w:bottom w:val="single" w:color="auto" w:sz="4" w:space="0"/>
              <w:right w:val="single" w:color="auto" w:sz="4" w:space="0"/>
            </w:tcBorders>
            <w:vAlign w:val="center"/>
          </w:tcPr>
          <w:p w14:paraId="3E401C16">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297732E7">
            <w:pPr>
              <w:ind w:left="240" w:hanging="240" w:hangingChars="100"/>
              <w:jc w:val="left"/>
              <w:rPr>
                <w:rFonts w:ascii="宋体" w:hAnsi="宋体" w:cs="宋体"/>
                <w:color w:val="auto"/>
                <w:sz w:val="24"/>
                <w:highlight w:val="none"/>
              </w:rPr>
            </w:pPr>
            <w:r>
              <w:rPr>
                <w:rFonts w:hint="eastAsia" w:ascii="宋体" w:hAnsi="宋体" w:cs="宋体"/>
                <w:color w:val="auto"/>
                <w:sz w:val="24"/>
                <w:highlight w:val="none"/>
              </w:rPr>
              <w:t>.....</w:t>
            </w:r>
          </w:p>
        </w:tc>
        <w:tc>
          <w:tcPr>
            <w:tcW w:w="2810" w:type="dxa"/>
            <w:tcBorders>
              <w:top w:val="single" w:color="auto" w:sz="4" w:space="0"/>
              <w:left w:val="nil"/>
              <w:bottom w:val="single" w:color="auto" w:sz="4" w:space="0"/>
              <w:right w:val="single" w:color="auto" w:sz="4" w:space="0"/>
            </w:tcBorders>
            <w:vAlign w:val="center"/>
          </w:tcPr>
          <w:p w14:paraId="3466C556">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449A7B87">
            <w:pPr>
              <w:jc w:val="center"/>
              <w:rPr>
                <w:rFonts w:ascii="宋体" w:hAnsi="宋体" w:cs="宋体"/>
                <w:color w:val="auto"/>
                <w:sz w:val="24"/>
                <w:highlight w:val="none"/>
              </w:rPr>
            </w:pPr>
          </w:p>
        </w:tc>
      </w:tr>
    </w:tbl>
    <w:p w14:paraId="024C28F1">
      <w:pPr>
        <w:rPr>
          <w:rFonts w:ascii="宋体" w:hAnsi="宋体" w:cs="宋体"/>
          <w:color w:val="auto"/>
          <w:sz w:val="24"/>
          <w:highlight w:val="none"/>
        </w:rPr>
      </w:pPr>
    </w:p>
    <w:p w14:paraId="6E8DDB57">
      <w:pPr>
        <w:rPr>
          <w:rFonts w:ascii="宋体" w:hAnsi="宋体" w:cs="宋体"/>
          <w:color w:val="auto"/>
          <w:sz w:val="24"/>
          <w:highlight w:val="none"/>
        </w:rPr>
      </w:pPr>
      <w:r>
        <w:rPr>
          <w:rFonts w:hint="eastAsia" w:ascii="宋体" w:hAnsi="宋体" w:cs="宋体"/>
          <w:color w:val="auto"/>
          <w:sz w:val="24"/>
          <w:highlight w:val="none"/>
        </w:rPr>
        <w:t>(可根据需求自行更改)</w:t>
      </w:r>
    </w:p>
    <w:p w14:paraId="476F4916">
      <w:pPr>
        <w:rPr>
          <w:rFonts w:ascii="宋体" w:hAnsi="宋体" w:cs="宋体"/>
          <w:color w:val="auto"/>
          <w:sz w:val="24"/>
          <w:highlight w:val="none"/>
        </w:rPr>
      </w:pPr>
    </w:p>
    <w:p w14:paraId="548ABE39">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rPr>
        <w:t xml:space="preserve">章： </w:t>
      </w:r>
    </w:p>
    <w:p w14:paraId="596F1BC0">
      <w:pPr>
        <w:spacing w:line="360" w:lineRule="auto"/>
        <w:jc w:val="right"/>
        <w:rPr>
          <w:rFonts w:ascii="宋体" w:hAnsi="宋体" w:cs="宋体"/>
          <w:color w:val="auto"/>
          <w:sz w:val="24"/>
          <w:highlight w:val="none"/>
        </w:rPr>
      </w:pPr>
      <w:r>
        <w:rPr>
          <w:rFonts w:hint="eastAsia" w:ascii="宋体" w:hAnsi="宋体" w:cs="宋体"/>
          <w:color w:val="auto"/>
          <w:sz w:val="24"/>
          <w:highlight w:val="none"/>
        </w:rPr>
        <w:t xml:space="preserve">  年  月  日</w:t>
      </w:r>
    </w:p>
    <w:p w14:paraId="2EFF9DAA">
      <w:pPr>
        <w:spacing w:line="360" w:lineRule="auto"/>
        <w:rPr>
          <w:rFonts w:ascii="宋体" w:hAnsi="宋体" w:cs="宋体"/>
          <w:b/>
          <w:color w:val="auto"/>
          <w:sz w:val="24"/>
          <w:highlight w:val="none"/>
        </w:rPr>
      </w:pPr>
    </w:p>
    <w:p w14:paraId="262E581C">
      <w:pPr>
        <w:spacing w:line="360" w:lineRule="auto"/>
        <w:rPr>
          <w:rFonts w:ascii="宋体" w:hAnsi="宋体" w:cs="宋体"/>
          <w:b/>
          <w:color w:val="auto"/>
          <w:sz w:val="24"/>
          <w:highlight w:val="none"/>
        </w:rPr>
      </w:pPr>
    </w:p>
    <w:p w14:paraId="4F653C20">
      <w:pPr>
        <w:spacing w:line="360" w:lineRule="auto"/>
        <w:rPr>
          <w:rFonts w:ascii="宋体" w:hAnsi="宋体" w:cs="宋体"/>
          <w:b/>
          <w:color w:val="auto"/>
          <w:sz w:val="24"/>
          <w:highlight w:val="none"/>
        </w:rPr>
      </w:pPr>
    </w:p>
    <w:p w14:paraId="1A977902">
      <w:pPr>
        <w:spacing w:line="360" w:lineRule="auto"/>
        <w:rPr>
          <w:rFonts w:ascii="宋体" w:hAnsi="宋体" w:cs="宋体"/>
          <w:b/>
          <w:color w:val="auto"/>
          <w:sz w:val="24"/>
          <w:highlight w:val="none"/>
        </w:rPr>
      </w:pPr>
    </w:p>
    <w:p w14:paraId="59895C1C">
      <w:pPr>
        <w:spacing w:line="360" w:lineRule="auto"/>
        <w:jc w:val="left"/>
        <w:rPr>
          <w:rFonts w:ascii="宋体" w:hAnsi="宋体" w:cs="宋体"/>
          <w:color w:val="auto"/>
          <w:sz w:val="24"/>
          <w:highlight w:val="none"/>
        </w:rPr>
      </w:pPr>
      <w:r>
        <w:rPr>
          <w:rFonts w:hint="eastAsia" w:ascii="宋体" w:hAnsi="宋体" w:cs="宋体"/>
          <w:color w:val="auto"/>
          <w:sz w:val="24"/>
          <w:highlight w:val="none"/>
        </w:rPr>
        <w:br w:type="page"/>
      </w:r>
      <w:r>
        <w:rPr>
          <w:rFonts w:hint="eastAsia" w:ascii="宋体" w:hAnsi="宋体" w:cs="宋体"/>
          <w:color w:val="auto"/>
          <w:sz w:val="24"/>
          <w:highlight w:val="none"/>
        </w:rPr>
        <w:t>格式7</w:t>
      </w:r>
    </w:p>
    <w:p w14:paraId="5168BD57">
      <w:pPr>
        <w:pStyle w:val="26"/>
        <w:ind w:firstLine="480"/>
        <w:rPr>
          <w:rFonts w:ascii="宋体" w:hAnsi="宋体" w:eastAsia="宋体" w:cs="宋体"/>
          <w:color w:val="auto"/>
          <w:sz w:val="24"/>
          <w:highlight w:val="none"/>
        </w:rPr>
      </w:pPr>
    </w:p>
    <w:p w14:paraId="1BCD7B26">
      <w:pPr>
        <w:spacing w:line="380" w:lineRule="exact"/>
        <w:jc w:val="center"/>
        <w:rPr>
          <w:rFonts w:ascii="宋体" w:hAnsi="宋体" w:cs="宋体"/>
          <w:color w:val="auto"/>
          <w:sz w:val="24"/>
          <w:highlight w:val="none"/>
        </w:rPr>
      </w:pPr>
      <w:r>
        <w:rPr>
          <w:rFonts w:hint="eastAsia" w:ascii="宋体" w:hAnsi="宋体" w:cs="宋体"/>
          <w:color w:val="auto"/>
          <w:sz w:val="24"/>
          <w:highlight w:val="none"/>
        </w:rPr>
        <w:t>服务方案及服务承诺</w:t>
      </w:r>
    </w:p>
    <w:p w14:paraId="00C8510F">
      <w:pPr>
        <w:spacing w:line="380" w:lineRule="exact"/>
        <w:jc w:val="center"/>
        <w:rPr>
          <w:rFonts w:ascii="宋体" w:hAnsi="宋体" w:cs="宋体"/>
          <w:color w:val="auto"/>
          <w:sz w:val="24"/>
          <w:highlight w:val="none"/>
        </w:rPr>
      </w:pPr>
    </w:p>
    <w:p w14:paraId="5C1F0829">
      <w:pPr>
        <w:spacing w:line="380" w:lineRule="exact"/>
        <w:ind w:firstLine="360" w:firstLineChars="150"/>
        <w:rPr>
          <w:rFonts w:ascii="宋体" w:hAnsi="宋体" w:cs="宋体"/>
          <w:color w:val="auto"/>
          <w:sz w:val="24"/>
          <w:highlight w:val="none"/>
        </w:rPr>
      </w:pPr>
    </w:p>
    <w:p w14:paraId="445C21F4">
      <w:pPr>
        <w:pStyle w:val="45"/>
        <w:rPr>
          <w:rFonts w:ascii="宋体" w:hAnsi="宋体" w:cs="宋体"/>
          <w:color w:val="auto"/>
          <w:sz w:val="24"/>
          <w:szCs w:val="24"/>
          <w:highlight w:val="none"/>
        </w:rPr>
      </w:pPr>
    </w:p>
    <w:p w14:paraId="444CC8C0">
      <w:pPr>
        <w:pStyle w:val="45"/>
        <w:rPr>
          <w:rFonts w:ascii="宋体" w:hAnsi="宋体" w:cs="宋体"/>
          <w:color w:val="auto"/>
          <w:sz w:val="24"/>
          <w:szCs w:val="24"/>
          <w:highlight w:val="none"/>
        </w:rPr>
      </w:pPr>
    </w:p>
    <w:p w14:paraId="25F32B01">
      <w:pPr>
        <w:pStyle w:val="45"/>
        <w:rPr>
          <w:rFonts w:ascii="宋体" w:hAnsi="宋体" w:cs="宋体"/>
          <w:color w:val="auto"/>
          <w:sz w:val="24"/>
          <w:szCs w:val="24"/>
          <w:highlight w:val="none"/>
        </w:rPr>
      </w:pPr>
    </w:p>
    <w:p w14:paraId="77D318AE">
      <w:pPr>
        <w:pStyle w:val="45"/>
        <w:rPr>
          <w:rFonts w:ascii="宋体" w:hAnsi="宋体" w:cs="宋体"/>
          <w:color w:val="auto"/>
          <w:sz w:val="24"/>
          <w:szCs w:val="24"/>
          <w:highlight w:val="none"/>
        </w:rPr>
      </w:pPr>
    </w:p>
    <w:p w14:paraId="7003CB6C">
      <w:pPr>
        <w:pStyle w:val="45"/>
        <w:rPr>
          <w:rFonts w:ascii="宋体" w:hAnsi="宋体" w:cs="宋体"/>
          <w:color w:val="auto"/>
          <w:sz w:val="24"/>
          <w:szCs w:val="24"/>
          <w:highlight w:val="none"/>
        </w:rPr>
      </w:pPr>
    </w:p>
    <w:p w14:paraId="5552B28B">
      <w:pPr>
        <w:pStyle w:val="45"/>
        <w:rPr>
          <w:rFonts w:ascii="宋体" w:hAnsi="宋体" w:cs="宋体"/>
          <w:color w:val="auto"/>
          <w:sz w:val="24"/>
          <w:szCs w:val="24"/>
          <w:highlight w:val="none"/>
        </w:rPr>
      </w:pPr>
    </w:p>
    <w:p w14:paraId="0F1D2456">
      <w:pPr>
        <w:spacing w:line="380" w:lineRule="exact"/>
        <w:rPr>
          <w:rFonts w:ascii="宋体" w:hAnsi="宋体" w:cs="宋体"/>
          <w:color w:val="auto"/>
          <w:sz w:val="24"/>
          <w:highlight w:val="none"/>
        </w:rPr>
      </w:pPr>
    </w:p>
    <w:p w14:paraId="3C7201B8">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rPr>
        <w:t xml:space="preserve">章： </w:t>
      </w:r>
    </w:p>
    <w:p w14:paraId="1FF35C9B">
      <w:pPr>
        <w:spacing w:line="380" w:lineRule="exact"/>
        <w:ind w:right="640" w:firstLine="1560" w:firstLineChars="650"/>
        <w:rPr>
          <w:rFonts w:ascii="宋体" w:hAnsi="宋体" w:cs="宋体"/>
          <w:color w:val="auto"/>
          <w:sz w:val="24"/>
          <w:highlight w:val="none"/>
        </w:rPr>
      </w:pPr>
    </w:p>
    <w:p w14:paraId="138470E6">
      <w:pPr>
        <w:spacing w:line="380" w:lineRule="exact"/>
        <w:ind w:right="640" w:firstLine="4680" w:firstLineChars="1950"/>
        <w:rPr>
          <w:rFonts w:ascii="宋体" w:hAnsi="宋体" w:cs="宋体"/>
          <w:color w:val="auto"/>
          <w:sz w:val="24"/>
          <w:highlight w:val="none"/>
        </w:rPr>
      </w:pPr>
    </w:p>
    <w:p w14:paraId="7FAF6DEB">
      <w:pPr>
        <w:spacing w:line="380" w:lineRule="exact"/>
        <w:jc w:val="center"/>
        <w:rPr>
          <w:rFonts w:ascii="宋体" w:hAnsi="宋体" w:cs="宋体"/>
          <w:color w:val="auto"/>
          <w:sz w:val="24"/>
          <w:highlight w:val="none"/>
        </w:rPr>
      </w:pPr>
    </w:p>
    <w:p w14:paraId="37323896">
      <w:pPr>
        <w:spacing w:line="380" w:lineRule="exact"/>
        <w:ind w:firstLine="3600" w:firstLineChars="1500"/>
        <w:rPr>
          <w:rFonts w:ascii="宋体" w:hAnsi="宋体" w:cs="宋体"/>
          <w:color w:val="auto"/>
          <w:sz w:val="24"/>
          <w:highlight w:val="none"/>
        </w:rPr>
      </w:pPr>
      <w:r>
        <w:rPr>
          <w:rFonts w:hint="eastAsia" w:ascii="宋体" w:hAnsi="宋体" w:cs="宋体"/>
          <w:color w:val="auto"/>
          <w:sz w:val="24"/>
          <w:highlight w:val="none"/>
        </w:rPr>
        <w:t xml:space="preserve">      年   月    日</w:t>
      </w:r>
    </w:p>
    <w:p w14:paraId="06CE09D7">
      <w:pPr>
        <w:spacing w:line="360" w:lineRule="auto"/>
        <w:jc w:val="center"/>
        <w:rPr>
          <w:rFonts w:ascii="宋体" w:hAnsi="宋体" w:cs="宋体"/>
          <w:b/>
          <w:bCs/>
          <w:color w:val="auto"/>
          <w:sz w:val="24"/>
          <w:highlight w:val="none"/>
        </w:rPr>
      </w:pPr>
      <w:r>
        <w:rPr>
          <w:rFonts w:hint="eastAsia" w:ascii="宋体" w:hAnsi="宋体" w:cs="宋体"/>
          <w:b/>
          <w:bCs/>
          <w:color w:val="auto"/>
          <w:sz w:val="24"/>
          <w:highlight w:val="none"/>
        </w:rPr>
        <w:br w:type="page"/>
      </w:r>
    </w:p>
    <w:p w14:paraId="42A90D96">
      <w:pPr>
        <w:spacing w:line="38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格式8合格供应商的声明函和承诺书</w:t>
      </w:r>
    </w:p>
    <w:p w14:paraId="257621D8">
      <w:pPr>
        <w:spacing w:line="360" w:lineRule="auto"/>
        <w:rPr>
          <w:rFonts w:ascii="宋体" w:hAnsi="宋体" w:cs="宋体"/>
          <w:color w:val="auto"/>
          <w:sz w:val="24"/>
          <w:highlight w:val="none"/>
        </w:rPr>
      </w:pPr>
    </w:p>
    <w:p w14:paraId="539531A1">
      <w:pPr>
        <w:spacing w:line="360" w:lineRule="auto"/>
        <w:jc w:val="center"/>
        <w:rPr>
          <w:rFonts w:ascii="宋体" w:hAnsi="宋体" w:cs="宋体"/>
          <w:b/>
          <w:bCs/>
          <w:color w:val="auto"/>
          <w:sz w:val="24"/>
          <w:highlight w:val="none"/>
        </w:rPr>
      </w:pPr>
    </w:p>
    <w:p w14:paraId="3C22FE94">
      <w:pPr>
        <w:pStyle w:val="45"/>
        <w:rPr>
          <w:color w:val="auto"/>
          <w:highlight w:val="none"/>
        </w:rPr>
      </w:pPr>
    </w:p>
    <w:p w14:paraId="7D257B1B">
      <w:pPr>
        <w:spacing w:line="360" w:lineRule="auto"/>
        <w:jc w:val="center"/>
        <w:rPr>
          <w:rFonts w:ascii="宋体" w:hAnsi="宋体" w:cs="宋体"/>
          <w:b/>
          <w:color w:val="auto"/>
          <w:sz w:val="24"/>
          <w:highlight w:val="none"/>
        </w:rPr>
      </w:pPr>
    </w:p>
    <w:p w14:paraId="1578BB95">
      <w:pPr>
        <w:spacing w:line="360" w:lineRule="auto"/>
        <w:jc w:val="center"/>
        <w:rPr>
          <w:rFonts w:ascii="宋体" w:hAnsi="宋体" w:cs="宋体"/>
          <w:b/>
          <w:color w:val="auto"/>
          <w:sz w:val="24"/>
          <w:highlight w:val="none"/>
        </w:rPr>
      </w:pPr>
    </w:p>
    <w:p w14:paraId="64728749">
      <w:pPr>
        <w:spacing w:line="360" w:lineRule="auto"/>
        <w:jc w:val="center"/>
        <w:rPr>
          <w:rFonts w:ascii="宋体" w:hAnsi="宋体" w:cs="宋体"/>
          <w:b/>
          <w:color w:val="auto"/>
          <w:sz w:val="24"/>
          <w:highlight w:val="none"/>
        </w:rPr>
      </w:pPr>
    </w:p>
    <w:p w14:paraId="03EE28F4">
      <w:pPr>
        <w:spacing w:line="360" w:lineRule="auto"/>
        <w:jc w:val="center"/>
        <w:rPr>
          <w:rFonts w:ascii="宋体" w:hAnsi="宋体" w:cs="宋体"/>
          <w:b/>
          <w:color w:val="auto"/>
          <w:sz w:val="24"/>
          <w:highlight w:val="none"/>
        </w:rPr>
      </w:pPr>
    </w:p>
    <w:p w14:paraId="7A92A7EF">
      <w:pPr>
        <w:spacing w:line="360" w:lineRule="auto"/>
        <w:jc w:val="center"/>
        <w:rPr>
          <w:rFonts w:ascii="宋体" w:hAnsi="宋体" w:cs="宋体"/>
          <w:b/>
          <w:color w:val="auto"/>
          <w:sz w:val="24"/>
          <w:highlight w:val="none"/>
        </w:rPr>
      </w:pPr>
    </w:p>
    <w:p w14:paraId="590D79E5">
      <w:pPr>
        <w:spacing w:line="360" w:lineRule="auto"/>
        <w:jc w:val="center"/>
        <w:rPr>
          <w:rFonts w:ascii="宋体" w:hAnsi="宋体" w:cs="宋体"/>
          <w:b/>
          <w:color w:val="auto"/>
          <w:sz w:val="24"/>
          <w:highlight w:val="none"/>
        </w:rPr>
      </w:pPr>
    </w:p>
    <w:p w14:paraId="2A145FF3">
      <w:pPr>
        <w:spacing w:line="360" w:lineRule="auto"/>
        <w:jc w:val="center"/>
        <w:rPr>
          <w:rFonts w:ascii="宋体" w:hAnsi="宋体" w:cs="宋体"/>
          <w:b/>
          <w:color w:val="auto"/>
          <w:sz w:val="24"/>
          <w:highlight w:val="none"/>
        </w:rPr>
      </w:pPr>
    </w:p>
    <w:p w14:paraId="04F58C7A">
      <w:pPr>
        <w:spacing w:line="360" w:lineRule="auto"/>
        <w:jc w:val="center"/>
        <w:rPr>
          <w:rFonts w:ascii="宋体" w:hAnsi="宋体" w:cs="宋体"/>
          <w:b/>
          <w:color w:val="auto"/>
          <w:sz w:val="24"/>
          <w:highlight w:val="none"/>
        </w:rPr>
      </w:pPr>
    </w:p>
    <w:p w14:paraId="12E3D1BD">
      <w:pPr>
        <w:spacing w:line="360" w:lineRule="auto"/>
        <w:jc w:val="center"/>
        <w:rPr>
          <w:rFonts w:ascii="宋体" w:hAnsi="宋体" w:cs="宋体"/>
          <w:b/>
          <w:color w:val="auto"/>
          <w:sz w:val="24"/>
          <w:highlight w:val="none"/>
        </w:rPr>
      </w:pPr>
    </w:p>
    <w:p w14:paraId="5A7A8014">
      <w:pPr>
        <w:spacing w:line="360" w:lineRule="auto"/>
        <w:jc w:val="center"/>
        <w:rPr>
          <w:rFonts w:ascii="宋体" w:hAnsi="宋体" w:cs="宋体"/>
          <w:b/>
          <w:color w:val="auto"/>
          <w:sz w:val="24"/>
          <w:highlight w:val="none"/>
        </w:rPr>
      </w:pPr>
    </w:p>
    <w:p w14:paraId="12072D5A">
      <w:pPr>
        <w:spacing w:line="360" w:lineRule="auto"/>
        <w:jc w:val="center"/>
        <w:rPr>
          <w:rFonts w:ascii="宋体" w:hAnsi="宋体" w:cs="宋体"/>
          <w:b/>
          <w:color w:val="auto"/>
          <w:sz w:val="24"/>
          <w:highlight w:val="none"/>
        </w:rPr>
      </w:pPr>
    </w:p>
    <w:p w14:paraId="1CB0CA39">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rPr>
        <w:t xml:space="preserve">章： </w:t>
      </w:r>
    </w:p>
    <w:p w14:paraId="4F9918EE">
      <w:pPr>
        <w:spacing w:line="380" w:lineRule="exact"/>
        <w:ind w:right="640" w:firstLine="1560" w:firstLineChars="650"/>
        <w:rPr>
          <w:rFonts w:ascii="宋体" w:hAnsi="宋体" w:cs="宋体"/>
          <w:color w:val="auto"/>
          <w:sz w:val="24"/>
          <w:highlight w:val="none"/>
        </w:rPr>
      </w:pPr>
    </w:p>
    <w:p w14:paraId="32698888">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4EDD0CAD">
      <w:pPr>
        <w:spacing w:line="360" w:lineRule="auto"/>
        <w:rPr>
          <w:rFonts w:hint="eastAsia" w:ascii="宋体" w:hAnsi="宋体" w:cs="宋体"/>
          <w:color w:val="auto"/>
          <w:sz w:val="24"/>
          <w:highlight w:val="none"/>
        </w:rPr>
      </w:pPr>
    </w:p>
    <w:p w14:paraId="58057C99">
      <w:pPr>
        <w:spacing w:line="360" w:lineRule="auto"/>
        <w:rPr>
          <w:rFonts w:hint="eastAsia" w:ascii="宋体" w:hAnsi="宋体" w:cs="宋体"/>
          <w:color w:val="auto"/>
          <w:sz w:val="24"/>
          <w:highlight w:val="none"/>
        </w:rPr>
      </w:pPr>
    </w:p>
    <w:p w14:paraId="11A25E62">
      <w:pPr>
        <w:spacing w:line="360" w:lineRule="auto"/>
        <w:rPr>
          <w:rFonts w:hint="eastAsia" w:ascii="宋体" w:hAnsi="宋体" w:cs="宋体"/>
          <w:color w:val="auto"/>
          <w:sz w:val="24"/>
          <w:highlight w:val="none"/>
        </w:rPr>
      </w:pPr>
    </w:p>
    <w:p w14:paraId="1A995CA1">
      <w:pPr>
        <w:spacing w:line="360" w:lineRule="auto"/>
        <w:rPr>
          <w:rFonts w:hint="eastAsia" w:ascii="宋体" w:hAnsi="宋体" w:cs="宋体"/>
          <w:color w:val="auto"/>
          <w:sz w:val="24"/>
          <w:highlight w:val="none"/>
        </w:rPr>
      </w:pPr>
    </w:p>
    <w:p w14:paraId="5727AFC7">
      <w:pPr>
        <w:spacing w:line="380" w:lineRule="exact"/>
        <w:jc w:val="center"/>
        <w:rPr>
          <w:rFonts w:hint="eastAsia" w:ascii="宋体" w:hAnsi="宋体" w:eastAsia="宋体" w:cs="宋体"/>
          <w:color w:val="auto"/>
          <w:sz w:val="24"/>
          <w:highlight w:val="none"/>
        </w:rPr>
      </w:pPr>
    </w:p>
    <w:p w14:paraId="6F11FF49">
      <w:pPr>
        <w:spacing w:line="380" w:lineRule="exact"/>
        <w:jc w:val="center"/>
        <w:rPr>
          <w:rFonts w:hint="eastAsia" w:ascii="宋体" w:hAnsi="宋体" w:eastAsia="宋体" w:cs="宋体"/>
          <w:color w:val="auto"/>
          <w:sz w:val="24"/>
          <w:highlight w:val="none"/>
        </w:rPr>
      </w:pPr>
    </w:p>
    <w:p w14:paraId="68C5A15B">
      <w:pPr>
        <w:spacing w:line="380" w:lineRule="exact"/>
        <w:jc w:val="center"/>
        <w:rPr>
          <w:rFonts w:hint="eastAsia" w:ascii="宋体" w:hAnsi="宋体" w:eastAsia="宋体" w:cs="宋体"/>
          <w:color w:val="auto"/>
          <w:sz w:val="24"/>
          <w:highlight w:val="none"/>
        </w:rPr>
      </w:pPr>
    </w:p>
    <w:p w14:paraId="2AF14C60">
      <w:pPr>
        <w:spacing w:line="380" w:lineRule="exact"/>
        <w:jc w:val="center"/>
        <w:rPr>
          <w:rFonts w:hint="eastAsia" w:ascii="宋体" w:hAnsi="宋体" w:eastAsia="宋体" w:cs="宋体"/>
          <w:color w:val="auto"/>
          <w:sz w:val="24"/>
          <w:highlight w:val="none"/>
        </w:rPr>
      </w:pPr>
    </w:p>
    <w:p w14:paraId="2A0309D1">
      <w:pPr>
        <w:spacing w:line="380" w:lineRule="exact"/>
        <w:jc w:val="center"/>
        <w:rPr>
          <w:rFonts w:hint="eastAsia" w:ascii="宋体" w:hAnsi="宋体" w:eastAsia="宋体" w:cs="宋体"/>
          <w:color w:val="auto"/>
          <w:sz w:val="24"/>
          <w:highlight w:val="none"/>
        </w:rPr>
      </w:pPr>
    </w:p>
    <w:p w14:paraId="6200FE66">
      <w:pPr>
        <w:spacing w:line="380" w:lineRule="exact"/>
        <w:jc w:val="center"/>
        <w:rPr>
          <w:rFonts w:hint="eastAsia" w:ascii="宋体" w:hAnsi="宋体" w:eastAsia="宋体" w:cs="宋体"/>
          <w:color w:val="auto"/>
          <w:sz w:val="24"/>
          <w:highlight w:val="none"/>
        </w:rPr>
      </w:pPr>
    </w:p>
    <w:p w14:paraId="0AAAED81">
      <w:pPr>
        <w:spacing w:line="380" w:lineRule="exact"/>
        <w:jc w:val="center"/>
        <w:rPr>
          <w:rFonts w:hint="eastAsia" w:ascii="宋体" w:hAnsi="宋体" w:eastAsia="宋体" w:cs="宋体"/>
          <w:color w:val="auto"/>
          <w:sz w:val="24"/>
          <w:highlight w:val="none"/>
        </w:rPr>
      </w:pPr>
    </w:p>
    <w:p w14:paraId="75FEB858">
      <w:pPr>
        <w:spacing w:line="380" w:lineRule="exact"/>
        <w:jc w:val="center"/>
        <w:rPr>
          <w:rFonts w:hint="eastAsia" w:ascii="宋体" w:hAnsi="宋体" w:eastAsia="宋体" w:cs="宋体"/>
          <w:color w:val="auto"/>
          <w:sz w:val="24"/>
          <w:highlight w:val="none"/>
        </w:rPr>
      </w:pPr>
    </w:p>
    <w:p w14:paraId="2973D679">
      <w:pPr>
        <w:spacing w:line="380" w:lineRule="exact"/>
        <w:jc w:val="center"/>
        <w:rPr>
          <w:rFonts w:hint="eastAsia" w:ascii="宋体" w:hAnsi="宋体" w:eastAsia="宋体" w:cs="宋体"/>
          <w:color w:val="auto"/>
          <w:sz w:val="24"/>
          <w:highlight w:val="none"/>
        </w:rPr>
      </w:pPr>
    </w:p>
    <w:p w14:paraId="743F1E1C">
      <w:pPr>
        <w:spacing w:line="380" w:lineRule="exact"/>
        <w:jc w:val="center"/>
        <w:rPr>
          <w:rFonts w:hint="eastAsia" w:ascii="宋体" w:hAnsi="宋体" w:eastAsia="宋体" w:cs="宋体"/>
          <w:color w:val="auto"/>
          <w:sz w:val="24"/>
          <w:highlight w:val="none"/>
        </w:rPr>
      </w:pPr>
    </w:p>
    <w:p w14:paraId="2058BB96">
      <w:pPr>
        <w:spacing w:line="38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格式9中小企业声明函（工程、服务）</w:t>
      </w:r>
    </w:p>
    <w:p w14:paraId="3A454016">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color w:val="auto"/>
          <w:sz w:val="32"/>
          <w:szCs w:val="32"/>
          <w:highlight w:val="none"/>
        </w:rPr>
      </w:pPr>
    </w:p>
    <w:p w14:paraId="5869970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采购活动，工程的施工单位全部为符合政策要求的中小企业</w:t>
      </w:r>
      <w:r>
        <w:rPr>
          <w:rFonts w:hint="eastAsia" w:ascii="宋体" w:hAnsi="宋体" w:eastAsia="宋体" w:cs="宋体"/>
          <w:color w:val="auto"/>
          <w:sz w:val="24"/>
          <w:szCs w:val="24"/>
          <w:highlight w:val="none"/>
          <w:u w:val="single"/>
        </w:rPr>
        <w:t>（或者：服务全部由符合政策要求的中小企业承接）</w:t>
      </w:r>
      <w:r>
        <w:rPr>
          <w:rFonts w:hint="eastAsia" w:ascii="宋体" w:hAnsi="宋体" w:eastAsia="宋体" w:cs="宋体"/>
          <w:color w:val="auto"/>
          <w:sz w:val="24"/>
          <w:szCs w:val="24"/>
          <w:highlight w:val="none"/>
        </w:rPr>
        <w:t>。相关企业</w:t>
      </w:r>
      <w:r>
        <w:rPr>
          <w:rFonts w:hint="eastAsia" w:ascii="宋体" w:hAnsi="宋体" w:eastAsia="宋体" w:cs="宋体"/>
          <w:color w:val="auto"/>
          <w:sz w:val="24"/>
          <w:szCs w:val="24"/>
          <w:highlight w:val="none"/>
          <w:u w:val="single"/>
        </w:rPr>
        <w:t>（含联合 体中的中小企业、签订分包意向协议的中小企业）</w:t>
      </w:r>
      <w:r>
        <w:rPr>
          <w:rFonts w:hint="eastAsia" w:ascii="宋体" w:hAnsi="宋体" w:eastAsia="宋体" w:cs="宋体"/>
          <w:color w:val="auto"/>
          <w:sz w:val="24"/>
          <w:szCs w:val="24"/>
          <w:highlight w:val="none"/>
        </w:rPr>
        <w:t>的具体情 况如下：</w:t>
      </w:r>
    </w:p>
    <w:p w14:paraId="528CEF8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 承建（承接）企业为（企业名称），从业人员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万元1，属于（中型企业、小型企业、微型企业）； </w:t>
      </w:r>
    </w:p>
    <w:p w14:paraId="6A07FF3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 承建（承接）企业为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i w:val="0"/>
          <w:iCs w:val="0"/>
          <w:color w:val="auto"/>
          <w:sz w:val="24"/>
          <w:szCs w:val="24"/>
          <w:highlight w:val="none"/>
          <w:u w:val="single"/>
        </w:rPr>
        <w:t>（中型企业、 小型企业、微型企业）</w:t>
      </w:r>
      <w:r>
        <w:rPr>
          <w:rFonts w:hint="eastAsia" w:ascii="宋体" w:hAnsi="宋体" w:eastAsia="宋体" w:cs="宋体"/>
          <w:color w:val="auto"/>
          <w:sz w:val="24"/>
          <w:szCs w:val="24"/>
          <w:highlight w:val="none"/>
        </w:rPr>
        <w:t>； ……</w:t>
      </w:r>
    </w:p>
    <w:p w14:paraId="11D685A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 为大企业的情形，也不存在与大企业的负责人为同一人的情形。</w:t>
      </w:r>
    </w:p>
    <w:p w14:paraId="46AB614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本企业对上述声明内容的真实性负责。如有虚假，将依 法承担相应责任。 </w:t>
      </w:r>
    </w:p>
    <w:p w14:paraId="5241384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14:paraId="09C7701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 期： </w:t>
      </w:r>
    </w:p>
    <w:p w14:paraId="1E057B42">
      <w:pPr>
        <w:pStyle w:val="45"/>
        <w:rPr>
          <w:rFonts w:hint="eastAsia" w:ascii="宋体" w:hAnsi="宋体" w:eastAsia="宋体" w:cs="宋体"/>
          <w:color w:val="auto"/>
          <w:sz w:val="24"/>
          <w:szCs w:val="24"/>
          <w:highlight w:val="none"/>
        </w:rPr>
      </w:pPr>
    </w:p>
    <w:p w14:paraId="2198C56B">
      <w:pPr>
        <w:pStyle w:val="5"/>
        <w:rPr>
          <w:rFonts w:hint="eastAsia" w:ascii="宋体" w:hAnsi="宋体" w:eastAsia="宋体" w:cs="宋体"/>
          <w:color w:val="auto"/>
          <w:sz w:val="24"/>
          <w:szCs w:val="24"/>
          <w:highlight w:val="none"/>
        </w:rPr>
      </w:pPr>
    </w:p>
    <w:p w14:paraId="13C52315">
      <w:pPr>
        <w:rPr>
          <w:rFonts w:hint="eastAsia" w:ascii="宋体" w:hAnsi="宋体" w:eastAsia="宋体" w:cs="宋体"/>
          <w:color w:val="auto"/>
          <w:sz w:val="24"/>
          <w:szCs w:val="24"/>
          <w:highlight w:val="none"/>
        </w:rPr>
      </w:pPr>
    </w:p>
    <w:p w14:paraId="261E51F4">
      <w:pPr>
        <w:pStyle w:val="45"/>
        <w:rPr>
          <w:rFonts w:hint="eastAsia" w:ascii="宋体" w:hAnsi="宋体" w:eastAsia="宋体" w:cs="宋体"/>
          <w:color w:val="auto"/>
          <w:sz w:val="24"/>
          <w:szCs w:val="24"/>
          <w:highlight w:val="none"/>
        </w:rPr>
      </w:pPr>
    </w:p>
    <w:p w14:paraId="43F429DE">
      <w:pPr>
        <w:pStyle w:val="5"/>
        <w:rPr>
          <w:rFonts w:hint="eastAsia"/>
          <w:color w:val="auto"/>
          <w:highlight w:val="none"/>
        </w:rPr>
      </w:pPr>
    </w:p>
    <w:p w14:paraId="1D85D50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注：1.从业人员、营业收入、资产总额填报上一年度数据，无上一年度数据的新成立企业可不填报。</w:t>
      </w:r>
    </w:p>
    <w:p w14:paraId="40E1896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2.本项目如是只面向中小企业采购的应当必须提供。</w:t>
      </w:r>
    </w:p>
    <w:p w14:paraId="436FF96B">
      <w:pPr>
        <w:spacing w:line="360" w:lineRule="auto"/>
        <w:jc w:val="center"/>
        <w:rPr>
          <w:rFonts w:ascii="宋体" w:hAnsi="宋体" w:cs="宋体"/>
          <w:b/>
          <w:bCs/>
          <w:color w:val="auto"/>
          <w:sz w:val="24"/>
          <w:highlight w:val="none"/>
        </w:rPr>
      </w:pPr>
    </w:p>
    <w:p w14:paraId="6DE9528F">
      <w:pPr>
        <w:spacing w:line="360" w:lineRule="auto"/>
        <w:jc w:val="center"/>
        <w:rPr>
          <w:rFonts w:ascii="宋体" w:hAnsi="宋体" w:cs="宋体"/>
          <w:b/>
          <w:bCs/>
          <w:color w:val="auto"/>
          <w:sz w:val="24"/>
          <w:highlight w:val="none"/>
        </w:rPr>
      </w:pPr>
    </w:p>
    <w:p w14:paraId="720B6593">
      <w:pPr>
        <w:pStyle w:val="45"/>
        <w:rPr>
          <w:rFonts w:ascii="宋体" w:hAnsi="宋体" w:cs="宋体"/>
          <w:b/>
          <w:bCs/>
          <w:color w:val="auto"/>
          <w:sz w:val="24"/>
          <w:highlight w:val="none"/>
        </w:rPr>
      </w:pPr>
    </w:p>
    <w:p w14:paraId="0DE48CE5">
      <w:pPr>
        <w:pStyle w:val="5"/>
        <w:rPr>
          <w:color w:val="auto"/>
          <w:highlight w:val="none"/>
        </w:rPr>
      </w:pPr>
    </w:p>
    <w:p w14:paraId="5E0C17F0">
      <w:pPr>
        <w:spacing w:line="360" w:lineRule="auto"/>
        <w:rPr>
          <w:rFonts w:hint="eastAsia" w:ascii="宋体" w:hAnsi="宋体" w:cs="宋体"/>
          <w:color w:val="auto"/>
          <w:sz w:val="24"/>
          <w:highlight w:val="none"/>
        </w:rPr>
      </w:pPr>
    </w:p>
    <w:p w14:paraId="1B96BA24">
      <w:pPr>
        <w:rPr>
          <w:rFonts w:hint="eastAsia" w:ascii="宋体" w:hAnsi="宋体" w:cs="宋体"/>
          <w:color w:val="auto"/>
          <w:sz w:val="24"/>
          <w:highlight w:val="none"/>
        </w:rPr>
      </w:pPr>
      <w:r>
        <w:rPr>
          <w:rFonts w:hint="eastAsia" w:ascii="宋体" w:hAnsi="宋体" w:cs="宋体"/>
          <w:color w:val="auto"/>
          <w:sz w:val="24"/>
          <w:highlight w:val="none"/>
        </w:rPr>
        <w:br w:type="page"/>
      </w:r>
    </w:p>
    <w:p w14:paraId="7D8AD6FB">
      <w:pPr>
        <w:spacing w:line="360" w:lineRule="auto"/>
        <w:rPr>
          <w:rFonts w:ascii="宋体" w:hAnsi="宋体" w:cs="宋体"/>
          <w:color w:val="auto"/>
          <w:sz w:val="24"/>
          <w:highlight w:val="none"/>
        </w:rPr>
      </w:pPr>
      <w:r>
        <w:rPr>
          <w:rFonts w:hint="eastAsia" w:ascii="宋体" w:hAnsi="宋体" w:cs="宋体"/>
          <w:color w:val="auto"/>
          <w:sz w:val="24"/>
          <w:highlight w:val="none"/>
        </w:rPr>
        <w:t>格式</w:t>
      </w:r>
      <w:r>
        <w:rPr>
          <w:rFonts w:hint="eastAsia" w:ascii="宋体" w:hAnsi="宋体" w:cs="宋体"/>
          <w:color w:val="auto"/>
          <w:sz w:val="24"/>
          <w:highlight w:val="none"/>
          <w:lang w:val="en-US" w:eastAsia="zh-CN"/>
        </w:rPr>
        <w:t>10</w:t>
      </w:r>
      <w:r>
        <w:rPr>
          <w:rFonts w:hint="eastAsia" w:ascii="宋体" w:hAnsi="宋体" w:cs="宋体"/>
          <w:color w:val="auto"/>
          <w:sz w:val="24"/>
          <w:highlight w:val="none"/>
        </w:rPr>
        <w:t>其他资料</w:t>
      </w:r>
    </w:p>
    <w:p w14:paraId="595C7252">
      <w:pPr>
        <w:rPr>
          <w:rFonts w:hint="eastAsia" w:ascii="宋体" w:hAnsi="宋体" w:cs="宋体"/>
          <w:color w:val="auto"/>
          <w:sz w:val="24"/>
          <w:highlight w:val="none"/>
        </w:rPr>
      </w:pPr>
      <w:r>
        <w:rPr>
          <w:rFonts w:hint="eastAsia" w:ascii="宋体" w:hAnsi="宋体" w:cs="宋体"/>
          <w:color w:val="auto"/>
          <w:sz w:val="24"/>
          <w:highlight w:val="none"/>
        </w:rPr>
        <w:br w:type="page"/>
      </w:r>
    </w:p>
    <w:p w14:paraId="35EFC974">
      <w:pPr>
        <w:spacing w:line="360" w:lineRule="auto"/>
        <w:rPr>
          <w:rFonts w:hint="default" w:eastAsia="宋体"/>
          <w:color w:val="auto"/>
          <w:highlight w:val="none"/>
          <w:lang w:val="en-US" w:eastAsia="zh-CN"/>
        </w:rPr>
      </w:pPr>
      <w:r>
        <w:rPr>
          <w:rFonts w:hint="eastAsia" w:ascii="宋体" w:hAnsi="宋体" w:cs="宋体"/>
          <w:color w:val="auto"/>
          <w:sz w:val="24"/>
          <w:highlight w:val="none"/>
        </w:rPr>
        <w:t>格式</w:t>
      </w:r>
      <w:r>
        <w:rPr>
          <w:rFonts w:hint="eastAsia" w:ascii="宋体" w:hAnsi="宋体" w:cs="宋体"/>
          <w:color w:val="auto"/>
          <w:sz w:val="24"/>
          <w:highlight w:val="none"/>
          <w:lang w:val="en-US" w:eastAsia="zh-CN"/>
        </w:rPr>
        <w:t>11</w:t>
      </w:r>
    </w:p>
    <w:p w14:paraId="76DE59AF">
      <w:pPr>
        <w:spacing w:line="380" w:lineRule="exact"/>
        <w:jc w:val="center"/>
        <w:rPr>
          <w:rStyle w:val="74"/>
          <w:rFonts w:ascii="宋体"/>
          <w:b/>
          <w:bCs/>
          <w:color w:val="auto"/>
          <w:sz w:val="28"/>
          <w:szCs w:val="28"/>
          <w:highlight w:val="none"/>
        </w:rPr>
      </w:pPr>
      <w:r>
        <w:rPr>
          <w:rStyle w:val="74"/>
          <w:rFonts w:hint="eastAsia" w:ascii="宋体" w:hAnsi="宋体" w:cs="宋体"/>
          <w:b/>
          <w:bCs/>
          <w:color w:val="auto"/>
          <w:sz w:val="28"/>
          <w:szCs w:val="28"/>
          <w:highlight w:val="none"/>
        </w:rPr>
        <w:t>政府采购供应商诚信承诺书</w:t>
      </w:r>
    </w:p>
    <w:p w14:paraId="4604DE32">
      <w:pPr>
        <w:spacing w:line="380" w:lineRule="exact"/>
        <w:jc w:val="center"/>
        <w:rPr>
          <w:rStyle w:val="74"/>
          <w:rFonts w:ascii="宋体"/>
          <w:b/>
          <w:bCs/>
          <w:color w:val="auto"/>
          <w:sz w:val="24"/>
          <w:highlight w:val="none"/>
        </w:rPr>
      </w:pPr>
    </w:p>
    <w:p w14:paraId="30631B01">
      <w:pPr>
        <w:spacing w:line="380" w:lineRule="exact"/>
        <w:ind w:firstLine="720" w:firstLineChars="300"/>
        <w:rPr>
          <w:rFonts w:ascii="宋体" w:hAnsi="宋体" w:cs="宋体"/>
          <w:color w:val="auto"/>
          <w:sz w:val="24"/>
          <w:highlight w:val="none"/>
        </w:rPr>
      </w:pPr>
      <w:r>
        <w:rPr>
          <w:rFonts w:hint="eastAsia" w:ascii="宋体" w:hAnsi="宋体" w:cs="宋体"/>
          <w:color w:val="auto"/>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7E49A52">
      <w:pPr>
        <w:spacing w:line="380" w:lineRule="exact"/>
        <w:rPr>
          <w:rFonts w:ascii="宋体" w:hAnsi="宋体" w:cs="宋体"/>
          <w:color w:val="auto"/>
          <w:sz w:val="24"/>
          <w:highlight w:val="none"/>
        </w:rPr>
      </w:pPr>
      <w:r>
        <w:rPr>
          <w:rFonts w:hint="eastAsia" w:ascii="宋体" w:hAnsi="宋体" w:cs="宋体"/>
          <w:color w:val="auto"/>
          <w:sz w:val="24"/>
          <w:highlight w:val="none"/>
        </w:rPr>
        <w:t>（一）提供虚假材料谋取中标;</w:t>
      </w:r>
    </w:p>
    <w:p w14:paraId="1DDF2D01">
      <w:pPr>
        <w:spacing w:line="380" w:lineRule="exact"/>
        <w:rPr>
          <w:rFonts w:ascii="宋体" w:hAnsi="宋体" w:cs="宋体"/>
          <w:color w:val="auto"/>
          <w:sz w:val="24"/>
          <w:highlight w:val="none"/>
        </w:rPr>
      </w:pPr>
      <w:r>
        <w:rPr>
          <w:rFonts w:hint="eastAsia" w:ascii="宋体" w:hAnsi="宋体" w:cs="宋体"/>
          <w:color w:val="auto"/>
          <w:sz w:val="24"/>
          <w:highlight w:val="none"/>
        </w:rPr>
        <w:t>（二）采取不正当手段诋毁、排挤其他供应商;</w:t>
      </w:r>
    </w:p>
    <w:p w14:paraId="05AA48DE">
      <w:pPr>
        <w:spacing w:line="380" w:lineRule="exact"/>
        <w:rPr>
          <w:rFonts w:ascii="宋体" w:hAnsi="宋体" w:cs="宋体"/>
          <w:color w:val="auto"/>
          <w:sz w:val="24"/>
          <w:highlight w:val="none"/>
        </w:rPr>
      </w:pPr>
      <w:r>
        <w:rPr>
          <w:rFonts w:hint="eastAsia" w:ascii="宋体" w:hAnsi="宋体" w:cs="宋体"/>
          <w:color w:val="auto"/>
          <w:sz w:val="24"/>
          <w:highlight w:val="none"/>
        </w:rPr>
        <w:t>（三）与招标采购单位、其他投标人恶意串通;</w:t>
      </w:r>
    </w:p>
    <w:p w14:paraId="6DDC6F04">
      <w:pPr>
        <w:spacing w:line="380" w:lineRule="exact"/>
        <w:rPr>
          <w:rFonts w:ascii="宋体" w:hAnsi="宋体" w:cs="宋体"/>
          <w:color w:val="auto"/>
          <w:sz w:val="24"/>
          <w:highlight w:val="none"/>
        </w:rPr>
      </w:pPr>
      <w:r>
        <w:rPr>
          <w:rFonts w:hint="eastAsia" w:ascii="宋体" w:hAnsi="宋体" w:cs="宋体"/>
          <w:color w:val="auto"/>
          <w:sz w:val="24"/>
          <w:highlight w:val="none"/>
        </w:rPr>
        <w:t>（四）向招标采购单位或提供其他不正当利益;</w:t>
      </w:r>
    </w:p>
    <w:p w14:paraId="67A43BD5">
      <w:pPr>
        <w:spacing w:line="380" w:lineRule="exact"/>
        <w:rPr>
          <w:rFonts w:ascii="宋体" w:hAnsi="宋体" w:cs="宋体"/>
          <w:color w:val="auto"/>
          <w:sz w:val="24"/>
          <w:highlight w:val="none"/>
        </w:rPr>
      </w:pPr>
      <w:r>
        <w:rPr>
          <w:rFonts w:hint="eastAsia" w:ascii="宋体" w:hAnsi="宋体" w:cs="宋体"/>
          <w:color w:val="auto"/>
          <w:sz w:val="24"/>
          <w:highlight w:val="none"/>
        </w:rPr>
        <w:t>（五）在招标过程中与招标采购单位进行协商谈判、不按照招标文件和投标文件订立合同，或者与采购人另立背离合同实质性内容协议;</w:t>
      </w:r>
    </w:p>
    <w:p w14:paraId="533111A6">
      <w:pPr>
        <w:spacing w:line="380" w:lineRule="exact"/>
        <w:rPr>
          <w:rFonts w:ascii="宋体" w:hAnsi="宋体" w:cs="宋体"/>
          <w:color w:val="auto"/>
          <w:sz w:val="24"/>
          <w:highlight w:val="none"/>
        </w:rPr>
      </w:pPr>
      <w:r>
        <w:rPr>
          <w:rFonts w:hint="eastAsia" w:ascii="宋体" w:hAnsi="宋体" w:cs="宋体"/>
          <w:color w:val="auto"/>
          <w:sz w:val="24"/>
          <w:highlight w:val="none"/>
        </w:rPr>
        <w:t>（六）开标后擅自撤销投标，影响招标继续进行的或领取招标文件纳投标保证金后不投标导致废标;</w:t>
      </w:r>
    </w:p>
    <w:p w14:paraId="785C0F58">
      <w:pPr>
        <w:spacing w:line="380" w:lineRule="exact"/>
        <w:rPr>
          <w:rFonts w:ascii="宋体" w:hAnsi="宋体" w:cs="宋体"/>
          <w:color w:val="auto"/>
          <w:sz w:val="24"/>
          <w:highlight w:val="none"/>
        </w:rPr>
      </w:pPr>
      <w:r>
        <w:rPr>
          <w:rFonts w:hint="eastAsia" w:ascii="宋体" w:hAnsi="宋体" w:cs="宋体"/>
          <w:color w:val="auto"/>
          <w:sz w:val="24"/>
          <w:highlight w:val="none"/>
        </w:rPr>
        <w:t>（七）中标后无正当理由，在规定时间内不与采购单位签订合同;</w:t>
      </w:r>
    </w:p>
    <w:p w14:paraId="28404C04">
      <w:pPr>
        <w:spacing w:line="380" w:lineRule="exact"/>
        <w:rPr>
          <w:rFonts w:ascii="宋体" w:hAnsi="宋体" w:cs="宋体"/>
          <w:color w:val="auto"/>
          <w:sz w:val="24"/>
          <w:highlight w:val="none"/>
        </w:rPr>
      </w:pPr>
      <w:r>
        <w:rPr>
          <w:rFonts w:hint="eastAsia" w:ascii="宋体" w:hAnsi="宋体" w:cs="宋体"/>
          <w:color w:val="auto"/>
          <w:sz w:val="24"/>
          <w:highlight w:val="none"/>
        </w:rPr>
        <w:t>（八）将中标项目转让给他人或非法分包他人;</w:t>
      </w:r>
    </w:p>
    <w:p w14:paraId="2563AE76">
      <w:pPr>
        <w:spacing w:line="380" w:lineRule="exact"/>
        <w:rPr>
          <w:rFonts w:ascii="宋体" w:hAnsi="宋体" w:cs="宋体"/>
          <w:color w:val="auto"/>
          <w:sz w:val="24"/>
          <w:highlight w:val="none"/>
        </w:rPr>
      </w:pPr>
      <w:r>
        <w:rPr>
          <w:rFonts w:hint="eastAsia" w:ascii="宋体" w:hAnsi="宋体" w:cs="宋体"/>
          <w:color w:val="auto"/>
          <w:sz w:val="24"/>
          <w:highlight w:val="none"/>
        </w:rPr>
        <w:t>（九）无正当理由，拒绝履行合同义务;</w:t>
      </w:r>
    </w:p>
    <w:p w14:paraId="699883C9">
      <w:pPr>
        <w:spacing w:line="380" w:lineRule="exact"/>
        <w:rPr>
          <w:rFonts w:ascii="宋体" w:hAnsi="宋体" w:cs="宋体"/>
          <w:color w:val="auto"/>
          <w:sz w:val="24"/>
          <w:highlight w:val="none"/>
        </w:rPr>
      </w:pPr>
      <w:r>
        <w:rPr>
          <w:rFonts w:hint="eastAsia" w:ascii="宋体" w:hAnsi="宋体" w:cs="宋体"/>
          <w:color w:val="auto"/>
          <w:sz w:val="24"/>
          <w:highlight w:val="none"/>
        </w:rPr>
        <w:t>（十）无正当理由放弃中标（成交）项目;</w:t>
      </w:r>
    </w:p>
    <w:p w14:paraId="57D7778D">
      <w:pPr>
        <w:spacing w:line="380" w:lineRule="exact"/>
        <w:rPr>
          <w:rFonts w:ascii="宋体" w:hAnsi="宋体" w:cs="宋体"/>
          <w:color w:val="auto"/>
          <w:sz w:val="24"/>
          <w:highlight w:val="none"/>
        </w:rPr>
      </w:pPr>
      <w:r>
        <w:rPr>
          <w:rFonts w:hint="eastAsia" w:ascii="宋体" w:hAnsi="宋体" w:cs="宋体"/>
          <w:color w:val="auto"/>
          <w:sz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383268EE">
      <w:pPr>
        <w:spacing w:line="380" w:lineRule="exact"/>
        <w:rPr>
          <w:rFonts w:ascii="宋体" w:hAnsi="宋体" w:cs="宋体"/>
          <w:color w:val="auto"/>
          <w:sz w:val="24"/>
          <w:highlight w:val="none"/>
        </w:rPr>
      </w:pPr>
      <w:r>
        <w:rPr>
          <w:rFonts w:hint="eastAsia" w:ascii="宋体" w:hAnsi="宋体" w:cs="宋体"/>
          <w:color w:val="auto"/>
          <w:sz w:val="24"/>
          <w:highlight w:val="none"/>
        </w:rPr>
        <w:t>（十二）与采购人串通，对尚未履约完毕的采购项目出具虚假验收报告；</w:t>
      </w:r>
    </w:p>
    <w:p w14:paraId="2E80C76C">
      <w:pPr>
        <w:spacing w:line="380" w:lineRule="exact"/>
        <w:rPr>
          <w:rFonts w:ascii="宋体" w:hAnsi="宋体" w:cs="宋体"/>
          <w:color w:val="auto"/>
          <w:sz w:val="24"/>
          <w:highlight w:val="none"/>
        </w:rPr>
      </w:pPr>
      <w:r>
        <w:rPr>
          <w:rFonts w:hint="eastAsia" w:ascii="宋体" w:hAnsi="宋体" w:cs="宋体"/>
          <w:color w:val="auto"/>
          <w:sz w:val="24"/>
          <w:highlight w:val="none"/>
        </w:rPr>
        <w:t>（十三）无不可抗力因素，拒绝提供售后服务、售后服务态度恶劣、故意提高维修配件价格（高于市场平均价）；</w:t>
      </w:r>
    </w:p>
    <w:p w14:paraId="144E3D8E">
      <w:pPr>
        <w:spacing w:line="380" w:lineRule="exact"/>
        <w:rPr>
          <w:rFonts w:ascii="宋体" w:hAnsi="宋体" w:cs="宋体"/>
          <w:color w:val="auto"/>
          <w:sz w:val="24"/>
          <w:highlight w:val="none"/>
        </w:rPr>
      </w:pPr>
      <w:r>
        <w:rPr>
          <w:rFonts w:hint="eastAsia" w:ascii="宋体" w:hAnsi="宋体" w:cs="宋体"/>
          <w:color w:val="auto"/>
          <w:sz w:val="24"/>
          <w:highlight w:val="none"/>
        </w:rPr>
        <w:t>（十四）开标后对招标文件的相关内容再进行质疑；</w:t>
      </w:r>
    </w:p>
    <w:p w14:paraId="61BB9DC7">
      <w:pPr>
        <w:spacing w:line="380" w:lineRule="exact"/>
        <w:rPr>
          <w:rFonts w:ascii="宋体" w:hAnsi="宋体" w:cs="宋体"/>
          <w:color w:val="auto"/>
          <w:sz w:val="24"/>
          <w:highlight w:val="none"/>
        </w:rPr>
      </w:pPr>
      <w:r>
        <w:rPr>
          <w:rFonts w:hint="eastAsia" w:ascii="宋体" w:hAnsi="宋体" w:cs="宋体"/>
          <w:color w:val="auto"/>
          <w:sz w:val="24"/>
          <w:highlight w:val="none"/>
        </w:rPr>
        <w:t>（十五）恶意投诉的行为：投诉经查无实据的、捏造事实或者提供虚假设诉材料；</w:t>
      </w:r>
    </w:p>
    <w:p w14:paraId="11E87668">
      <w:pPr>
        <w:spacing w:line="380" w:lineRule="exact"/>
        <w:rPr>
          <w:rFonts w:ascii="宋体" w:hAnsi="宋体" w:cs="宋体"/>
          <w:color w:val="auto"/>
          <w:sz w:val="24"/>
          <w:highlight w:val="none"/>
        </w:rPr>
      </w:pPr>
      <w:r>
        <w:rPr>
          <w:rFonts w:hint="eastAsia" w:ascii="宋体" w:hAnsi="宋体" w:cs="宋体"/>
          <w:color w:val="auto"/>
          <w:sz w:val="24"/>
          <w:highlight w:val="none"/>
        </w:rPr>
        <w:t>（十六）拒绝有关部门监督检查或者提供虚假情况；</w:t>
      </w:r>
    </w:p>
    <w:p w14:paraId="7602773F">
      <w:pPr>
        <w:spacing w:line="380" w:lineRule="exact"/>
        <w:rPr>
          <w:rFonts w:ascii="宋体" w:hAnsi="宋体" w:cs="宋体"/>
          <w:color w:val="auto"/>
          <w:sz w:val="24"/>
          <w:highlight w:val="none"/>
        </w:rPr>
      </w:pPr>
      <w:r>
        <w:rPr>
          <w:rFonts w:hint="eastAsia" w:ascii="宋体" w:hAnsi="宋体" w:cs="宋体"/>
          <w:color w:val="auto"/>
          <w:sz w:val="24"/>
          <w:highlight w:val="none"/>
        </w:rPr>
        <w:t>（十七）政府采购监管部门认定的其他政府采购活动中的不诚信行为。</w:t>
      </w:r>
    </w:p>
    <w:p w14:paraId="57385CF1">
      <w:pPr>
        <w:spacing w:line="380" w:lineRule="exact"/>
        <w:ind w:firstLine="3360" w:firstLineChars="1400"/>
        <w:rPr>
          <w:rFonts w:ascii="宋体" w:hAnsi="宋体" w:cs="宋体"/>
          <w:color w:val="auto"/>
          <w:sz w:val="24"/>
          <w:highlight w:val="none"/>
        </w:rPr>
      </w:pPr>
    </w:p>
    <w:p w14:paraId="5905304C">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rPr>
        <w:t>供应商名称：（盖章）</w:t>
      </w:r>
    </w:p>
    <w:p w14:paraId="33532B6C">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rPr>
        <w:t>法</w:t>
      </w:r>
      <w:r>
        <w:rPr>
          <w:rFonts w:hint="eastAsia" w:ascii="宋体" w:hAnsi="宋体" w:cs="宋体"/>
          <w:color w:val="auto"/>
          <w:sz w:val="24"/>
          <w:highlight w:val="none"/>
          <w:lang w:val="en-US" w:eastAsia="zh-CN"/>
        </w:rPr>
        <w:t>定代</w:t>
      </w:r>
      <w:r>
        <w:rPr>
          <w:rFonts w:hint="eastAsia" w:ascii="宋体" w:hAnsi="宋体" w:cs="宋体"/>
          <w:color w:val="auto"/>
          <w:sz w:val="24"/>
          <w:highlight w:val="none"/>
        </w:rPr>
        <w:t>表人：（签字）</w:t>
      </w:r>
    </w:p>
    <w:p w14:paraId="139C67E0">
      <w:pPr>
        <w:spacing w:line="380" w:lineRule="exact"/>
        <w:ind w:firstLine="3360" w:firstLineChars="1400"/>
        <w:rPr>
          <w:rFonts w:ascii="宋体" w:hAnsi="宋体" w:cs="宋体"/>
          <w:color w:val="auto"/>
          <w:sz w:val="24"/>
          <w:highlight w:val="none"/>
        </w:rPr>
      </w:pPr>
    </w:p>
    <w:p w14:paraId="5ECF0414">
      <w:pPr>
        <w:spacing w:line="380" w:lineRule="exact"/>
        <w:ind w:firstLine="3360" w:firstLineChars="1400"/>
        <w:rPr>
          <w:rFonts w:ascii="宋体" w:hAnsi="宋体" w:cs="宋体"/>
          <w:b/>
          <w:color w:val="auto"/>
          <w:sz w:val="24"/>
          <w:highlight w:val="none"/>
        </w:rPr>
      </w:pPr>
      <w:r>
        <w:rPr>
          <w:rFonts w:hint="eastAsia" w:ascii="宋体" w:hAnsi="宋体" w:cs="宋体"/>
          <w:color w:val="auto"/>
          <w:sz w:val="24"/>
          <w:highlight w:val="none"/>
        </w:rPr>
        <w:t>日期：年月日</w:t>
      </w:r>
    </w:p>
    <w:p w14:paraId="54E2442B">
      <w:pPr>
        <w:pStyle w:val="43"/>
        <w:ind w:firstLine="0" w:firstLineChars="0"/>
        <w:rPr>
          <w:rFonts w:ascii="宋体" w:hAnsi="宋体" w:cs="宋体"/>
          <w:b/>
          <w:color w:val="auto"/>
          <w:sz w:val="24"/>
          <w:highlight w:val="none"/>
        </w:rPr>
      </w:pPr>
    </w:p>
    <w:p w14:paraId="52B9C768">
      <w:pPr>
        <w:spacing w:line="360" w:lineRule="auto"/>
        <w:rPr>
          <w:rFonts w:ascii="宋体" w:hAnsi="宋体" w:cs="宋体"/>
          <w:b/>
          <w:bCs/>
          <w:color w:val="auto"/>
          <w:sz w:val="24"/>
          <w:highlight w:val="none"/>
        </w:rPr>
      </w:pPr>
    </w:p>
    <w:p w14:paraId="6E11C28B">
      <w:pPr>
        <w:pStyle w:val="2"/>
        <w:spacing w:before="0" w:after="0" w:line="500" w:lineRule="exact"/>
        <w:ind w:firstLine="0"/>
        <w:jc w:val="center"/>
        <w:outlineLvl w:val="0"/>
        <w:rPr>
          <w:rFonts w:hint="eastAsia" w:ascii="宋体" w:hAnsi="宋体" w:eastAsia="宋体" w:cs="宋体"/>
          <w:b/>
          <w:bCs w:val="0"/>
          <w:color w:val="auto"/>
          <w:sz w:val="32"/>
          <w:szCs w:val="32"/>
          <w:highlight w:val="none"/>
          <w:lang w:val="en-US"/>
        </w:rPr>
      </w:pPr>
      <w:bookmarkStart w:id="34" w:name="_Toc31581"/>
      <w:r>
        <w:rPr>
          <w:rFonts w:hint="eastAsia" w:ascii="宋体" w:hAnsi="宋体" w:cs="宋体"/>
          <w:b/>
          <w:bCs w:val="0"/>
          <w:color w:val="auto"/>
          <w:sz w:val="32"/>
          <w:szCs w:val="32"/>
          <w:highlight w:val="none"/>
        </w:rPr>
        <w:t xml:space="preserve">第五章  </w:t>
      </w:r>
      <w:r>
        <w:rPr>
          <w:rFonts w:hint="eastAsia" w:ascii="宋体" w:hAnsi="宋体" w:eastAsia="宋体" w:cs="宋体"/>
          <w:b/>
          <w:bCs w:val="0"/>
          <w:color w:val="auto"/>
          <w:w w:val="92"/>
          <w:sz w:val="32"/>
          <w:szCs w:val="32"/>
          <w:highlight w:val="none"/>
          <w:lang w:val="en-US"/>
        </w:rPr>
        <w:t>周口市</w:t>
      </w:r>
      <w:r>
        <w:rPr>
          <w:rFonts w:hint="eastAsia" w:ascii="宋体" w:hAnsi="宋体" w:eastAsia="宋体" w:cs="宋体"/>
          <w:b/>
          <w:bCs w:val="0"/>
          <w:color w:val="auto"/>
          <w:sz w:val="32"/>
          <w:szCs w:val="32"/>
          <w:highlight w:val="none"/>
          <w:lang w:val="en-US"/>
        </w:rPr>
        <w:t>政府采购合同（服务类）标准文本</w:t>
      </w:r>
      <w:bookmarkEnd w:id="34"/>
    </w:p>
    <w:p w14:paraId="47BFF644">
      <w:pPr>
        <w:ind w:firstLine="640" w:firstLineChars="200"/>
        <w:jc w:val="both"/>
        <w:rPr>
          <w:rFonts w:hint="eastAsia" w:ascii="宋体" w:hAnsi="宋体" w:eastAsia="宋体" w:cs="宋体"/>
          <w:color w:val="auto"/>
          <w:sz w:val="32"/>
          <w:szCs w:val="32"/>
          <w:highlight w:val="none"/>
          <w:lang w:val="en-US"/>
        </w:rPr>
      </w:pPr>
    </w:p>
    <w:p w14:paraId="16C40F79">
      <w:pPr>
        <w:pStyle w:val="87"/>
        <w:spacing w:beforeLines="0" w:afterLines="0"/>
        <w:ind w:left="0" w:firstLine="640" w:firstLineChars="200"/>
        <w:jc w:val="both"/>
        <w:rPr>
          <w:rFonts w:hint="eastAsia" w:ascii="宋体" w:hAnsi="宋体" w:eastAsia="宋体" w:cs="宋体"/>
          <w:color w:val="auto"/>
          <w:sz w:val="32"/>
          <w:szCs w:val="32"/>
          <w:highlight w:val="none"/>
          <w:lang w:val="en-US"/>
        </w:rPr>
      </w:pPr>
    </w:p>
    <w:p w14:paraId="19ECE2E1">
      <w:pPr>
        <w:pStyle w:val="87"/>
        <w:spacing w:beforeLines="0" w:afterLines="0"/>
        <w:ind w:left="0" w:firstLine="640" w:firstLineChars="200"/>
        <w:jc w:val="both"/>
        <w:rPr>
          <w:rFonts w:hint="eastAsia" w:ascii="宋体" w:hAnsi="宋体" w:eastAsia="宋体" w:cs="宋体"/>
          <w:color w:val="auto"/>
          <w:sz w:val="32"/>
          <w:szCs w:val="32"/>
          <w:highlight w:val="none"/>
          <w:lang w:val="en-US"/>
        </w:rPr>
      </w:pPr>
    </w:p>
    <w:p w14:paraId="52C39A3C">
      <w:pPr>
        <w:pStyle w:val="87"/>
        <w:spacing w:beforeLines="0" w:afterLines="0"/>
        <w:ind w:left="0" w:firstLine="600" w:firstLineChars="200"/>
        <w:jc w:val="both"/>
        <w:rPr>
          <w:rFonts w:hint="eastAsia" w:ascii="宋体" w:hAnsi="宋体" w:eastAsia="宋体" w:cs="宋体"/>
          <w:color w:val="auto"/>
          <w:sz w:val="30"/>
          <w:szCs w:val="30"/>
          <w:highlight w:val="none"/>
          <w:lang w:val="en-US"/>
        </w:rPr>
      </w:pPr>
    </w:p>
    <w:p w14:paraId="1D8A3D83">
      <w:pPr>
        <w:pStyle w:val="87"/>
        <w:spacing w:beforeLines="0" w:afterLines="0"/>
        <w:ind w:left="0" w:firstLine="600" w:firstLineChars="200"/>
        <w:jc w:val="both"/>
        <w:rPr>
          <w:rFonts w:hint="eastAsia" w:ascii="宋体" w:hAnsi="宋体" w:eastAsia="宋体" w:cs="宋体"/>
          <w:color w:val="auto"/>
          <w:sz w:val="30"/>
          <w:szCs w:val="30"/>
          <w:highlight w:val="none"/>
          <w:lang w:val="en-US"/>
        </w:rPr>
      </w:pPr>
    </w:p>
    <w:p w14:paraId="75DD17F8">
      <w:pPr>
        <w:pStyle w:val="87"/>
        <w:spacing w:beforeLines="0" w:afterLines="0"/>
        <w:ind w:left="0" w:firstLine="600" w:firstLineChars="200"/>
        <w:jc w:val="both"/>
        <w:rPr>
          <w:rFonts w:hint="eastAsia" w:ascii="宋体" w:hAnsi="宋体" w:eastAsia="宋体" w:cs="宋体"/>
          <w:color w:val="auto"/>
          <w:sz w:val="30"/>
          <w:szCs w:val="30"/>
          <w:highlight w:val="none"/>
          <w:lang w:val="en-US"/>
        </w:rPr>
      </w:pPr>
    </w:p>
    <w:p w14:paraId="2ACBD23C">
      <w:pPr>
        <w:pStyle w:val="87"/>
        <w:spacing w:beforeLines="0" w:afterLines="0"/>
        <w:ind w:left="0" w:firstLine="600" w:firstLineChars="200"/>
        <w:jc w:val="both"/>
        <w:rPr>
          <w:rFonts w:hint="eastAsia" w:ascii="宋体" w:hAnsi="宋体" w:eastAsia="宋体" w:cs="宋体"/>
          <w:color w:val="auto"/>
          <w:sz w:val="30"/>
          <w:szCs w:val="30"/>
          <w:highlight w:val="none"/>
          <w:lang w:val="en-US"/>
        </w:rPr>
      </w:pPr>
    </w:p>
    <w:p w14:paraId="5F1228BD">
      <w:pPr>
        <w:pStyle w:val="87"/>
        <w:spacing w:beforeLines="0" w:afterLines="0"/>
        <w:ind w:left="0" w:firstLine="600" w:firstLineChars="200"/>
        <w:jc w:val="both"/>
        <w:rPr>
          <w:rFonts w:hint="eastAsia" w:ascii="宋体" w:hAnsi="宋体" w:eastAsia="宋体" w:cs="宋体"/>
          <w:color w:val="auto"/>
          <w:sz w:val="30"/>
          <w:szCs w:val="30"/>
          <w:highlight w:val="none"/>
          <w:lang w:val="en-US"/>
        </w:rPr>
      </w:pPr>
    </w:p>
    <w:p w14:paraId="23CC2C27">
      <w:pPr>
        <w:pStyle w:val="87"/>
        <w:spacing w:beforeLines="0" w:afterLines="0"/>
        <w:ind w:left="0" w:firstLine="600" w:firstLineChars="200"/>
        <w:jc w:val="both"/>
        <w:rPr>
          <w:rFonts w:hint="eastAsia" w:ascii="宋体" w:hAnsi="宋体" w:eastAsia="宋体" w:cs="宋体"/>
          <w:color w:val="auto"/>
          <w:sz w:val="30"/>
          <w:szCs w:val="30"/>
          <w:highlight w:val="none"/>
          <w:lang w:val="en-US"/>
        </w:rPr>
      </w:pPr>
    </w:p>
    <w:p w14:paraId="3FCEC9E1">
      <w:pPr>
        <w:pStyle w:val="87"/>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政府采购项目名称：</w:t>
      </w:r>
    </w:p>
    <w:p w14:paraId="1EF4B80F">
      <w:pPr>
        <w:pStyle w:val="87"/>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政府采购项目编号：</w:t>
      </w:r>
    </w:p>
    <w:p w14:paraId="2F119503">
      <w:pPr>
        <w:pStyle w:val="87"/>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采      购    人：</w:t>
      </w:r>
    </w:p>
    <w:p w14:paraId="7ACF9246">
      <w:pPr>
        <w:pStyle w:val="87"/>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供      应    商：</w:t>
      </w:r>
    </w:p>
    <w:p w14:paraId="04396581">
      <w:pPr>
        <w:pStyle w:val="87"/>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合  同  签 订 地：</w:t>
      </w:r>
    </w:p>
    <w:p w14:paraId="20C136AE">
      <w:pPr>
        <w:pStyle w:val="87"/>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合 同 签订 时 间：</w:t>
      </w:r>
    </w:p>
    <w:p w14:paraId="26378DB9">
      <w:pPr>
        <w:pStyle w:val="87"/>
        <w:spacing w:beforeLines="0" w:afterLines="0"/>
        <w:ind w:left="0" w:firstLine="600" w:firstLineChars="200"/>
        <w:jc w:val="both"/>
        <w:rPr>
          <w:rFonts w:hint="eastAsia" w:ascii="宋体" w:hAnsi="宋体" w:eastAsia="宋体" w:cs="宋体"/>
          <w:color w:val="auto"/>
          <w:sz w:val="30"/>
          <w:szCs w:val="30"/>
          <w:highlight w:val="none"/>
          <w:lang w:val="en-US"/>
        </w:rPr>
      </w:pPr>
    </w:p>
    <w:p w14:paraId="4C548CB2">
      <w:pPr>
        <w:pStyle w:val="87"/>
        <w:spacing w:beforeLines="0" w:afterLines="0"/>
        <w:ind w:left="0" w:firstLine="600" w:firstLineChars="200"/>
        <w:jc w:val="both"/>
        <w:rPr>
          <w:rFonts w:hint="eastAsia" w:ascii="宋体" w:hAnsi="宋体" w:eastAsia="宋体" w:cs="宋体"/>
          <w:color w:val="auto"/>
          <w:sz w:val="30"/>
          <w:szCs w:val="30"/>
          <w:highlight w:val="none"/>
          <w:lang w:val="en-US"/>
        </w:rPr>
      </w:pPr>
    </w:p>
    <w:p w14:paraId="0D0E7116">
      <w:pPr>
        <w:pStyle w:val="87"/>
        <w:spacing w:beforeLines="0" w:afterLines="0"/>
        <w:ind w:left="0" w:firstLine="600" w:firstLineChars="200"/>
        <w:jc w:val="both"/>
        <w:rPr>
          <w:rFonts w:hint="eastAsia" w:ascii="宋体" w:hAnsi="宋体" w:eastAsia="宋体" w:cs="宋体"/>
          <w:color w:val="auto"/>
          <w:sz w:val="30"/>
          <w:szCs w:val="30"/>
          <w:highlight w:val="none"/>
          <w:lang w:val="en-US"/>
        </w:rPr>
      </w:pPr>
    </w:p>
    <w:p w14:paraId="150C2FA0">
      <w:pP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br w:type="page"/>
      </w:r>
    </w:p>
    <w:p w14:paraId="438751C9">
      <w:pPr>
        <w:pStyle w:val="87"/>
        <w:spacing w:beforeLines="0" w:afterLines="0" w:line="440" w:lineRule="exact"/>
        <w:ind w:left="0"/>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合同签订指引</w:t>
      </w:r>
    </w:p>
    <w:p w14:paraId="07931133">
      <w:pPr>
        <w:pStyle w:val="87"/>
        <w:spacing w:beforeLines="0" w:afterLines="0" w:line="440" w:lineRule="exact"/>
        <w:ind w:left="0"/>
        <w:jc w:val="both"/>
        <w:rPr>
          <w:rFonts w:hint="eastAsia" w:ascii="宋体" w:hAnsi="宋体" w:eastAsia="宋体" w:cs="宋体"/>
          <w:color w:val="auto"/>
          <w:sz w:val="30"/>
          <w:szCs w:val="30"/>
          <w:highlight w:val="none"/>
        </w:rPr>
      </w:pPr>
    </w:p>
    <w:p w14:paraId="6C478E92">
      <w:pPr>
        <w:pStyle w:val="87"/>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一、采购人在签订合同时应提供的资料：</w:t>
      </w:r>
    </w:p>
    <w:p w14:paraId="341DB508">
      <w:pPr>
        <w:pStyle w:val="87"/>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1、该政府采购项目的</w:t>
      </w:r>
      <w:r>
        <w:rPr>
          <w:rFonts w:hint="eastAsia" w:ascii="宋体" w:hAnsi="宋体" w:eastAsia="宋体" w:cs="宋体"/>
          <w:color w:val="auto"/>
          <w:sz w:val="21"/>
          <w:szCs w:val="21"/>
          <w:highlight w:val="none"/>
        </w:rPr>
        <w:t>招标采购文件（以网上发布内容为准）；</w:t>
      </w:r>
    </w:p>
    <w:p w14:paraId="505D5BD2">
      <w:pPr>
        <w:pStyle w:val="87"/>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2、该政府采购项目</w:t>
      </w:r>
      <w:r>
        <w:rPr>
          <w:rFonts w:hint="eastAsia" w:ascii="宋体" w:hAnsi="宋体" w:eastAsia="宋体" w:cs="宋体"/>
          <w:color w:val="auto"/>
          <w:sz w:val="21"/>
          <w:szCs w:val="21"/>
          <w:highlight w:val="none"/>
        </w:rPr>
        <w:t>招标文件的澄清和修改内容（公告内容）；</w:t>
      </w:r>
    </w:p>
    <w:p w14:paraId="32CCA977">
      <w:pPr>
        <w:pStyle w:val="87"/>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3、该政府采购项目评审报告；</w:t>
      </w:r>
    </w:p>
    <w:p w14:paraId="377578D5">
      <w:pPr>
        <w:pStyle w:val="87"/>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4、采购单位法人授权委托书（法人到场并签字的除外）；</w:t>
      </w:r>
    </w:p>
    <w:p w14:paraId="26C47838">
      <w:pPr>
        <w:pStyle w:val="87"/>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5、采购单位被授权人身份证件（法人到场并签字的除外）；</w:t>
      </w:r>
    </w:p>
    <w:p w14:paraId="69749E2E">
      <w:pPr>
        <w:pStyle w:val="87"/>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6、采购人和中标供应商（或服务商，下同）约定的其它内容（不得超出</w:t>
      </w:r>
      <w:r>
        <w:rPr>
          <w:rFonts w:hint="eastAsia" w:ascii="宋体" w:hAnsi="宋体" w:eastAsia="宋体" w:cs="宋体"/>
          <w:color w:val="auto"/>
          <w:sz w:val="21"/>
          <w:szCs w:val="21"/>
          <w:highlight w:val="none"/>
        </w:rPr>
        <w:t>招标采购文件实质性内容</w:t>
      </w:r>
      <w:r>
        <w:rPr>
          <w:rFonts w:hint="eastAsia" w:ascii="宋体" w:hAnsi="宋体" w:eastAsia="宋体" w:cs="宋体"/>
          <w:color w:val="auto"/>
          <w:sz w:val="21"/>
          <w:szCs w:val="21"/>
          <w:highlight w:val="none"/>
          <w:lang w:val="en-US"/>
        </w:rPr>
        <w:t>）。</w:t>
      </w:r>
    </w:p>
    <w:p w14:paraId="3238B66B">
      <w:pPr>
        <w:pStyle w:val="87"/>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二、</w:t>
      </w:r>
      <w:r>
        <w:rPr>
          <w:rFonts w:hint="eastAsia" w:ascii="宋体" w:hAnsi="宋体" w:eastAsia="宋体" w:cs="宋体"/>
          <w:color w:val="auto"/>
          <w:sz w:val="21"/>
          <w:szCs w:val="21"/>
          <w:highlight w:val="none"/>
        </w:rPr>
        <w:t>供应商在签订合同时应提供的资料：</w:t>
      </w:r>
    </w:p>
    <w:p w14:paraId="03892438">
      <w:pPr>
        <w:pStyle w:val="87"/>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1、该政府采购项目的</w:t>
      </w:r>
      <w:r>
        <w:rPr>
          <w:rFonts w:hint="eastAsia" w:ascii="宋体" w:hAnsi="宋体" w:eastAsia="宋体" w:cs="宋体"/>
          <w:color w:val="auto"/>
          <w:sz w:val="21"/>
          <w:szCs w:val="21"/>
          <w:highlight w:val="none"/>
        </w:rPr>
        <w:t>投标文件（纸质或</w:t>
      </w:r>
      <w:r>
        <w:rPr>
          <w:rFonts w:hint="eastAsia" w:ascii="宋体" w:hAnsi="宋体" w:eastAsia="宋体" w:cs="宋体"/>
          <w:color w:val="auto"/>
          <w:sz w:val="21"/>
          <w:szCs w:val="21"/>
          <w:highlight w:val="none"/>
          <w:lang w:val="en-US"/>
        </w:rPr>
        <w:t>DPF格式的电子</w:t>
      </w:r>
      <w:r>
        <w:rPr>
          <w:rFonts w:hint="eastAsia" w:ascii="宋体" w:hAnsi="宋体" w:eastAsia="宋体" w:cs="宋体"/>
          <w:color w:val="auto"/>
          <w:sz w:val="21"/>
          <w:szCs w:val="21"/>
          <w:highlight w:val="none"/>
        </w:rPr>
        <w:t>投标文件）；</w:t>
      </w:r>
    </w:p>
    <w:p w14:paraId="04CF82CF">
      <w:pPr>
        <w:pStyle w:val="87"/>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2、针对该项目评审时评审委员会提出的质询答复（纸质并签章）；</w:t>
      </w:r>
    </w:p>
    <w:p w14:paraId="4AE5B92E">
      <w:pPr>
        <w:pStyle w:val="87"/>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3、该政府采购项目中标通知书；</w:t>
      </w:r>
    </w:p>
    <w:p w14:paraId="19EF738F">
      <w:pPr>
        <w:pStyle w:val="87"/>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4、供应商法人授权委托书（法人到场并签字的除外）；</w:t>
      </w:r>
    </w:p>
    <w:p w14:paraId="4B700B2D">
      <w:pPr>
        <w:pStyle w:val="87"/>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5、供应商被授权人身份证件（法人到场并签字的除外）；</w:t>
      </w:r>
    </w:p>
    <w:p w14:paraId="65668518">
      <w:pPr>
        <w:pStyle w:val="87"/>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6、供应商和采购人约定的其它内容（不得超出</w:t>
      </w:r>
      <w:r>
        <w:rPr>
          <w:rFonts w:hint="eastAsia" w:ascii="宋体" w:hAnsi="宋体" w:eastAsia="宋体" w:cs="宋体"/>
          <w:color w:val="auto"/>
          <w:sz w:val="21"/>
          <w:szCs w:val="21"/>
          <w:highlight w:val="none"/>
        </w:rPr>
        <w:t>招标采购文件实质性内容</w:t>
      </w:r>
      <w:r>
        <w:rPr>
          <w:rFonts w:hint="eastAsia" w:ascii="宋体" w:hAnsi="宋体" w:eastAsia="宋体" w:cs="宋体"/>
          <w:color w:val="auto"/>
          <w:sz w:val="21"/>
          <w:szCs w:val="21"/>
          <w:highlight w:val="none"/>
          <w:lang w:val="en-US"/>
        </w:rPr>
        <w:t>）。</w:t>
      </w:r>
    </w:p>
    <w:p w14:paraId="2556320A">
      <w:pPr>
        <w:pStyle w:val="87"/>
        <w:spacing w:beforeLines="0" w:afterLines="0" w:line="440" w:lineRule="exact"/>
        <w:ind w:left="0" w:firstLine="420" w:firstLineChars="200"/>
        <w:jc w:val="both"/>
        <w:rPr>
          <w:rFonts w:hint="eastAsia" w:ascii="宋体" w:hAnsi="宋体" w:eastAsia="宋体" w:cs="宋体"/>
          <w:color w:val="auto"/>
          <w:sz w:val="30"/>
          <w:szCs w:val="30"/>
          <w:highlight w:val="none"/>
        </w:rPr>
      </w:pPr>
      <w:r>
        <w:rPr>
          <w:rFonts w:hint="eastAsia" w:ascii="宋体" w:hAnsi="宋体" w:eastAsia="宋体" w:cs="宋体"/>
          <w:color w:val="auto"/>
          <w:sz w:val="21"/>
          <w:szCs w:val="21"/>
          <w:highlight w:val="none"/>
        </w:rPr>
        <w:t>三、本合同签订后二个工作日内有采购人在“周口市政府采购网”上进行合同公示。</w:t>
      </w:r>
    </w:p>
    <w:p w14:paraId="74917D60">
      <w:pPr>
        <w:pStyle w:val="87"/>
        <w:spacing w:beforeLines="0" w:afterLines="0" w:line="440" w:lineRule="exact"/>
        <w:ind w:left="0"/>
        <w:jc w:val="center"/>
        <w:rPr>
          <w:rFonts w:hint="eastAsia" w:ascii="宋体" w:hAnsi="宋体" w:eastAsia="宋体" w:cs="宋体"/>
          <w:bCs/>
          <w:color w:val="auto"/>
          <w:sz w:val="32"/>
          <w:szCs w:val="32"/>
          <w:highlight w:val="none"/>
        </w:rPr>
      </w:pPr>
    </w:p>
    <w:p w14:paraId="086AC7FE">
      <w:pPr>
        <w:pStyle w:val="87"/>
        <w:spacing w:beforeLines="0" w:afterLines="0" w:line="440" w:lineRule="exact"/>
        <w:ind w:left="0"/>
        <w:jc w:val="center"/>
        <w:rPr>
          <w:rFonts w:hint="eastAsia" w:ascii="宋体" w:hAnsi="宋体" w:eastAsia="宋体" w:cs="宋体"/>
          <w:color w:val="auto"/>
          <w:sz w:val="32"/>
          <w:szCs w:val="32"/>
          <w:highlight w:val="none"/>
        </w:rPr>
      </w:pPr>
      <w:r>
        <w:rPr>
          <w:rFonts w:hint="eastAsia" w:ascii="宋体" w:hAnsi="宋体" w:eastAsia="宋体" w:cs="宋体"/>
          <w:bCs/>
          <w:color w:val="auto"/>
          <w:sz w:val="32"/>
          <w:szCs w:val="32"/>
          <w:highlight w:val="none"/>
        </w:rPr>
        <w:t>供应商履约验收指引</w:t>
      </w:r>
    </w:p>
    <w:p w14:paraId="7B2355EF">
      <w:pPr>
        <w:pStyle w:val="87"/>
        <w:spacing w:beforeLines="0" w:afterLines="0" w:line="440" w:lineRule="exact"/>
        <w:ind w:left="0"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 w:val="21"/>
          <w:szCs w:val="21"/>
          <w:highlight w:val="none"/>
          <w:lang w:val="en-US"/>
        </w:rPr>
        <w:t>1、供应商不得</w:t>
      </w:r>
      <w:r>
        <w:rPr>
          <w:rFonts w:hint="eastAsia" w:ascii="宋体" w:hAnsi="宋体" w:eastAsia="宋体" w:cs="宋体"/>
          <w:color w:val="auto"/>
          <w:sz w:val="21"/>
          <w:szCs w:val="21"/>
          <w:highlight w:val="none"/>
        </w:rPr>
        <w:t>擅自变更合同标的服务内容；</w:t>
      </w:r>
    </w:p>
    <w:p w14:paraId="1493F819">
      <w:pPr>
        <w:pStyle w:val="87"/>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2、</w:t>
      </w:r>
      <w:r>
        <w:rPr>
          <w:rFonts w:hint="eastAsia" w:ascii="宋体" w:hAnsi="宋体" w:eastAsia="宋体" w:cs="宋体"/>
          <w:color w:val="auto"/>
          <w:sz w:val="21"/>
          <w:szCs w:val="21"/>
          <w:highlight w:val="none"/>
        </w:rPr>
        <w:t>不得以次充优，随意降低服务标准和水平；</w:t>
      </w:r>
    </w:p>
    <w:p w14:paraId="26D0727E">
      <w:pPr>
        <w:pStyle w:val="87"/>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3、</w:t>
      </w:r>
      <w:r>
        <w:rPr>
          <w:rFonts w:hint="eastAsia" w:ascii="宋体" w:hAnsi="宋体" w:eastAsia="宋体" w:cs="宋体"/>
          <w:color w:val="auto"/>
          <w:sz w:val="21"/>
          <w:szCs w:val="21"/>
          <w:highlight w:val="none"/>
        </w:rPr>
        <w:t>对因客观上采购人采购需求发生变化造成的，应提供采、供双方的纸质备忘录材料；</w:t>
      </w:r>
    </w:p>
    <w:p w14:paraId="0D1F7CE2">
      <w:pPr>
        <w:pStyle w:val="87"/>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4、在满足</w:t>
      </w:r>
      <w:r>
        <w:rPr>
          <w:rFonts w:hint="eastAsia" w:ascii="宋体" w:hAnsi="宋体" w:eastAsia="宋体" w:cs="宋体"/>
          <w:color w:val="auto"/>
          <w:sz w:val="21"/>
          <w:szCs w:val="21"/>
          <w:highlight w:val="none"/>
        </w:rPr>
        <w:t>验收条件</w:t>
      </w:r>
      <w:r>
        <w:rPr>
          <w:rFonts w:hint="eastAsia" w:ascii="宋体" w:hAnsi="宋体" w:eastAsia="宋体" w:cs="宋体"/>
          <w:color w:val="auto"/>
          <w:sz w:val="21"/>
          <w:szCs w:val="21"/>
          <w:highlight w:val="none"/>
          <w:lang w:val="en-US"/>
        </w:rPr>
        <w:t>5个工作日</w:t>
      </w:r>
      <w:r>
        <w:rPr>
          <w:rFonts w:hint="eastAsia" w:ascii="宋体" w:hAnsi="宋体" w:eastAsia="宋体" w:cs="宋体"/>
          <w:color w:val="auto"/>
          <w:sz w:val="21"/>
          <w:szCs w:val="21"/>
          <w:highlight w:val="none"/>
        </w:rPr>
        <w:t>内通知采购人组织验收；</w:t>
      </w:r>
    </w:p>
    <w:p w14:paraId="28282B0C">
      <w:pPr>
        <w:pStyle w:val="87"/>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5、供应商应提供需验收服务的清单、标准、达到的水平等量化资料；</w:t>
      </w:r>
    </w:p>
    <w:p w14:paraId="6838ECAF">
      <w:pPr>
        <w:pStyle w:val="87"/>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6、采、供</w:t>
      </w:r>
      <w:r>
        <w:rPr>
          <w:rFonts w:hint="eastAsia" w:ascii="宋体" w:hAnsi="宋体" w:eastAsia="宋体" w:cs="宋体"/>
          <w:color w:val="auto"/>
          <w:sz w:val="21"/>
          <w:szCs w:val="21"/>
          <w:highlight w:val="none"/>
        </w:rPr>
        <w:t>双方约定的验收机构及相关人员组成情况。</w:t>
      </w:r>
    </w:p>
    <w:p w14:paraId="6B411886">
      <w:pPr>
        <w:pStyle w:val="87"/>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7、督促采购人在项目验收结束并达到相关要求后一个工作日内，在</w:t>
      </w:r>
      <w:r>
        <w:rPr>
          <w:rFonts w:hint="eastAsia" w:ascii="宋体" w:hAnsi="宋体" w:eastAsia="宋体" w:cs="宋体"/>
          <w:color w:val="auto"/>
          <w:sz w:val="21"/>
          <w:szCs w:val="21"/>
          <w:highlight w:val="none"/>
        </w:rPr>
        <w:t>“周口市政府采购网”上进行“履约验收”公示。</w:t>
      </w:r>
    </w:p>
    <w:p w14:paraId="29124D78">
      <w:pPr>
        <w:bidi w:val="0"/>
        <w:rPr>
          <w:rFonts w:hint="eastAsia"/>
          <w:color w:val="auto"/>
          <w:highlight w:val="none"/>
        </w:rPr>
      </w:pPr>
    </w:p>
    <w:p w14:paraId="7135632E">
      <w:pPr>
        <w:rPr>
          <w:rFonts w:hint="eastAsia" w:ascii="宋体" w:hAnsi="宋体" w:eastAsia="宋体" w:cs="宋体"/>
          <w:b w:val="0"/>
          <w:color w:val="auto"/>
          <w:sz w:val="44"/>
          <w:szCs w:val="44"/>
          <w:highlight w:val="none"/>
        </w:rPr>
      </w:pPr>
      <w:r>
        <w:rPr>
          <w:rFonts w:hint="eastAsia" w:ascii="宋体" w:hAnsi="宋体" w:eastAsia="宋体" w:cs="宋体"/>
          <w:b w:val="0"/>
          <w:color w:val="auto"/>
          <w:sz w:val="44"/>
          <w:szCs w:val="44"/>
          <w:highlight w:val="none"/>
        </w:rPr>
        <w:br w:type="page"/>
      </w:r>
    </w:p>
    <w:p w14:paraId="41608F0A">
      <w:pPr>
        <w:bidi w:val="0"/>
        <w:jc w:val="center"/>
        <w:rPr>
          <w:rFonts w:hint="eastAsia"/>
          <w:color w:val="auto"/>
          <w:sz w:val="28"/>
          <w:szCs w:val="28"/>
          <w:highlight w:val="none"/>
        </w:rPr>
      </w:pPr>
      <w:r>
        <w:rPr>
          <w:rFonts w:hint="eastAsia"/>
          <w:color w:val="auto"/>
          <w:sz w:val="28"/>
          <w:szCs w:val="28"/>
          <w:highlight w:val="none"/>
        </w:rPr>
        <w:t>服务合同内容</w:t>
      </w:r>
    </w:p>
    <w:p w14:paraId="5F8A49EA">
      <w:pPr>
        <w:spacing w:line="360" w:lineRule="auto"/>
        <w:ind w:firstLine="42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 xml:space="preserve">采购人（甲方）： </w:t>
      </w:r>
    </w:p>
    <w:p w14:paraId="07832126">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供应商（乙方）：</w:t>
      </w:r>
    </w:p>
    <w:p w14:paraId="1D2D7684">
      <w:pPr>
        <w:spacing w:line="360" w:lineRule="auto"/>
        <w:ind w:firstLine="42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签订地点：</w:t>
      </w:r>
    </w:p>
    <w:p w14:paraId="70A5C25B">
      <w:pPr>
        <w:spacing w:line="360" w:lineRule="auto"/>
        <w:ind w:firstLine="42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项目名称：</w:t>
      </w:r>
    </w:p>
    <w:p w14:paraId="16A7873B">
      <w:pPr>
        <w:spacing w:line="360" w:lineRule="auto"/>
        <w:ind w:firstLine="42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项目编号：</w:t>
      </w:r>
    </w:p>
    <w:p w14:paraId="056C2646">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财政委托号：</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(财政资金项目必须填写)</w:t>
      </w:r>
    </w:p>
    <w:p w14:paraId="7B68F46F">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本项目经批准采用</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3386F698">
      <w:pPr>
        <w:spacing w:line="360" w:lineRule="auto"/>
        <w:ind w:firstLine="422" w:firstLineChars="200"/>
        <w:jc w:val="both"/>
        <w:rPr>
          <w:rFonts w:hint="eastAsia" w:ascii="宋体" w:hAnsi="宋体" w:eastAsia="宋体" w:cs="宋体"/>
          <w:color w:val="auto"/>
          <w:highlight w:val="none"/>
          <w:u w:val="single"/>
        </w:rPr>
      </w:pPr>
      <w:r>
        <w:rPr>
          <w:rFonts w:hint="eastAsia" w:ascii="宋体" w:hAnsi="宋体" w:eastAsia="宋体" w:cs="宋体"/>
          <w:b/>
          <w:bCs/>
          <w:color w:val="auto"/>
          <w:szCs w:val="27"/>
          <w:highlight w:val="none"/>
        </w:rPr>
        <w:t>第一条</w:t>
      </w:r>
      <w:r>
        <w:rPr>
          <w:rFonts w:hint="eastAsia" w:ascii="宋体" w:hAnsi="宋体" w:eastAsia="宋体" w:cs="宋体"/>
          <w:color w:val="auto"/>
          <w:szCs w:val="27"/>
          <w:highlight w:val="none"/>
        </w:rPr>
        <w:t>   服务的内容、标准、数量和价格：（若服务项目过多则见附表，如有附表则必须加盖印章）</w:t>
      </w:r>
    </w:p>
    <w:tbl>
      <w:tblPr>
        <w:tblStyle w:val="27"/>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6CA00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746CC2BC">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服务内容</w:t>
            </w:r>
          </w:p>
        </w:tc>
        <w:tc>
          <w:tcPr>
            <w:tcW w:w="1623" w:type="dxa"/>
            <w:noWrap w:val="0"/>
            <w:vAlign w:val="top"/>
          </w:tcPr>
          <w:p w14:paraId="70D2D931">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标准水平</w:t>
            </w:r>
          </w:p>
        </w:tc>
        <w:tc>
          <w:tcPr>
            <w:tcW w:w="902" w:type="dxa"/>
            <w:noWrap w:val="0"/>
            <w:vAlign w:val="top"/>
          </w:tcPr>
          <w:p w14:paraId="006B8A0D">
            <w:pPr>
              <w:spacing w:line="360" w:lineRule="auto"/>
              <w:jc w:val="both"/>
              <w:rPr>
                <w:rFonts w:hint="eastAsia" w:ascii="宋体" w:hAnsi="宋体" w:eastAsia="宋体" w:cs="宋体"/>
                <w:color w:val="auto"/>
                <w:highlight w:val="none"/>
              </w:rPr>
            </w:pPr>
            <w:r>
              <w:rPr>
                <w:rFonts w:hint="eastAsia" w:ascii="宋体" w:hAnsi="宋体" w:eastAsia="宋体" w:cs="宋体"/>
                <w:color w:val="auto"/>
                <w:highlight w:val="none"/>
              </w:rPr>
              <w:t>单位</w:t>
            </w:r>
          </w:p>
        </w:tc>
        <w:tc>
          <w:tcPr>
            <w:tcW w:w="902" w:type="dxa"/>
            <w:noWrap w:val="0"/>
            <w:vAlign w:val="top"/>
          </w:tcPr>
          <w:p w14:paraId="36782104">
            <w:pPr>
              <w:spacing w:line="360" w:lineRule="auto"/>
              <w:jc w:val="both"/>
              <w:rPr>
                <w:rFonts w:hint="eastAsia" w:ascii="宋体" w:hAnsi="宋体" w:eastAsia="宋体" w:cs="宋体"/>
                <w:color w:val="auto"/>
                <w:highlight w:val="none"/>
              </w:rPr>
            </w:pPr>
            <w:r>
              <w:rPr>
                <w:rFonts w:hint="eastAsia" w:ascii="宋体" w:hAnsi="宋体" w:eastAsia="宋体" w:cs="宋体"/>
                <w:color w:val="auto"/>
                <w:highlight w:val="none"/>
              </w:rPr>
              <w:t>数量</w:t>
            </w:r>
          </w:p>
        </w:tc>
        <w:tc>
          <w:tcPr>
            <w:tcW w:w="1071" w:type="dxa"/>
            <w:noWrap w:val="0"/>
            <w:vAlign w:val="top"/>
          </w:tcPr>
          <w:p w14:paraId="15C1968F">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单价</w:t>
            </w:r>
          </w:p>
        </w:tc>
        <w:tc>
          <w:tcPr>
            <w:tcW w:w="1250" w:type="dxa"/>
            <w:noWrap w:val="0"/>
            <w:vAlign w:val="top"/>
          </w:tcPr>
          <w:p w14:paraId="58598E5D">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小计</w:t>
            </w:r>
          </w:p>
        </w:tc>
        <w:tc>
          <w:tcPr>
            <w:tcW w:w="1106" w:type="dxa"/>
            <w:noWrap w:val="0"/>
            <w:vAlign w:val="top"/>
          </w:tcPr>
          <w:p w14:paraId="1051BEE3">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备注</w:t>
            </w:r>
          </w:p>
        </w:tc>
      </w:tr>
      <w:tr w14:paraId="33D54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2115C0AF">
            <w:pPr>
              <w:spacing w:line="360" w:lineRule="auto"/>
              <w:ind w:firstLine="420" w:firstLineChars="200"/>
              <w:jc w:val="both"/>
              <w:rPr>
                <w:rFonts w:hint="eastAsia" w:ascii="宋体" w:hAnsi="宋体" w:eastAsia="宋体" w:cs="宋体"/>
                <w:color w:val="auto"/>
                <w:highlight w:val="none"/>
              </w:rPr>
            </w:pPr>
          </w:p>
        </w:tc>
        <w:tc>
          <w:tcPr>
            <w:tcW w:w="1623" w:type="dxa"/>
            <w:noWrap w:val="0"/>
            <w:vAlign w:val="top"/>
          </w:tcPr>
          <w:p w14:paraId="23F61AD4">
            <w:pPr>
              <w:spacing w:line="360" w:lineRule="auto"/>
              <w:ind w:firstLine="420" w:firstLineChars="200"/>
              <w:jc w:val="both"/>
              <w:rPr>
                <w:rFonts w:hint="eastAsia" w:ascii="宋体" w:hAnsi="宋体" w:eastAsia="宋体" w:cs="宋体"/>
                <w:color w:val="auto"/>
                <w:highlight w:val="none"/>
              </w:rPr>
            </w:pPr>
          </w:p>
        </w:tc>
        <w:tc>
          <w:tcPr>
            <w:tcW w:w="902" w:type="dxa"/>
            <w:noWrap w:val="0"/>
            <w:vAlign w:val="top"/>
          </w:tcPr>
          <w:p w14:paraId="2760872F">
            <w:pPr>
              <w:spacing w:line="360" w:lineRule="auto"/>
              <w:ind w:firstLine="420" w:firstLineChars="200"/>
              <w:jc w:val="both"/>
              <w:rPr>
                <w:rFonts w:hint="eastAsia" w:ascii="宋体" w:hAnsi="宋体" w:eastAsia="宋体" w:cs="宋体"/>
                <w:color w:val="auto"/>
                <w:highlight w:val="none"/>
              </w:rPr>
            </w:pPr>
          </w:p>
        </w:tc>
        <w:tc>
          <w:tcPr>
            <w:tcW w:w="902" w:type="dxa"/>
            <w:noWrap w:val="0"/>
            <w:vAlign w:val="top"/>
          </w:tcPr>
          <w:p w14:paraId="7796019F">
            <w:pPr>
              <w:spacing w:line="360" w:lineRule="auto"/>
              <w:ind w:firstLine="420" w:firstLineChars="200"/>
              <w:jc w:val="both"/>
              <w:rPr>
                <w:rFonts w:hint="eastAsia" w:ascii="宋体" w:hAnsi="宋体" w:eastAsia="宋体" w:cs="宋体"/>
                <w:color w:val="auto"/>
                <w:highlight w:val="none"/>
              </w:rPr>
            </w:pPr>
          </w:p>
        </w:tc>
        <w:tc>
          <w:tcPr>
            <w:tcW w:w="1071" w:type="dxa"/>
            <w:noWrap w:val="0"/>
            <w:vAlign w:val="top"/>
          </w:tcPr>
          <w:p w14:paraId="565F6120">
            <w:pPr>
              <w:spacing w:line="360" w:lineRule="auto"/>
              <w:ind w:firstLine="420" w:firstLineChars="200"/>
              <w:jc w:val="both"/>
              <w:rPr>
                <w:rFonts w:hint="eastAsia" w:ascii="宋体" w:hAnsi="宋体" w:eastAsia="宋体" w:cs="宋体"/>
                <w:color w:val="auto"/>
                <w:highlight w:val="none"/>
              </w:rPr>
            </w:pPr>
          </w:p>
        </w:tc>
        <w:tc>
          <w:tcPr>
            <w:tcW w:w="1250" w:type="dxa"/>
            <w:noWrap w:val="0"/>
            <w:vAlign w:val="top"/>
          </w:tcPr>
          <w:p w14:paraId="1199B70F">
            <w:pPr>
              <w:spacing w:line="360" w:lineRule="auto"/>
              <w:ind w:firstLine="420" w:firstLineChars="200"/>
              <w:jc w:val="both"/>
              <w:rPr>
                <w:rFonts w:hint="eastAsia" w:ascii="宋体" w:hAnsi="宋体" w:eastAsia="宋体" w:cs="宋体"/>
                <w:color w:val="auto"/>
                <w:highlight w:val="none"/>
              </w:rPr>
            </w:pPr>
          </w:p>
        </w:tc>
        <w:tc>
          <w:tcPr>
            <w:tcW w:w="1106" w:type="dxa"/>
            <w:noWrap w:val="0"/>
            <w:vAlign w:val="top"/>
          </w:tcPr>
          <w:p w14:paraId="7EA91497">
            <w:pPr>
              <w:spacing w:line="360" w:lineRule="auto"/>
              <w:ind w:firstLine="420" w:firstLineChars="200"/>
              <w:jc w:val="both"/>
              <w:rPr>
                <w:rFonts w:hint="eastAsia" w:ascii="宋体" w:hAnsi="宋体" w:eastAsia="宋体" w:cs="宋体"/>
                <w:color w:val="auto"/>
                <w:highlight w:val="none"/>
              </w:rPr>
            </w:pPr>
          </w:p>
        </w:tc>
      </w:tr>
      <w:tr w14:paraId="34E49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2C3B5818">
            <w:pPr>
              <w:spacing w:line="360" w:lineRule="auto"/>
              <w:ind w:firstLine="420" w:firstLineChars="200"/>
              <w:jc w:val="both"/>
              <w:rPr>
                <w:rFonts w:hint="eastAsia" w:ascii="宋体" w:hAnsi="宋体" w:eastAsia="宋体" w:cs="宋体"/>
                <w:color w:val="auto"/>
                <w:highlight w:val="none"/>
              </w:rPr>
            </w:pPr>
          </w:p>
        </w:tc>
        <w:tc>
          <w:tcPr>
            <w:tcW w:w="1623" w:type="dxa"/>
            <w:noWrap w:val="0"/>
            <w:vAlign w:val="top"/>
          </w:tcPr>
          <w:p w14:paraId="5A93EBA0">
            <w:pPr>
              <w:spacing w:line="360" w:lineRule="auto"/>
              <w:ind w:firstLine="420" w:firstLineChars="200"/>
              <w:jc w:val="both"/>
              <w:rPr>
                <w:rFonts w:hint="eastAsia" w:ascii="宋体" w:hAnsi="宋体" w:eastAsia="宋体" w:cs="宋体"/>
                <w:color w:val="auto"/>
                <w:highlight w:val="none"/>
              </w:rPr>
            </w:pPr>
          </w:p>
        </w:tc>
        <w:tc>
          <w:tcPr>
            <w:tcW w:w="902" w:type="dxa"/>
            <w:noWrap w:val="0"/>
            <w:vAlign w:val="top"/>
          </w:tcPr>
          <w:p w14:paraId="45477936">
            <w:pPr>
              <w:spacing w:line="360" w:lineRule="auto"/>
              <w:ind w:firstLine="420" w:firstLineChars="200"/>
              <w:jc w:val="both"/>
              <w:rPr>
                <w:rFonts w:hint="eastAsia" w:ascii="宋体" w:hAnsi="宋体" w:eastAsia="宋体" w:cs="宋体"/>
                <w:color w:val="auto"/>
                <w:highlight w:val="none"/>
              </w:rPr>
            </w:pPr>
          </w:p>
        </w:tc>
        <w:tc>
          <w:tcPr>
            <w:tcW w:w="902" w:type="dxa"/>
            <w:noWrap w:val="0"/>
            <w:vAlign w:val="top"/>
          </w:tcPr>
          <w:p w14:paraId="31D9E395">
            <w:pPr>
              <w:spacing w:line="360" w:lineRule="auto"/>
              <w:ind w:firstLine="420" w:firstLineChars="200"/>
              <w:jc w:val="both"/>
              <w:rPr>
                <w:rFonts w:hint="eastAsia" w:ascii="宋体" w:hAnsi="宋体" w:eastAsia="宋体" w:cs="宋体"/>
                <w:color w:val="auto"/>
                <w:highlight w:val="none"/>
              </w:rPr>
            </w:pPr>
          </w:p>
        </w:tc>
        <w:tc>
          <w:tcPr>
            <w:tcW w:w="1071" w:type="dxa"/>
            <w:noWrap w:val="0"/>
            <w:vAlign w:val="top"/>
          </w:tcPr>
          <w:p w14:paraId="0738258E">
            <w:pPr>
              <w:spacing w:line="360" w:lineRule="auto"/>
              <w:ind w:firstLine="420" w:firstLineChars="200"/>
              <w:jc w:val="both"/>
              <w:rPr>
                <w:rFonts w:hint="eastAsia" w:ascii="宋体" w:hAnsi="宋体" w:eastAsia="宋体" w:cs="宋体"/>
                <w:color w:val="auto"/>
                <w:highlight w:val="none"/>
              </w:rPr>
            </w:pPr>
          </w:p>
        </w:tc>
        <w:tc>
          <w:tcPr>
            <w:tcW w:w="1250" w:type="dxa"/>
            <w:noWrap w:val="0"/>
            <w:vAlign w:val="top"/>
          </w:tcPr>
          <w:p w14:paraId="77A613D6">
            <w:pPr>
              <w:spacing w:line="360" w:lineRule="auto"/>
              <w:ind w:firstLine="420" w:firstLineChars="200"/>
              <w:jc w:val="both"/>
              <w:rPr>
                <w:rFonts w:hint="eastAsia" w:ascii="宋体" w:hAnsi="宋体" w:eastAsia="宋体" w:cs="宋体"/>
                <w:color w:val="auto"/>
                <w:highlight w:val="none"/>
              </w:rPr>
            </w:pPr>
          </w:p>
        </w:tc>
        <w:tc>
          <w:tcPr>
            <w:tcW w:w="1106" w:type="dxa"/>
            <w:noWrap w:val="0"/>
            <w:vAlign w:val="top"/>
          </w:tcPr>
          <w:p w14:paraId="584F6B14">
            <w:pPr>
              <w:spacing w:line="360" w:lineRule="auto"/>
              <w:ind w:firstLine="420" w:firstLineChars="200"/>
              <w:jc w:val="both"/>
              <w:rPr>
                <w:rFonts w:hint="eastAsia" w:ascii="宋体" w:hAnsi="宋体" w:eastAsia="宋体" w:cs="宋体"/>
                <w:color w:val="auto"/>
                <w:highlight w:val="none"/>
              </w:rPr>
            </w:pPr>
          </w:p>
        </w:tc>
      </w:tr>
      <w:tr w14:paraId="58705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3694C4C8">
            <w:pPr>
              <w:spacing w:line="360" w:lineRule="auto"/>
              <w:ind w:firstLine="420" w:firstLineChars="200"/>
              <w:jc w:val="both"/>
              <w:rPr>
                <w:rFonts w:hint="eastAsia" w:ascii="宋体" w:hAnsi="宋体" w:eastAsia="宋体" w:cs="宋体"/>
                <w:color w:val="auto"/>
                <w:highlight w:val="none"/>
              </w:rPr>
            </w:pPr>
          </w:p>
        </w:tc>
        <w:tc>
          <w:tcPr>
            <w:tcW w:w="1623" w:type="dxa"/>
            <w:noWrap w:val="0"/>
            <w:vAlign w:val="top"/>
          </w:tcPr>
          <w:p w14:paraId="5B755CA9">
            <w:pPr>
              <w:spacing w:line="360" w:lineRule="auto"/>
              <w:ind w:firstLine="420" w:firstLineChars="200"/>
              <w:jc w:val="both"/>
              <w:rPr>
                <w:rFonts w:hint="eastAsia" w:ascii="宋体" w:hAnsi="宋体" w:eastAsia="宋体" w:cs="宋体"/>
                <w:color w:val="auto"/>
                <w:highlight w:val="none"/>
              </w:rPr>
            </w:pPr>
          </w:p>
        </w:tc>
        <w:tc>
          <w:tcPr>
            <w:tcW w:w="902" w:type="dxa"/>
            <w:noWrap w:val="0"/>
            <w:vAlign w:val="top"/>
          </w:tcPr>
          <w:p w14:paraId="27C07522">
            <w:pPr>
              <w:spacing w:line="360" w:lineRule="auto"/>
              <w:ind w:firstLine="420" w:firstLineChars="200"/>
              <w:jc w:val="both"/>
              <w:rPr>
                <w:rFonts w:hint="eastAsia" w:ascii="宋体" w:hAnsi="宋体" w:eastAsia="宋体" w:cs="宋体"/>
                <w:color w:val="auto"/>
                <w:highlight w:val="none"/>
              </w:rPr>
            </w:pPr>
          </w:p>
        </w:tc>
        <w:tc>
          <w:tcPr>
            <w:tcW w:w="902" w:type="dxa"/>
            <w:noWrap w:val="0"/>
            <w:vAlign w:val="top"/>
          </w:tcPr>
          <w:p w14:paraId="634F4336">
            <w:pPr>
              <w:spacing w:line="360" w:lineRule="auto"/>
              <w:ind w:firstLine="420" w:firstLineChars="200"/>
              <w:jc w:val="both"/>
              <w:rPr>
                <w:rFonts w:hint="eastAsia" w:ascii="宋体" w:hAnsi="宋体" w:eastAsia="宋体" w:cs="宋体"/>
                <w:color w:val="auto"/>
                <w:highlight w:val="none"/>
              </w:rPr>
            </w:pPr>
          </w:p>
        </w:tc>
        <w:tc>
          <w:tcPr>
            <w:tcW w:w="1071" w:type="dxa"/>
            <w:noWrap w:val="0"/>
            <w:vAlign w:val="top"/>
          </w:tcPr>
          <w:p w14:paraId="3889C633">
            <w:pPr>
              <w:spacing w:line="360" w:lineRule="auto"/>
              <w:ind w:firstLine="420" w:firstLineChars="200"/>
              <w:jc w:val="both"/>
              <w:rPr>
                <w:rFonts w:hint="eastAsia" w:ascii="宋体" w:hAnsi="宋体" w:eastAsia="宋体" w:cs="宋体"/>
                <w:color w:val="auto"/>
                <w:highlight w:val="none"/>
              </w:rPr>
            </w:pPr>
          </w:p>
        </w:tc>
        <w:tc>
          <w:tcPr>
            <w:tcW w:w="1250" w:type="dxa"/>
            <w:noWrap w:val="0"/>
            <w:vAlign w:val="top"/>
          </w:tcPr>
          <w:p w14:paraId="718F3AF3">
            <w:pPr>
              <w:spacing w:line="360" w:lineRule="auto"/>
              <w:ind w:firstLine="420" w:firstLineChars="200"/>
              <w:jc w:val="both"/>
              <w:rPr>
                <w:rFonts w:hint="eastAsia" w:ascii="宋体" w:hAnsi="宋体" w:eastAsia="宋体" w:cs="宋体"/>
                <w:color w:val="auto"/>
                <w:highlight w:val="none"/>
              </w:rPr>
            </w:pPr>
          </w:p>
        </w:tc>
        <w:tc>
          <w:tcPr>
            <w:tcW w:w="1106" w:type="dxa"/>
            <w:noWrap w:val="0"/>
            <w:vAlign w:val="top"/>
          </w:tcPr>
          <w:p w14:paraId="1D20F9A8">
            <w:pPr>
              <w:spacing w:line="360" w:lineRule="auto"/>
              <w:ind w:firstLine="420" w:firstLineChars="200"/>
              <w:jc w:val="both"/>
              <w:rPr>
                <w:rFonts w:hint="eastAsia" w:ascii="宋体" w:hAnsi="宋体" w:eastAsia="宋体" w:cs="宋体"/>
                <w:color w:val="auto"/>
                <w:highlight w:val="none"/>
              </w:rPr>
            </w:pPr>
          </w:p>
        </w:tc>
      </w:tr>
      <w:tr w14:paraId="15C42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1AEB6DB8">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合同总价款（大小写）：</w:t>
            </w:r>
          </w:p>
          <w:p w14:paraId="59FC0277">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szCs w:val="28"/>
                <w:highlight w:val="none"/>
              </w:rPr>
              <w:t>备注：上述服务包含相关设备购置、人员工资及售后服务、税金、劳保基金、人员培训等费用。</w:t>
            </w:r>
          </w:p>
        </w:tc>
      </w:tr>
    </w:tbl>
    <w:p w14:paraId="10E98053">
      <w:pPr>
        <w:spacing w:line="360" w:lineRule="auto"/>
        <w:ind w:firstLine="422" w:firstLineChars="200"/>
        <w:jc w:val="both"/>
        <w:rPr>
          <w:rFonts w:hint="eastAsia" w:ascii="宋体" w:hAnsi="宋体" w:eastAsia="宋体" w:cs="宋体"/>
          <w:color w:val="auto"/>
          <w:highlight w:val="none"/>
        </w:rPr>
      </w:pPr>
      <w:r>
        <w:rPr>
          <w:rFonts w:hint="eastAsia" w:ascii="宋体" w:hAnsi="宋体" w:eastAsia="宋体" w:cs="宋体"/>
          <w:b/>
          <w:bCs/>
          <w:color w:val="auto"/>
          <w:szCs w:val="27"/>
          <w:highlight w:val="none"/>
        </w:rPr>
        <w:t xml:space="preserve">第二条  </w:t>
      </w:r>
      <w:r>
        <w:rPr>
          <w:rFonts w:hint="eastAsia" w:ascii="宋体" w:hAnsi="宋体" w:eastAsia="宋体" w:cs="宋体"/>
          <w:color w:val="auto"/>
          <w:szCs w:val="27"/>
          <w:highlight w:val="none"/>
        </w:rPr>
        <w:t>服务标准（包括达到的水平要求），按下列第（ ）项执行：</w:t>
      </w:r>
    </w:p>
    <w:p w14:paraId="09D31AC6">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①按国家标准执行；②按部颁标准执行；③若无以上标准，则应不低于同行业服务标准；④有特殊要求的，按甲乙双方在合同中商定的要求执行；</w:t>
      </w:r>
    </w:p>
    <w:p w14:paraId="44DB06DE">
      <w:pPr>
        <w:spacing w:line="360" w:lineRule="auto"/>
        <w:ind w:firstLine="42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highlight w:val="none"/>
        </w:rPr>
        <w:t>乙方提供的服务标准和水平应与招标采购文件规定的标准和水平相一致。</w:t>
      </w:r>
    </w:p>
    <w:p w14:paraId="11CBDEE3">
      <w:pPr>
        <w:spacing w:line="360" w:lineRule="auto"/>
        <w:ind w:firstLine="422" w:firstLineChars="200"/>
        <w:jc w:val="both"/>
        <w:rPr>
          <w:rFonts w:hint="eastAsia" w:ascii="宋体" w:hAnsi="宋体" w:eastAsia="宋体" w:cs="宋体"/>
          <w:color w:val="auto"/>
          <w:szCs w:val="27"/>
          <w:highlight w:val="none"/>
        </w:rPr>
      </w:pPr>
      <w:r>
        <w:rPr>
          <w:rFonts w:hint="eastAsia" w:ascii="宋体" w:hAnsi="宋体" w:eastAsia="宋体" w:cs="宋体"/>
          <w:b/>
          <w:bCs/>
          <w:color w:val="auto"/>
          <w:szCs w:val="27"/>
          <w:highlight w:val="none"/>
        </w:rPr>
        <w:t xml:space="preserve">第三条  </w:t>
      </w:r>
      <w:r>
        <w:rPr>
          <w:rFonts w:hint="eastAsia" w:ascii="宋体" w:hAnsi="宋体" w:eastAsia="宋体" w:cs="宋体"/>
          <w:color w:val="auto"/>
          <w:szCs w:val="27"/>
          <w:highlight w:val="none"/>
        </w:rPr>
        <w:t>服务的方式、方法、、地点和期限</w:t>
      </w:r>
    </w:p>
    <w:p w14:paraId="3E3DCFC3">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1、服务方式：</w:t>
      </w:r>
    </w:p>
    <w:p w14:paraId="0EF8E5D1">
      <w:pPr>
        <w:spacing w:line="360" w:lineRule="auto"/>
        <w:ind w:firstLine="420" w:firstLineChars="200"/>
        <w:jc w:val="both"/>
        <w:rPr>
          <w:rFonts w:hint="eastAsia" w:ascii="宋体" w:hAnsi="宋体" w:eastAsia="宋体" w:cs="宋体"/>
          <w:color w:val="auto"/>
          <w:highlight w:val="none"/>
          <w:lang w:val="en-US"/>
        </w:rPr>
      </w:pPr>
      <w:r>
        <w:rPr>
          <w:rFonts w:hint="eastAsia" w:ascii="宋体" w:hAnsi="宋体" w:eastAsia="宋体" w:cs="宋体"/>
          <w:color w:val="auto"/>
          <w:highlight w:val="none"/>
          <w:lang w:val="en-US"/>
        </w:rPr>
        <w:t>2、服务方法：</w:t>
      </w:r>
    </w:p>
    <w:p w14:paraId="7DB25C2D">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2、服务地点：</w:t>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p>
    <w:p w14:paraId="2864D89A">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3、服务期限：</w:t>
      </w:r>
    </w:p>
    <w:p w14:paraId="12725A26">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第四条</w:t>
      </w:r>
      <w:r>
        <w:rPr>
          <w:rFonts w:hint="eastAsia" w:ascii="宋体" w:hAnsi="宋体" w:eastAsia="宋体" w:cs="宋体"/>
          <w:color w:val="auto"/>
          <w:highlight w:val="none"/>
          <w:lang w:val="en-US"/>
        </w:rPr>
        <w:t xml:space="preserve">  </w:t>
      </w:r>
      <w:r>
        <w:rPr>
          <w:rFonts w:hint="eastAsia" w:ascii="宋体" w:hAnsi="宋体" w:eastAsia="宋体" w:cs="宋体"/>
          <w:color w:val="auto"/>
          <w:highlight w:val="none"/>
        </w:rPr>
        <w:t>费用及支付方式</w:t>
      </w:r>
    </w:p>
    <w:p w14:paraId="775B0039">
      <w:pPr>
        <w:pStyle w:val="9"/>
        <w:kinsoku w:val="0"/>
        <w:overflowPunct w:val="0"/>
        <w:spacing w:line="364" w:lineRule="auto"/>
        <w:ind w:left="0" w:firstLine="422" w:firstLineChars="200"/>
        <w:jc w:val="both"/>
        <w:rPr>
          <w:rFonts w:hint="eastAsia" w:ascii="宋体" w:hAnsi="宋体" w:eastAsia="宋体" w:cs="宋体"/>
          <w:b/>
          <w:color w:val="auto"/>
          <w:highlight w:val="none"/>
        </w:rPr>
      </w:pPr>
      <w:r>
        <w:rPr>
          <w:rFonts w:hint="eastAsia" w:ascii="宋体" w:hAnsi="宋体" w:eastAsia="宋体" w:cs="宋体"/>
          <w:b/>
          <w:color w:val="auto"/>
          <w:sz w:val="21"/>
          <w:highlight w:val="none"/>
        </w:rPr>
        <w:t>(一)</w:t>
      </w:r>
      <w:r>
        <w:rPr>
          <w:rFonts w:hint="eastAsia" w:ascii="宋体" w:hAnsi="宋体" w:eastAsia="宋体" w:cs="宋体"/>
          <w:b/>
          <w:color w:val="auto"/>
          <w:highlight w:val="none"/>
        </w:rPr>
        <w:t>本项目</w:t>
      </w:r>
      <w:r>
        <w:rPr>
          <w:rFonts w:hint="eastAsia" w:ascii="宋体" w:hAnsi="宋体" w:eastAsia="宋体" w:cs="宋体"/>
          <w:b/>
          <w:color w:val="auto"/>
          <w:highlight w:val="none"/>
          <w:lang w:val="en-US"/>
        </w:rPr>
        <w:t>费用有以</w:t>
      </w:r>
      <w:r>
        <w:rPr>
          <w:rFonts w:hint="eastAsia" w:ascii="宋体" w:hAnsi="宋体" w:eastAsia="宋体" w:cs="宋体"/>
          <w:b/>
          <w:color w:val="auto"/>
          <w:highlight w:val="none"/>
        </w:rPr>
        <w:t>下组成：</w:t>
      </w:r>
    </w:p>
    <w:p w14:paraId="1EEB18D7">
      <w:pPr>
        <w:pStyle w:val="9"/>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 xml:space="preserve"> 1、XX 万元；</w:t>
      </w:r>
    </w:p>
    <w:p w14:paraId="18058AC1">
      <w:pPr>
        <w:pStyle w:val="9"/>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2、XX 万元；</w:t>
      </w:r>
    </w:p>
    <w:p w14:paraId="0259FEA0">
      <w:pPr>
        <w:pStyle w:val="9"/>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w:t>
      </w:r>
    </w:p>
    <w:p w14:paraId="0CCA68E2">
      <w:pPr>
        <w:pStyle w:val="9"/>
        <w:kinsoku w:val="0"/>
        <w:overflowPunct w:val="0"/>
        <w:ind w:left="0" w:firstLine="422" w:firstLineChars="200"/>
        <w:jc w:val="both"/>
        <w:rPr>
          <w:rFonts w:hint="eastAsia" w:ascii="宋体" w:hAnsi="宋体" w:eastAsia="宋体" w:cs="宋体"/>
          <w:b/>
          <w:color w:val="auto"/>
          <w:highlight w:val="none"/>
        </w:rPr>
      </w:pPr>
      <w:r>
        <w:rPr>
          <w:rFonts w:hint="eastAsia" w:ascii="宋体" w:hAnsi="宋体" w:eastAsia="宋体" w:cs="宋体"/>
          <w:b/>
          <w:color w:val="auto"/>
          <w:sz w:val="21"/>
          <w:highlight w:val="none"/>
        </w:rPr>
        <w:t>(二)</w:t>
      </w:r>
      <w:r>
        <w:rPr>
          <w:rFonts w:hint="eastAsia" w:ascii="宋体" w:hAnsi="宋体" w:eastAsia="宋体" w:cs="宋体"/>
          <w:b/>
          <w:color w:val="auto"/>
          <w:highlight w:val="none"/>
        </w:rPr>
        <w:t>费用支付方式：</w:t>
      </w:r>
    </w:p>
    <w:p w14:paraId="54B3288B">
      <w:pPr>
        <w:pStyle w:val="9"/>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1、XXXX；</w:t>
      </w:r>
    </w:p>
    <w:p w14:paraId="30898837">
      <w:pPr>
        <w:pStyle w:val="9"/>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2、XXXX ；</w:t>
      </w:r>
    </w:p>
    <w:p w14:paraId="2B78D844">
      <w:pPr>
        <w:pStyle w:val="9"/>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3、在支付前甲方对乙方的服务进行考核或验收，合格的支付相应款 项。乙方须向甲方出具合法有效完整的完税发票及凭证资料进行支付结算。</w:t>
      </w:r>
    </w:p>
    <w:p w14:paraId="48719424">
      <w:pPr>
        <w:pStyle w:val="9"/>
        <w:kinsoku w:val="0"/>
        <w:overflowPunct w:val="0"/>
        <w:ind w:left="0" w:firstLine="422" w:firstLineChars="200"/>
        <w:jc w:val="both"/>
        <w:rPr>
          <w:rFonts w:hint="eastAsia" w:ascii="宋体" w:hAnsi="宋体" w:eastAsia="宋体" w:cs="宋体"/>
          <w:color w:val="auto"/>
          <w:highlight w:val="none"/>
        </w:rPr>
      </w:pPr>
      <w:r>
        <w:rPr>
          <w:rFonts w:hint="eastAsia" w:ascii="宋体" w:hAnsi="宋体" w:eastAsia="宋体" w:cs="宋体"/>
          <w:b/>
          <w:color w:val="auto"/>
          <w:highlight w:val="none"/>
        </w:rPr>
        <w:t>第五条</w:t>
      </w:r>
      <w:r>
        <w:rPr>
          <w:rFonts w:hint="eastAsia" w:ascii="宋体" w:hAnsi="宋体" w:eastAsia="宋体" w:cs="宋体"/>
          <w:b/>
          <w:color w:val="auto"/>
          <w:highlight w:val="none"/>
          <w:lang w:val="en-US"/>
        </w:rPr>
        <w:t xml:space="preserve">  </w:t>
      </w:r>
      <w:r>
        <w:rPr>
          <w:rFonts w:hint="eastAsia" w:ascii="宋体" w:hAnsi="宋体" w:eastAsia="宋体" w:cs="宋体"/>
          <w:b/>
          <w:color w:val="auto"/>
          <w:highlight w:val="none"/>
        </w:rPr>
        <w:t xml:space="preserve">付款条件   </w:t>
      </w:r>
      <w:r>
        <w:rPr>
          <w:rFonts w:hint="eastAsia" w:ascii="宋体" w:hAnsi="宋体" w:eastAsia="宋体" w:cs="宋体"/>
          <w:color w:val="auto"/>
          <w:highlight w:val="none"/>
        </w:rPr>
        <w:t xml:space="preserve">               </w:t>
      </w:r>
    </w:p>
    <w:p w14:paraId="313BB1CB">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本合同以人民币付款。</w:t>
      </w:r>
    </w:p>
    <w:p w14:paraId="5CD7247E">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该项目是否实行预付款：</w:t>
      </w:r>
    </w:p>
    <w:p w14:paraId="000FBBC9">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实行预付款的条件和比例：</w:t>
      </w:r>
    </w:p>
    <w:p w14:paraId="622C8ED0">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合同款项结算方式和支付比例：</w:t>
      </w:r>
      <w:r>
        <w:rPr>
          <w:rFonts w:hint="eastAsia" w:ascii="宋体" w:hAnsi="宋体" w:eastAsia="宋体" w:cs="宋体"/>
          <w:color w:val="auto"/>
          <w:highlight w:val="none"/>
          <w:lang w:val="en-US"/>
        </w:rPr>
        <w:t xml:space="preserve">   </w:t>
      </w:r>
    </w:p>
    <w:p w14:paraId="7B926C6D">
      <w:pPr>
        <w:spacing w:line="360" w:lineRule="auto"/>
        <w:ind w:firstLine="420" w:firstLineChars="200"/>
        <w:jc w:val="both"/>
        <w:rPr>
          <w:rFonts w:hint="eastAsia" w:ascii="宋体" w:hAnsi="宋体" w:eastAsia="宋体" w:cs="宋体"/>
          <w:color w:val="auto"/>
          <w:highlight w:val="none"/>
          <w:u w:val="single"/>
        </w:rPr>
      </w:pPr>
      <w:r>
        <w:rPr>
          <w:rFonts w:hint="eastAsia" w:ascii="宋体" w:hAnsi="宋体" w:eastAsia="宋体" w:cs="宋体"/>
          <w:color w:val="auto"/>
          <w:highlight w:val="none"/>
          <w:lang w:val="en-US"/>
        </w:rPr>
        <w:t>(</w:t>
      </w:r>
      <w:r>
        <w:rPr>
          <w:rFonts w:hint="eastAsia" w:ascii="宋体" w:hAnsi="宋体" w:eastAsia="宋体" w:cs="宋体"/>
          <w:color w:val="auto"/>
          <w:highlight w:val="none"/>
        </w:rPr>
        <w:t>具体付款方式</w:t>
      </w:r>
      <w:r>
        <w:rPr>
          <w:rFonts w:hint="eastAsia" w:ascii="宋体" w:hAnsi="宋体" w:eastAsia="宋体" w:cs="宋体"/>
          <w:color w:val="auto"/>
          <w:highlight w:val="none"/>
          <w:u w:val="single"/>
        </w:rPr>
        <w:t>按投标人须知前附表以及采、购双方的具体约定</w:t>
      </w:r>
    </w:p>
    <w:p w14:paraId="64F762CD">
      <w:pPr>
        <w:pageBreakBefore w:val="0"/>
        <w:widowControl w:val="0"/>
        <w:kinsoku w:val="0"/>
        <w:wordWrap/>
        <w:overflowPunct w:val="0"/>
        <w:topLinePunct w:val="0"/>
        <w:autoSpaceDE/>
        <w:autoSpaceDN/>
        <w:bidi w:val="0"/>
        <w:adjustRightInd/>
        <w:snapToGrid/>
        <w:ind w:left="0" w:firstLine="422" w:firstLineChars="200"/>
        <w:jc w:val="both"/>
        <w:textAlignment w:val="auto"/>
        <w:outlineLvl w:val="9"/>
        <w:rPr>
          <w:rFonts w:hint="eastAsia" w:ascii="宋体" w:hAnsi="宋体" w:eastAsia="宋体" w:cs="宋体"/>
          <w:b/>
          <w:bCs/>
          <w:color w:val="auto"/>
          <w:kern w:val="2"/>
          <w:sz w:val="21"/>
          <w:szCs w:val="27"/>
          <w:highlight w:val="none"/>
          <w:lang w:val="en-US" w:eastAsia="zh-CN" w:bidi="ar-SA"/>
        </w:rPr>
      </w:pPr>
      <w:r>
        <w:rPr>
          <w:rFonts w:hint="eastAsia" w:ascii="宋体" w:hAnsi="宋体" w:eastAsia="宋体" w:cs="宋体"/>
          <w:b/>
          <w:bCs/>
          <w:color w:val="auto"/>
          <w:kern w:val="2"/>
          <w:sz w:val="21"/>
          <w:szCs w:val="27"/>
          <w:highlight w:val="none"/>
          <w:lang w:val="en-US" w:eastAsia="zh-CN" w:bidi="ar-SA"/>
        </w:rPr>
        <w:t>第六条  验收方法</w:t>
      </w:r>
    </w:p>
    <w:p w14:paraId="0C8E0AE4">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1.甲、乙双方应严格履行合同有关条款，如果验收过程中发现乙方在没有征得采购人同意的情况下擅自变更合同服务内容，将拒绝通过验收，由此引起的一切后果及损失由乙方承担。</w:t>
      </w:r>
    </w:p>
    <w:p w14:paraId="449B7D5B">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67E07B25">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3、甲方视情况可以邀请参加本项目的其他投标人或者第三方机构参与验收，参与验收的投标人或者第三方机构的意见作为验收书的参考资料一并存档。</w:t>
      </w:r>
    </w:p>
    <w:p w14:paraId="57522156">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4、涉及安全、消防、环保等其他需要由质检或行业主管部门进行验收的项目，必须邀请相关部门或相关专家参与验收。涉及社会化服务的项目，甲方将要求社会公众人员参与验收。</w:t>
      </w:r>
    </w:p>
    <w:p w14:paraId="36F3C4AC">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检测、验收费用承担方式：</w:t>
      </w:r>
    </w:p>
    <w:p w14:paraId="2D29C6F5">
      <w:pPr>
        <w:pStyle w:val="9"/>
        <w:pageBreakBefore w:val="0"/>
        <w:widowControl w:val="0"/>
        <w:kinsoku w:val="0"/>
        <w:wordWrap/>
        <w:overflowPunct w:val="0"/>
        <w:topLinePunct w:val="0"/>
        <w:autoSpaceDE/>
        <w:autoSpaceDN/>
        <w:bidi w:val="0"/>
        <w:adjustRightInd/>
        <w:snapToGrid/>
        <w:spacing w:line="364" w:lineRule="auto"/>
        <w:ind w:left="0" w:firstLine="42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第七条 知识产权</w:t>
      </w:r>
    </w:p>
    <w:p w14:paraId="1729342F">
      <w:pPr>
        <w:pStyle w:val="9"/>
        <w:pageBreakBefore w:val="0"/>
        <w:widowControl w:val="0"/>
        <w:kinsoku w:val="0"/>
        <w:wordWrap/>
        <w:overflowPunct w:val="0"/>
        <w:topLinePunct w:val="0"/>
        <w:autoSpaceDE/>
        <w:autoSpaceDN/>
        <w:bidi w:val="0"/>
        <w:adjustRightInd/>
        <w:snapToGrid/>
        <w:spacing w:line="364" w:lineRule="auto"/>
        <w:ind w:left="0" w:firstLine="420" w:firstLineChars="200"/>
        <w:jc w:val="both"/>
        <w:textAlignment w:val="auto"/>
        <w:outlineLvl w:val="9"/>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乙方应保证所提供的服务或其任何一部分均不会侵犯任何第三方的专利权、商标权或著作权。</w:t>
      </w:r>
    </w:p>
    <w:p w14:paraId="6FEC5418">
      <w:pPr>
        <w:pageBreakBefore w:val="0"/>
        <w:widowControl w:val="0"/>
        <w:kinsoku w:val="0"/>
        <w:wordWrap/>
        <w:overflowPunct w:val="0"/>
        <w:topLinePunct w:val="0"/>
        <w:autoSpaceDE/>
        <w:autoSpaceDN/>
        <w:bidi w:val="0"/>
        <w:adjustRightInd/>
        <w:snapToGrid/>
        <w:ind w:left="0" w:firstLine="422" w:firstLineChars="200"/>
        <w:jc w:val="both"/>
        <w:textAlignment w:val="auto"/>
        <w:outlineLvl w:val="9"/>
        <w:rPr>
          <w:rFonts w:hint="eastAsia" w:ascii="宋体" w:hAnsi="宋体" w:eastAsia="宋体" w:cs="宋体"/>
          <w:b/>
          <w:bCs/>
          <w:color w:val="auto"/>
          <w:kern w:val="2"/>
          <w:sz w:val="21"/>
          <w:szCs w:val="27"/>
          <w:highlight w:val="none"/>
          <w:lang w:val="en-US" w:eastAsia="zh-CN" w:bidi="ar-SA"/>
        </w:rPr>
      </w:pPr>
      <w:r>
        <w:rPr>
          <w:rFonts w:hint="eastAsia" w:ascii="宋体" w:hAnsi="宋体" w:eastAsia="宋体" w:cs="宋体"/>
          <w:b/>
          <w:bCs/>
          <w:color w:val="auto"/>
          <w:kern w:val="2"/>
          <w:sz w:val="21"/>
          <w:szCs w:val="27"/>
          <w:highlight w:val="none"/>
          <w:lang w:val="en-US" w:eastAsia="zh-CN" w:bidi="ar-SA"/>
        </w:rPr>
        <w:t>第八条 无产权瑕疵条款</w:t>
      </w:r>
    </w:p>
    <w:p w14:paraId="2B9335C7">
      <w:pPr>
        <w:pStyle w:val="9"/>
        <w:pageBreakBefore w:val="0"/>
        <w:widowControl w:val="0"/>
        <w:kinsoku w:val="0"/>
        <w:wordWrap/>
        <w:overflowPunct w:val="0"/>
        <w:topLinePunct w:val="0"/>
        <w:autoSpaceDE/>
        <w:autoSpaceDN/>
        <w:bidi w:val="0"/>
        <w:adjustRightInd/>
        <w:snapToGrid/>
        <w:spacing w:line="364" w:lineRule="auto"/>
        <w:ind w:left="0" w:firstLine="420" w:firstLineChars="200"/>
        <w:jc w:val="both"/>
        <w:textAlignment w:val="auto"/>
        <w:outlineLvl w:val="9"/>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乙方保证所提供的服务的所有权完全属于乙方且无任何抵押、查封等产权瑕疵。如有产权瑕疵的，视为乙方违约。乙方应负担由此而产生的一切损失。</w:t>
      </w:r>
    </w:p>
    <w:p w14:paraId="09B62BD6">
      <w:pPr>
        <w:pageBreakBefore w:val="0"/>
        <w:widowControl w:val="0"/>
        <w:wordWrap/>
        <w:topLinePunct w:val="0"/>
        <w:autoSpaceDE/>
        <w:autoSpaceDN/>
        <w:bidi w:val="0"/>
        <w:adjustRightInd/>
        <w:snapToGrid/>
        <w:spacing w:line="400" w:lineRule="exact"/>
        <w:ind w:firstLine="422" w:firstLineChars="200"/>
        <w:jc w:val="both"/>
        <w:textAlignment w:val="auto"/>
        <w:outlineLvl w:val="9"/>
        <w:rPr>
          <w:rFonts w:hint="eastAsia" w:ascii="宋体" w:hAnsi="宋体" w:eastAsia="宋体" w:cs="宋体"/>
          <w:b/>
          <w:bCs/>
          <w:color w:val="auto"/>
          <w:szCs w:val="27"/>
          <w:highlight w:val="none"/>
        </w:rPr>
      </w:pPr>
      <w:r>
        <w:rPr>
          <w:rFonts w:hint="eastAsia" w:ascii="宋体" w:hAnsi="宋体" w:eastAsia="宋体" w:cs="宋体"/>
          <w:b/>
          <w:bCs/>
          <w:color w:val="auto"/>
          <w:szCs w:val="27"/>
          <w:highlight w:val="none"/>
        </w:rPr>
        <w:t xml:space="preserve">第九条  </w:t>
      </w:r>
      <w:r>
        <w:rPr>
          <w:rFonts w:hint="eastAsia" w:ascii="宋体" w:hAnsi="宋体" w:eastAsia="宋体" w:cs="宋体"/>
          <w:color w:val="auto"/>
          <w:szCs w:val="27"/>
          <w:highlight w:val="none"/>
        </w:rPr>
        <w:t>履约（或质量）保证金</w:t>
      </w:r>
    </w:p>
    <w:p w14:paraId="70CB1563">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1.本项目不收取履约保证金。确需收取履约保证金的，甲方不得要求乙方以现款的形式提供。乙方提供的履约保证金按规定格式以银行保函形式提供，与此有关的费用由服务方承担。</w:t>
      </w:r>
    </w:p>
    <w:p w14:paraId="4699FDD1">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2.若确需质量保证金的，质量保证金不得超过合同总价款的5%</w:t>
      </w:r>
    </w:p>
    <w:p w14:paraId="3252E653">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3.如乙方未能履行其合同规定的任何义务，甲方有权从履约保证金中取得补偿。</w:t>
      </w:r>
    </w:p>
    <w:p w14:paraId="538AD174">
      <w:pPr>
        <w:pageBreakBefore w:val="0"/>
        <w:widowControl w:val="0"/>
        <w:kinsoku w:val="0"/>
        <w:wordWrap/>
        <w:overflowPunct w:val="0"/>
        <w:topLinePunct w:val="0"/>
        <w:autoSpaceDE/>
        <w:autoSpaceDN/>
        <w:bidi w:val="0"/>
        <w:adjustRightInd/>
        <w:snapToGrid/>
        <w:ind w:left="0" w:firstLine="422" w:firstLineChars="200"/>
        <w:jc w:val="both"/>
        <w:textAlignment w:val="auto"/>
        <w:outlineLvl w:val="9"/>
        <w:rPr>
          <w:rFonts w:hint="eastAsia" w:ascii="宋体" w:hAnsi="宋体" w:eastAsia="宋体" w:cs="宋体"/>
          <w:b/>
          <w:bCs/>
          <w:color w:val="auto"/>
          <w:kern w:val="2"/>
          <w:sz w:val="21"/>
          <w:szCs w:val="27"/>
          <w:highlight w:val="none"/>
          <w:lang w:val="en-US" w:eastAsia="zh-CN" w:bidi="ar-SA"/>
        </w:rPr>
      </w:pPr>
      <w:r>
        <w:rPr>
          <w:rFonts w:hint="eastAsia" w:ascii="宋体" w:hAnsi="宋体" w:eastAsia="宋体" w:cs="宋体"/>
          <w:b/>
          <w:bCs/>
          <w:color w:val="auto"/>
          <w:kern w:val="2"/>
          <w:sz w:val="21"/>
          <w:szCs w:val="27"/>
          <w:highlight w:val="none"/>
          <w:lang w:val="en-US" w:eastAsia="zh-CN" w:bidi="ar-SA"/>
        </w:rPr>
        <w:t>第十条 甲方的权利和义务</w:t>
      </w:r>
    </w:p>
    <w:p w14:paraId="3B4827F9">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14:paraId="4ADB19BC">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2、甲方有权依据双方签订的考评办法对乙方提供的服务进行定期考评。当考评结果未达到标准时，有权依据考评办法约定的数额扣除履约保证金。</w:t>
      </w:r>
    </w:p>
    <w:p w14:paraId="79FFE800">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3、负责检查监督乙方管理工作的实施及制度的执行情况。</w:t>
      </w:r>
    </w:p>
    <w:p w14:paraId="528D3F5B">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4、根据本合同规定，按时向乙方支付应付服务费用。</w:t>
      </w:r>
    </w:p>
    <w:p w14:paraId="67623C0E">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 xml:space="preserve">5、国家法律、法规所规定由甲方承担的其他责任    </w:t>
      </w:r>
      <w:r>
        <w:rPr>
          <w:rFonts w:hint="eastAsia" w:ascii="宋体" w:hAnsi="宋体" w:eastAsia="宋体" w:cs="宋体"/>
          <w:color w:val="auto"/>
          <w:highlight w:val="none"/>
          <w:lang w:val="en-US"/>
        </w:rPr>
        <w:t xml:space="preserve">           </w:t>
      </w:r>
    </w:p>
    <w:p w14:paraId="7EB4DE76">
      <w:pPr>
        <w:pStyle w:val="9"/>
        <w:pageBreakBefore w:val="0"/>
        <w:widowControl w:val="0"/>
        <w:kinsoku w:val="0"/>
        <w:wordWrap/>
        <w:overflowPunct w:val="0"/>
        <w:topLinePunct w:val="0"/>
        <w:autoSpaceDE/>
        <w:autoSpaceDN/>
        <w:bidi w:val="0"/>
        <w:adjustRightInd/>
        <w:snapToGrid/>
        <w:spacing w:line="364" w:lineRule="auto"/>
        <w:ind w:left="0" w:firstLine="42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第十一条 乙方的权利和义务</w:t>
      </w:r>
    </w:p>
    <w:p w14:paraId="2F02F63B">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1、对本合同规定的委托服务范围内的项目享有管理权及服务义务。</w:t>
      </w:r>
    </w:p>
    <w:p w14:paraId="6BFA7D8E">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2、根据本合同的规定向甲方收取相关服务费用，并有权在本项目管理范围内管理及合理使用。</w:t>
      </w:r>
    </w:p>
    <w:p w14:paraId="13A27EDF">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3、及时向甲方通告本项目服务范围内有关服务的重大事项，及时配合处理投诉。</w:t>
      </w:r>
    </w:p>
    <w:p w14:paraId="702EC1E8">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4、接受项目行业管理部门及政府有关部门的指导，接受甲方的监督。</w:t>
      </w:r>
    </w:p>
    <w:p w14:paraId="74A34A2B">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5、国家法律、法规所规定由乙方承担的其它责任。</w:t>
      </w:r>
    </w:p>
    <w:p w14:paraId="2FBB6035">
      <w:pPr>
        <w:pStyle w:val="9"/>
        <w:pageBreakBefore w:val="0"/>
        <w:widowControl w:val="0"/>
        <w:kinsoku w:val="0"/>
        <w:wordWrap/>
        <w:overflowPunct w:val="0"/>
        <w:topLinePunct w:val="0"/>
        <w:autoSpaceDE/>
        <w:autoSpaceDN/>
        <w:bidi w:val="0"/>
        <w:adjustRightInd/>
        <w:snapToGrid/>
        <w:spacing w:line="364" w:lineRule="auto"/>
        <w:ind w:left="0" w:firstLine="42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第十二条 违约责任</w:t>
      </w:r>
    </w:p>
    <w:p w14:paraId="4C02FB1E">
      <w:pPr>
        <w:pStyle w:val="9"/>
        <w:pageBreakBefore w:val="0"/>
        <w:widowControl w:val="0"/>
        <w:kinsoku w:val="0"/>
        <w:wordWrap/>
        <w:overflowPunct w:val="0"/>
        <w:topLinePunct w:val="0"/>
        <w:autoSpaceDE/>
        <w:autoSpaceDN/>
        <w:bidi w:val="0"/>
        <w:adjustRightInd/>
        <w:snapToGrid/>
        <w:ind w:left="0" w:firstLine="420" w:firstLineChars="200"/>
        <w:jc w:val="both"/>
        <w:textAlignment w:val="auto"/>
        <w:outlineLvl w:val="9"/>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1、甲乙双方必须遵守本合同并执行合同中的各项规定，保证本合同的正常履行。</w:t>
      </w:r>
    </w:p>
    <w:p w14:paraId="0A6D4941">
      <w:pPr>
        <w:pStyle w:val="9"/>
        <w:pageBreakBefore w:val="0"/>
        <w:widowControl w:val="0"/>
        <w:kinsoku w:val="0"/>
        <w:wordWrap/>
        <w:overflowPunct w:val="0"/>
        <w:topLinePunct w:val="0"/>
        <w:autoSpaceDE/>
        <w:autoSpaceDN/>
        <w:bidi w:val="0"/>
        <w:adjustRightInd/>
        <w:snapToGrid/>
        <w:spacing w:line="364" w:lineRule="auto"/>
        <w:ind w:left="0" w:firstLine="420" w:firstLineChars="200"/>
        <w:jc w:val="both"/>
        <w:textAlignment w:val="auto"/>
        <w:outlineLvl w:val="9"/>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2、甲方逾期付款的，除应及时付足款项外，应向乙方偿付欠款总额万分之 /天的违约金；逾期付款超过 天的，乙方有权终止合同。</w:t>
      </w:r>
    </w:p>
    <w:p w14:paraId="3C2C5AF9">
      <w:pPr>
        <w:pStyle w:val="9"/>
        <w:pageBreakBefore w:val="0"/>
        <w:widowControl w:val="0"/>
        <w:kinsoku w:val="0"/>
        <w:wordWrap/>
        <w:overflowPunct w:val="0"/>
        <w:topLinePunct w:val="0"/>
        <w:autoSpaceDE/>
        <w:autoSpaceDN/>
        <w:bidi w:val="0"/>
        <w:adjustRightInd/>
        <w:snapToGrid/>
        <w:spacing w:line="364" w:lineRule="auto"/>
        <w:ind w:left="0" w:firstLine="420" w:firstLineChars="200"/>
        <w:jc w:val="both"/>
        <w:textAlignment w:val="auto"/>
        <w:outlineLvl w:val="9"/>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3896C204">
      <w:pPr>
        <w:pStyle w:val="9"/>
        <w:pageBreakBefore w:val="0"/>
        <w:widowControl w:val="0"/>
        <w:kinsoku w:val="0"/>
        <w:wordWrap/>
        <w:overflowPunct w:val="0"/>
        <w:topLinePunct w:val="0"/>
        <w:autoSpaceDE/>
        <w:autoSpaceDN/>
        <w:bidi w:val="0"/>
        <w:adjustRightInd/>
        <w:snapToGrid/>
        <w:spacing w:line="364" w:lineRule="auto"/>
        <w:ind w:left="0" w:firstLine="420" w:firstLineChars="200"/>
        <w:jc w:val="both"/>
        <w:textAlignment w:val="auto"/>
        <w:outlineLvl w:val="9"/>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4、变更、中止或者终止合同，有过错的一方应当承担赔偿责任，双方都有过错的，各自承担相应的责任。</w:t>
      </w:r>
    </w:p>
    <w:p w14:paraId="4671C6CD">
      <w:pPr>
        <w:pageBreakBefore w:val="0"/>
        <w:widowControl w:val="0"/>
        <w:wordWrap/>
        <w:topLinePunct w:val="0"/>
        <w:autoSpaceDE/>
        <w:autoSpaceDN/>
        <w:bidi w:val="0"/>
        <w:adjustRightInd/>
        <w:snapToGrid/>
        <w:spacing w:line="360" w:lineRule="auto"/>
        <w:ind w:firstLine="42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bCs/>
          <w:color w:val="auto"/>
          <w:szCs w:val="27"/>
          <w:highlight w:val="none"/>
        </w:rPr>
        <w:t xml:space="preserve">第十三条 </w:t>
      </w:r>
      <w:r>
        <w:rPr>
          <w:rFonts w:hint="eastAsia" w:ascii="宋体" w:hAnsi="宋体" w:eastAsia="宋体" w:cs="宋体"/>
          <w:bCs/>
          <w:color w:val="auto"/>
          <w:highlight w:val="none"/>
        </w:rPr>
        <w:t>转让与分包</w:t>
      </w:r>
    </w:p>
    <w:p w14:paraId="7ACD09EB">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w:t>
      </w:r>
      <w:r>
        <w:rPr>
          <w:rFonts w:hint="eastAsia" w:ascii="宋体" w:hAnsi="宋体" w:eastAsia="宋体" w:cs="宋体"/>
          <w:color w:val="auto"/>
          <w:highlight w:val="none"/>
        </w:rPr>
        <w:t>除甲方事先书面同意外，乙方不得部分转让或全部转让其应履行的合同义务。</w:t>
      </w:r>
    </w:p>
    <w:p w14:paraId="41DDB202">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w:t>
      </w:r>
      <w:r>
        <w:rPr>
          <w:rFonts w:hint="eastAsia" w:ascii="宋体" w:hAnsi="宋体" w:eastAsia="宋体" w:cs="宋体"/>
          <w:color w:val="auto"/>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477A69EF">
      <w:pPr>
        <w:pageBreakBefore w:val="0"/>
        <w:widowControl w:val="0"/>
        <w:wordWrap/>
        <w:topLinePunct w:val="0"/>
        <w:autoSpaceDE/>
        <w:autoSpaceDN/>
        <w:bidi w:val="0"/>
        <w:adjustRightInd/>
        <w:snapToGrid/>
        <w:spacing w:line="360" w:lineRule="auto"/>
        <w:ind w:firstLine="42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bCs/>
          <w:color w:val="auto"/>
          <w:szCs w:val="27"/>
          <w:highlight w:val="none"/>
        </w:rPr>
        <w:t xml:space="preserve">第十四条 </w:t>
      </w:r>
      <w:r>
        <w:rPr>
          <w:rFonts w:hint="eastAsia" w:ascii="宋体" w:hAnsi="宋体" w:eastAsia="宋体" w:cs="宋体"/>
          <w:bCs/>
          <w:color w:val="auto"/>
          <w:highlight w:val="none"/>
        </w:rPr>
        <w:t>合同文件及资料的使用</w:t>
      </w:r>
    </w:p>
    <w:p w14:paraId="3FE55357">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w:t>
      </w:r>
      <w:r>
        <w:rPr>
          <w:rFonts w:hint="eastAsia" w:ascii="宋体" w:hAnsi="宋体" w:eastAsia="宋体" w:cs="宋体"/>
          <w:color w:val="auto"/>
          <w:highlight w:val="none"/>
        </w:rPr>
        <w:t>乙方在未经甲方同意的情况下，不得将合同、合同中的规定、有关计划、图纸、样本或甲方为上述内容向乙方提供的资料透露给任何人。</w:t>
      </w:r>
    </w:p>
    <w:p w14:paraId="1F653E38">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w:t>
      </w:r>
      <w:r>
        <w:rPr>
          <w:rFonts w:hint="eastAsia" w:ascii="宋体" w:hAnsi="宋体" w:eastAsia="宋体" w:cs="宋体"/>
          <w:color w:val="auto"/>
          <w:highlight w:val="none"/>
        </w:rPr>
        <w:t>除非执行合同需要，在事先未得到甲方同意的情况下，乙方不得使用前款所列的任何文件和资料。</w:t>
      </w:r>
    </w:p>
    <w:p w14:paraId="30CC1500">
      <w:pPr>
        <w:pageBreakBefore w:val="0"/>
        <w:widowControl w:val="0"/>
        <w:kinsoku w:val="0"/>
        <w:wordWrap/>
        <w:overflowPunct w:val="0"/>
        <w:topLinePunct w:val="0"/>
        <w:autoSpaceDE/>
        <w:autoSpaceDN/>
        <w:bidi w:val="0"/>
        <w:adjustRightInd/>
        <w:snapToGrid/>
        <w:ind w:left="0" w:firstLine="422" w:firstLineChars="200"/>
        <w:jc w:val="both"/>
        <w:textAlignment w:val="auto"/>
        <w:outlineLvl w:val="9"/>
        <w:rPr>
          <w:rFonts w:hint="eastAsia" w:ascii="宋体" w:hAnsi="宋体" w:eastAsia="宋体" w:cs="宋体"/>
          <w:b/>
          <w:bCs/>
          <w:color w:val="auto"/>
          <w:kern w:val="2"/>
          <w:sz w:val="21"/>
          <w:szCs w:val="27"/>
          <w:highlight w:val="none"/>
          <w:lang w:val="en-US" w:eastAsia="zh-CN" w:bidi="ar-SA"/>
        </w:rPr>
      </w:pPr>
      <w:r>
        <w:rPr>
          <w:rFonts w:hint="eastAsia" w:ascii="宋体" w:hAnsi="宋体" w:eastAsia="宋体" w:cs="宋体"/>
          <w:b/>
          <w:bCs/>
          <w:color w:val="auto"/>
          <w:kern w:val="2"/>
          <w:sz w:val="21"/>
          <w:szCs w:val="27"/>
          <w:highlight w:val="none"/>
          <w:lang w:val="en-US" w:eastAsia="zh-CN" w:bidi="ar-SA"/>
        </w:rPr>
        <w:t>第十五条 不可抗力事件处理</w:t>
      </w:r>
    </w:p>
    <w:p w14:paraId="27A9550E">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w:t>
      </w:r>
      <w:r>
        <w:rPr>
          <w:rFonts w:hint="eastAsia" w:ascii="宋体" w:hAnsi="宋体" w:eastAsia="宋体" w:cs="宋体"/>
          <w:color w:val="auto"/>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A91D951">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szCs w:val="27"/>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40A2EC98">
      <w:pPr>
        <w:pageBreakBefore w:val="0"/>
        <w:widowControl w:val="0"/>
        <w:kinsoku w:val="0"/>
        <w:wordWrap/>
        <w:overflowPunct w:val="0"/>
        <w:topLinePunct w:val="0"/>
        <w:autoSpaceDE/>
        <w:autoSpaceDN/>
        <w:bidi w:val="0"/>
        <w:adjustRightInd/>
        <w:snapToGrid/>
        <w:ind w:left="0" w:firstLine="422" w:firstLineChars="200"/>
        <w:jc w:val="both"/>
        <w:textAlignment w:val="auto"/>
        <w:outlineLvl w:val="9"/>
        <w:rPr>
          <w:rFonts w:hint="eastAsia" w:ascii="宋体" w:hAnsi="宋体" w:eastAsia="宋体" w:cs="宋体"/>
          <w:b/>
          <w:bCs/>
          <w:color w:val="auto"/>
          <w:kern w:val="2"/>
          <w:sz w:val="21"/>
          <w:szCs w:val="27"/>
          <w:highlight w:val="none"/>
          <w:lang w:val="en-US" w:eastAsia="zh-CN" w:bidi="ar-SA"/>
        </w:rPr>
      </w:pPr>
      <w:r>
        <w:rPr>
          <w:rFonts w:hint="eastAsia" w:ascii="宋体" w:hAnsi="宋体" w:eastAsia="宋体" w:cs="宋体"/>
          <w:b/>
          <w:bCs/>
          <w:color w:val="auto"/>
          <w:kern w:val="2"/>
          <w:sz w:val="21"/>
          <w:szCs w:val="27"/>
          <w:highlight w:val="none"/>
          <w:lang w:val="en-US" w:eastAsia="zh-CN" w:bidi="ar-SA"/>
        </w:rPr>
        <w:t>第十六条 合同纠纷调处</w:t>
      </w:r>
    </w:p>
    <w:p w14:paraId="5F43B639">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.按本合同规定应该偿付的违约金、赔偿金、保管保养费和各种经济损失，应当在明确责任后10天内，按银行规定的结算办法付清，否则按逾期付款处理。</w:t>
      </w:r>
    </w:p>
    <w:p w14:paraId="0397E477">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szCs w:val="27"/>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color w:val="auto"/>
          <w:szCs w:val="27"/>
          <w:highlight w:val="none"/>
          <w:u w:val="single"/>
        </w:rPr>
        <w:t>周口仲裁委员会</w:t>
      </w:r>
      <w:r>
        <w:rPr>
          <w:rFonts w:hint="eastAsia" w:ascii="宋体" w:hAnsi="宋体" w:eastAsia="宋体" w:cs="宋体"/>
          <w:color w:val="auto"/>
          <w:szCs w:val="27"/>
          <w:highlight w:val="none"/>
        </w:rPr>
        <w:t>申请仲裁。②向</w:t>
      </w:r>
      <w:r>
        <w:rPr>
          <w:rFonts w:hint="eastAsia" w:ascii="宋体" w:hAnsi="宋体" w:eastAsia="宋体" w:cs="宋体"/>
          <w:color w:val="auto"/>
          <w:highlight w:val="none"/>
        </w:rPr>
        <w:t>合同签订地有级别管辖权的</w:t>
      </w:r>
      <w:r>
        <w:rPr>
          <w:rFonts w:hint="eastAsia" w:ascii="宋体" w:hAnsi="宋体" w:eastAsia="宋体" w:cs="宋体"/>
          <w:color w:val="auto"/>
          <w:szCs w:val="27"/>
          <w:highlight w:val="none"/>
        </w:rPr>
        <w:t>人民法院起诉。</w:t>
      </w:r>
    </w:p>
    <w:p w14:paraId="06B171C8">
      <w:pPr>
        <w:pageBreakBefore w:val="0"/>
        <w:widowControl w:val="0"/>
        <w:kinsoku w:val="0"/>
        <w:wordWrap/>
        <w:overflowPunct w:val="0"/>
        <w:topLinePunct w:val="0"/>
        <w:autoSpaceDE/>
        <w:autoSpaceDN/>
        <w:bidi w:val="0"/>
        <w:adjustRightInd/>
        <w:snapToGrid/>
        <w:ind w:left="0" w:firstLine="420" w:firstLineChars="200"/>
        <w:jc w:val="both"/>
        <w:textAlignment w:val="auto"/>
        <w:outlineLvl w:val="9"/>
        <w:rPr>
          <w:rFonts w:hint="eastAsia" w:ascii="宋体" w:hAnsi="宋体" w:eastAsia="宋体" w:cs="宋体"/>
          <w:b w:val="0"/>
          <w:bCs w:val="0"/>
          <w:color w:val="auto"/>
          <w:kern w:val="2"/>
          <w:sz w:val="21"/>
          <w:szCs w:val="27"/>
          <w:highlight w:val="none"/>
          <w:lang w:val="en-US" w:eastAsia="zh-CN" w:bidi="ar-SA"/>
        </w:rPr>
      </w:pPr>
      <w:r>
        <w:rPr>
          <w:rFonts w:hint="eastAsia" w:ascii="宋体" w:hAnsi="宋体" w:eastAsia="宋体" w:cs="宋体"/>
          <w:b w:val="0"/>
          <w:bCs w:val="0"/>
          <w:color w:val="auto"/>
          <w:kern w:val="2"/>
          <w:sz w:val="21"/>
          <w:szCs w:val="27"/>
          <w:highlight w:val="none"/>
          <w:lang w:val="en-US" w:eastAsia="zh-CN" w:bidi="ar-SA"/>
        </w:rPr>
        <w:t>3、甲、乙双方均有权利向本项目具有监管职能的政府采购监督管理部门举报反映对方在合同履约中的违法违纪行为。</w:t>
      </w:r>
    </w:p>
    <w:p w14:paraId="40C75C35">
      <w:pPr>
        <w:pageBreakBefore w:val="0"/>
        <w:widowControl w:val="0"/>
        <w:wordWrap/>
        <w:topLinePunct w:val="0"/>
        <w:autoSpaceDE/>
        <w:autoSpaceDN/>
        <w:bidi w:val="0"/>
        <w:adjustRightInd/>
        <w:snapToGrid/>
        <w:spacing w:line="360" w:lineRule="auto"/>
        <w:ind w:firstLine="422" w:firstLineChars="200"/>
        <w:jc w:val="both"/>
        <w:textAlignment w:val="auto"/>
        <w:outlineLvl w:val="9"/>
        <w:rPr>
          <w:rFonts w:hint="eastAsia" w:ascii="宋体" w:hAnsi="宋体" w:eastAsia="宋体" w:cs="宋体"/>
          <w:b/>
          <w:bCs/>
          <w:color w:val="auto"/>
          <w:szCs w:val="27"/>
          <w:highlight w:val="none"/>
        </w:rPr>
      </w:pPr>
      <w:r>
        <w:rPr>
          <w:rFonts w:hint="eastAsia" w:ascii="宋体" w:hAnsi="宋体" w:eastAsia="宋体" w:cs="宋体"/>
          <w:b/>
          <w:bCs/>
          <w:color w:val="auto"/>
          <w:szCs w:val="27"/>
          <w:highlight w:val="none"/>
        </w:rPr>
        <w:t>第十七条 其他</w:t>
      </w:r>
    </w:p>
    <w:p w14:paraId="78647FD9">
      <w:pPr>
        <w:pageBreakBefore w:val="0"/>
        <w:widowControl w:val="0"/>
        <w:wordWrap/>
        <w:topLinePunct w:val="0"/>
        <w:autoSpaceDE/>
        <w:autoSpaceDN/>
        <w:bidi w:val="0"/>
        <w:adjustRightInd/>
        <w:snapToGrid/>
        <w:spacing w:line="360" w:lineRule="auto"/>
        <w:ind w:firstLine="422" w:firstLineChars="200"/>
        <w:jc w:val="both"/>
        <w:textAlignment w:val="auto"/>
        <w:outlineLvl w:val="9"/>
        <w:rPr>
          <w:rFonts w:hint="eastAsia" w:ascii="宋体" w:hAnsi="宋体" w:eastAsia="宋体" w:cs="宋体"/>
          <w:color w:val="auto"/>
          <w:szCs w:val="27"/>
          <w:highlight w:val="none"/>
        </w:rPr>
      </w:pPr>
      <w:r>
        <w:rPr>
          <w:rFonts w:hint="eastAsia" w:ascii="宋体" w:hAnsi="宋体" w:eastAsia="宋体" w:cs="宋体"/>
          <w:b/>
          <w:bCs/>
          <w:color w:val="auto"/>
          <w:szCs w:val="27"/>
          <w:highlight w:val="none"/>
        </w:rPr>
        <w:t xml:space="preserve"> </w:t>
      </w:r>
      <w:r>
        <w:rPr>
          <w:rFonts w:hint="eastAsia" w:ascii="宋体" w:hAnsi="宋体" w:eastAsia="宋体" w:cs="宋体"/>
          <w:color w:val="auto"/>
          <w:szCs w:val="27"/>
          <w:highlight w:val="none"/>
        </w:rPr>
        <w:t>下列关于周口市公共资源交易中心政府采购代理机构名称</w:t>
      </w:r>
      <w:r>
        <w:rPr>
          <w:rFonts w:hint="eastAsia" w:ascii="宋体" w:hAnsi="宋体" w:eastAsia="宋体" w:cs="宋体"/>
          <w:color w:val="auto"/>
          <w:szCs w:val="27"/>
          <w:highlight w:val="none"/>
          <w:u w:val="single"/>
        </w:rPr>
        <w:t>某项目（项目编号：某编号）</w:t>
      </w:r>
      <w:r>
        <w:rPr>
          <w:rFonts w:hint="eastAsia" w:ascii="宋体" w:hAnsi="宋体" w:eastAsia="宋体" w:cs="宋体"/>
          <w:color w:val="auto"/>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F3623B8">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szCs w:val="27"/>
          <w:highlight w:val="none"/>
        </w:rPr>
      </w:pPr>
      <w:r>
        <w:rPr>
          <w:rFonts w:hint="eastAsia" w:ascii="宋体" w:hAnsi="宋体" w:eastAsia="宋体" w:cs="宋体"/>
          <w:color w:val="auto"/>
          <w:szCs w:val="27"/>
          <w:highlight w:val="none"/>
        </w:rPr>
        <w:t xml:space="preserve">    </w:t>
      </w:r>
      <w:r>
        <w:rPr>
          <w:rFonts w:hint="eastAsia" w:ascii="宋体" w:hAnsi="宋体" w:eastAsia="宋体" w:cs="宋体"/>
          <w:color w:val="auto"/>
          <w:highlight w:val="none"/>
        </w:rPr>
        <w:t>本合同一式</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份，甲乙双方各执</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份</w:t>
      </w:r>
      <w:r>
        <w:rPr>
          <w:rFonts w:hint="eastAsia" w:ascii="宋体" w:hAnsi="宋体" w:cs="宋体"/>
          <w:color w:val="auto"/>
          <w:highlight w:val="none"/>
          <w:lang w:eastAsia="zh-CN"/>
        </w:rPr>
        <w:t>，</w:t>
      </w:r>
      <w:r>
        <w:rPr>
          <w:rFonts w:hint="eastAsia" w:ascii="宋体" w:hAnsi="宋体" w:eastAsia="宋体" w:cs="宋体"/>
          <w:color w:val="auto"/>
          <w:highlight w:val="none"/>
        </w:rPr>
        <w:t>自双方当事人签字盖章之日起生效。</w:t>
      </w:r>
    </w:p>
    <w:p w14:paraId="2457B7C4">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szCs w:val="27"/>
          <w:highlight w:val="none"/>
        </w:rPr>
      </w:pPr>
    </w:p>
    <w:p w14:paraId="6F6155D4">
      <w:pPr>
        <w:pStyle w:val="43"/>
        <w:pageBreakBefore w:val="0"/>
        <w:widowControl w:val="0"/>
        <w:wordWrap/>
        <w:topLinePunct w:val="0"/>
        <w:autoSpaceDE/>
        <w:autoSpaceDN/>
        <w:bidi w:val="0"/>
        <w:adjustRightInd/>
        <w:snapToGrid/>
        <w:ind w:firstLine="240"/>
        <w:textAlignment w:val="auto"/>
        <w:outlineLvl w:val="9"/>
        <w:rPr>
          <w:rFonts w:hint="eastAsia" w:ascii="宋体" w:hAnsi="宋体" w:eastAsia="宋体" w:cs="宋体"/>
          <w:color w:val="auto"/>
          <w:highlight w:val="none"/>
        </w:rPr>
      </w:pPr>
    </w:p>
    <w:p w14:paraId="16568093">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szCs w:val="27"/>
          <w:highlight w:val="none"/>
        </w:rPr>
      </w:pPr>
      <w:r>
        <w:rPr>
          <w:rFonts w:hint="eastAsia" w:ascii="宋体" w:hAnsi="宋体" w:eastAsia="宋体" w:cs="宋体"/>
          <w:color w:val="auto"/>
          <w:szCs w:val="27"/>
          <w:highlight w:val="none"/>
        </w:rPr>
        <w:t xml:space="preserve">采购人（甲方）：    （公章）          供货人（乙方）：     （公章）  </w:t>
      </w:r>
    </w:p>
    <w:p w14:paraId="617C63C1">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szCs w:val="27"/>
          <w:highlight w:val="none"/>
        </w:rPr>
        <w:t>地址：                               地址：</w:t>
      </w:r>
    </w:p>
    <w:p w14:paraId="1DCB9238">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szCs w:val="27"/>
          <w:highlight w:val="none"/>
        </w:rPr>
      </w:pPr>
      <w:r>
        <w:rPr>
          <w:rFonts w:hint="eastAsia" w:ascii="宋体" w:hAnsi="宋体" w:eastAsia="宋体" w:cs="宋体"/>
          <w:color w:val="auto"/>
          <w:szCs w:val="27"/>
          <w:highlight w:val="none"/>
        </w:rPr>
        <w:t>法定代表人：                         法定代表人：</w:t>
      </w:r>
    </w:p>
    <w:p w14:paraId="42433D2D">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szCs w:val="27"/>
          <w:highlight w:val="none"/>
        </w:rPr>
        <w:t>委托代理人：                         委托代理人：</w:t>
      </w:r>
    </w:p>
    <w:p w14:paraId="12D490B6">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电话：                               电话：</w:t>
      </w:r>
    </w:p>
    <w:p w14:paraId="216EAA5E">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szCs w:val="27"/>
          <w:highlight w:val="none"/>
        </w:rPr>
      </w:pPr>
      <w:r>
        <w:rPr>
          <w:rFonts w:hint="eastAsia" w:ascii="宋体" w:hAnsi="宋体" w:eastAsia="宋体" w:cs="宋体"/>
          <w:color w:val="auto"/>
          <w:szCs w:val="27"/>
          <w:highlight w:val="none"/>
        </w:rPr>
        <w:t>开户银行：                           开户银行：</w:t>
      </w:r>
    </w:p>
    <w:p w14:paraId="21EB7F93">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szCs w:val="27"/>
          <w:highlight w:val="none"/>
        </w:rPr>
        <w:t>账号：                               账号：</w:t>
      </w:r>
    </w:p>
    <w:p w14:paraId="4B650772">
      <w:pPr>
        <w:pageBreakBefore w:val="0"/>
        <w:widowControl w:val="0"/>
        <w:wordWrap/>
        <w:topLinePunct w:val="0"/>
        <w:autoSpaceDE/>
        <w:autoSpaceDN/>
        <w:bidi w:val="0"/>
        <w:adjustRightInd/>
        <w:snapToGrid/>
        <w:spacing w:line="640" w:lineRule="exact"/>
        <w:ind w:firstLine="420" w:firstLineChars="200"/>
        <w:jc w:val="both"/>
        <w:textAlignment w:val="auto"/>
        <w:outlineLvl w:val="9"/>
        <w:rPr>
          <w:rFonts w:hint="eastAsia" w:ascii="宋体" w:hAnsi="宋体" w:eastAsia="宋体" w:cs="宋体"/>
          <w:color w:val="auto"/>
          <w:szCs w:val="27"/>
          <w:highlight w:val="none"/>
          <w:u w:val="single"/>
        </w:rPr>
      </w:pPr>
    </w:p>
    <w:p w14:paraId="40835AAD">
      <w:pPr>
        <w:pStyle w:val="43"/>
        <w:pageBreakBefore w:val="0"/>
        <w:widowControl w:val="0"/>
        <w:wordWrap/>
        <w:topLinePunct w:val="0"/>
        <w:autoSpaceDE/>
        <w:autoSpaceDN/>
        <w:bidi w:val="0"/>
        <w:adjustRightInd/>
        <w:snapToGrid/>
        <w:ind w:firstLine="321"/>
        <w:jc w:val="both"/>
        <w:textAlignment w:val="auto"/>
        <w:outlineLvl w:val="9"/>
        <w:rPr>
          <w:rFonts w:hint="eastAsia"/>
          <w:b/>
          <w:color w:val="auto"/>
          <w:sz w:val="32"/>
          <w:szCs w:val="32"/>
          <w:highlight w:val="none"/>
        </w:rPr>
      </w:pPr>
      <w:r>
        <w:rPr>
          <w:rFonts w:hint="eastAsia" w:ascii="宋体" w:hAnsi="宋体" w:cs="宋体"/>
          <w:color w:val="auto"/>
          <w:szCs w:val="27"/>
          <w:highlight w:val="none"/>
          <w:u w:val="single"/>
          <w:lang w:val="en-US" w:eastAsia="zh-CN"/>
        </w:rPr>
        <w:t xml:space="preserve">       </w:t>
      </w:r>
      <w:r>
        <w:rPr>
          <w:rFonts w:hint="eastAsia" w:ascii="宋体" w:hAnsi="宋体" w:eastAsia="宋体" w:cs="宋体"/>
          <w:color w:val="auto"/>
          <w:szCs w:val="27"/>
          <w:highlight w:val="none"/>
        </w:rPr>
        <w:t>年</w:t>
      </w:r>
      <w:r>
        <w:rPr>
          <w:rFonts w:hint="eastAsia" w:ascii="宋体" w:hAnsi="宋体" w:cs="宋体"/>
          <w:color w:val="auto"/>
          <w:szCs w:val="27"/>
          <w:highlight w:val="none"/>
          <w:lang w:val="en-US" w:eastAsia="zh-CN"/>
        </w:rPr>
        <w:t xml:space="preserve"> </w:t>
      </w:r>
      <w:r>
        <w:rPr>
          <w:rFonts w:hint="eastAsia" w:ascii="宋体" w:hAnsi="宋体" w:cs="宋体"/>
          <w:color w:val="auto"/>
          <w:szCs w:val="27"/>
          <w:highlight w:val="none"/>
          <w:u w:val="single"/>
          <w:lang w:val="en-US" w:eastAsia="zh-CN"/>
        </w:rPr>
        <w:t xml:space="preserve">    </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月</w:t>
      </w:r>
      <w:r>
        <w:rPr>
          <w:rFonts w:hint="eastAsia" w:ascii="宋体" w:hAnsi="宋体" w:cs="宋体"/>
          <w:color w:val="auto"/>
          <w:szCs w:val="27"/>
          <w:highlight w:val="none"/>
          <w:u w:val="single"/>
          <w:lang w:val="en-US" w:eastAsia="zh-CN"/>
        </w:rPr>
        <w:t xml:space="preserve">     </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 xml:space="preserve">日           </w:t>
      </w:r>
      <w:r>
        <w:rPr>
          <w:rFonts w:hint="eastAsia" w:ascii="宋体" w:hAnsi="宋体" w:eastAsia="宋体" w:cs="宋体"/>
          <w:color w:val="auto"/>
          <w:szCs w:val="27"/>
          <w:highlight w:val="none"/>
          <w:lang w:val="en-US"/>
        </w:rPr>
        <w:t xml:space="preserve">          </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年</w:t>
      </w:r>
      <w:r>
        <w:rPr>
          <w:rFonts w:hint="eastAsia" w:ascii="宋体" w:hAnsi="宋体" w:cs="宋体"/>
          <w:color w:val="auto"/>
          <w:szCs w:val="27"/>
          <w:highlight w:val="none"/>
          <w:u w:val="single"/>
          <w:lang w:val="en-US" w:eastAsia="zh-CN"/>
        </w:rPr>
        <w:t xml:space="preserve">    </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月</w:t>
      </w:r>
      <w:r>
        <w:rPr>
          <w:rFonts w:hint="eastAsia" w:ascii="宋体" w:hAnsi="宋体" w:cs="宋体"/>
          <w:color w:val="auto"/>
          <w:szCs w:val="27"/>
          <w:highlight w:val="none"/>
          <w:u w:val="single"/>
          <w:lang w:val="en-US" w:eastAsia="zh-CN"/>
        </w:rPr>
        <w:t xml:space="preserve">     </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日</w:t>
      </w:r>
    </w:p>
    <w:p w14:paraId="73FADD2E">
      <w:pPr>
        <w:pStyle w:val="43"/>
        <w:ind w:firstLine="321"/>
        <w:jc w:val="center"/>
        <w:rPr>
          <w:rFonts w:hint="eastAsia"/>
          <w:b/>
          <w:color w:val="auto"/>
          <w:sz w:val="32"/>
          <w:szCs w:val="32"/>
          <w:highlight w:val="none"/>
        </w:rPr>
      </w:pPr>
    </w:p>
    <w:p w14:paraId="5FFF43CF">
      <w:pPr>
        <w:pStyle w:val="43"/>
        <w:ind w:firstLine="321"/>
        <w:jc w:val="center"/>
        <w:rPr>
          <w:rFonts w:hint="eastAsia"/>
          <w:b/>
          <w:color w:val="auto"/>
          <w:sz w:val="32"/>
          <w:szCs w:val="32"/>
          <w:highlight w:val="none"/>
        </w:rPr>
      </w:pPr>
    </w:p>
    <w:p w14:paraId="3649EDB7">
      <w:pPr>
        <w:pStyle w:val="43"/>
        <w:ind w:firstLine="321"/>
        <w:jc w:val="center"/>
        <w:rPr>
          <w:rFonts w:hint="eastAsia"/>
          <w:b/>
          <w:color w:val="auto"/>
          <w:sz w:val="32"/>
          <w:szCs w:val="32"/>
          <w:highlight w:val="none"/>
        </w:rPr>
      </w:pPr>
    </w:p>
    <w:p w14:paraId="63ADC447">
      <w:pPr>
        <w:pStyle w:val="43"/>
        <w:ind w:firstLine="321"/>
        <w:jc w:val="center"/>
        <w:rPr>
          <w:rFonts w:hint="eastAsia"/>
          <w:b/>
          <w:color w:val="auto"/>
          <w:sz w:val="32"/>
          <w:szCs w:val="32"/>
          <w:highlight w:val="none"/>
        </w:rPr>
      </w:pPr>
    </w:p>
    <w:p w14:paraId="28F12959">
      <w:pPr>
        <w:rPr>
          <w:rFonts w:hint="eastAsia"/>
          <w:b/>
          <w:color w:val="auto"/>
          <w:sz w:val="32"/>
          <w:szCs w:val="32"/>
          <w:highlight w:val="none"/>
        </w:rPr>
      </w:pPr>
      <w:r>
        <w:rPr>
          <w:rFonts w:hint="eastAsia"/>
          <w:b/>
          <w:color w:val="auto"/>
          <w:sz w:val="32"/>
          <w:szCs w:val="32"/>
          <w:highlight w:val="none"/>
        </w:rPr>
        <w:br w:type="page"/>
      </w:r>
    </w:p>
    <w:p w14:paraId="7FC6A3B8">
      <w:pPr>
        <w:pStyle w:val="43"/>
        <w:keepNext w:val="0"/>
        <w:keepLines w:val="0"/>
        <w:pageBreakBefore w:val="0"/>
        <w:kinsoku/>
        <w:wordWrap/>
        <w:overflowPunct/>
        <w:topLinePunct w:val="0"/>
        <w:autoSpaceDE/>
        <w:autoSpaceDN/>
        <w:bidi w:val="0"/>
        <w:adjustRightInd/>
        <w:snapToGrid/>
        <w:spacing w:line="600" w:lineRule="exact"/>
        <w:ind w:firstLine="321"/>
        <w:jc w:val="center"/>
        <w:textAlignment w:val="auto"/>
        <w:rPr>
          <w:b/>
          <w:color w:val="auto"/>
          <w:sz w:val="32"/>
          <w:szCs w:val="32"/>
          <w:highlight w:val="none"/>
        </w:rPr>
      </w:pPr>
      <w:r>
        <w:rPr>
          <w:rFonts w:hint="eastAsia"/>
          <w:b/>
          <w:color w:val="auto"/>
          <w:sz w:val="32"/>
          <w:szCs w:val="32"/>
          <w:highlight w:val="none"/>
        </w:rPr>
        <w:t>周口市政府采购合同融资政策告知函</w:t>
      </w:r>
    </w:p>
    <w:p w14:paraId="56C3CD1C">
      <w:pPr>
        <w:pStyle w:val="43"/>
        <w:keepNext w:val="0"/>
        <w:keepLines w:val="0"/>
        <w:pageBreakBefore w:val="0"/>
        <w:kinsoku/>
        <w:wordWrap/>
        <w:overflowPunct/>
        <w:topLinePunct w:val="0"/>
        <w:autoSpaceDE/>
        <w:autoSpaceDN/>
        <w:bidi w:val="0"/>
        <w:adjustRightInd/>
        <w:snapToGrid/>
        <w:spacing w:line="600" w:lineRule="exact"/>
        <w:ind w:firstLine="240"/>
        <w:textAlignment w:val="auto"/>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各供应商：</w:t>
      </w:r>
    </w:p>
    <w:p w14:paraId="52C81242">
      <w:pPr>
        <w:pStyle w:val="43"/>
        <w:keepNext w:val="0"/>
        <w:keepLines w:val="0"/>
        <w:pageBreakBefore w:val="0"/>
        <w:kinsoku/>
        <w:wordWrap/>
        <w:overflowPunct/>
        <w:topLinePunct w:val="0"/>
        <w:autoSpaceDE/>
        <w:autoSpaceDN/>
        <w:bidi w:val="0"/>
        <w:adjustRightInd/>
        <w:snapToGrid/>
        <w:spacing w:line="600" w:lineRule="exact"/>
        <w:ind w:firstLine="240"/>
        <w:textAlignment w:val="auto"/>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欢迎贵公司参与周口市政府采购活动！</w:t>
      </w:r>
    </w:p>
    <w:p w14:paraId="3447E00B">
      <w:pPr>
        <w:pStyle w:val="43"/>
        <w:keepNext w:val="0"/>
        <w:keepLines w:val="0"/>
        <w:pageBreakBefore w:val="0"/>
        <w:kinsoku/>
        <w:wordWrap/>
        <w:overflowPunct/>
        <w:topLinePunct w:val="0"/>
        <w:autoSpaceDE/>
        <w:autoSpaceDN/>
        <w:bidi w:val="0"/>
        <w:adjustRightInd/>
        <w:snapToGrid/>
        <w:spacing w:line="600" w:lineRule="exact"/>
        <w:ind w:firstLine="240"/>
        <w:textAlignment w:val="auto"/>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57D0BEB8">
      <w:pPr>
        <w:pStyle w:val="43"/>
        <w:keepNext w:val="0"/>
        <w:keepLines w:val="0"/>
        <w:pageBreakBefore w:val="0"/>
        <w:kinsoku/>
        <w:wordWrap/>
        <w:overflowPunct/>
        <w:topLinePunct w:val="0"/>
        <w:autoSpaceDE/>
        <w:autoSpaceDN/>
        <w:bidi w:val="0"/>
        <w:adjustRightInd/>
        <w:snapToGrid/>
        <w:spacing w:line="600" w:lineRule="exact"/>
        <w:ind w:firstLine="240"/>
        <w:textAlignment w:val="auto"/>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贷款渠道和提供贷款的金融机构，可在河南省政府采购网“河南省政府采购合同融资平台”查询联系。</w:t>
      </w:r>
    </w:p>
    <w:p w14:paraId="17A79392">
      <w:pPr>
        <w:rPr>
          <w:rFonts w:hint="eastAsia" w:eastAsia="宋体"/>
          <w:color w:val="auto"/>
          <w:highlight w:val="none"/>
          <w:lang w:val="en-US" w:eastAsia="zh-CN"/>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6" w:usb3="00000000" w:csb0="00040001" w:csb1="00000000"/>
  </w:font>
  <w:font w:name="华文楷体">
    <w:panose1 w:val="02010600040101010101"/>
    <w:charset w:val="86"/>
    <w:family w:val="auto"/>
    <w:pitch w:val="default"/>
    <w:sig w:usb0="00000287" w:usb1="080F0000" w:usb2="00000000" w:usb3="00000000" w:csb0="0004009F" w:csb1="DFD7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869654">
    <w:pPr>
      <w:pStyle w:val="18"/>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75518C"/>
    <w:multiLevelType w:val="singleLevel"/>
    <w:tmpl w:val="B075518C"/>
    <w:lvl w:ilvl="0" w:tentative="0">
      <w:start w:val="2"/>
      <w:numFmt w:val="chineseCounting"/>
      <w:suff w:val="space"/>
      <w:lvlText w:val="第%1章"/>
      <w:lvlJc w:val="left"/>
      <w:rPr>
        <w:rFonts w:hint="eastAsia"/>
      </w:rPr>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600476A0"/>
    <w:multiLevelType w:val="singleLevel"/>
    <w:tmpl w:val="600476A0"/>
    <w:lvl w:ilvl="0" w:tentative="0">
      <w:start w:val="8"/>
      <w:numFmt w:val="chineseCounting"/>
      <w:suff w:val="nothing"/>
      <w:lvlText w:val="%1、"/>
      <w:lvlJc w:val="left"/>
      <w:rPr>
        <w:rFonts w:hint="eastAsia"/>
      </w:rPr>
    </w:lvl>
  </w:abstractNum>
  <w:num w:numId="1">
    <w:abstractNumId w:val="4"/>
  </w:num>
  <w:num w:numId="2">
    <w:abstractNumId w:val="0"/>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2126D"/>
    <w:rsid w:val="00621B09"/>
    <w:rsid w:val="006227BE"/>
    <w:rsid w:val="0063018F"/>
    <w:rsid w:val="00632A25"/>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2B07FF7"/>
    <w:rsid w:val="02B71C54"/>
    <w:rsid w:val="03733BDF"/>
    <w:rsid w:val="03A308DC"/>
    <w:rsid w:val="03FF40EC"/>
    <w:rsid w:val="040532BA"/>
    <w:rsid w:val="04176582"/>
    <w:rsid w:val="051259ED"/>
    <w:rsid w:val="07041580"/>
    <w:rsid w:val="07932A4C"/>
    <w:rsid w:val="08DB1CFF"/>
    <w:rsid w:val="090E6DE2"/>
    <w:rsid w:val="0A9E30AD"/>
    <w:rsid w:val="0BA15CEB"/>
    <w:rsid w:val="0BEB3B44"/>
    <w:rsid w:val="0C0644C0"/>
    <w:rsid w:val="0C237C54"/>
    <w:rsid w:val="0C8E134E"/>
    <w:rsid w:val="0CF620E9"/>
    <w:rsid w:val="0EFD148A"/>
    <w:rsid w:val="0FC03B56"/>
    <w:rsid w:val="10D62AA4"/>
    <w:rsid w:val="13552B79"/>
    <w:rsid w:val="13793DF7"/>
    <w:rsid w:val="141C4A83"/>
    <w:rsid w:val="14354A58"/>
    <w:rsid w:val="14677422"/>
    <w:rsid w:val="152E6B10"/>
    <w:rsid w:val="15BF1042"/>
    <w:rsid w:val="1656732A"/>
    <w:rsid w:val="181939B9"/>
    <w:rsid w:val="18D74DC1"/>
    <w:rsid w:val="1AED58EF"/>
    <w:rsid w:val="1C136A3C"/>
    <w:rsid w:val="1C3F3CE2"/>
    <w:rsid w:val="1C9B22E3"/>
    <w:rsid w:val="1D4D5AD2"/>
    <w:rsid w:val="1D5979FC"/>
    <w:rsid w:val="1F397F3B"/>
    <w:rsid w:val="1F3A0BB5"/>
    <w:rsid w:val="1FA92FCB"/>
    <w:rsid w:val="1FE554B2"/>
    <w:rsid w:val="1FFC12EA"/>
    <w:rsid w:val="20193BC8"/>
    <w:rsid w:val="220D398C"/>
    <w:rsid w:val="2301566F"/>
    <w:rsid w:val="24013925"/>
    <w:rsid w:val="24165293"/>
    <w:rsid w:val="2482721D"/>
    <w:rsid w:val="249441E7"/>
    <w:rsid w:val="24A10BF5"/>
    <w:rsid w:val="24D70B68"/>
    <w:rsid w:val="2520064C"/>
    <w:rsid w:val="262E41DD"/>
    <w:rsid w:val="26AB07CC"/>
    <w:rsid w:val="287B63A6"/>
    <w:rsid w:val="29613C02"/>
    <w:rsid w:val="2A2273AF"/>
    <w:rsid w:val="2A397C18"/>
    <w:rsid w:val="2A5015D5"/>
    <w:rsid w:val="2A954815"/>
    <w:rsid w:val="2AF63392"/>
    <w:rsid w:val="2B8E1816"/>
    <w:rsid w:val="2BA67492"/>
    <w:rsid w:val="2C66791C"/>
    <w:rsid w:val="2CDA2336"/>
    <w:rsid w:val="2D221D01"/>
    <w:rsid w:val="2D676A80"/>
    <w:rsid w:val="2D773818"/>
    <w:rsid w:val="2D7A3266"/>
    <w:rsid w:val="2F5F2B72"/>
    <w:rsid w:val="30CC201B"/>
    <w:rsid w:val="312513B2"/>
    <w:rsid w:val="31B042BF"/>
    <w:rsid w:val="31F12401"/>
    <w:rsid w:val="31FE7144"/>
    <w:rsid w:val="31FF5F72"/>
    <w:rsid w:val="32035D60"/>
    <w:rsid w:val="320D7387"/>
    <w:rsid w:val="326E6953"/>
    <w:rsid w:val="33523A32"/>
    <w:rsid w:val="33883169"/>
    <w:rsid w:val="34221BAB"/>
    <w:rsid w:val="34D21265"/>
    <w:rsid w:val="36B83084"/>
    <w:rsid w:val="36D23A94"/>
    <w:rsid w:val="37142E18"/>
    <w:rsid w:val="376940D0"/>
    <w:rsid w:val="38204506"/>
    <w:rsid w:val="39321D68"/>
    <w:rsid w:val="39DE13A3"/>
    <w:rsid w:val="3A1A4D37"/>
    <w:rsid w:val="3B3A7CAA"/>
    <w:rsid w:val="3B7F12F6"/>
    <w:rsid w:val="3BAB296D"/>
    <w:rsid w:val="3BAE6CD9"/>
    <w:rsid w:val="3BF44B1A"/>
    <w:rsid w:val="3C3000ED"/>
    <w:rsid w:val="3C30439E"/>
    <w:rsid w:val="3D232399"/>
    <w:rsid w:val="3D2E2D19"/>
    <w:rsid w:val="3D31181A"/>
    <w:rsid w:val="3DC87CB2"/>
    <w:rsid w:val="3F1749BD"/>
    <w:rsid w:val="3F4F365B"/>
    <w:rsid w:val="3F9A5B70"/>
    <w:rsid w:val="41093759"/>
    <w:rsid w:val="41380196"/>
    <w:rsid w:val="41415EFF"/>
    <w:rsid w:val="415033B6"/>
    <w:rsid w:val="415723CD"/>
    <w:rsid w:val="41D026B4"/>
    <w:rsid w:val="42A96C58"/>
    <w:rsid w:val="432A7D99"/>
    <w:rsid w:val="43747266"/>
    <w:rsid w:val="43A947A8"/>
    <w:rsid w:val="452567EA"/>
    <w:rsid w:val="46886BA6"/>
    <w:rsid w:val="46C04E4C"/>
    <w:rsid w:val="47213A23"/>
    <w:rsid w:val="47E66258"/>
    <w:rsid w:val="48524AAD"/>
    <w:rsid w:val="489B7043"/>
    <w:rsid w:val="490552AA"/>
    <w:rsid w:val="49B54134"/>
    <w:rsid w:val="4AB80B86"/>
    <w:rsid w:val="4B7A4CDC"/>
    <w:rsid w:val="4C563873"/>
    <w:rsid w:val="4FFA680C"/>
    <w:rsid w:val="50981A4B"/>
    <w:rsid w:val="50AF4B29"/>
    <w:rsid w:val="51361FFF"/>
    <w:rsid w:val="52390069"/>
    <w:rsid w:val="528D1696"/>
    <w:rsid w:val="5297524A"/>
    <w:rsid w:val="52C65479"/>
    <w:rsid w:val="52CB2821"/>
    <w:rsid w:val="535624E4"/>
    <w:rsid w:val="542F765C"/>
    <w:rsid w:val="54914939"/>
    <w:rsid w:val="54EB5EC1"/>
    <w:rsid w:val="554D13F6"/>
    <w:rsid w:val="55CC2F32"/>
    <w:rsid w:val="574761CB"/>
    <w:rsid w:val="57580486"/>
    <w:rsid w:val="57835872"/>
    <w:rsid w:val="59DA41E0"/>
    <w:rsid w:val="5A2424B3"/>
    <w:rsid w:val="5A3906A0"/>
    <w:rsid w:val="5A9919E3"/>
    <w:rsid w:val="5B2A7B0A"/>
    <w:rsid w:val="5B417B6B"/>
    <w:rsid w:val="5B54373E"/>
    <w:rsid w:val="5BC745F2"/>
    <w:rsid w:val="5CA161B2"/>
    <w:rsid w:val="5EAE33B7"/>
    <w:rsid w:val="5EE21916"/>
    <w:rsid w:val="5F4417E0"/>
    <w:rsid w:val="5F88669E"/>
    <w:rsid w:val="61AB772F"/>
    <w:rsid w:val="61BE7A84"/>
    <w:rsid w:val="622F04A1"/>
    <w:rsid w:val="62707B3A"/>
    <w:rsid w:val="63112928"/>
    <w:rsid w:val="645C0879"/>
    <w:rsid w:val="64741C1C"/>
    <w:rsid w:val="648C064A"/>
    <w:rsid w:val="64F810E3"/>
    <w:rsid w:val="656B3097"/>
    <w:rsid w:val="658C5FFD"/>
    <w:rsid w:val="658F3CA6"/>
    <w:rsid w:val="66AB4942"/>
    <w:rsid w:val="66EC16FF"/>
    <w:rsid w:val="687951D6"/>
    <w:rsid w:val="68AB69AF"/>
    <w:rsid w:val="68D653C8"/>
    <w:rsid w:val="68D85250"/>
    <w:rsid w:val="698D4180"/>
    <w:rsid w:val="69B4363E"/>
    <w:rsid w:val="6ADE3093"/>
    <w:rsid w:val="6D1F0B58"/>
    <w:rsid w:val="6D3654A5"/>
    <w:rsid w:val="6EB24C26"/>
    <w:rsid w:val="6FB8227E"/>
    <w:rsid w:val="70CD427C"/>
    <w:rsid w:val="715045BF"/>
    <w:rsid w:val="720C6738"/>
    <w:rsid w:val="73014445"/>
    <w:rsid w:val="730168F4"/>
    <w:rsid w:val="74170E85"/>
    <w:rsid w:val="75DC35E9"/>
    <w:rsid w:val="760D3B3A"/>
    <w:rsid w:val="76960CC6"/>
    <w:rsid w:val="77FA11D3"/>
    <w:rsid w:val="789E6834"/>
    <w:rsid w:val="79DD67E6"/>
    <w:rsid w:val="7BCF79D9"/>
    <w:rsid w:val="7BDD493C"/>
    <w:rsid w:val="7BF1475D"/>
    <w:rsid w:val="7C1A4C7A"/>
    <w:rsid w:val="7C444892"/>
    <w:rsid w:val="7CAE7448"/>
    <w:rsid w:val="7D8B0C03"/>
    <w:rsid w:val="7DF36BF7"/>
    <w:rsid w:val="7E543E84"/>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46"/>
    <w:qFormat/>
    <w:uiPriority w:val="0"/>
    <w:pPr>
      <w:keepNext/>
      <w:keepLines/>
      <w:spacing w:before="260" w:after="260" w:line="416" w:lineRule="auto"/>
      <w:outlineLvl w:val="2"/>
    </w:pPr>
    <w:rPr>
      <w:b/>
      <w:bCs/>
      <w:sz w:val="32"/>
      <w:szCs w:val="32"/>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Document Map"/>
    <w:basedOn w:val="1"/>
    <w:link w:val="54"/>
    <w:qFormat/>
    <w:uiPriority w:val="0"/>
    <w:rPr>
      <w:rFonts w:ascii="宋体"/>
      <w:sz w:val="18"/>
      <w:szCs w:val="18"/>
    </w:rPr>
  </w:style>
  <w:style w:type="paragraph" w:styleId="7">
    <w:name w:val="annotation text"/>
    <w:basedOn w:val="1"/>
    <w:link w:val="53"/>
    <w:qFormat/>
    <w:uiPriority w:val="0"/>
    <w:pPr>
      <w:jc w:val="left"/>
    </w:pPr>
  </w:style>
  <w:style w:type="paragraph" w:styleId="8">
    <w:name w:val="Body Text 3"/>
    <w:basedOn w:val="1"/>
    <w:qFormat/>
    <w:uiPriority w:val="0"/>
    <w:pPr>
      <w:spacing w:after="120"/>
    </w:pPr>
    <w:rPr>
      <w:sz w:val="16"/>
      <w:szCs w:val="16"/>
    </w:rPr>
  </w:style>
  <w:style w:type="paragraph" w:styleId="9">
    <w:name w:val="Body Text"/>
    <w:basedOn w:val="1"/>
    <w:next w:val="10"/>
    <w:link w:val="51"/>
    <w:qFormat/>
    <w:uiPriority w:val="99"/>
    <w:pPr>
      <w:spacing w:after="120"/>
    </w:pPr>
  </w:style>
  <w:style w:type="paragraph" w:customStyle="1" w:styleId="10">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1">
    <w:name w:val="Body Text Indent"/>
    <w:basedOn w:val="1"/>
    <w:next w:val="12"/>
    <w:qFormat/>
    <w:uiPriority w:val="0"/>
    <w:pPr>
      <w:ind w:firstLine="632" w:firstLineChars="200"/>
    </w:pPr>
    <w:rPr>
      <w:rFonts w:ascii="仿宋_GB2312" w:hAnsi="华文楷体" w:eastAsia="仿宋_GB2312"/>
      <w:sz w:val="32"/>
    </w:rPr>
  </w:style>
  <w:style w:type="paragraph" w:styleId="12">
    <w:name w:val="envelope return"/>
    <w:basedOn w:val="1"/>
    <w:qFormat/>
    <w:uiPriority w:val="99"/>
    <w:pPr>
      <w:snapToGrid w:val="0"/>
    </w:pPr>
    <w:rPr>
      <w:rFonts w:ascii="Arial" w:hAnsi="Arial"/>
    </w:rPr>
  </w:style>
  <w:style w:type="paragraph" w:styleId="13">
    <w:name w:val="List 2"/>
    <w:basedOn w:val="1"/>
    <w:qFormat/>
    <w:uiPriority w:val="0"/>
    <w:pPr>
      <w:ind w:left="400" w:leftChars="200" w:hanging="200" w:hangingChars="200"/>
    </w:pPr>
  </w:style>
  <w:style w:type="paragraph" w:styleId="14">
    <w:name w:val="Plain Text"/>
    <w:basedOn w:val="1"/>
    <w:link w:val="59"/>
    <w:qFormat/>
    <w:uiPriority w:val="99"/>
    <w:rPr>
      <w:rFonts w:ascii="宋体" w:hAnsi="Courier New"/>
      <w:szCs w:val="20"/>
    </w:rPr>
  </w:style>
  <w:style w:type="paragraph" w:styleId="15">
    <w:name w:val="Date"/>
    <w:basedOn w:val="1"/>
    <w:next w:val="1"/>
    <w:link w:val="55"/>
    <w:qFormat/>
    <w:uiPriority w:val="0"/>
    <w:pPr>
      <w:ind w:left="100" w:leftChars="2500"/>
    </w:pPr>
  </w:style>
  <w:style w:type="paragraph" w:styleId="16">
    <w:name w:val="Body Text Indent 2"/>
    <w:basedOn w:val="1"/>
    <w:qFormat/>
    <w:uiPriority w:val="0"/>
    <w:pPr>
      <w:spacing w:after="120" w:line="480" w:lineRule="auto"/>
      <w:ind w:left="420" w:leftChars="200"/>
    </w:pPr>
  </w:style>
  <w:style w:type="paragraph" w:styleId="17">
    <w:name w:val="Balloon Text"/>
    <w:basedOn w:val="1"/>
    <w:qFormat/>
    <w:uiPriority w:val="0"/>
    <w:rPr>
      <w:sz w:val="18"/>
      <w:szCs w:val="18"/>
    </w:rPr>
  </w:style>
  <w:style w:type="paragraph" w:styleId="18">
    <w:name w:val="footer"/>
    <w:basedOn w:val="1"/>
    <w:link w:val="76"/>
    <w:qFormat/>
    <w:uiPriority w:val="99"/>
    <w:pPr>
      <w:tabs>
        <w:tab w:val="center" w:pos="4153"/>
        <w:tab w:val="right" w:pos="8306"/>
      </w:tabs>
      <w:snapToGrid w:val="0"/>
      <w:jc w:val="left"/>
    </w:pPr>
    <w:rPr>
      <w:sz w:val="18"/>
      <w:szCs w:val="18"/>
    </w:rPr>
  </w:style>
  <w:style w:type="paragraph" w:styleId="19">
    <w:name w:val="header"/>
    <w:basedOn w:val="1"/>
    <w:link w:val="75"/>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pPr>
      <w:spacing w:before="120" w:after="120"/>
      <w:jc w:val="left"/>
    </w:pPr>
    <w:rPr>
      <w:caps/>
    </w:rPr>
  </w:style>
  <w:style w:type="paragraph" w:styleId="21">
    <w:name w:val="footnote text"/>
    <w:basedOn w:val="1"/>
    <w:qFormat/>
    <w:uiPriority w:val="99"/>
    <w:pPr>
      <w:snapToGrid w:val="0"/>
      <w:jc w:val="left"/>
    </w:pPr>
    <w:rPr>
      <w:sz w:val="18"/>
      <w:szCs w:val="18"/>
    </w:rPr>
  </w:style>
  <w:style w:type="paragraph" w:styleId="22">
    <w:name w:val="Body Text 2"/>
    <w:basedOn w:val="1"/>
    <w:link w:val="73"/>
    <w:qFormat/>
    <w:uiPriority w:val="0"/>
    <w:pPr>
      <w:spacing w:after="120" w:line="480" w:lineRule="auto"/>
    </w:pPr>
  </w:style>
  <w:style w:type="paragraph" w:styleId="23">
    <w:name w:val="Message Header"/>
    <w:basedOn w:val="1"/>
    <w:qFormat/>
    <w:uiPriority w:val="0"/>
    <w:pPr>
      <w:widowControl/>
      <w:shd w:val="pct20" w:color="000000" w:fill="auto"/>
      <w:ind w:left="1080" w:hanging="1080"/>
    </w:pPr>
    <w:rPr>
      <w:rFonts w:ascii="Cambria" w:hAnsi="Cambria" w:eastAsia="Cambria"/>
      <w:sz w:val="24"/>
    </w:rPr>
  </w:style>
  <w:style w:type="paragraph" w:styleId="24">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5">
    <w:name w:val="Body Text First Indent"/>
    <w:basedOn w:val="9"/>
    <w:link w:val="50"/>
    <w:qFormat/>
    <w:uiPriority w:val="0"/>
    <w:pPr>
      <w:ind w:firstLine="420" w:firstLineChars="100"/>
    </w:pPr>
  </w:style>
  <w:style w:type="paragraph" w:styleId="26">
    <w:name w:val="Body Text First Indent 2"/>
    <w:basedOn w:val="11"/>
    <w:qFormat/>
    <w:uiPriority w:val="99"/>
    <w:pPr>
      <w:tabs>
        <w:tab w:val="left" w:pos="0"/>
        <w:tab w:val="left" w:pos="993"/>
        <w:tab w:val="left" w:pos="1134"/>
      </w:tabs>
      <w:ind w:firstLine="420"/>
    </w:p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0">
    <w:name w:val="Strong"/>
    <w:qFormat/>
    <w:uiPriority w:val="22"/>
    <w:rPr>
      <w:b/>
      <w:bCs/>
    </w:rPr>
  </w:style>
  <w:style w:type="character" w:styleId="31">
    <w:name w:val="page number"/>
    <w:basedOn w:val="29"/>
    <w:qFormat/>
    <w:uiPriority w:val="0"/>
  </w:style>
  <w:style w:type="character" w:styleId="32">
    <w:name w:val="FollowedHyperlink"/>
    <w:basedOn w:val="29"/>
    <w:qFormat/>
    <w:uiPriority w:val="0"/>
    <w:rPr>
      <w:color w:val="000000"/>
      <w:u w:val="none"/>
    </w:rPr>
  </w:style>
  <w:style w:type="character" w:styleId="33">
    <w:name w:val="HTML Definition"/>
    <w:basedOn w:val="29"/>
    <w:qFormat/>
    <w:uiPriority w:val="0"/>
  </w:style>
  <w:style w:type="character" w:styleId="34">
    <w:name w:val="HTML Typewriter"/>
    <w:basedOn w:val="29"/>
    <w:qFormat/>
    <w:uiPriority w:val="0"/>
    <w:rPr>
      <w:rFonts w:hint="default" w:ascii="monospace" w:hAnsi="monospace" w:eastAsia="monospace" w:cs="monospace"/>
      <w:sz w:val="20"/>
    </w:rPr>
  </w:style>
  <w:style w:type="character" w:styleId="35">
    <w:name w:val="HTML Acronym"/>
    <w:basedOn w:val="29"/>
    <w:qFormat/>
    <w:uiPriority w:val="0"/>
  </w:style>
  <w:style w:type="character" w:styleId="36">
    <w:name w:val="HTML Variable"/>
    <w:basedOn w:val="29"/>
    <w:qFormat/>
    <w:uiPriority w:val="0"/>
  </w:style>
  <w:style w:type="character" w:styleId="37">
    <w:name w:val="Hyperlink"/>
    <w:qFormat/>
    <w:uiPriority w:val="0"/>
    <w:rPr>
      <w:color w:val="333333"/>
      <w:u w:val="none"/>
    </w:rPr>
  </w:style>
  <w:style w:type="character" w:styleId="38">
    <w:name w:val="HTML Code"/>
    <w:basedOn w:val="29"/>
    <w:qFormat/>
    <w:uiPriority w:val="0"/>
    <w:rPr>
      <w:rFonts w:hint="default" w:ascii="monospace" w:hAnsi="monospace" w:eastAsia="monospace" w:cs="monospace"/>
      <w:sz w:val="20"/>
    </w:rPr>
  </w:style>
  <w:style w:type="character" w:styleId="39">
    <w:name w:val="annotation reference"/>
    <w:qFormat/>
    <w:uiPriority w:val="99"/>
    <w:rPr>
      <w:sz w:val="21"/>
    </w:rPr>
  </w:style>
  <w:style w:type="character" w:styleId="40">
    <w:name w:val="HTML Cite"/>
    <w:basedOn w:val="29"/>
    <w:qFormat/>
    <w:uiPriority w:val="0"/>
  </w:style>
  <w:style w:type="character" w:styleId="41">
    <w:name w:val="HTML Keyboard"/>
    <w:basedOn w:val="29"/>
    <w:qFormat/>
    <w:uiPriority w:val="0"/>
    <w:rPr>
      <w:rFonts w:ascii="monospace" w:hAnsi="monospace" w:eastAsia="monospace" w:cs="monospace"/>
      <w:sz w:val="20"/>
    </w:rPr>
  </w:style>
  <w:style w:type="character" w:styleId="42">
    <w:name w:val="HTML Sample"/>
    <w:basedOn w:val="29"/>
    <w:qFormat/>
    <w:uiPriority w:val="0"/>
    <w:rPr>
      <w:rFonts w:hint="default" w:ascii="monospace" w:hAnsi="monospace" w:eastAsia="monospace" w:cs="monospace"/>
    </w:rPr>
  </w:style>
  <w:style w:type="paragraph" w:customStyle="1" w:styleId="43">
    <w:name w:val="BodyText1I"/>
    <w:basedOn w:val="44"/>
    <w:qFormat/>
    <w:uiPriority w:val="99"/>
    <w:pPr>
      <w:ind w:firstLine="420" w:firstLineChars="100"/>
    </w:pPr>
  </w:style>
  <w:style w:type="paragraph" w:customStyle="1" w:styleId="44">
    <w:name w:val="BodyText"/>
    <w:basedOn w:val="1"/>
    <w:qFormat/>
    <w:uiPriority w:val="99"/>
    <w:pPr>
      <w:spacing w:after="120"/>
    </w:pPr>
  </w:style>
  <w:style w:type="paragraph" w:customStyle="1" w:styleId="45">
    <w:name w:val="无间隔1"/>
    <w:next w:val="5"/>
    <w:qFormat/>
    <w:uiPriority w:val="0"/>
    <w:pPr>
      <w:widowControl w:val="0"/>
      <w:jc w:val="both"/>
    </w:pPr>
    <w:rPr>
      <w:rFonts w:ascii="Calibri" w:hAnsi="Calibri" w:eastAsia="宋体" w:cs="Times New Roman"/>
      <w:kern w:val="2"/>
      <w:sz w:val="21"/>
      <w:szCs w:val="22"/>
      <w:lang w:val="en-US" w:eastAsia="zh-CN" w:bidi="ar-SA"/>
    </w:rPr>
  </w:style>
  <w:style w:type="character" w:customStyle="1" w:styleId="46">
    <w:name w:val="标题 3 Char"/>
    <w:link w:val="4"/>
    <w:semiHidden/>
    <w:qFormat/>
    <w:uiPriority w:val="0"/>
    <w:rPr>
      <w:b/>
      <w:bCs/>
      <w:kern w:val="2"/>
      <w:sz w:val="32"/>
      <w:szCs w:val="32"/>
    </w:rPr>
  </w:style>
  <w:style w:type="character" w:customStyle="1" w:styleId="47">
    <w:name w:val="font231"/>
    <w:qFormat/>
    <w:uiPriority w:val="0"/>
    <w:rPr>
      <w:rFonts w:hint="eastAsia" w:ascii="宋体" w:hAnsi="宋体" w:eastAsia="宋体" w:cs="宋体"/>
      <w:color w:val="000000"/>
      <w:sz w:val="22"/>
      <w:szCs w:val="22"/>
      <w:u w:val="none"/>
    </w:rPr>
  </w:style>
  <w:style w:type="character" w:customStyle="1" w:styleId="48">
    <w:name w:val="font11"/>
    <w:qFormat/>
    <w:uiPriority w:val="0"/>
    <w:rPr>
      <w:rFonts w:hint="default" w:ascii="Times New Roman" w:hAnsi="Times New Roman" w:cs="Times New Roman"/>
      <w:color w:val="000000"/>
      <w:sz w:val="18"/>
      <w:szCs w:val="18"/>
      <w:u w:val="none"/>
    </w:rPr>
  </w:style>
  <w:style w:type="character" w:customStyle="1" w:styleId="49">
    <w:name w:val="font191"/>
    <w:qFormat/>
    <w:uiPriority w:val="0"/>
    <w:rPr>
      <w:rFonts w:hint="default" w:ascii="Calibri" w:hAnsi="Calibri" w:cs="Calibri"/>
      <w:color w:val="000000"/>
      <w:sz w:val="22"/>
      <w:szCs w:val="22"/>
      <w:u w:val="none"/>
    </w:rPr>
  </w:style>
  <w:style w:type="character" w:customStyle="1" w:styleId="50">
    <w:name w:val="正文首行缩进 Char"/>
    <w:link w:val="25"/>
    <w:qFormat/>
    <w:uiPriority w:val="0"/>
    <w:rPr>
      <w:kern w:val="2"/>
      <w:sz w:val="21"/>
      <w:szCs w:val="24"/>
    </w:rPr>
  </w:style>
  <w:style w:type="character" w:customStyle="1" w:styleId="51">
    <w:name w:val="正文文本 Char"/>
    <w:link w:val="9"/>
    <w:qFormat/>
    <w:uiPriority w:val="99"/>
    <w:rPr>
      <w:kern w:val="2"/>
      <w:sz w:val="21"/>
      <w:szCs w:val="24"/>
    </w:rPr>
  </w:style>
  <w:style w:type="character" w:customStyle="1" w:styleId="52">
    <w:name w:val="font151"/>
    <w:qFormat/>
    <w:uiPriority w:val="0"/>
    <w:rPr>
      <w:rFonts w:hint="default" w:ascii="Calibri" w:hAnsi="Calibri" w:cs="Calibri"/>
      <w:color w:val="000000"/>
      <w:sz w:val="22"/>
      <w:szCs w:val="22"/>
      <w:u w:val="none"/>
    </w:rPr>
  </w:style>
  <w:style w:type="character" w:customStyle="1" w:styleId="53">
    <w:name w:val="批注文字 Char"/>
    <w:link w:val="7"/>
    <w:qFormat/>
    <w:uiPriority w:val="0"/>
    <w:rPr>
      <w:kern w:val="2"/>
      <w:sz w:val="21"/>
      <w:szCs w:val="24"/>
    </w:rPr>
  </w:style>
  <w:style w:type="character" w:customStyle="1" w:styleId="54">
    <w:name w:val="文档结构图 Char"/>
    <w:link w:val="6"/>
    <w:qFormat/>
    <w:uiPriority w:val="0"/>
    <w:rPr>
      <w:rFonts w:ascii="宋体"/>
      <w:kern w:val="2"/>
      <w:sz w:val="18"/>
      <w:szCs w:val="18"/>
    </w:rPr>
  </w:style>
  <w:style w:type="character" w:customStyle="1" w:styleId="55">
    <w:name w:val="日期 Char"/>
    <w:link w:val="15"/>
    <w:qFormat/>
    <w:uiPriority w:val="0"/>
    <w:rPr>
      <w:kern w:val="2"/>
      <w:sz w:val="21"/>
      <w:szCs w:val="24"/>
    </w:rPr>
  </w:style>
  <w:style w:type="character" w:customStyle="1" w:styleId="56">
    <w:name w:val="font221"/>
    <w:qFormat/>
    <w:uiPriority w:val="0"/>
    <w:rPr>
      <w:rFonts w:hint="eastAsia" w:ascii="宋体" w:hAnsi="宋体" w:eastAsia="宋体" w:cs="宋体"/>
      <w:color w:val="000000"/>
      <w:sz w:val="20"/>
      <w:szCs w:val="20"/>
      <w:u w:val="none"/>
    </w:rPr>
  </w:style>
  <w:style w:type="character" w:customStyle="1" w:styleId="57">
    <w:name w:val="font61"/>
    <w:qFormat/>
    <w:uiPriority w:val="0"/>
    <w:rPr>
      <w:rFonts w:hint="eastAsia" w:ascii="宋体" w:hAnsi="宋体" w:eastAsia="宋体" w:cs="宋体"/>
      <w:color w:val="FF0000"/>
      <w:sz w:val="22"/>
      <w:szCs w:val="22"/>
      <w:u w:val="none"/>
    </w:rPr>
  </w:style>
  <w:style w:type="character" w:customStyle="1" w:styleId="58">
    <w:name w:val="font31"/>
    <w:qFormat/>
    <w:uiPriority w:val="0"/>
    <w:rPr>
      <w:rFonts w:hint="eastAsia" w:ascii="宋体" w:hAnsi="宋体" w:eastAsia="宋体" w:cs="宋体"/>
      <w:color w:val="000000"/>
      <w:sz w:val="18"/>
      <w:szCs w:val="18"/>
      <w:u w:val="none"/>
    </w:rPr>
  </w:style>
  <w:style w:type="character" w:customStyle="1" w:styleId="59">
    <w:name w:val="纯文本 Char"/>
    <w:link w:val="14"/>
    <w:qFormat/>
    <w:uiPriority w:val="99"/>
    <w:rPr>
      <w:rFonts w:ascii="宋体" w:hAnsi="Courier New"/>
      <w:kern w:val="2"/>
      <w:sz w:val="21"/>
    </w:rPr>
  </w:style>
  <w:style w:type="character" w:customStyle="1" w:styleId="60">
    <w:name w:val="访问过的超链接1"/>
    <w:qFormat/>
    <w:uiPriority w:val="0"/>
    <w:rPr>
      <w:color w:val="333333"/>
      <w:u w:val="none"/>
    </w:rPr>
  </w:style>
  <w:style w:type="character" w:customStyle="1" w:styleId="61">
    <w:name w:val="font01"/>
    <w:qFormat/>
    <w:uiPriority w:val="0"/>
    <w:rPr>
      <w:rFonts w:hint="eastAsia" w:ascii="宋体" w:hAnsi="宋体" w:eastAsia="宋体" w:cs="宋体"/>
      <w:color w:val="000000"/>
      <w:sz w:val="22"/>
      <w:szCs w:val="22"/>
      <w:u w:val="none"/>
    </w:rPr>
  </w:style>
  <w:style w:type="character" w:customStyle="1" w:styleId="62">
    <w:name w:val="font21"/>
    <w:qFormat/>
    <w:uiPriority w:val="0"/>
    <w:rPr>
      <w:rFonts w:hint="default" w:ascii="Times New Roman" w:hAnsi="Times New Roman" w:cs="Times New Roman"/>
      <w:color w:val="000000"/>
      <w:sz w:val="18"/>
      <w:szCs w:val="18"/>
      <w:u w:val="none"/>
    </w:rPr>
  </w:style>
  <w:style w:type="paragraph" w:customStyle="1" w:styleId="63">
    <w:name w:val="p0"/>
    <w:basedOn w:val="1"/>
    <w:qFormat/>
    <w:uiPriority w:val="0"/>
    <w:pPr>
      <w:widowControl/>
    </w:pPr>
    <w:rPr>
      <w:rFonts w:ascii="Calibri" w:hAnsi="Calibri" w:cs="宋体"/>
      <w:kern w:val="0"/>
      <w:szCs w:val="21"/>
    </w:rPr>
  </w:style>
  <w:style w:type="paragraph" w:customStyle="1" w:styleId="64">
    <w:name w:val="List Paragraph1"/>
    <w:basedOn w:val="1"/>
    <w:qFormat/>
    <w:uiPriority w:val="0"/>
    <w:pPr>
      <w:ind w:firstLine="420" w:firstLineChars="200"/>
    </w:pPr>
  </w:style>
  <w:style w:type="paragraph" w:customStyle="1" w:styleId="65">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6">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7">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8">
    <w:name w:val="Char Char Char Char Char Char Char1 Char"/>
    <w:basedOn w:val="1"/>
    <w:qFormat/>
    <w:uiPriority w:val="0"/>
    <w:rPr>
      <w:rFonts w:ascii="Tahoma" w:hAnsi="Tahoma"/>
      <w:sz w:val="24"/>
      <w:szCs w:val="20"/>
    </w:rPr>
  </w:style>
  <w:style w:type="paragraph" w:styleId="69">
    <w:name w:val="List Paragraph"/>
    <w:basedOn w:val="1"/>
    <w:qFormat/>
    <w:uiPriority w:val="34"/>
    <w:pPr>
      <w:ind w:firstLine="420" w:firstLineChars="200"/>
    </w:pPr>
  </w:style>
  <w:style w:type="paragraph" w:customStyle="1" w:styleId="70">
    <w:name w:val="Char Char Char1 Char"/>
    <w:basedOn w:val="1"/>
    <w:qFormat/>
    <w:uiPriority w:val="0"/>
    <w:pPr>
      <w:spacing w:line="360" w:lineRule="auto"/>
      <w:ind w:firstLine="200" w:firstLineChars="200"/>
    </w:pPr>
    <w:rPr>
      <w:rFonts w:ascii="宋体" w:hAnsi="宋体" w:cs="宋体"/>
      <w:sz w:val="24"/>
    </w:rPr>
  </w:style>
  <w:style w:type="paragraph" w:customStyle="1" w:styleId="71">
    <w:name w:val="默认段落字体 Para Char Char Char Char Char Char Char Char Char Char"/>
    <w:basedOn w:val="1"/>
    <w:qFormat/>
    <w:uiPriority w:val="0"/>
    <w:pPr>
      <w:tabs>
        <w:tab w:val="right" w:pos="-2120"/>
      </w:tabs>
      <w:snapToGrid w:val="0"/>
    </w:pPr>
  </w:style>
  <w:style w:type="character" w:customStyle="1" w:styleId="72">
    <w:name w:val="generalinfo-address-text"/>
    <w:basedOn w:val="29"/>
    <w:qFormat/>
    <w:uiPriority w:val="0"/>
  </w:style>
  <w:style w:type="character" w:customStyle="1" w:styleId="73">
    <w:name w:val="正文文本 2 Char"/>
    <w:link w:val="22"/>
    <w:qFormat/>
    <w:uiPriority w:val="0"/>
    <w:rPr>
      <w:kern w:val="2"/>
      <w:sz w:val="21"/>
      <w:szCs w:val="24"/>
    </w:rPr>
  </w:style>
  <w:style w:type="character" w:customStyle="1" w:styleId="74">
    <w:name w:val="NormalCharacter"/>
    <w:qFormat/>
    <w:uiPriority w:val="0"/>
  </w:style>
  <w:style w:type="character" w:customStyle="1" w:styleId="75">
    <w:name w:val="页眉 Char"/>
    <w:link w:val="19"/>
    <w:qFormat/>
    <w:uiPriority w:val="99"/>
    <w:rPr>
      <w:kern w:val="2"/>
      <w:sz w:val="18"/>
      <w:szCs w:val="18"/>
    </w:rPr>
  </w:style>
  <w:style w:type="character" w:customStyle="1" w:styleId="76">
    <w:name w:val="页脚 Char"/>
    <w:link w:val="18"/>
    <w:qFormat/>
    <w:uiPriority w:val="99"/>
    <w:rPr>
      <w:kern w:val="2"/>
      <w:sz w:val="18"/>
      <w:szCs w:val="18"/>
    </w:rPr>
  </w:style>
  <w:style w:type="paragraph" w:customStyle="1" w:styleId="77">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8">
    <w:name w:val="contentlabel"/>
    <w:qFormat/>
    <w:uiPriority w:val="0"/>
  </w:style>
  <w:style w:type="paragraph" w:customStyle="1" w:styleId="79">
    <w:name w:val="Body Text First Indent1"/>
    <w:basedOn w:val="9"/>
    <w:qFormat/>
    <w:uiPriority w:val="0"/>
    <w:pPr>
      <w:autoSpaceDE w:val="0"/>
      <w:autoSpaceDN w:val="0"/>
      <w:ind w:firstLine="420" w:firstLineChars="100"/>
      <w:jc w:val="left"/>
    </w:pPr>
    <w:rPr>
      <w:rFonts w:ascii="宋体" w:hAnsi="等线" w:eastAsia="等线" w:cs="宋体"/>
      <w:kern w:val="0"/>
      <w:lang w:val="zh-CN"/>
    </w:rPr>
  </w:style>
  <w:style w:type="paragraph" w:customStyle="1" w:styleId="80">
    <w:name w:val="D&amp;L"/>
    <w:basedOn w:val="19"/>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81">
    <w:name w:val="icon_gys"/>
    <w:basedOn w:val="29"/>
    <w:qFormat/>
    <w:uiPriority w:val="0"/>
    <w:rPr>
      <w:sz w:val="21"/>
      <w:szCs w:val="21"/>
    </w:rPr>
  </w:style>
  <w:style w:type="character" w:customStyle="1" w:styleId="82">
    <w:name w:val="first-child"/>
    <w:basedOn w:val="29"/>
    <w:qFormat/>
    <w:uiPriority w:val="0"/>
    <w:rPr>
      <w:color w:val="1F3149"/>
      <w:sz w:val="24"/>
      <w:szCs w:val="24"/>
    </w:rPr>
  </w:style>
  <w:style w:type="character" w:customStyle="1" w:styleId="83">
    <w:name w:val="first-child1"/>
    <w:basedOn w:val="29"/>
    <w:qFormat/>
    <w:uiPriority w:val="0"/>
    <w:rPr>
      <w:color w:val="1F3149"/>
      <w:sz w:val="24"/>
      <w:szCs w:val="24"/>
    </w:rPr>
  </w:style>
  <w:style w:type="character" w:customStyle="1" w:styleId="84">
    <w:name w:val="xiadan"/>
    <w:basedOn w:val="29"/>
    <w:qFormat/>
    <w:uiPriority w:val="0"/>
    <w:rPr>
      <w:shd w:val="clear" w:color="auto" w:fill="E4393C"/>
    </w:rPr>
  </w:style>
  <w:style w:type="character" w:customStyle="1" w:styleId="85">
    <w:name w:val="fr"/>
    <w:basedOn w:val="29"/>
    <w:qFormat/>
    <w:uiPriority w:val="0"/>
  </w:style>
  <w:style w:type="character" w:customStyle="1" w:styleId="86">
    <w:name w:val="icon_ds"/>
    <w:basedOn w:val="29"/>
    <w:qFormat/>
    <w:uiPriority w:val="0"/>
  </w:style>
  <w:style w:type="paragraph" w:customStyle="1" w:styleId="87">
    <w:name w:val="正文1"/>
    <w:basedOn w:val="1"/>
    <w:qFormat/>
    <w:uiPriority w:val="0"/>
    <w:pPr>
      <w:widowControl/>
      <w:topLinePunct/>
      <w:spacing w:beforeLines="50" w:afterLines="50" w:line="300" w:lineRule="auto"/>
      <w:ind w:left="420"/>
    </w:pPr>
  </w:style>
  <w:style w:type="character" w:customStyle="1" w:styleId="88">
    <w:name w:val="nth-child(3)"/>
    <w:basedOn w:val="29"/>
    <w:qFormat/>
    <w:uiPriority w:val="0"/>
  </w:style>
  <w:style w:type="character" w:customStyle="1" w:styleId="89">
    <w:name w:val="nth-child(2)"/>
    <w:basedOn w:val="29"/>
    <w:qFormat/>
    <w:uiPriority w:val="0"/>
  </w:style>
  <w:style w:type="character" w:customStyle="1" w:styleId="90">
    <w:name w:val="nth-child(2)1"/>
    <w:basedOn w:val="29"/>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48</Pages>
  <Words>14266</Words>
  <Characters>15193</Characters>
  <Lines>123</Lines>
  <Paragraphs>34</Paragraphs>
  <TotalTime>1</TotalTime>
  <ScaleCrop>false</ScaleCrop>
  <LinksUpToDate>false</LinksUpToDate>
  <CharactersWithSpaces>15558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HUAWEI</cp:lastModifiedBy>
  <cp:lastPrinted>2020-11-18T03:21:00Z</cp:lastPrinted>
  <dcterms:modified xsi:type="dcterms:W3CDTF">2026-07-02T09:01:56Z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3F3AEF60031F459BB45F1EB8C7A16E06</vt:lpwstr>
  </property>
  <property fmtid="{D5CDD505-2E9C-101B-9397-08002B2CF9AE}" pid="4" name="KSOTemplateDocerSaveRecord">
    <vt:lpwstr>eyJoZGlkIjoiY2FiZTFmYjI0ODY2NTM4OTI3ZDhiMDA1NjYyNjI2MmMiLCJ1c2VySWQiOiIxODU2NTY4NjY1In0=</vt:lpwstr>
  </property>
</Properties>
</file>