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40AF0">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5BE0ED1B">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56FF4CD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35DE000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26B0D6F9">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62808A0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4FF27BF5">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59A15146">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2C5BC452">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25E100E8">
      <w:pPr>
        <w:spacing w:before="0" w:after="120" w:line="240" w:lineRule="auto"/>
        <w:ind w:left="0" w:right="0" w:firstLine="0"/>
        <w:jc w:val="both"/>
        <w:rPr>
          <w:rFonts w:hint="eastAsia" w:ascii="宋体" w:hAnsi="宋体" w:eastAsia="宋体" w:cs="宋体"/>
          <w:b/>
          <w:color w:val="auto"/>
          <w:spacing w:val="0"/>
          <w:position w:val="0"/>
          <w:sz w:val="44"/>
          <w:highlight w:val="none"/>
          <w:shd w:val="clear" w:fill="auto"/>
          <w:lang w:val="en-US" w:eastAsia="zh-CN"/>
        </w:rPr>
      </w:pPr>
      <w:r>
        <w:rPr>
          <w:rFonts w:ascii="宋体" w:hAnsi="宋体" w:eastAsia="宋体" w:cs="宋体"/>
          <w:b/>
          <w:color w:val="auto"/>
          <w:spacing w:val="0"/>
          <w:position w:val="0"/>
          <w:sz w:val="44"/>
          <w:highlight w:val="none"/>
          <w:shd w:val="clear" w:fill="auto"/>
        </w:rPr>
        <w:t>项目名称:</w:t>
      </w:r>
      <w:r>
        <w:rPr>
          <w:rFonts w:hint="eastAsia" w:ascii="宋体" w:hAnsi="宋体" w:eastAsia="宋体" w:cs="宋体"/>
          <w:b/>
          <w:color w:val="auto"/>
          <w:spacing w:val="0"/>
          <w:position w:val="0"/>
          <w:sz w:val="44"/>
          <w:highlight w:val="none"/>
          <w:shd w:val="clear" w:fill="auto"/>
          <w:lang w:val="en-US" w:eastAsia="zh-CN"/>
        </w:rPr>
        <w:t>郸城县自然资源局不动产登记中心机房软硬件及办公设备升级改造项目</w:t>
      </w:r>
    </w:p>
    <w:p w14:paraId="261889A9">
      <w:pPr>
        <w:spacing w:before="0" w:after="120" w:line="240" w:lineRule="auto"/>
        <w:ind w:left="0" w:right="0" w:firstLine="0"/>
        <w:jc w:val="both"/>
        <w:rPr>
          <w:rFonts w:hint="eastAsia" w:ascii="宋体" w:hAnsi="宋体" w:eastAsia="宋体" w:cs="宋体"/>
          <w:b/>
          <w:color w:val="auto"/>
          <w:spacing w:val="0"/>
          <w:position w:val="0"/>
          <w:sz w:val="44"/>
          <w:highlight w:val="none"/>
          <w:shd w:val="clear" w:fill="auto"/>
          <w:lang w:val="en-US" w:eastAsia="zh-CN"/>
        </w:rPr>
      </w:pPr>
    </w:p>
    <w:p w14:paraId="42C95AA9">
      <w:pPr>
        <w:spacing w:before="0" w:after="120" w:line="240" w:lineRule="auto"/>
        <w:ind w:left="0" w:right="0" w:firstLine="0"/>
        <w:jc w:val="both"/>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44"/>
          <w:highlight w:val="none"/>
          <w:shd w:val="clear" w:fill="auto"/>
        </w:rPr>
        <w:t>项目编号:</w:t>
      </w:r>
      <w:r>
        <w:rPr>
          <w:rFonts w:hint="eastAsia" w:ascii="宋体" w:hAnsi="宋体" w:eastAsia="宋体" w:cs="宋体"/>
          <w:b/>
          <w:color w:val="auto"/>
          <w:spacing w:val="0"/>
          <w:position w:val="0"/>
          <w:sz w:val="44"/>
          <w:highlight w:val="none"/>
          <w:shd w:val="clear" w:fill="auto"/>
          <w:lang w:val="en-US" w:eastAsia="zh-CN"/>
        </w:rPr>
        <w:t>郸财磋商采购-2026-60</w:t>
      </w:r>
    </w:p>
    <w:p w14:paraId="6C471F00">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7536A3EF">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6C42D937">
      <w:pPr>
        <w:spacing w:before="0" w:after="120" w:line="240" w:lineRule="auto"/>
        <w:ind w:left="0" w:right="0" w:firstLine="3975" w:firstLineChars="900"/>
        <w:jc w:val="both"/>
        <w:rPr>
          <w:rFonts w:hint="eastAsia" w:ascii="宋体" w:hAnsi="宋体" w:eastAsia="宋体" w:cs="宋体"/>
          <w:b/>
          <w:color w:val="auto"/>
          <w:spacing w:val="0"/>
          <w:position w:val="0"/>
          <w:sz w:val="44"/>
          <w:highlight w:val="none"/>
          <w:shd w:val="clear" w:fill="auto"/>
          <w:lang w:val="en-US" w:eastAsia="zh-CN"/>
        </w:rPr>
      </w:pPr>
      <w:r>
        <w:rPr>
          <w:rFonts w:hint="eastAsia" w:ascii="宋体" w:hAnsi="宋体" w:eastAsia="宋体" w:cs="宋体"/>
          <w:b/>
          <w:color w:val="auto"/>
          <w:spacing w:val="0"/>
          <w:position w:val="0"/>
          <w:sz w:val="44"/>
          <w:highlight w:val="none"/>
          <w:shd w:val="clear" w:fill="auto"/>
          <w:lang w:val="en-US" w:eastAsia="zh-CN"/>
        </w:rPr>
        <w:t>2026年7月17日</w:t>
      </w:r>
    </w:p>
    <w:p w14:paraId="294028C9">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7F02C047">
      <w:pPr>
        <w:spacing w:before="0" w:after="0" w:line="240" w:lineRule="auto"/>
        <w:ind w:left="0" w:right="0" w:firstLine="0"/>
        <w:jc w:val="both"/>
        <w:rPr>
          <w:rFonts w:ascii="仿宋_GB2312" w:hAnsi="仿宋_GB2312" w:eastAsia="仿宋_GB2312" w:cs="仿宋_GB2312"/>
          <w:b/>
          <w:color w:val="auto"/>
          <w:spacing w:val="0"/>
          <w:position w:val="0"/>
          <w:sz w:val="30"/>
          <w:highlight w:val="none"/>
          <w:shd w:val="clear" w:fill="auto"/>
        </w:rPr>
      </w:pPr>
    </w:p>
    <w:p w14:paraId="77FAA75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EEE276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6BC590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B5F9B43">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0A6130ED">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02D10F3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6B7B46C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4DE9923D">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0FB03BF0">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64D1F87B">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49E152F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71BAFA5">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0B79D20A">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1FD83DC">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3722F3EC">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EF1EBA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257E16AA">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4A048C51">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6B7947BD">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14B4F4E0">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lang w:val="en-US" w:eastAsia="zh-CN"/>
        </w:rPr>
        <w:t>郸城县自然资源局不动产登记中心机房软硬件及办公设备升级改造项目</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项目名称</w:t>
      </w:r>
      <w:r>
        <w:rPr>
          <w:rFonts w:ascii="Times New Roman" w:hAnsi="Times New Roman" w:eastAsia="Times New Roman" w:cs="Times New Roman"/>
          <w:color w:val="auto"/>
          <w:spacing w:val="0"/>
          <w:position w:val="0"/>
          <w:sz w:val="24"/>
          <w:highlight w:val="none"/>
          <w:u w:val="single"/>
          <w:shd w:val="clear" w:fill="auto"/>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项目的潜在供应商应在周口市公共资源交易中心网获取采购文件，并于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17202305">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56918BF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714D6D4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郸财磋商采购-2026-60</w:t>
      </w:r>
    </w:p>
    <w:p w14:paraId="62394D5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val="en-US" w:eastAsia="zh-CN"/>
        </w:rPr>
        <w:t>郸城县自然资源局不动产登记中心机房软硬件及办公设备升级改造项目</w:t>
      </w:r>
    </w:p>
    <w:p w14:paraId="4B98E06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700F9C56">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1596770.00元</w:t>
      </w:r>
    </w:p>
    <w:p w14:paraId="5FF848C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1596770.00元</w:t>
      </w:r>
    </w:p>
    <w:p w14:paraId="1FCC525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个包</w:t>
      </w:r>
    </w:p>
    <w:tbl>
      <w:tblPr>
        <w:tblStyle w:val="7"/>
        <w:tblW w:w="0" w:type="auto"/>
        <w:tblInd w:w="0" w:type="dxa"/>
        <w:tblLayout w:type="autofit"/>
        <w:tblCellMar>
          <w:top w:w="0" w:type="dxa"/>
          <w:left w:w="10" w:type="dxa"/>
          <w:bottom w:w="0" w:type="dxa"/>
          <w:right w:w="10" w:type="dxa"/>
        </w:tblCellMar>
      </w:tblPr>
      <w:tblGrid>
        <w:gridCol w:w="2604"/>
        <w:gridCol w:w="2626"/>
        <w:gridCol w:w="2628"/>
      </w:tblGrid>
      <w:tr w14:paraId="631F11C6">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1F841C">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7A011E">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51BC0">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7548DF39">
        <w:tblPrEx>
          <w:tblCellMar>
            <w:top w:w="0" w:type="dxa"/>
            <w:left w:w="10" w:type="dxa"/>
            <w:bottom w:w="0" w:type="dxa"/>
            <w:right w:w="10" w:type="dxa"/>
          </w:tblCellMar>
        </w:tblPrEx>
        <w:trPr>
          <w:trHeight w:val="0"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379811">
            <w:pPr>
              <w:widowControl w:val="0"/>
              <w:spacing w:before="0" w:after="0" w:line="360" w:lineRule="auto"/>
              <w:ind w:left="0" w:right="0" w:firstLine="0"/>
              <w:jc w:val="center"/>
              <w:rPr>
                <w:rFonts w:hint="eastAsia" w:ascii="宋体" w:hAnsi="宋体" w:eastAsia="宋体" w:cs="宋体"/>
                <w:color w:val="auto"/>
                <w:spacing w:val="0"/>
                <w:position w:val="0"/>
                <w:highlight w:val="none"/>
                <w:lang w:eastAsia="zh-CN"/>
              </w:rPr>
            </w:pPr>
            <w:r>
              <w:rPr>
                <w:rFonts w:ascii="宋体" w:hAnsi="宋体" w:eastAsia="宋体" w:cs="宋体"/>
                <w:color w:val="auto"/>
                <w:spacing w:val="0"/>
                <w:position w:val="0"/>
                <w:sz w:val="24"/>
                <w:highlight w:val="none"/>
                <w:shd w:val="clear"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6F2EA">
            <w:pPr>
              <w:widowControl w:val="0"/>
              <w:spacing w:before="0" w:after="0" w:line="360" w:lineRule="auto"/>
              <w:ind w:left="0" w:right="0" w:firstLine="0"/>
              <w:jc w:val="center"/>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FFFFFF"/>
                <w:lang w:val="en-US" w:eastAsia="zh-CN"/>
              </w:rPr>
              <w:t>郸城县自然资源局不动产登记中心机房软硬件及办公设备升级改造项目</w:t>
            </w:r>
            <w:r>
              <w:rPr>
                <w:rFonts w:ascii="宋体" w:hAnsi="宋体" w:eastAsia="宋体" w:cs="宋体"/>
                <w:color w:val="auto"/>
                <w:spacing w:val="0"/>
                <w:position w:val="0"/>
                <w:sz w:val="24"/>
                <w:highlight w:val="none"/>
                <w:shd w:val="clear" w:fill="FFFFFF"/>
              </w:rPr>
              <w:t>1</w:t>
            </w:r>
            <w:r>
              <w:rPr>
                <w:rFonts w:hint="eastAsia" w:ascii="宋体" w:hAnsi="宋体" w:eastAsia="宋体" w:cs="宋体"/>
                <w:color w:val="auto"/>
                <w:spacing w:val="0"/>
                <w:position w:val="0"/>
                <w:sz w:val="24"/>
                <w:highlight w:val="none"/>
                <w:shd w:val="clear" w:fill="FFFFFF"/>
                <w:lang w:eastAsia="zh-CN"/>
              </w:rPr>
              <w:t>包</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322F9">
            <w:pPr>
              <w:spacing w:before="0" w:after="0" w:line="36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159.6770万元</w:t>
            </w:r>
          </w:p>
        </w:tc>
      </w:tr>
    </w:tbl>
    <w:p w14:paraId="2C73E71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rPr>
        <w:t>见磋商文件</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5A099801">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eastAsia="zh-CN"/>
        </w:rPr>
        <w:t>合同签订后</w:t>
      </w:r>
      <w:r>
        <w:rPr>
          <w:rFonts w:hint="eastAsia" w:ascii="宋体" w:hAnsi="宋体" w:eastAsia="宋体" w:cs="宋体"/>
          <w:color w:val="auto"/>
          <w:spacing w:val="0"/>
          <w:position w:val="0"/>
          <w:sz w:val="24"/>
          <w:highlight w:val="none"/>
          <w:shd w:val="clear" w:fill="auto"/>
          <w:lang w:val="en-US" w:eastAsia="zh-CN"/>
        </w:rPr>
        <w:t>20日历天</w:t>
      </w:r>
    </w:p>
    <w:p w14:paraId="0FD2F8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70D10B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9136B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530BE49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753A697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7896C2A3">
      <w:pPr>
        <w:spacing w:before="0" w:after="0" w:line="360" w:lineRule="auto"/>
        <w:ind w:right="0" w:firstLine="480" w:firstLineChars="20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shd w:val="clear" w:fill="auto"/>
        </w:rPr>
        <w:t xml:space="preserve">（1）具有独立承担民事责任的能力（企业营业执照等证明文件）； </w:t>
      </w:r>
    </w:p>
    <w:p w14:paraId="18559E14">
      <w:pPr>
        <w:spacing w:before="0" w:after="0" w:line="360" w:lineRule="auto"/>
        <w:ind w:right="0" w:firstLine="480" w:firstLineChars="200"/>
        <w:jc w:val="both"/>
        <w:rPr>
          <w:rFonts w:hint="default" w:ascii="Times New Roman" w:hAnsi="Times New Roman" w:eastAsia="Times New Roman" w:cs="Times New Roman"/>
          <w:color w:val="auto"/>
          <w:spacing w:val="0"/>
          <w:position w:val="0"/>
          <w:sz w:val="24"/>
          <w:highlight w:val="none"/>
          <w:shd w:val="clear" w:fill="auto"/>
          <w:lang w:val="en-US" w:eastAsia="zh-CN"/>
        </w:rPr>
      </w:pPr>
      <w:r>
        <w:rPr>
          <w:rFonts w:hint="eastAsia" w:ascii="Times New Roman" w:hAnsi="Times New Roman" w:eastAsia="Times New Roman" w:cs="Times New Roman"/>
          <w:color w:val="auto"/>
          <w:spacing w:val="0"/>
          <w:position w:val="0"/>
          <w:sz w:val="24"/>
          <w:highlight w:val="none"/>
          <w:shd w:val="clear" w:fill="auto"/>
        </w:rPr>
        <w:t>（2）具有良好的商业信誉和健全的财务会计制度；（提供经审计的 2024 年度或 2025 年度财务审计报告或银行出具的资信证明，新成立公司以公司成立起点年度为准）</w:t>
      </w:r>
      <w:r>
        <w:rPr>
          <w:rFonts w:hint="eastAsia" w:ascii="Times New Roman" w:hAnsi="Times New Roman" w:eastAsia="Times New Roman" w:cs="Times New Roman"/>
          <w:color w:val="auto"/>
          <w:spacing w:val="0"/>
          <w:position w:val="0"/>
          <w:sz w:val="24"/>
          <w:highlight w:val="none"/>
          <w:shd w:val="clear" w:fill="auto"/>
        </w:rPr>
        <w:br w:type="textWrapping"/>
      </w:r>
      <w:r>
        <w:rPr>
          <w:rFonts w:hint="eastAsia" w:ascii="Times New Roman" w:hAnsi="Times New Roman" w:eastAsia="Times New Roman" w:cs="Times New Roman"/>
          <w:color w:val="auto"/>
          <w:spacing w:val="0"/>
          <w:position w:val="0"/>
          <w:sz w:val="24"/>
          <w:highlight w:val="none"/>
          <w:shd w:val="clear" w:fill="auto"/>
          <w:lang w:val="en-US" w:eastAsia="zh-CN"/>
        </w:rPr>
        <w:t xml:space="preserve">       </w:t>
      </w:r>
      <w:r>
        <w:rPr>
          <w:rFonts w:hint="eastAsia" w:ascii="Times New Roman" w:hAnsi="Times New Roman" w:eastAsia="Times New Roman" w:cs="Times New Roman"/>
          <w:color w:val="auto"/>
          <w:spacing w:val="0"/>
          <w:position w:val="0"/>
          <w:sz w:val="24"/>
          <w:highlight w:val="none"/>
          <w:shd w:val="clear" w:fill="auto"/>
        </w:rPr>
        <w:t>（3）具有履行合同所必需的设备和专业技术能力；</w:t>
      </w:r>
      <w:r>
        <w:rPr>
          <w:rFonts w:hint="eastAsia" w:ascii="Times New Roman" w:hAnsi="Times New Roman" w:eastAsia="Times New Roman" w:cs="Times New Roman"/>
          <w:color w:val="auto"/>
          <w:spacing w:val="0"/>
          <w:position w:val="0"/>
          <w:sz w:val="24"/>
          <w:highlight w:val="none"/>
          <w:shd w:val="clear" w:fill="auto"/>
          <w:lang w:val="en-US" w:eastAsia="zh-CN"/>
        </w:rPr>
        <w:t>(供应商须作出承诺,格式自拟)</w:t>
      </w:r>
    </w:p>
    <w:p w14:paraId="5A306E83">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shd w:val="clear" w:fill="auto"/>
        </w:rPr>
        <w:t>（4）有依法缴纳税收和社会保障资金的良好记录；（近三个月任意一个月缴纳税收凭据、社会保险凭据，依法免税或不需要缴纳社会保障资金的供应商应提供相应的证明文件）；</w:t>
      </w:r>
    </w:p>
    <w:p w14:paraId="0B3CA203">
      <w:pPr>
        <w:spacing w:before="0" w:after="0" w:line="360" w:lineRule="auto"/>
        <w:ind w:left="0" w:right="0" w:firstLine="540"/>
        <w:jc w:val="both"/>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shd w:val="clear" w:fill="auto"/>
        </w:rPr>
        <w:t>（5）参加政府采购活动前三年内，在经营活动中没有重大违法记录；（提供没有重大违法记录的书面声明函，格式自拟）</w:t>
      </w:r>
    </w:p>
    <w:p w14:paraId="3996E0D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shd w:val="clear" w:fill="auto"/>
        </w:rPr>
        <w:t>（6）法律、行政法规规定的其他条件。 具有良好的商业信誉和健全的财务会计制度；（提供经审计的 2024 年度或 2025 年度财务审计报告或银行出具的资信证明，新成立公司以公司成立起点年度为准）</w:t>
      </w:r>
      <w:r>
        <w:rPr>
          <w:rFonts w:hint="eastAsia" w:ascii="Times New Roman" w:hAnsi="Times New Roman" w:eastAsia="Times New Roman" w:cs="Times New Roman"/>
          <w:color w:val="auto"/>
          <w:spacing w:val="0"/>
          <w:position w:val="0"/>
          <w:sz w:val="24"/>
          <w:highlight w:val="none"/>
          <w:shd w:val="clear" w:fill="auto"/>
        </w:rPr>
        <w:br w:type="textWrapping"/>
      </w:r>
    </w:p>
    <w:p w14:paraId="00B0D08C">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19E008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05929F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3A66FED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17</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24</w:t>
      </w:r>
      <w:r>
        <w:rPr>
          <w:rFonts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23：59分</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716301F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4E56257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62BEBD34">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7978B55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797529B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04D2509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0C867ED5">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4225BD6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EC78424">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618F8306">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510DC0B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3170730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57431035">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787FC99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62E3FD3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郸城县自然资源局</w:t>
      </w:r>
      <w:r>
        <w:rPr>
          <w:rFonts w:ascii="宋体" w:hAnsi="宋体" w:eastAsia="宋体" w:cs="宋体"/>
          <w:color w:val="auto"/>
          <w:spacing w:val="0"/>
          <w:position w:val="0"/>
          <w:sz w:val="24"/>
          <w:highlight w:val="none"/>
          <w:shd w:val="clear" w:fill="auto"/>
        </w:rPr>
        <w:t>　　　　　　　　　　　　</w:t>
      </w:r>
    </w:p>
    <w:p w14:paraId="0486BFC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郸城县</w:t>
      </w:r>
      <w:r>
        <w:rPr>
          <w:rFonts w:ascii="宋体" w:hAnsi="宋体" w:eastAsia="宋体" w:cs="宋体"/>
          <w:color w:val="auto"/>
          <w:spacing w:val="0"/>
          <w:position w:val="0"/>
          <w:sz w:val="24"/>
          <w:highlight w:val="none"/>
          <w:shd w:val="clear" w:fill="auto"/>
        </w:rPr>
        <w:t>　　　　　　　　　　　　</w:t>
      </w:r>
    </w:p>
    <w:p w14:paraId="4F8A13C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王保良</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13839423818</w:t>
      </w:r>
      <w:r>
        <w:rPr>
          <w:rFonts w:ascii="宋体" w:hAnsi="宋体" w:eastAsia="宋体" w:cs="宋体"/>
          <w:color w:val="auto"/>
          <w:spacing w:val="0"/>
          <w:position w:val="0"/>
          <w:sz w:val="24"/>
          <w:highlight w:val="none"/>
          <w:shd w:val="clear" w:fill="auto"/>
        </w:rPr>
        <w:t xml:space="preserve">　　　　　　　　　　　 </w:t>
      </w:r>
    </w:p>
    <w:p w14:paraId="550D712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7EA6B94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4018070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37D2981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刘 宇</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rPr>
        <w:t>0394-</w:t>
      </w:r>
      <w:r>
        <w:rPr>
          <w:rFonts w:hint="eastAsia" w:ascii="宋体" w:hAnsi="宋体" w:eastAsia="宋体" w:cs="宋体"/>
          <w:color w:val="auto"/>
          <w:spacing w:val="0"/>
          <w:position w:val="0"/>
          <w:sz w:val="24"/>
          <w:highlight w:val="none"/>
          <w:shd w:val="clear" w:fill="auto"/>
          <w:lang w:val="en-US" w:eastAsia="zh-CN"/>
        </w:rPr>
        <w:t>8106517</w:t>
      </w:r>
      <w:r>
        <w:rPr>
          <w:rFonts w:ascii="宋体" w:hAnsi="宋体" w:eastAsia="宋体" w:cs="宋体"/>
          <w:color w:val="auto"/>
          <w:spacing w:val="0"/>
          <w:position w:val="0"/>
          <w:sz w:val="24"/>
          <w:highlight w:val="none"/>
          <w:shd w:val="clear" w:fill="auto"/>
        </w:rPr>
        <w:t>　　　　　　　</w:t>
      </w:r>
    </w:p>
    <w:p w14:paraId="05D1FBF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rPr>
        <w:t>郸城县政府采购办</w:t>
      </w:r>
    </w:p>
    <w:p w14:paraId="428FFDA6">
      <w:pPr>
        <w:spacing w:before="0" w:after="0" w:line="240" w:lineRule="auto"/>
        <w:ind w:left="0" w:right="0" w:firstLine="72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0394-3298829</w:t>
      </w:r>
      <w:r>
        <w:rPr>
          <w:rFonts w:ascii="宋体" w:hAnsi="宋体" w:eastAsia="宋体" w:cs="宋体"/>
          <w:color w:val="auto"/>
          <w:spacing w:val="0"/>
          <w:position w:val="0"/>
          <w:sz w:val="24"/>
          <w:highlight w:val="none"/>
          <w:shd w:val="clear" w:fill="auto"/>
        </w:rPr>
        <w:t xml:space="preserve">  </w:t>
      </w:r>
    </w:p>
    <w:p w14:paraId="513F919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2077994E">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332413E0">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17</w:t>
      </w:r>
      <w:bookmarkStart w:id="0" w:name="_GoBack"/>
      <w:bookmarkEnd w:id="0"/>
      <w:r>
        <w:rPr>
          <w:rFonts w:ascii="宋体" w:hAnsi="宋体" w:eastAsia="宋体" w:cs="宋体"/>
          <w:color w:val="auto"/>
          <w:spacing w:val="0"/>
          <w:position w:val="0"/>
          <w:sz w:val="24"/>
          <w:highlight w:val="none"/>
          <w:shd w:val="clear" w:fill="auto"/>
        </w:rPr>
        <w:t>日</w:t>
      </w:r>
    </w:p>
    <w:p w14:paraId="75324A0A">
      <w:pPr>
        <w:pStyle w:val="10"/>
        <w:rPr>
          <w:rFonts w:ascii="宋体" w:hAnsi="宋体" w:eastAsia="宋体" w:cs="宋体"/>
          <w:color w:val="auto"/>
          <w:spacing w:val="0"/>
          <w:position w:val="0"/>
          <w:sz w:val="24"/>
          <w:highlight w:val="none"/>
          <w:shd w:val="clear" w:fill="auto"/>
        </w:rPr>
      </w:pPr>
    </w:p>
    <w:p w14:paraId="6D895E9F">
      <w:pPr>
        <w:pStyle w:val="10"/>
        <w:rPr>
          <w:rFonts w:ascii="宋体" w:hAnsi="宋体" w:eastAsia="宋体" w:cs="宋体"/>
          <w:color w:val="auto"/>
          <w:spacing w:val="0"/>
          <w:position w:val="0"/>
          <w:sz w:val="24"/>
          <w:highlight w:val="none"/>
          <w:shd w:val="clear" w:fill="auto"/>
        </w:rPr>
      </w:pPr>
    </w:p>
    <w:p w14:paraId="1375F677">
      <w:pPr>
        <w:pStyle w:val="10"/>
        <w:rPr>
          <w:rFonts w:ascii="宋体" w:hAnsi="宋体" w:eastAsia="宋体" w:cs="宋体"/>
          <w:color w:val="auto"/>
          <w:spacing w:val="0"/>
          <w:position w:val="0"/>
          <w:sz w:val="24"/>
          <w:highlight w:val="none"/>
          <w:shd w:val="clear" w:fill="auto"/>
        </w:rPr>
      </w:pPr>
    </w:p>
    <w:p w14:paraId="5EA27047">
      <w:pPr>
        <w:pStyle w:val="10"/>
        <w:rPr>
          <w:rFonts w:ascii="宋体" w:hAnsi="宋体" w:eastAsia="宋体" w:cs="宋体"/>
          <w:color w:val="auto"/>
          <w:spacing w:val="0"/>
          <w:position w:val="0"/>
          <w:sz w:val="24"/>
          <w:highlight w:val="none"/>
          <w:shd w:val="clear" w:fill="auto"/>
        </w:rPr>
      </w:pPr>
    </w:p>
    <w:p w14:paraId="6455E094">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3E75B614">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b/>
          <w:color w:val="auto"/>
          <w:spacing w:val="0"/>
          <w:position w:val="0"/>
          <w:sz w:val="24"/>
          <w:highlight w:val="none"/>
          <w:shd w:val="clear" w:fill="auto"/>
        </w:rPr>
        <w:t>第二章    供应商须知</w:t>
      </w:r>
    </w:p>
    <w:tbl>
      <w:tblPr>
        <w:tblStyle w:val="7"/>
        <w:tblW w:w="0" w:type="auto"/>
        <w:tblInd w:w="108" w:type="dxa"/>
        <w:tblLayout w:type="autofit"/>
        <w:tblCellMar>
          <w:top w:w="0" w:type="dxa"/>
          <w:left w:w="10" w:type="dxa"/>
          <w:bottom w:w="0" w:type="dxa"/>
          <w:right w:w="10" w:type="dxa"/>
        </w:tblCellMar>
      </w:tblPr>
      <w:tblGrid>
        <w:gridCol w:w="856"/>
        <w:gridCol w:w="1673"/>
        <w:gridCol w:w="5885"/>
      </w:tblGrid>
      <w:tr w14:paraId="105B350B">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D1DD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7D6E682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5A65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F36D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B886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51DBC25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003B0">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D052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7160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val="en-US" w:eastAsia="zh-CN"/>
              </w:rPr>
              <w:t>郸城县自然资源局不动产登记中心机房软硬件及办公设备升级改造项目</w:t>
            </w:r>
          </w:p>
          <w:p w14:paraId="0A6C21AC">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lang w:val="en-US" w:eastAsia="zh-CN"/>
              </w:rPr>
              <w:t>不动产登记中心机房软硬件及办公设备升级改造</w:t>
            </w:r>
          </w:p>
          <w:p w14:paraId="014DD73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lang w:val="en-US" w:eastAsia="zh-CN"/>
              </w:rPr>
              <w:t>郸城县自然资源局</w:t>
            </w:r>
            <w:r>
              <w:rPr>
                <w:rFonts w:ascii="宋体" w:hAnsi="宋体" w:eastAsia="宋体" w:cs="宋体"/>
                <w:color w:val="auto"/>
                <w:spacing w:val="0"/>
                <w:position w:val="0"/>
                <w:sz w:val="24"/>
                <w:highlight w:val="none"/>
                <w:shd w:val="clear" w:fill="auto"/>
              </w:rPr>
              <w:t>　</w:t>
            </w:r>
          </w:p>
          <w:p w14:paraId="59E6E90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37A8E1F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FD1D9">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31B3B">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C0735C">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7454610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4FF09">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558C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B707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0D65106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76AF3">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03B6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0647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4123B9C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74E4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668D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0B38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552950D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C18B3">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86FC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2A7F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报价包括本项目所招标的货物、保险、税费、包装、加工及加工损耗、运输、现场落地、安装、验收等（采购项目技术规格、参数及要求）</w:t>
            </w:r>
          </w:p>
        </w:tc>
      </w:tr>
      <w:tr w14:paraId="052A1D4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BFEF1">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EA22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9E74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5CBC71D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5AEE7">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F8830">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7EAA2">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41616A6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971158">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814713">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0B7CF">
            <w:pPr>
              <w:tabs>
                <w:tab w:val="left" w:pos="8640"/>
              </w:tabs>
              <w:spacing w:before="0" w:after="0" w:line="240" w:lineRule="auto"/>
              <w:ind w:left="0" w:right="0" w:firstLine="0"/>
              <w:jc w:val="both"/>
              <w:rPr>
                <w:rFonts w:hint="eastAsia" w:ascii="宋体" w:hAnsi="宋体" w:eastAsia="宋体" w:cs="宋体"/>
                <w:color w:val="auto"/>
                <w:spacing w:val="0"/>
                <w:position w:val="0"/>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详见磋商文件</w:t>
            </w:r>
          </w:p>
        </w:tc>
      </w:tr>
      <w:tr w14:paraId="7057BDF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65E0B">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D640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AACFF">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3AFF06A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EE8CB">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1CA2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5C24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5F083A4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A7ACD">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420E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DDCB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C939816">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4CD93D4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5CDC91">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B866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F4A0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483ED7B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094BF">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D0FC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1ADBA">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7D453D6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7C431277">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66805EF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981BC">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B43B1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6F6CE0">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1EE8887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A62CA">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8168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202D7">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0000225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4F603">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D132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E57DD">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5762474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092D2">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5F646">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630A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74B5FF0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12442">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E04B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770D5">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A7197E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E980D">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8BFA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9A137">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20</w:t>
            </w:r>
            <w:r>
              <w:rPr>
                <w:rFonts w:ascii="宋体" w:hAnsi="宋体" w:eastAsia="宋体" w:cs="宋体"/>
                <w:color w:val="auto"/>
                <w:spacing w:val="0"/>
                <w:position w:val="0"/>
                <w:sz w:val="24"/>
                <w:highlight w:val="none"/>
                <w:shd w:val="clear" w:fill="auto"/>
              </w:rPr>
              <w:t>日历天</w:t>
            </w:r>
          </w:p>
        </w:tc>
      </w:tr>
      <w:tr w14:paraId="6FC7F88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CF154">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9CDA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C27BC">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详细付款方式（签订合同后付款30%、验收合格后付款65%、剩余5%一年质保期结束后无息付清。）</w:t>
            </w:r>
          </w:p>
        </w:tc>
      </w:tr>
      <w:tr w14:paraId="39D4F1E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E29BA">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21073">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DAF687">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pacing w:val="28"/>
                <w:sz w:val="24"/>
                <w:szCs w:val="24"/>
                <w:highlight w:val="none"/>
                <w:lang w:val="en-US" w:eastAsia="zh-CN"/>
              </w:rPr>
              <w:t>不组织</w:t>
            </w:r>
          </w:p>
        </w:tc>
      </w:tr>
      <w:tr w14:paraId="0C6E428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E18FB">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21989">
            <w:pPr>
              <w:spacing w:beforeLines="50"/>
              <w:ind w:firstLine="14" w:firstLineChars="6"/>
              <w:jc w:val="center"/>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B4E4C">
            <w:pPr>
              <w:tabs>
                <w:tab w:val="left" w:pos="8640"/>
              </w:tabs>
              <w:jc w:val="left"/>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一次报价</w:t>
            </w:r>
          </w:p>
        </w:tc>
      </w:tr>
      <w:tr w14:paraId="7B83ED3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00AC9">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CBBF2">
            <w:pPr>
              <w:widowControl/>
              <w:spacing w:before="156" w:beforeLines="50"/>
              <w:ind w:firstLine="14" w:firstLineChars="6"/>
              <w:jc w:val="both"/>
              <w:rPr>
                <w:rFonts w:hint="eastAsia" w:ascii="宋体" w:hAnsi="宋体" w:cs="宋体"/>
                <w:b/>
                <w:bCs/>
                <w:color w:val="auto"/>
                <w:sz w:val="24"/>
                <w:highlight w:val="none"/>
                <w:lang w:val="en-US" w:eastAsia="zh-CN"/>
              </w:rPr>
            </w:pPr>
            <w:r>
              <w:rPr>
                <w:rFonts w:hint="eastAsia" w:ascii="宋体" w:hAnsi="宋体" w:cs="宋体"/>
                <w:color w:val="auto"/>
                <w:kern w:val="0"/>
                <w:sz w:val="24"/>
                <w:highlight w:val="none"/>
                <w:lang w:bidi="ar"/>
              </w:rPr>
              <w:t xml:space="preserve">本项目所属行业 </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A44E6">
            <w:pPr>
              <w:widowControl/>
              <w:jc w:val="both"/>
              <w:rPr>
                <w:rFonts w:hint="eastAsia" w:ascii="宋体" w:hAnsi="宋体" w:cs="宋体" w:eastAsiaTheme="minorEastAsia"/>
                <w:b/>
                <w:bCs/>
                <w:color w:val="auto"/>
                <w:sz w:val="24"/>
                <w:highlight w:val="none"/>
                <w:lang w:val="en-US" w:eastAsia="zh-CN"/>
              </w:rPr>
            </w:pPr>
            <w:r>
              <w:rPr>
                <w:rFonts w:hint="eastAsia" w:ascii="宋体" w:hAnsi="宋体" w:cs="宋体"/>
                <w:color w:val="auto"/>
                <w:kern w:val="0"/>
                <w:sz w:val="24"/>
                <w:highlight w:val="none"/>
                <w:lang w:eastAsia="zh-CN" w:bidi="ar"/>
              </w:rPr>
              <w:t>工业</w:t>
            </w:r>
          </w:p>
        </w:tc>
      </w:tr>
    </w:tbl>
    <w:p w14:paraId="12DDB2CC">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340C64C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989720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678E91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DFB710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E44FD5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39E7AE7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1B201AD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98453C6">
      <w:pPr>
        <w:spacing w:before="0" w:after="0" w:line="720" w:lineRule="auto"/>
        <w:ind w:left="0" w:right="0" w:firstLine="0"/>
        <w:jc w:val="both"/>
        <w:rPr>
          <w:rFonts w:ascii="宋体" w:hAnsi="宋体" w:eastAsia="宋体" w:cs="宋体"/>
          <w:b/>
          <w:color w:val="auto"/>
          <w:spacing w:val="0"/>
          <w:position w:val="0"/>
          <w:sz w:val="24"/>
          <w:highlight w:val="none"/>
          <w:shd w:val="clear" w:fill="auto"/>
        </w:rPr>
      </w:pPr>
    </w:p>
    <w:p w14:paraId="51CF732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610B7A87">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51E23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6353050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68BE9D3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7E7CAF2B">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郸城县自然资源局</w:t>
      </w:r>
    </w:p>
    <w:p w14:paraId="053492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572C1E1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031378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1568A60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2.6</w:t>
      </w:r>
      <w:r>
        <w:rPr>
          <w:rFonts w:ascii="宋体" w:hAnsi="宋体" w:eastAsia="宋体" w:cs="宋体"/>
          <w:color w:val="auto"/>
          <w:spacing w:val="0"/>
          <w:position w:val="0"/>
          <w:sz w:val="24"/>
          <w:highlight w:val="none"/>
          <w:shd w:val="clear" w:fill="auto"/>
        </w:rPr>
        <w:t>“法人”系</w:t>
      </w:r>
      <w:r>
        <w:rPr>
          <w:rFonts w:hint="eastAsia" w:ascii="宋体" w:hAnsi="宋体" w:eastAsia="宋体" w:cs="宋体"/>
          <w:color w:val="auto"/>
          <w:spacing w:val="0"/>
          <w:position w:val="0"/>
          <w:sz w:val="24"/>
          <w:highlight w:val="none"/>
          <w:shd w:val="clear" w:fill="auto"/>
          <w:lang w:eastAsia="zh-CN"/>
        </w:rPr>
        <w:t>指依法独立享有民事权利、承担民事义务的组织。</w:t>
      </w:r>
    </w:p>
    <w:p w14:paraId="7C32784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“法定代表人”系指法人单位（企业）法人营业执照（或事业法人登记证书上）上注明的法定代表人；如为其他组织或个体经营者参加竞争性磋商会的，指营业执照上注明的负责人或经营者。 </w:t>
      </w:r>
    </w:p>
    <w:p w14:paraId="44AC05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8</w:t>
      </w:r>
      <w:r>
        <w:rPr>
          <w:rFonts w:ascii="宋体" w:hAnsi="宋体" w:eastAsia="宋体" w:cs="宋体"/>
          <w:color w:val="auto"/>
          <w:spacing w:val="0"/>
          <w:position w:val="0"/>
          <w:sz w:val="24"/>
          <w:highlight w:val="none"/>
          <w:shd w:val="clear" w:fill="auto"/>
        </w:rPr>
        <w:t>“重大违法记录”系指供应商因违法经营受到刑事处罚或者责令停产停业、吊销许可证或者执照、较大数额罚款等行政处罚。</w:t>
      </w:r>
    </w:p>
    <w:p w14:paraId="167279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9</w:t>
      </w:r>
      <w:r>
        <w:rPr>
          <w:rFonts w:ascii="宋体" w:hAnsi="宋体" w:eastAsia="宋体" w:cs="宋体"/>
          <w:color w:val="auto"/>
          <w:spacing w:val="0"/>
          <w:position w:val="0"/>
          <w:sz w:val="24"/>
          <w:highlight w:val="none"/>
          <w:shd w:val="clear" w:fill="auto"/>
        </w:rPr>
        <w:t>“不具备良好的商业信誉”是指：</w:t>
      </w:r>
    </w:p>
    <w:p w14:paraId="75E41F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3A582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394ED9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2D4F99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30466E2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6E67B1C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2C7080A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4358D68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4DDD3AE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4.1.1符合供应商资格条件（详见第一部分供应商资格条件）</w:t>
      </w:r>
    </w:p>
    <w:p w14:paraId="2F597543">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04AE5BF3">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4.1.3 </w:t>
      </w:r>
      <w:r>
        <w:rPr>
          <w:rFonts w:hint="eastAsia" w:ascii="宋体" w:hAnsi="宋体" w:eastAsia="宋体" w:cs="宋体"/>
          <w:color w:val="auto"/>
          <w:spacing w:val="0"/>
          <w:position w:val="0"/>
          <w:sz w:val="24"/>
          <w:highlight w:val="none"/>
          <w:shd w:val="clear" w:fill="auto"/>
          <w:lang w:eastAsia="zh-CN"/>
        </w:rPr>
        <w:t>法人签章的</w:t>
      </w:r>
      <w:r>
        <w:rPr>
          <w:rFonts w:ascii="宋体" w:hAnsi="宋体" w:eastAsia="宋体" w:cs="宋体"/>
          <w:color w:val="auto"/>
          <w:spacing w:val="0"/>
          <w:position w:val="0"/>
          <w:sz w:val="24"/>
          <w:highlight w:val="none"/>
          <w:shd w:val="clear" w:fill="auto"/>
        </w:rPr>
        <w:t>政府采购供应商诚信承诺书；</w:t>
      </w:r>
    </w:p>
    <w:p w14:paraId="3AA6EFA0">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4870239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53CBD7AA">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0C0674F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5DD9286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5DFDF40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（是否要求现场进行实地勘查</w:t>
      </w:r>
      <w:r>
        <w:rPr>
          <w:rFonts w:hint="eastAsia" w:ascii="宋体" w:hAnsi="宋体" w:eastAsia="宋体" w:cs="宋体"/>
          <w:color w:val="auto"/>
          <w:spacing w:val="0"/>
          <w:position w:val="0"/>
          <w:sz w:val="24"/>
          <w:highlight w:val="none"/>
          <w:shd w:val="clear" w:fill="auto"/>
          <w:lang w:eastAsia="zh-CN"/>
        </w:rPr>
        <w:t>：否</w:t>
      </w:r>
      <w:r>
        <w:rPr>
          <w:rFonts w:ascii="宋体" w:hAnsi="宋体" w:eastAsia="宋体" w:cs="宋体"/>
          <w:color w:val="auto"/>
          <w:spacing w:val="0"/>
          <w:position w:val="0"/>
          <w:sz w:val="24"/>
          <w:highlight w:val="none"/>
          <w:shd w:val="clear" w:fill="auto"/>
        </w:rPr>
        <w:t>）为避免供应商盲目投标，确保项目顺利实施，请合格的供应商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一个工作日内及时到现场进行实地勘查，勘查现场由供应商自行与采购人联系。 经采购单位证实供应商确实已到现场勘查，供应商将证明原件放在投标磋商响应文件中（电子标为原件扫描件），否则视为无效投标。</w:t>
      </w:r>
    </w:p>
    <w:p w14:paraId="004DBAF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724856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76BDD0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29549A0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w:t>
      </w:r>
      <w:r>
        <w:rPr>
          <w:rFonts w:hint="eastAsia" w:ascii="宋体" w:hAnsi="宋体" w:eastAsia="宋体" w:cs="宋体"/>
          <w:color w:val="auto"/>
          <w:spacing w:val="0"/>
          <w:position w:val="0"/>
          <w:sz w:val="24"/>
          <w:highlight w:val="none"/>
          <w:shd w:val="clear" w:fill="auto"/>
          <w:lang w:eastAsia="zh-CN"/>
        </w:rPr>
        <w:t>提供无异议承诺书。</w:t>
      </w:r>
      <w:r>
        <w:rPr>
          <w:rFonts w:ascii="宋体" w:hAnsi="宋体" w:eastAsia="宋体" w:cs="宋体"/>
          <w:color w:val="auto"/>
          <w:spacing w:val="0"/>
          <w:position w:val="0"/>
          <w:sz w:val="24"/>
          <w:highlight w:val="none"/>
          <w:shd w:val="clear" w:fill="auto"/>
        </w:rPr>
        <w:t>并不得因此在竞争性磋商会开始后提出任何异议。</w:t>
      </w:r>
    </w:p>
    <w:p w14:paraId="2AB1A9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0368815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04B061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3622AE4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19594AD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7F9FD06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6FC8686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8CCB9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1987EF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2B046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1A7D27F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86A91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6FF8E77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7176CB6">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4BE3368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74D5E2B">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0CA5DB6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6D5720A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lang w:eastAsia="zh-CN"/>
        </w:rPr>
        <w:t>并全文标注“与原件一致”字样</w:t>
      </w:r>
      <w:r>
        <w:rPr>
          <w:rFonts w:hint="eastAsia" w:ascii="宋体" w:hAnsi="宋体" w:eastAsia="宋体" w:cs="宋体"/>
          <w:color w:val="auto"/>
          <w:spacing w:val="0"/>
          <w:position w:val="0"/>
          <w:sz w:val="24"/>
          <w:highlight w:val="none"/>
          <w:shd w:val="clear" w:fill="auto"/>
        </w:rPr>
        <w:t>，以使其投标对</w:t>
      </w:r>
      <w:r>
        <w:rPr>
          <w:rFonts w:hint="eastAsia" w:ascii="宋体" w:hAnsi="宋体" w:eastAsia="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文件做出实质性响应，</w:t>
      </w:r>
      <w:r>
        <w:rPr>
          <w:rFonts w:ascii="宋体" w:hAnsi="宋体" w:eastAsia="宋体" w:cs="宋体"/>
          <w:color w:val="auto"/>
          <w:spacing w:val="0"/>
          <w:position w:val="0"/>
          <w:sz w:val="24"/>
          <w:highlight w:val="none"/>
          <w:shd w:val="clear" w:fill="auto"/>
        </w:rPr>
        <w:t>否则其响应性文件将作为无效处理。</w:t>
      </w:r>
    </w:p>
    <w:p w14:paraId="5AD8E46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8523259">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66F86C1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60DE82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5F8BF3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6C08587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6056E2F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20A1D21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276E4CBA">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1FB740D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39E27F6D">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pacing w:val="0"/>
          <w:position w:val="0"/>
          <w:sz w:val="24"/>
          <w:highlight w:val="none"/>
          <w:shd w:val="clear" w:fill="auto"/>
          <w:lang w:eastAsia="zh-CN"/>
        </w:rPr>
        <w:t>并</w:t>
      </w:r>
      <w:r>
        <w:rPr>
          <w:rFonts w:hint="eastAsia" w:ascii="宋体" w:hAnsi="宋体" w:eastAsia="宋体" w:cs="宋体"/>
          <w:color w:val="auto"/>
          <w:spacing w:val="0"/>
          <w:position w:val="0"/>
          <w:sz w:val="24"/>
          <w:highlight w:val="none"/>
          <w:shd w:val="clear" w:fill="auto"/>
        </w:rPr>
        <w:t>编制连续页码，</w:t>
      </w:r>
      <w:r>
        <w:rPr>
          <w:rFonts w:hint="eastAsia" w:ascii="宋体" w:hAnsi="宋体" w:eastAsia="宋体" w:cs="宋体"/>
          <w:color w:val="auto"/>
          <w:spacing w:val="0"/>
          <w:position w:val="0"/>
          <w:sz w:val="24"/>
          <w:highlight w:val="none"/>
          <w:shd w:val="clear" w:fill="auto"/>
          <w:lang w:val="en-US" w:eastAsia="zh-CN"/>
        </w:rPr>
        <w:t>须注明总页码和分页码，</w:t>
      </w:r>
      <w:r>
        <w:rPr>
          <w:rFonts w:hint="eastAsia" w:ascii="宋体" w:hAnsi="宋体" w:eastAsia="宋体" w:cs="宋体"/>
          <w:color w:val="auto"/>
          <w:spacing w:val="0"/>
          <w:position w:val="0"/>
          <w:sz w:val="24"/>
          <w:highlight w:val="none"/>
          <w:shd w:val="clear" w:fill="auto"/>
          <w:lang w:eastAsia="zh-CN"/>
        </w:rPr>
        <w:t>并制作分级目录（一级、二级），</w:t>
      </w:r>
      <w:r>
        <w:rPr>
          <w:rFonts w:ascii="宋体" w:hAnsi="宋体" w:eastAsia="宋体" w:cs="宋体"/>
          <w:color w:val="auto"/>
          <w:spacing w:val="0"/>
          <w:position w:val="0"/>
          <w:sz w:val="24"/>
          <w:highlight w:val="none"/>
          <w:shd w:val="clear" w:fill="auto"/>
        </w:rPr>
        <w:t>竞争性磋商文件提供格式的按格式填列，未提供格式的可自行拟定。</w:t>
      </w:r>
    </w:p>
    <w:p w14:paraId="65B0AE86">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523E9D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6B6968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0A8230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3EC853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72F1B1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066DF83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7FFEA8F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5A27FC1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13.2采购人</w:t>
      </w:r>
      <w:r>
        <w:rPr>
          <w:rFonts w:hint="eastAsia" w:ascii="宋体" w:hAnsi="宋体" w:eastAsia="宋体" w:cs="宋体"/>
          <w:color w:val="auto"/>
          <w:spacing w:val="0"/>
          <w:position w:val="0"/>
          <w:sz w:val="24"/>
          <w:highlight w:val="none"/>
          <w:shd w:val="clear" w:fill="auto"/>
          <w:lang w:eastAsia="zh-CN"/>
        </w:rPr>
        <w:t>在磋商</w:t>
      </w:r>
      <w:r>
        <w:rPr>
          <w:rFonts w:ascii="宋体" w:hAnsi="宋体" w:eastAsia="宋体" w:cs="宋体"/>
          <w:color w:val="auto"/>
          <w:spacing w:val="0"/>
          <w:position w:val="0"/>
          <w:sz w:val="24"/>
          <w:highlight w:val="none"/>
          <w:shd w:val="clear" w:fill="auto"/>
        </w:rPr>
        <w:t>文件</w:t>
      </w:r>
      <w:r>
        <w:rPr>
          <w:rFonts w:hint="eastAsia" w:ascii="宋体" w:hAnsi="宋体" w:eastAsia="宋体" w:cs="宋体"/>
          <w:color w:val="auto"/>
          <w:spacing w:val="0"/>
          <w:position w:val="0"/>
          <w:sz w:val="24"/>
          <w:highlight w:val="none"/>
          <w:shd w:val="clear" w:fill="auto"/>
          <w:lang w:eastAsia="zh-CN"/>
        </w:rPr>
        <w:t>中</w:t>
      </w:r>
      <w:r>
        <w:rPr>
          <w:rFonts w:ascii="宋体" w:hAnsi="宋体" w:eastAsia="宋体" w:cs="宋体"/>
          <w:color w:val="auto"/>
          <w:spacing w:val="0"/>
          <w:position w:val="0"/>
          <w:sz w:val="24"/>
          <w:highlight w:val="none"/>
          <w:shd w:val="clear" w:fill="auto"/>
        </w:rPr>
        <w:t>要求供应商</w:t>
      </w:r>
      <w:r>
        <w:rPr>
          <w:rFonts w:hint="eastAsia" w:ascii="宋体" w:hAnsi="宋体" w:eastAsia="宋体" w:cs="宋体"/>
          <w:color w:val="auto"/>
          <w:spacing w:val="0"/>
          <w:position w:val="0"/>
          <w:sz w:val="24"/>
          <w:highlight w:val="none"/>
          <w:shd w:val="clear" w:fill="auto"/>
          <w:lang w:eastAsia="zh-CN"/>
        </w:rPr>
        <w:t>承诺中标后</w:t>
      </w:r>
      <w:r>
        <w:rPr>
          <w:rFonts w:ascii="宋体" w:hAnsi="宋体" w:eastAsia="宋体" w:cs="宋体"/>
          <w:color w:val="auto"/>
          <w:spacing w:val="0"/>
          <w:position w:val="0"/>
          <w:sz w:val="24"/>
          <w:highlight w:val="none"/>
          <w:shd w:val="clear" w:fill="auto"/>
        </w:rPr>
        <w:t>同意延长有效期，供应商应在</w:t>
      </w:r>
      <w:r>
        <w:rPr>
          <w:rFonts w:hint="eastAsia" w:ascii="宋体" w:hAnsi="宋体" w:eastAsia="宋体" w:cs="宋体"/>
          <w:color w:val="auto"/>
          <w:spacing w:val="0"/>
          <w:position w:val="0"/>
          <w:sz w:val="24"/>
          <w:highlight w:val="none"/>
          <w:shd w:val="clear" w:fill="auto"/>
          <w:lang w:eastAsia="zh-CN"/>
        </w:rPr>
        <w:t>响应性文件</w:t>
      </w:r>
      <w:r>
        <w:rPr>
          <w:rFonts w:ascii="宋体" w:hAnsi="宋体" w:eastAsia="宋体" w:cs="宋体"/>
          <w:color w:val="auto"/>
          <w:spacing w:val="0"/>
          <w:position w:val="0"/>
          <w:sz w:val="24"/>
          <w:highlight w:val="none"/>
          <w:shd w:val="clear" w:fill="auto"/>
        </w:rPr>
        <w:t>内以书面形式予以答复。供应商答复不明确或逾期未答复的，均视为拒绝上述要求。</w:t>
      </w:r>
    </w:p>
    <w:p w14:paraId="5C781A6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4FBAD08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w:t>
      </w:r>
      <w:r>
        <w:rPr>
          <w:rFonts w:hint="eastAsia" w:ascii="宋体" w:hAnsi="宋体" w:eastAsia="宋体" w:cs="宋体"/>
          <w:color w:val="auto"/>
          <w:spacing w:val="0"/>
          <w:position w:val="0"/>
          <w:sz w:val="24"/>
          <w:highlight w:val="none"/>
          <w:shd w:val="clear" w:fill="auto"/>
          <w:lang w:eastAsia="zh-CN"/>
        </w:rPr>
        <w:t>法人、</w:t>
      </w:r>
      <w:r>
        <w:rPr>
          <w:rFonts w:ascii="宋体" w:hAnsi="宋体" w:eastAsia="宋体" w:cs="宋体"/>
          <w:color w:val="auto"/>
          <w:spacing w:val="0"/>
          <w:position w:val="0"/>
          <w:sz w:val="24"/>
          <w:highlight w:val="none"/>
          <w:shd w:val="clear" w:fill="auto"/>
        </w:rPr>
        <w:t>法定代表人或其委托代理人签字并加盖供应商公章。本竞争性磋商文件所表述（指定）的公章是指法人（供应商）行政公章，不包括专用章。</w:t>
      </w:r>
    </w:p>
    <w:p w14:paraId="210A66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7A8ADBC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28EB7625">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66C4A3B6">
      <w:pPr>
        <w:pStyle w:val="10"/>
        <w:rPr>
          <w:color w:val="auto"/>
          <w:highlight w:val="none"/>
        </w:rPr>
      </w:pPr>
    </w:p>
    <w:p w14:paraId="4B233226">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94558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21877C3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2DFE5F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F01EFB4">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C1D66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2894B9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176CB86">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4930C0FF">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0177F332">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2D5A0DF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5FF2790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545B7A5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FC49954">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5EFE760D">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2AA4F643">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36D5873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3E5C2AF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3301DA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601FE4B0">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F0878B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89925E">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332720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BB86B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103EF12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6C2443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24DB4B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0960DC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0B75F4B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1CB4DE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E11875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9DE74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0F3A42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4179CA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7A3425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4073B73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6A0160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w:t>
      </w:r>
      <w:r>
        <w:rPr>
          <w:rFonts w:hint="eastAsia" w:ascii="宋体" w:hAnsi="宋体" w:eastAsia="宋体" w:cs="宋体"/>
          <w:color w:val="auto"/>
          <w:spacing w:val="0"/>
          <w:position w:val="0"/>
          <w:sz w:val="24"/>
          <w:highlight w:val="none"/>
          <w:shd w:val="clear" w:fill="auto"/>
          <w:lang w:eastAsia="zh-CN"/>
        </w:rPr>
        <w:t>法定</w:t>
      </w:r>
      <w:r>
        <w:rPr>
          <w:rFonts w:ascii="宋体" w:hAnsi="宋体" w:eastAsia="宋体" w:cs="宋体"/>
          <w:color w:val="auto"/>
          <w:spacing w:val="0"/>
          <w:position w:val="0"/>
          <w:sz w:val="24"/>
          <w:highlight w:val="none"/>
          <w:shd w:val="clear" w:fill="auto"/>
        </w:rPr>
        <w:t>代表</w:t>
      </w:r>
      <w:r>
        <w:rPr>
          <w:rFonts w:hint="eastAsia" w:ascii="宋体" w:hAnsi="宋体" w:eastAsia="宋体" w:cs="宋体"/>
          <w:color w:val="auto"/>
          <w:spacing w:val="0"/>
          <w:position w:val="0"/>
          <w:sz w:val="24"/>
          <w:highlight w:val="none"/>
          <w:shd w:val="clear" w:fill="auto"/>
          <w:lang w:eastAsia="zh-CN"/>
        </w:rPr>
        <w:t>人和委托人</w:t>
      </w:r>
      <w:r>
        <w:rPr>
          <w:rFonts w:ascii="宋体" w:hAnsi="宋体" w:eastAsia="宋体" w:cs="宋体"/>
          <w:color w:val="auto"/>
          <w:spacing w:val="0"/>
          <w:position w:val="0"/>
          <w:sz w:val="24"/>
          <w:highlight w:val="none"/>
          <w:shd w:val="clear" w:fill="auto"/>
        </w:rPr>
        <w:t>未能出具</w:t>
      </w:r>
      <w:r>
        <w:rPr>
          <w:rFonts w:hint="eastAsia" w:ascii="宋体" w:hAnsi="宋体" w:eastAsia="宋体" w:cs="宋体"/>
          <w:color w:val="auto"/>
          <w:spacing w:val="0"/>
          <w:position w:val="0"/>
          <w:sz w:val="24"/>
          <w:highlight w:val="none"/>
          <w:shd w:val="clear" w:fill="auto"/>
          <w:lang w:eastAsia="zh-CN"/>
        </w:rPr>
        <w:t>本人签字的</w:t>
      </w:r>
      <w:r>
        <w:rPr>
          <w:rFonts w:ascii="宋体" w:hAnsi="宋体" w:eastAsia="宋体" w:cs="宋体"/>
          <w:color w:val="auto"/>
          <w:spacing w:val="0"/>
          <w:position w:val="0"/>
          <w:sz w:val="24"/>
          <w:highlight w:val="none"/>
          <w:shd w:val="clear" w:fill="auto"/>
        </w:rPr>
        <w:t>身份证明，或与身份不符的；</w:t>
      </w:r>
    </w:p>
    <w:p w14:paraId="7B35222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0FEE3E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559FB2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7382D6A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EB2B36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51F35724">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BBD3C5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F657EC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5D791C84">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5D3F0DAB">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3955DCF9">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5FC6B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25C50A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79D108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0065C29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81DB6D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42122166">
      <w:pPr>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19.8.5投标文件封面无项目名称、采购编号、投标人名称、投标人地址及法人和委托人签字盖章的；</w:t>
      </w:r>
    </w:p>
    <w:p w14:paraId="6BBDA0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6</w:t>
      </w:r>
      <w:r>
        <w:rPr>
          <w:rFonts w:ascii="宋体" w:hAnsi="宋体" w:eastAsia="宋体" w:cs="宋体"/>
          <w:color w:val="auto"/>
          <w:spacing w:val="0"/>
          <w:position w:val="0"/>
          <w:sz w:val="24"/>
          <w:highlight w:val="none"/>
          <w:shd w:val="clear" w:fill="auto"/>
        </w:rPr>
        <w:t>竞争性磋商小组认定的其他串通情形。</w:t>
      </w:r>
    </w:p>
    <w:p w14:paraId="0BD9B91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7"/>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5D65815">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2F4C9">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2EDB344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FCFC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E871E">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87ACB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711975">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18B8570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71F13">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393187B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150972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6DE2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87E2E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0119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810D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A1AB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3335B1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AB3A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D8C1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4DBC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8161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C961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E351A8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BCDA1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9301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1946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6B8A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68DB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22A81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DD4BD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9ED0F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529E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1FB9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918C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2BA7CA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4696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3FD8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6514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0794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BDE6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E779EB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5E3E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2B5A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CD04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1EE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0A81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AC18A3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75E24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FAD2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119A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5975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0C53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0BE4D5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4A76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A9B8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1B34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35874">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D7EBD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A44B76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A2E6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808D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7109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88BF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79EA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D2791B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CE514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0BE92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E87E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4754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376B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9C2824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3BD0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510F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006A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8733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9D26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32F1E8A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1896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40B6F9">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550982">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20C4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B417D">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65B4C94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CB4E1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E1AD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948AF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DE4B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A55A9">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5965C86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BBBC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3929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2D08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7A4CE52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AD077D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8D38A2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2F91A1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A6DB6A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3408B1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05977BA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008D86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763445C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EE6C62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64F9DE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4415E3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6FA2FB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31988C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41F4B3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2D4E0C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61BFA3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2EB613D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22015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149C8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24F1EA19">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19971A80">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3552544">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F738036">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2C93BE19">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336E1AA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7DEDE27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9605D06">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14313780">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3A2257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32AE9583">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09A5504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tbl>
      <w:tblPr>
        <w:tblStyle w:val="7"/>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2"/>
        <w:gridCol w:w="1311"/>
        <w:gridCol w:w="3787"/>
        <w:gridCol w:w="2663"/>
      </w:tblGrid>
      <w:tr w14:paraId="43C7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shd w:val="clear" w:color="000000" w:fill="FFFFFF"/>
            <w:tcMar>
              <w:left w:w="108" w:type="dxa"/>
              <w:right w:w="108" w:type="dxa"/>
            </w:tcMar>
            <w:vAlign w:val="center"/>
          </w:tcPr>
          <w:p w14:paraId="793DBE1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770" w:type="pct"/>
            <w:shd w:val="clear" w:color="000000" w:fill="FFFFFF"/>
            <w:tcMar>
              <w:left w:w="108" w:type="dxa"/>
              <w:right w:w="108" w:type="dxa"/>
            </w:tcMar>
            <w:vAlign w:val="center"/>
          </w:tcPr>
          <w:p w14:paraId="50B31588">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c>
          <w:tcPr>
            <w:tcW w:w="2224" w:type="pct"/>
            <w:shd w:val="clear" w:color="000000" w:fill="FFFFFF"/>
            <w:tcMar>
              <w:left w:w="108" w:type="dxa"/>
              <w:right w:w="108" w:type="dxa"/>
            </w:tcMar>
            <w:vAlign w:val="center"/>
          </w:tcPr>
          <w:p w14:paraId="014DE8D6">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指标说明及评分标准</w:t>
            </w:r>
          </w:p>
        </w:tc>
        <w:tc>
          <w:tcPr>
            <w:tcW w:w="1564" w:type="pct"/>
            <w:shd w:val="clear" w:color="000000" w:fill="FFFFFF"/>
            <w:tcMar>
              <w:left w:w="108" w:type="dxa"/>
              <w:right w:w="108" w:type="dxa"/>
            </w:tcMar>
            <w:vAlign w:val="center"/>
          </w:tcPr>
          <w:p w14:paraId="24EA18D5">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评分依据</w:t>
            </w:r>
          </w:p>
        </w:tc>
      </w:tr>
      <w:tr w14:paraId="5A4E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shd w:val="clear" w:color="000000" w:fill="FFFFFF"/>
            <w:tcMar>
              <w:left w:w="108" w:type="dxa"/>
              <w:right w:w="108" w:type="dxa"/>
            </w:tcMar>
            <w:vAlign w:val="center"/>
          </w:tcPr>
          <w:p w14:paraId="56C56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报价得分（30分）</w:t>
            </w:r>
          </w:p>
        </w:tc>
        <w:tc>
          <w:tcPr>
            <w:tcW w:w="770" w:type="pct"/>
            <w:shd w:val="clear" w:color="000000" w:fill="FFFFFF"/>
            <w:tcMar>
              <w:left w:w="108" w:type="dxa"/>
              <w:right w:w="108" w:type="dxa"/>
            </w:tcMar>
            <w:vAlign w:val="center"/>
          </w:tcPr>
          <w:p w14:paraId="6F29093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报价（30分）</w:t>
            </w:r>
          </w:p>
        </w:tc>
        <w:tc>
          <w:tcPr>
            <w:tcW w:w="3788" w:type="pct"/>
            <w:gridSpan w:val="2"/>
            <w:shd w:val="clear" w:color="000000" w:fill="FFFFFF"/>
            <w:tcMar>
              <w:left w:w="108" w:type="dxa"/>
              <w:right w:w="108" w:type="dxa"/>
            </w:tcMar>
            <w:vAlign w:val="center"/>
          </w:tcPr>
          <w:p w14:paraId="278E420F">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满足磋商文件要求且最后报价最低的供应商的价格为磋商基准价，其价格分为满分。其他供应商的价格分统一按照下列公式计算：</w:t>
            </w:r>
          </w:p>
          <w:p w14:paraId="03B98419">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磋商报价得分=（磋商基准价/最后磋商报价）×价格权值×100</w:t>
            </w:r>
          </w:p>
          <w:p w14:paraId="3A7DA9E7">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备注：价格分计算保留小数点后二位。</w:t>
            </w:r>
          </w:p>
          <w:p w14:paraId="19C555C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7A588E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1.若投标人投标价格均超过控制价，做废标处理。</w:t>
            </w:r>
          </w:p>
          <w:p w14:paraId="571548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%的扣除，用扣除后的价格参与评审。参加本项目的中小企业应当提供《中小企业声明函》（格式详见《政府采购促进中小企业发展管理办法》）。</w:t>
            </w:r>
          </w:p>
          <w:p w14:paraId="1B9A9DA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3526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vMerge w:val="restart"/>
            <w:shd w:val="clear" w:color="000000" w:fill="FFFFFF"/>
            <w:tcMar>
              <w:left w:w="108" w:type="dxa"/>
              <w:right w:w="108" w:type="dxa"/>
            </w:tcMar>
            <w:vAlign w:val="center"/>
          </w:tcPr>
          <w:p w14:paraId="100B3C5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技术部分(50分）</w:t>
            </w:r>
          </w:p>
        </w:tc>
        <w:tc>
          <w:tcPr>
            <w:tcW w:w="770" w:type="pct"/>
            <w:shd w:val="clear" w:color="000000" w:fill="FFFFFF"/>
            <w:tcMar>
              <w:left w:w="108" w:type="dxa"/>
              <w:right w:w="108" w:type="dxa"/>
            </w:tcMar>
            <w:vAlign w:val="center"/>
          </w:tcPr>
          <w:p w14:paraId="1A171A3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w:t>
            </w:r>
          </w:p>
          <w:p w14:paraId="0355A1C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rPr>
              <w:t>分)</w:t>
            </w:r>
          </w:p>
        </w:tc>
        <w:tc>
          <w:tcPr>
            <w:tcW w:w="3788" w:type="pct"/>
            <w:gridSpan w:val="2"/>
            <w:shd w:val="clear" w:color="000000" w:fill="FFFFFF"/>
            <w:tcMar>
              <w:left w:w="108" w:type="dxa"/>
              <w:right w:w="108" w:type="dxa"/>
            </w:tcMar>
            <w:vAlign w:val="center"/>
          </w:tcPr>
          <w:p w14:paraId="072CE5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1、投标货物技术性能及产品功能全部满足招标文件要求得基本分40分。</w:t>
            </w:r>
          </w:p>
          <w:p w14:paraId="607029C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2、招标文件参数序号前有★重点标注的，投标人每有一项负偏离扣2分，其他常规参数有负偏离的每处扣1分，扣完为止。</w:t>
            </w:r>
          </w:p>
          <w:p w14:paraId="49FF3D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注：带★参数必须提供证明材料，所投设备技术参数证明材料包括：检验报告或彩页或</w:t>
            </w:r>
            <w:r>
              <w:rPr>
                <w:rFonts w:hint="eastAsia" w:ascii="宋体" w:hAnsi="宋体" w:eastAsia="宋体" w:cs="宋体"/>
                <w:color w:val="auto"/>
                <w:sz w:val="24"/>
                <w:szCs w:val="24"/>
                <w:highlight w:val="none"/>
                <w:lang w:val="en-US" w:eastAsia="zh-CN"/>
              </w:rPr>
              <w:t>功能截图</w:t>
            </w:r>
            <w:r>
              <w:rPr>
                <w:rFonts w:hint="eastAsia" w:ascii="宋体" w:hAnsi="宋体" w:eastAsia="宋体" w:cs="宋体"/>
                <w:color w:val="auto"/>
                <w:sz w:val="24"/>
                <w:szCs w:val="24"/>
                <w:highlight w:val="none"/>
              </w:rPr>
              <w:t>等。所提供证明材料不得修改或伪造，一经发现修改或伪造按废标处理。</w:t>
            </w:r>
          </w:p>
          <w:p w14:paraId="5FEA8738">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未提供带★参数的证明文件，不作为废标项，仅作为评分依据。</w:t>
            </w:r>
          </w:p>
        </w:tc>
      </w:tr>
      <w:tr w14:paraId="5F6A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vMerge w:val="continue"/>
            <w:shd w:val="clear" w:color="000000" w:fill="FFFFFF"/>
            <w:tcMar>
              <w:left w:w="108" w:type="dxa"/>
              <w:right w:w="108" w:type="dxa"/>
            </w:tcMar>
            <w:vAlign w:val="center"/>
          </w:tcPr>
          <w:p w14:paraId="4B324F2E">
            <w:pPr>
              <w:spacing w:line="360" w:lineRule="auto"/>
              <w:rPr>
                <w:rFonts w:hint="eastAsia" w:ascii="宋体" w:hAnsi="宋体" w:eastAsia="宋体" w:cs="宋体"/>
                <w:color w:val="auto"/>
                <w:sz w:val="24"/>
                <w:szCs w:val="24"/>
                <w:highlight w:val="none"/>
              </w:rPr>
            </w:pPr>
          </w:p>
        </w:tc>
        <w:tc>
          <w:tcPr>
            <w:tcW w:w="770" w:type="pct"/>
            <w:shd w:val="clear" w:color="000000" w:fill="FFFFFF"/>
            <w:tcMar>
              <w:left w:w="108" w:type="dxa"/>
              <w:right w:w="108" w:type="dxa"/>
            </w:tcMar>
            <w:vAlign w:val="center"/>
          </w:tcPr>
          <w:p w14:paraId="6414710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项目实施及售后服务方案(</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分)</w:t>
            </w:r>
          </w:p>
        </w:tc>
        <w:tc>
          <w:tcPr>
            <w:tcW w:w="3788" w:type="pct"/>
            <w:gridSpan w:val="2"/>
            <w:shd w:val="clear" w:color="000000" w:fill="FFFFFF"/>
            <w:tcMar>
              <w:left w:w="108" w:type="dxa"/>
              <w:right w:w="108" w:type="dxa"/>
            </w:tcMar>
            <w:vAlign w:val="center"/>
          </w:tcPr>
          <w:p w14:paraId="7F40E0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1、供应商提供详细的项目实施方案（提供针对本项目的</w:t>
            </w:r>
            <w:r>
              <w:rPr>
                <w:rFonts w:hint="eastAsia" w:ascii="宋体" w:hAnsi="宋体" w:cs="宋体"/>
                <w:color w:val="auto"/>
                <w:sz w:val="24"/>
                <w:szCs w:val="24"/>
                <w:highlight w:val="none"/>
              </w:rPr>
              <w:t>组织计划、人员配置、工期保障、</w:t>
            </w:r>
            <w:r>
              <w:rPr>
                <w:rFonts w:hint="eastAsia" w:ascii="宋体" w:hAnsi="宋体" w:eastAsia="宋体" w:cs="宋体"/>
                <w:color w:val="auto"/>
                <w:sz w:val="24"/>
                <w:szCs w:val="24"/>
                <w:highlight w:val="none"/>
              </w:rPr>
              <w:t>供货方案、质量保证措施、安装调试方案等），</w:t>
            </w:r>
            <w:r>
              <w:rPr>
                <w:rFonts w:hint="eastAsia" w:ascii="宋体" w:hAnsi="宋体" w:eastAsia="宋体" w:cs="宋体"/>
                <w:color w:val="auto"/>
                <w:sz w:val="24"/>
                <w:szCs w:val="24"/>
                <w:highlight w:val="none"/>
                <w:lang w:eastAsia="zh-CN"/>
              </w:rPr>
              <w:t>每提供一项得一分</w:t>
            </w:r>
            <w:r>
              <w:rPr>
                <w:rFonts w:hint="eastAsia" w:ascii="宋体" w:hAnsi="宋体" w:eastAsia="宋体" w:cs="宋体"/>
                <w:color w:val="auto"/>
                <w:sz w:val="24"/>
                <w:szCs w:val="24"/>
                <w:highlight w:val="none"/>
              </w:rPr>
              <w:t>，不提供不得分</w:t>
            </w:r>
            <w:r>
              <w:rPr>
                <w:rFonts w:hint="eastAsia" w:ascii="宋体" w:hAnsi="宋体" w:eastAsia="宋体" w:cs="宋体"/>
                <w:color w:val="auto"/>
                <w:sz w:val="24"/>
                <w:szCs w:val="24"/>
                <w:highlight w:val="none"/>
                <w:lang w:eastAsia="zh-CN"/>
              </w:rPr>
              <w:t>，最高</w:t>
            </w:r>
            <w:r>
              <w:rPr>
                <w:rFonts w:hint="eastAsia" w:ascii="宋体" w:hAnsi="宋体" w:eastAsia="宋体" w:cs="宋体"/>
                <w:color w:val="auto"/>
                <w:sz w:val="24"/>
                <w:szCs w:val="24"/>
                <w:highlight w:val="none"/>
                <w:lang w:val="en-US" w:eastAsia="zh-CN"/>
              </w:rPr>
              <w:t>6分</w:t>
            </w:r>
            <w:r>
              <w:rPr>
                <w:rFonts w:hint="eastAsia" w:ascii="宋体" w:hAnsi="宋体" w:eastAsia="宋体" w:cs="宋体"/>
                <w:color w:val="auto"/>
                <w:sz w:val="24"/>
                <w:szCs w:val="24"/>
                <w:highlight w:val="none"/>
              </w:rPr>
              <w:t>。</w:t>
            </w:r>
          </w:p>
          <w:p w14:paraId="76FCE8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2、供应商提供详细的售后服务方案和培训方案（售后服务内容、售后服务人员及电话、处理突发情况的应急方案、响应到场时间、培训内容、培训方式、培训承诺），</w:t>
            </w:r>
            <w:r>
              <w:rPr>
                <w:rFonts w:hint="eastAsia" w:ascii="宋体" w:hAnsi="宋体" w:eastAsia="宋体" w:cs="宋体"/>
                <w:color w:val="auto"/>
                <w:sz w:val="24"/>
                <w:szCs w:val="24"/>
                <w:highlight w:val="none"/>
                <w:lang w:eastAsia="zh-CN"/>
              </w:rPr>
              <w:t>每提供一项得一分</w:t>
            </w:r>
            <w:r>
              <w:rPr>
                <w:rFonts w:hint="eastAsia" w:ascii="宋体" w:hAnsi="宋体" w:eastAsia="宋体" w:cs="宋体"/>
                <w:color w:val="auto"/>
                <w:sz w:val="24"/>
                <w:szCs w:val="24"/>
                <w:highlight w:val="none"/>
              </w:rPr>
              <w:t>，不提供不得分</w:t>
            </w:r>
            <w:r>
              <w:rPr>
                <w:rFonts w:hint="eastAsia" w:ascii="宋体" w:hAnsi="宋体" w:eastAsia="宋体" w:cs="宋体"/>
                <w:color w:val="auto"/>
                <w:sz w:val="24"/>
                <w:szCs w:val="24"/>
                <w:highlight w:val="none"/>
                <w:lang w:eastAsia="zh-CN"/>
              </w:rPr>
              <w:t>，最高</w:t>
            </w:r>
            <w:r>
              <w:rPr>
                <w:rFonts w:hint="eastAsia" w:ascii="宋体" w:hAnsi="宋体" w:eastAsia="宋体" w:cs="宋体"/>
                <w:color w:val="auto"/>
                <w:sz w:val="24"/>
                <w:szCs w:val="24"/>
                <w:highlight w:val="none"/>
                <w:lang w:val="en-US" w:eastAsia="zh-CN"/>
              </w:rPr>
              <w:t>7分</w:t>
            </w:r>
            <w:r>
              <w:rPr>
                <w:rFonts w:hint="eastAsia" w:ascii="宋体" w:hAnsi="宋体" w:eastAsia="宋体" w:cs="宋体"/>
                <w:color w:val="auto"/>
                <w:sz w:val="24"/>
                <w:szCs w:val="24"/>
                <w:highlight w:val="none"/>
              </w:rPr>
              <w:t>。</w:t>
            </w:r>
          </w:p>
        </w:tc>
      </w:tr>
      <w:tr w14:paraId="4788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2" w:type="pct"/>
            <w:shd w:val="clear" w:color="000000" w:fill="FFFFFF"/>
            <w:tcMar>
              <w:left w:w="108" w:type="dxa"/>
              <w:right w:w="108" w:type="dxa"/>
            </w:tcMar>
            <w:vAlign w:val="center"/>
          </w:tcPr>
          <w:p w14:paraId="10749A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64467FD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（20分）</w:t>
            </w:r>
          </w:p>
        </w:tc>
        <w:tc>
          <w:tcPr>
            <w:tcW w:w="770" w:type="pct"/>
            <w:tcMar>
              <w:left w:w="108" w:type="dxa"/>
              <w:right w:w="108" w:type="dxa"/>
            </w:tcMar>
            <w:vAlign w:val="center"/>
          </w:tcPr>
          <w:p w14:paraId="7FA3783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企业实力(20分)</w:t>
            </w:r>
          </w:p>
        </w:tc>
        <w:tc>
          <w:tcPr>
            <w:tcW w:w="3788" w:type="pct"/>
            <w:gridSpan w:val="2"/>
            <w:tcMar>
              <w:left w:w="108" w:type="dxa"/>
              <w:right w:w="108" w:type="dxa"/>
            </w:tcMar>
          </w:tcPr>
          <w:p w14:paraId="3D484574">
            <w:pPr>
              <w:spacing w:line="360" w:lineRule="auto"/>
              <w:rPr>
                <w:rFonts w:hint="eastAsia" w:ascii="宋体" w:hAnsi="宋体" w:cs="宋体" w:eastAsiaTheme="minorEastAsia"/>
                <w:color w:val="auto"/>
                <w:sz w:val="24"/>
                <w:szCs w:val="24"/>
                <w:highlight w:val="none"/>
                <w:lang w:eastAsia="zh-CN" w:bidi="ar"/>
              </w:rPr>
            </w:pPr>
            <w:r>
              <w:rPr>
                <w:rFonts w:hint="eastAsia" w:ascii="宋体" w:hAnsi="宋体" w:cs="宋体"/>
                <w:color w:val="auto"/>
                <w:sz w:val="24"/>
                <w:szCs w:val="24"/>
                <w:highlight w:val="none"/>
                <w:lang w:bidi="ar"/>
              </w:rPr>
              <w:t>1、为保障业务的连续性和稳定性，所投网络安全产品厂商具备国产化信息系统集成和服务能力等级证书（LS4）的得5分，LS4级以下得2分，不提供不得分</w:t>
            </w:r>
            <w:r>
              <w:rPr>
                <w:rFonts w:hint="eastAsia" w:ascii="宋体" w:hAnsi="宋体" w:cs="宋体"/>
                <w:color w:val="auto"/>
                <w:sz w:val="24"/>
                <w:szCs w:val="24"/>
                <w:highlight w:val="none"/>
                <w:lang w:eastAsia="zh-CN" w:bidi="ar"/>
              </w:rPr>
              <w:t>。</w:t>
            </w:r>
          </w:p>
          <w:p w14:paraId="189D3AB3">
            <w:pPr>
              <w:spacing w:line="360" w:lineRule="auto"/>
              <w:rPr>
                <w:rFonts w:hint="eastAsia" w:ascii="宋体" w:hAnsi="宋体" w:cs="宋体" w:eastAsiaTheme="minorEastAsia"/>
                <w:color w:val="auto"/>
                <w:sz w:val="24"/>
                <w:szCs w:val="24"/>
                <w:highlight w:val="none"/>
                <w:lang w:eastAsia="zh-CN" w:bidi="ar"/>
              </w:rPr>
            </w:pPr>
            <w:r>
              <w:rPr>
                <w:rFonts w:hint="eastAsia" w:ascii="宋体" w:hAnsi="宋体" w:cs="宋体"/>
                <w:color w:val="auto"/>
                <w:sz w:val="24"/>
                <w:szCs w:val="24"/>
                <w:highlight w:val="none"/>
                <w:lang w:bidi="ar"/>
              </w:rPr>
              <w:t>2、为保障产品自身安全性，所投网络安全产品厂商具备</w:t>
            </w:r>
            <w:r>
              <w:rPr>
                <w:rFonts w:ascii="宋体" w:hAnsi="宋体" w:cs="宋体"/>
                <w:color w:val="auto"/>
                <w:sz w:val="24"/>
                <w:szCs w:val="24"/>
                <w:highlight w:val="none"/>
                <w:lang w:bidi="ar"/>
              </w:rPr>
              <w:t>ITSS云服务能力符合性评估SaaS服务资质</w:t>
            </w:r>
            <w:r>
              <w:rPr>
                <w:rFonts w:hint="eastAsia" w:ascii="宋体" w:hAnsi="宋体" w:cs="宋体"/>
                <w:color w:val="auto"/>
                <w:sz w:val="24"/>
                <w:szCs w:val="24"/>
                <w:highlight w:val="none"/>
                <w:lang w:bidi="ar"/>
              </w:rPr>
              <w:t>二级</w:t>
            </w:r>
            <w:r>
              <w:rPr>
                <w:rFonts w:hint="eastAsia" w:ascii="宋体" w:hAnsi="宋体" w:cs="宋体"/>
                <w:color w:val="auto"/>
                <w:sz w:val="24"/>
                <w:szCs w:val="24"/>
                <w:highlight w:val="none"/>
                <w:lang w:val="en-US" w:eastAsia="zh-CN" w:bidi="ar"/>
              </w:rPr>
              <w:t>及</w:t>
            </w:r>
            <w:r>
              <w:rPr>
                <w:rFonts w:hint="eastAsia" w:ascii="宋体" w:hAnsi="宋体" w:cs="宋体"/>
                <w:color w:val="auto"/>
                <w:sz w:val="24"/>
                <w:szCs w:val="24"/>
                <w:highlight w:val="none"/>
                <w:lang w:bidi="ar"/>
              </w:rPr>
              <w:t>以上</w:t>
            </w:r>
            <w:r>
              <w:rPr>
                <w:rFonts w:hint="eastAsia" w:ascii="宋体" w:hAnsi="宋体" w:cs="宋体"/>
                <w:color w:val="auto"/>
                <w:sz w:val="24"/>
                <w:szCs w:val="24"/>
                <w:highlight w:val="none"/>
                <w:lang w:val="en-US" w:eastAsia="zh-CN" w:bidi="ar"/>
              </w:rPr>
              <w:t>的</w:t>
            </w:r>
            <w:r>
              <w:rPr>
                <w:rFonts w:hint="eastAsia" w:ascii="宋体" w:hAnsi="宋体" w:cs="宋体"/>
                <w:color w:val="auto"/>
                <w:sz w:val="24"/>
                <w:szCs w:val="24"/>
                <w:highlight w:val="none"/>
                <w:lang w:bidi="ar"/>
              </w:rPr>
              <w:t>得5分，二级以下得2分，不提供不得分</w:t>
            </w:r>
            <w:r>
              <w:rPr>
                <w:rFonts w:hint="eastAsia" w:ascii="宋体" w:hAnsi="宋体" w:cs="宋体"/>
                <w:color w:val="auto"/>
                <w:sz w:val="24"/>
                <w:szCs w:val="24"/>
                <w:highlight w:val="none"/>
                <w:lang w:eastAsia="zh-CN" w:bidi="ar"/>
              </w:rPr>
              <w:t>。</w:t>
            </w:r>
          </w:p>
          <w:p w14:paraId="62E1AA69">
            <w:pPr>
              <w:spacing w:line="360" w:lineRule="auto"/>
              <w:rPr>
                <w:rFonts w:hint="eastAsia" w:ascii="宋体" w:hAnsi="宋体" w:cs="宋体"/>
                <w:color w:val="auto"/>
                <w:sz w:val="24"/>
                <w:szCs w:val="24"/>
                <w:highlight w:val="none"/>
                <w:lang w:bidi="ar"/>
              </w:rPr>
            </w:pPr>
            <w:r>
              <w:rPr>
                <w:rFonts w:hint="eastAsia" w:ascii="宋体" w:hAnsi="宋体" w:cs="宋体"/>
                <w:color w:val="auto"/>
                <w:sz w:val="24"/>
                <w:szCs w:val="24"/>
                <w:highlight w:val="none"/>
                <w:lang w:bidi="ar"/>
              </w:rPr>
              <w:t>3、为保障产品质量稳定性，所投</w:t>
            </w:r>
            <w:r>
              <w:rPr>
                <w:rFonts w:hint="eastAsia" w:ascii="宋体" w:hAnsi="宋体" w:cs="宋体"/>
                <w:color w:val="auto"/>
                <w:sz w:val="24"/>
                <w:szCs w:val="24"/>
                <w:highlight w:val="none"/>
                <w:lang w:val="en-US" w:eastAsia="zh-CN" w:bidi="ar"/>
              </w:rPr>
              <w:t>网络安全</w:t>
            </w:r>
            <w:r>
              <w:rPr>
                <w:rFonts w:hint="eastAsia" w:ascii="宋体" w:hAnsi="宋体" w:cs="宋体"/>
                <w:color w:val="auto"/>
                <w:sz w:val="24"/>
                <w:szCs w:val="24"/>
                <w:highlight w:val="none"/>
                <w:lang w:bidi="ar"/>
              </w:rPr>
              <w:t>产品厂商具备CS-CMMI云安全能力成熟度模型集成评估（五级）资质证书</w:t>
            </w:r>
            <w:r>
              <w:rPr>
                <w:rFonts w:hint="eastAsia" w:ascii="宋体" w:hAnsi="宋体" w:cs="宋体"/>
                <w:color w:val="auto"/>
                <w:sz w:val="24"/>
                <w:szCs w:val="24"/>
                <w:highlight w:val="none"/>
                <w:lang w:val="en-US" w:eastAsia="zh-CN" w:bidi="ar"/>
              </w:rPr>
              <w:t>的</w:t>
            </w:r>
            <w:r>
              <w:rPr>
                <w:rFonts w:hint="eastAsia" w:ascii="宋体" w:hAnsi="宋体" w:cs="宋体"/>
                <w:color w:val="auto"/>
                <w:sz w:val="24"/>
                <w:szCs w:val="24"/>
                <w:highlight w:val="none"/>
                <w:lang w:bidi="ar"/>
              </w:rPr>
              <w:t>得5分，五级以下得2分，不提供不得分。</w:t>
            </w:r>
          </w:p>
          <w:p w14:paraId="6BCD9BBA">
            <w:pPr>
              <w:spacing w:line="360" w:lineRule="auto"/>
              <w:textAlignment w:val="center"/>
              <w:rPr>
                <w:rFonts w:ascii="宋体" w:hAnsi="宋体" w:cs="宋体"/>
                <w:color w:val="auto"/>
                <w:sz w:val="24"/>
                <w:szCs w:val="24"/>
                <w:highlight w:val="none"/>
                <w:lang w:bidi="ar"/>
              </w:rPr>
            </w:pPr>
            <w:r>
              <w:rPr>
                <w:rFonts w:hint="eastAsia" w:ascii="宋体" w:hAnsi="宋体" w:cs="宋体"/>
                <w:color w:val="auto"/>
                <w:sz w:val="24"/>
                <w:szCs w:val="24"/>
                <w:highlight w:val="none"/>
                <w:lang w:bidi="ar"/>
              </w:rPr>
              <w:t>4、为保障项目的建设及服务能力，所投网络安全产品厂商具备</w:t>
            </w:r>
            <w:r>
              <w:rPr>
                <w:rFonts w:ascii="宋体" w:hAnsi="宋体" w:cs="宋体"/>
                <w:color w:val="auto"/>
                <w:sz w:val="24"/>
                <w:szCs w:val="24"/>
                <w:highlight w:val="none"/>
                <w:lang w:bidi="ar"/>
              </w:rPr>
              <w:t>信息系统建设及服务能力评估资质</w:t>
            </w:r>
            <w:r>
              <w:rPr>
                <w:rFonts w:hint="eastAsia" w:ascii="宋体" w:hAnsi="宋体" w:cs="宋体"/>
                <w:color w:val="auto"/>
                <w:sz w:val="24"/>
                <w:szCs w:val="24"/>
                <w:highlight w:val="none"/>
                <w:lang w:bidi="ar"/>
              </w:rPr>
              <w:t>CS4级</w:t>
            </w:r>
            <w:r>
              <w:rPr>
                <w:rFonts w:hint="eastAsia" w:ascii="宋体" w:hAnsi="宋体" w:cs="宋体"/>
                <w:color w:val="auto"/>
                <w:sz w:val="24"/>
                <w:szCs w:val="24"/>
                <w:highlight w:val="none"/>
                <w:lang w:val="en-US" w:eastAsia="zh-CN" w:bidi="ar"/>
              </w:rPr>
              <w:t>及</w:t>
            </w:r>
            <w:r>
              <w:rPr>
                <w:rFonts w:hint="eastAsia" w:ascii="宋体" w:hAnsi="宋体" w:cs="宋体"/>
                <w:color w:val="auto"/>
                <w:sz w:val="24"/>
                <w:szCs w:val="24"/>
                <w:highlight w:val="none"/>
                <w:lang w:bidi="ar"/>
              </w:rPr>
              <w:t>以上</w:t>
            </w:r>
            <w:r>
              <w:rPr>
                <w:rFonts w:hint="eastAsia" w:ascii="宋体" w:hAnsi="宋体" w:cs="宋体"/>
                <w:color w:val="auto"/>
                <w:sz w:val="24"/>
                <w:szCs w:val="24"/>
                <w:highlight w:val="none"/>
                <w:lang w:val="en-US" w:eastAsia="zh-CN" w:bidi="ar"/>
              </w:rPr>
              <w:t>的</w:t>
            </w:r>
            <w:r>
              <w:rPr>
                <w:rFonts w:hint="eastAsia" w:ascii="宋体" w:hAnsi="宋体" w:cs="宋体"/>
                <w:color w:val="auto"/>
                <w:sz w:val="24"/>
                <w:szCs w:val="24"/>
                <w:highlight w:val="none"/>
                <w:lang w:bidi="ar"/>
              </w:rPr>
              <w:t>得5分，4级以下2分，不提供不得分。</w:t>
            </w:r>
          </w:p>
          <w:p w14:paraId="06535FA1">
            <w:pPr>
              <w:spacing w:line="360" w:lineRule="auto"/>
              <w:textAlignment w:val="center"/>
              <w:rPr>
                <w:rFonts w:hint="eastAsia" w:ascii="宋体" w:hAnsi="宋体" w:cs="宋体"/>
                <w:b/>
                <w:bCs/>
                <w:color w:val="auto"/>
                <w:sz w:val="24"/>
                <w:szCs w:val="24"/>
                <w:highlight w:val="none"/>
                <w:lang w:bidi="ar"/>
              </w:rPr>
            </w:pPr>
            <w:r>
              <w:rPr>
                <w:rFonts w:hint="eastAsia" w:ascii="宋体" w:hAnsi="宋体" w:cs="宋体"/>
                <w:b/>
                <w:bCs/>
                <w:color w:val="auto"/>
                <w:sz w:val="24"/>
                <w:szCs w:val="24"/>
                <w:highlight w:val="none"/>
                <w:lang w:bidi="ar"/>
              </w:rPr>
              <w:t>（以上材料需提供证书复印件，并加盖</w:t>
            </w:r>
            <w:r>
              <w:rPr>
                <w:rFonts w:hint="eastAsia" w:ascii="宋体" w:hAnsi="宋体" w:cs="宋体"/>
                <w:b/>
                <w:bCs/>
                <w:color w:val="auto"/>
                <w:sz w:val="24"/>
                <w:szCs w:val="24"/>
                <w:highlight w:val="none"/>
                <w:lang w:eastAsia="zh-CN" w:bidi="ar"/>
              </w:rPr>
              <w:t>投标人</w:t>
            </w:r>
            <w:r>
              <w:rPr>
                <w:rFonts w:hint="eastAsia" w:ascii="宋体" w:hAnsi="宋体" w:cs="宋体"/>
                <w:b/>
                <w:bCs/>
                <w:color w:val="auto"/>
                <w:sz w:val="24"/>
                <w:szCs w:val="24"/>
                <w:highlight w:val="none"/>
                <w:lang w:bidi="ar"/>
              </w:rPr>
              <w:t>公章）</w:t>
            </w:r>
          </w:p>
        </w:tc>
      </w:tr>
    </w:tbl>
    <w:p w14:paraId="6C04BECC">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1FFFD66">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01290D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3CB1A1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6123275">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1D3BD4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1B8AB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7411F2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5CB89A7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35A119B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5D56C01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322E499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4090296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7344C81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1F09DBF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6264AF2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5921C40A">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61F8D716">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4BB1F93A">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16DD24B">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5B11C2A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1B8D4F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BDA0BE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E9F006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0FABB3B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42FBAD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66737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4A22ED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7BF5680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A3437EC">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4E7D9C2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b/>
          <w:color w:val="auto"/>
          <w:spacing w:val="0"/>
          <w:position w:val="0"/>
          <w:sz w:val="24"/>
          <w:highlight w:val="none"/>
          <w:shd w:val="clear" w:fill="auto"/>
        </w:rPr>
        <w:t>第三章 采购项目内容及要求</w:t>
      </w:r>
    </w:p>
    <w:p w14:paraId="52205700">
      <w:pPr>
        <w:numPr>
          <w:ilvl w:val="0"/>
          <w:numId w:val="25"/>
        </w:num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本项目采购内容：</w:t>
      </w:r>
    </w:p>
    <w:tbl>
      <w:tblPr>
        <w:tblStyle w:val="7"/>
        <w:tblW w:w="10778" w:type="dxa"/>
        <w:jc w:val="center"/>
        <w:tblLayout w:type="fixed"/>
        <w:tblCellMar>
          <w:top w:w="0" w:type="dxa"/>
          <w:left w:w="108" w:type="dxa"/>
          <w:bottom w:w="0" w:type="dxa"/>
          <w:right w:w="108" w:type="dxa"/>
        </w:tblCellMar>
      </w:tblPr>
      <w:tblGrid>
        <w:gridCol w:w="720"/>
        <w:gridCol w:w="1616"/>
        <w:gridCol w:w="6173"/>
        <w:gridCol w:w="821"/>
        <w:gridCol w:w="705"/>
        <w:gridCol w:w="743"/>
      </w:tblGrid>
      <w:tr w14:paraId="79439C99">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noWrap/>
            <w:vAlign w:val="center"/>
          </w:tcPr>
          <w:p w14:paraId="790E6535">
            <w:pPr>
              <w:widowControl/>
              <w:jc w:val="center"/>
              <w:textAlignment w:val="center"/>
              <w:rPr>
                <w:rFonts w:hint="eastAsia" w:ascii="宋体" w:hAnsi="宋体" w:eastAsia="宋体" w:cs="宋体"/>
                <w:b/>
                <w:bCs/>
                <w:color w:val="auto"/>
                <w:sz w:val="22"/>
                <w:highlight w:val="none"/>
              </w:rPr>
            </w:pPr>
            <w:r>
              <w:rPr>
                <w:rFonts w:hint="eastAsia" w:ascii="宋体" w:hAnsi="宋体" w:eastAsia="宋体" w:cs="宋体"/>
                <w:b/>
                <w:bCs/>
                <w:color w:val="auto"/>
                <w:sz w:val="22"/>
                <w:highlight w:val="none"/>
                <w:lang w:bidi="ar"/>
              </w:rPr>
              <w:t>序号</w:t>
            </w:r>
          </w:p>
        </w:tc>
        <w:tc>
          <w:tcPr>
            <w:tcW w:w="1616" w:type="dxa"/>
            <w:tcBorders>
              <w:top w:val="single" w:color="000000" w:sz="4" w:space="0"/>
              <w:left w:val="single" w:color="000000" w:sz="4" w:space="0"/>
              <w:bottom w:val="single" w:color="000000" w:sz="4" w:space="0"/>
              <w:right w:val="single" w:color="000000" w:sz="4" w:space="0"/>
            </w:tcBorders>
            <w:noWrap/>
            <w:vAlign w:val="center"/>
          </w:tcPr>
          <w:p w14:paraId="384D8E00">
            <w:pPr>
              <w:widowControl/>
              <w:jc w:val="center"/>
              <w:textAlignment w:val="center"/>
              <w:rPr>
                <w:rFonts w:hint="eastAsia" w:ascii="宋体" w:hAnsi="宋体" w:eastAsia="宋体" w:cs="宋体"/>
                <w:b/>
                <w:bCs/>
                <w:color w:val="auto"/>
                <w:sz w:val="22"/>
                <w:highlight w:val="none"/>
              </w:rPr>
            </w:pPr>
            <w:r>
              <w:rPr>
                <w:rFonts w:hint="eastAsia" w:ascii="宋体" w:hAnsi="宋体" w:eastAsia="宋体" w:cs="宋体"/>
                <w:b/>
                <w:bCs/>
                <w:color w:val="auto"/>
                <w:sz w:val="22"/>
                <w:highlight w:val="none"/>
                <w:lang w:bidi="ar"/>
              </w:rPr>
              <w:t>名称</w:t>
            </w:r>
          </w:p>
        </w:tc>
        <w:tc>
          <w:tcPr>
            <w:tcW w:w="6173" w:type="dxa"/>
            <w:tcBorders>
              <w:top w:val="single" w:color="000000" w:sz="4" w:space="0"/>
              <w:left w:val="single" w:color="000000" w:sz="4" w:space="0"/>
              <w:bottom w:val="single" w:color="000000" w:sz="4" w:space="0"/>
              <w:right w:val="single" w:color="000000" w:sz="4" w:space="0"/>
            </w:tcBorders>
            <w:vAlign w:val="center"/>
          </w:tcPr>
          <w:p w14:paraId="124D77A2">
            <w:pPr>
              <w:widowControl/>
              <w:jc w:val="center"/>
              <w:textAlignment w:val="center"/>
              <w:rPr>
                <w:rFonts w:hint="eastAsia" w:ascii="宋体" w:hAnsi="宋体" w:eastAsia="宋体" w:cs="宋体"/>
                <w:b/>
                <w:bCs/>
                <w:color w:val="auto"/>
                <w:sz w:val="22"/>
                <w:highlight w:val="none"/>
              </w:rPr>
            </w:pPr>
            <w:r>
              <w:rPr>
                <w:rFonts w:hint="eastAsia" w:ascii="宋体" w:hAnsi="宋体" w:eastAsia="宋体" w:cs="宋体"/>
                <w:b/>
                <w:bCs/>
                <w:color w:val="auto"/>
                <w:sz w:val="22"/>
                <w:highlight w:val="none"/>
                <w:lang w:bidi="ar"/>
              </w:rPr>
              <w:t>规格配置</w:t>
            </w:r>
          </w:p>
        </w:tc>
        <w:tc>
          <w:tcPr>
            <w:tcW w:w="821" w:type="dxa"/>
            <w:tcBorders>
              <w:top w:val="single" w:color="000000" w:sz="4" w:space="0"/>
              <w:left w:val="single" w:color="000000" w:sz="4" w:space="0"/>
              <w:bottom w:val="single" w:color="000000" w:sz="4" w:space="0"/>
              <w:right w:val="single" w:color="000000" w:sz="4" w:space="0"/>
            </w:tcBorders>
            <w:vAlign w:val="center"/>
          </w:tcPr>
          <w:p w14:paraId="40F34F54">
            <w:pPr>
              <w:widowControl/>
              <w:jc w:val="center"/>
              <w:textAlignment w:val="center"/>
              <w:rPr>
                <w:rFonts w:hint="eastAsia" w:ascii="宋体" w:hAnsi="宋体" w:eastAsia="宋体" w:cs="宋体"/>
                <w:b/>
                <w:bCs/>
                <w:color w:val="auto"/>
                <w:sz w:val="22"/>
                <w:highlight w:val="none"/>
              </w:rPr>
            </w:pPr>
            <w:r>
              <w:rPr>
                <w:rFonts w:hint="eastAsia" w:ascii="宋体" w:hAnsi="宋体" w:eastAsia="宋体" w:cs="宋体"/>
                <w:b/>
                <w:bCs/>
                <w:color w:val="auto"/>
                <w:sz w:val="22"/>
                <w:highlight w:val="none"/>
                <w:lang w:bidi="ar"/>
              </w:rPr>
              <w:t>单位</w:t>
            </w:r>
          </w:p>
        </w:tc>
        <w:tc>
          <w:tcPr>
            <w:tcW w:w="705" w:type="dxa"/>
            <w:tcBorders>
              <w:top w:val="single" w:color="000000" w:sz="4" w:space="0"/>
              <w:left w:val="single" w:color="000000" w:sz="4" w:space="0"/>
              <w:bottom w:val="single" w:color="000000" w:sz="4" w:space="0"/>
              <w:right w:val="single" w:color="000000" w:sz="4" w:space="0"/>
            </w:tcBorders>
            <w:noWrap/>
            <w:vAlign w:val="center"/>
          </w:tcPr>
          <w:p w14:paraId="51371C50">
            <w:pPr>
              <w:widowControl/>
              <w:jc w:val="center"/>
              <w:textAlignment w:val="center"/>
              <w:rPr>
                <w:rFonts w:hint="eastAsia" w:ascii="宋体" w:hAnsi="宋体" w:eastAsia="宋体" w:cs="宋体"/>
                <w:b/>
                <w:bCs/>
                <w:color w:val="auto"/>
                <w:sz w:val="22"/>
                <w:highlight w:val="none"/>
              </w:rPr>
            </w:pPr>
            <w:r>
              <w:rPr>
                <w:rFonts w:hint="eastAsia" w:ascii="宋体" w:hAnsi="宋体" w:eastAsia="宋体" w:cs="宋体"/>
                <w:b/>
                <w:bCs/>
                <w:color w:val="auto"/>
                <w:sz w:val="22"/>
                <w:highlight w:val="none"/>
                <w:lang w:bidi="ar"/>
              </w:rPr>
              <w:t>数量</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4A45F7E3">
            <w:pPr>
              <w:widowControl/>
              <w:jc w:val="center"/>
              <w:textAlignment w:val="center"/>
              <w:rPr>
                <w:rFonts w:hint="eastAsia" w:ascii="宋体" w:hAnsi="宋体" w:eastAsia="宋体" w:cs="宋体"/>
                <w:b/>
                <w:bCs/>
                <w:color w:val="auto"/>
                <w:sz w:val="22"/>
                <w:highlight w:val="none"/>
              </w:rPr>
            </w:pPr>
            <w:r>
              <w:rPr>
                <w:rFonts w:hint="eastAsia" w:ascii="宋体" w:hAnsi="宋体" w:eastAsia="宋体" w:cs="宋体"/>
                <w:b/>
                <w:bCs/>
                <w:color w:val="auto"/>
                <w:sz w:val="22"/>
                <w:highlight w:val="none"/>
                <w:lang w:bidi="ar"/>
              </w:rPr>
              <w:t>备注</w:t>
            </w:r>
          </w:p>
        </w:tc>
      </w:tr>
      <w:tr w14:paraId="4549113C">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1DB915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62B47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内外网防火墙</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B1B2CA">
            <w:pPr>
              <w:widowControl/>
              <w:jc w:val="left"/>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1、机架式设备，≥5个千兆电口（含1个MGMT口、1个HA口）和2个Combo（光电复用）口,单电源,防火墙吞吐≥3G，并发连接≥150万，每秒新建连接≥1.8万，应用层吞吐量≥2G，含IPSECVPN功能、SDWAN功能、应用识别功能，≥3年硬件质保。</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2、产品由专用的硬件平台、安全操作系统及功能软件构成，设备采用自主知识产权的专用安全操作系统，采用多核多平台并行处理机制。</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3、为保障网络高效性需支持 RIP 、 OSPF 、 BGP4 、 QinQ （ VLANVPN）、PIM-SM、PIM-DM等路由协议。</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4、支持多种地址转换，支持源/ 目的 NAT 、双向NAT、NoNAT 转换方式；支持源 IP 转换同一性，同时支持端口块地址转换和 EIM 地址转换。</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5、支持一体化安全策略配置，可以通过一条策略实现五元组、源 MAC、源地区、目的地区、域名、应用、服务、时间、 长连接、并发会话、 WEB 认证、IPS、AV、URL 过滤、高级威胁防护、WAF、邮件安全、数据过滤、文件过滤、僵木蠕防御、审计、数据库防护、防代理、APT 等功能配置,简化用户管理。</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6、访问控制策略执行动作支持放行、阻断、认证、收集，对需要认证的流量进行 Web 认证，策略中可设置用户 Web 认证的门户地址或收集策略流量访问记录，生成更细粒的策略。</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7、★为保障防火墙策略的有效性和准确性，所投设备提供策略分析功能，支持策略命中分析、策略冗余分析、策略冲突检查、策略包含分析、宽泛策略分析，可在 WEB 界面显示检测结果。（提供具备 CNAS/CMA 资质的第三方测试机构测试报告证明材料，包含对应功能“智能化对象和策略分析”测试页并加盖厂商公章）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8、支持RADVD 、 ND 、RIPng、 OSPFv3 、BGP4+，支持IPv6 静态、动态组播路由。</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9、支持IPv6 安全控制策略设置，能针对 IPv6 的目的/源地址、目的/源服务端口、区域、服务、时间、扩展头属性等条件进行安全访问规则的设置。</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4B16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B64A8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743" w:type="dxa"/>
            <w:tcBorders>
              <w:top w:val="single" w:color="000000" w:sz="4" w:space="0"/>
              <w:left w:val="single" w:color="000000" w:sz="4" w:space="0"/>
              <w:bottom w:val="single" w:color="000000" w:sz="4" w:space="0"/>
              <w:right w:val="single" w:color="000000" w:sz="4" w:space="0"/>
            </w:tcBorders>
            <w:vAlign w:val="center"/>
          </w:tcPr>
          <w:p w14:paraId="72551665">
            <w:pPr>
              <w:jc w:val="center"/>
              <w:rPr>
                <w:rFonts w:hint="eastAsia" w:ascii="宋体" w:hAnsi="宋体" w:eastAsia="宋体" w:cs="宋体"/>
                <w:color w:val="auto"/>
                <w:sz w:val="24"/>
                <w:szCs w:val="24"/>
                <w:highlight w:val="none"/>
              </w:rPr>
            </w:pPr>
          </w:p>
        </w:tc>
      </w:tr>
      <w:tr w14:paraId="67F3DE92">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F26FE0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CBE4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上网行为管理</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C217A">
            <w:pPr>
              <w:widowControl/>
              <w:jc w:val="left"/>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1、≥1U,≥1个串口、≥2个USB接口、≥8个千兆电口、≥2个千兆光插槽、≥2个万兆光插槽,双电源,应用层吞吐≥350M，最大并发连接数&gt;18W，支持用户数≥600人，日志存储硬盘：≥1T，≥3年系统版本升级、URL库及应用特征库升级许可，≥3年硬件质保。</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2、支持即插即用功能。不管电脑的IP如何配置，开启即插即用功能后，只要插上网线，即可上网。</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3、支持路由模式，旁路模式、网桥模式、混合模式部署；切换部署模式无需重启，不影响设备正常使用。</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4、支持基于应用层服务和SAAS的策略路由，可基于IP、国家列表、ISP自动地址表和域名来控制目的地址。</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5、</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支持分离互联网和自定义特殊网域，实现一个用户同时只能访问一个网域。（提供具备 CNAS/CMA 资质的第三方测试机构测试报告证明材料，包含对应功能“分时分区上网”测试页并加盖厂商公章）。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6、支持违规网站、违规搜索、违规帖子、违规上传、违规邮件、还有潜在威胁的告警行为；支持设备内存、cpu、会话、接口速率支持告警设置；告警策略要支持syslog、短信、邮件、日志记录，以及任意的方式组合。</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7、能够提供流量适用排名，提供前50名用户流量适用情况，并支持趋势图、黑名单、显示活跃服务等操作。通过黑名单可以直接强制某个流量异常用户下线或者快速修改带宽。</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8、支持对TCP、UDP、ICMP、TCP SYN超时时间，无回应UDP超时时间设置，并能支持按照新建会话与总会话比例设置老化开始或者结束。</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9、支持防网络共享行为，针对私接路由器和非法无线热点行为进行识别和管控；检测方式包括但不限于UA识别、共享账号识别、虚拟身份识别、路由器识别、应用特征检测等。</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10、支持portal认证、短信认证、微信认证、企业微信认证、二维码认证、钉钉认证、指纹认证、刷卡认证。</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AD18F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A2A44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0285F425">
            <w:pPr>
              <w:jc w:val="center"/>
              <w:rPr>
                <w:rFonts w:hint="eastAsia" w:ascii="宋体" w:hAnsi="宋体" w:eastAsia="宋体" w:cs="宋体"/>
                <w:color w:val="auto"/>
                <w:sz w:val="24"/>
                <w:szCs w:val="24"/>
                <w:highlight w:val="none"/>
              </w:rPr>
            </w:pPr>
          </w:p>
        </w:tc>
      </w:tr>
      <w:tr w14:paraId="10D9AEA0">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1AE6A8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3A4FB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内外网入侵防御</w:t>
            </w:r>
          </w:p>
        </w:tc>
        <w:tc>
          <w:tcPr>
            <w:tcW w:w="6173" w:type="dxa"/>
            <w:tcBorders>
              <w:top w:val="single" w:color="000000" w:sz="4" w:space="0"/>
              <w:left w:val="single" w:color="000000" w:sz="4" w:space="0"/>
              <w:bottom w:val="single" w:color="000000" w:sz="4" w:space="0"/>
              <w:right w:val="single" w:color="000000" w:sz="4" w:space="0"/>
            </w:tcBorders>
            <w:vAlign w:val="center"/>
          </w:tcPr>
          <w:p w14:paraId="37118EBA">
            <w:pPr>
              <w:widowControl/>
              <w:jc w:val="left"/>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1、标准机架式设备，≥6个10/100/1000BASE-T接口（含1个管理口，1个HA口，支持1对Bypass），≥4个千兆SFP,冗余电源,整机吞吐率≥5Gbps，IPS吞吐率≥2.5Gbps，≥3年攻击检测规则库、应用识别库、地理信息库升级许可，≥3年硬件质保。</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2、设备采用自主知识产权的专用安全操作系统，采用多核多平台并行处理特性，安全操作系统采用冗余设计，出于安全性考虑，多系统需在设备启动过程中进行选择不得在WEB维护界面中设置系统切换选项。</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3、流量采集：支持流量采集功能，支持在设备界面对服务器地址、端口、以及采样百分比进行设；支持流量采集策略设置，对流量采集的方向、时间、源IP地址、目的IP地址、源端口、目的端口进行设置。</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4、</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入侵防御：支持攻击报文取证功能，检测到攻击事件后将原始报文完整记录下来，作为电子证据，支持自定义规则，并且自定义规则库可以导入导出。支持丢弃报文、记录日志、禁止连接、TCP reset结束TCP会话等多种响应动作，支持黑名单，将攻击源加入黑名单，一段时间内禁止访问；（提供功能截图证明并加盖厂商公章）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5、★DDOS防御：系统应支持DDoS检测、阻断及防御基线自学习功能，能够进行自学习配置、自学习结果查看、防护配置设置；支持DDOS 机器人自学习功能，学习时间可设置；支持主机并发连接数和半连接数的限制。（提供功能截图证明并加盖厂商公章）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6、应用管控：支持根据数据内容而非端口智能识别包括P2P、即时通讯、电子商务、股票交易、网络游戏、网络电视、移动应用等在内的23大类超过2100种应用。</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7、防火墙功能：支持设置访问控制规则，实现对三到七层的访问控制，支持连接数控制，并且可以选择源目的区域及源目的地址、协议类型进行控制，支持源、目的地址转换以及双向地址转换。</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8、日志管理：支持多种形式的日志存储,本地存储、发送至日志服务器、本地日志服务器双存储、自动方式判断日志服务器状态自动决定日志的记录方式；支持外发日志服务器时，自定义字符编码格式GBK/UTF8，支持攻击检测日志中可以直观的展示攻击事件中的攻击特征编码；</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9、应用统计：支持对应用协议的连接数和流量的报警信息进行展示，红色表示有报警，绿色表示没报警，支持在应用排名中，展示该应用的主机的IP地址所对应的的主机所属国家，以及连接数、上行流量、下行流量，并且可以对其进行排序</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10、接口流量统计：支持查看任意接口接受和发送报文字节大小分布图，支持查看近24小时、一周、一个月内历史系统性能事件情况、连接数变化情况及新建会话速率情况。</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11、实时监控：支持设备机箱温度监视以及报警，可以自定义温度阀值。</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D4EA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F821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743" w:type="dxa"/>
            <w:tcBorders>
              <w:top w:val="single" w:color="000000" w:sz="4" w:space="0"/>
              <w:left w:val="single" w:color="000000" w:sz="4" w:space="0"/>
              <w:bottom w:val="single" w:color="000000" w:sz="4" w:space="0"/>
              <w:right w:val="single" w:color="000000" w:sz="4" w:space="0"/>
            </w:tcBorders>
            <w:vAlign w:val="center"/>
          </w:tcPr>
          <w:p w14:paraId="218F4869">
            <w:pPr>
              <w:jc w:val="center"/>
              <w:rPr>
                <w:rFonts w:hint="eastAsia" w:ascii="宋体" w:hAnsi="宋体" w:eastAsia="宋体" w:cs="宋体"/>
                <w:color w:val="auto"/>
                <w:sz w:val="24"/>
                <w:szCs w:val="24"/>
                <w:highlight w:val="none"/>
              </w:rPr>
            </w:pPr>
          </w:p>
        </w:tc>
      </w:tr>
      <w:tr w14:paraId="2BE00DD8">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A0CF8B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AEF82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WAF</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297F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1U，</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8个千兆电口（1个管理口，1个HA口，2对Bypass口），</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2个千兆光,单电源,应用层吞吐</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300M，网络层吞吐</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3G，并发连接</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70万，含</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3年特征库升级许可，含SQL注入、XSS、CSRF等WEB攻击防护功能、URL访问控制功能、防盗链功能、WEB漏洞扫描功能、DDoS攻击防护功能、网页防篡改功能、服务器负载均衡功能、报表分析及告警功能，</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3年硬件质保。</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2、支持虚拟线接入，无论任何网络环境可强制数据从一个接口转发到另一个接口。</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3、支持识别和阻断SQL注入攻击,Cookie 注入攻击，命令注入攻击、跨站脚本(XSS)攻击、请求伪造(CSRF)攻击、WebShell攻击。</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4、支持多种爬虫攻击防护：包括但不限于内置爬虫对象库，自定义爬虫对象，导入或者下载后端服务器robots.txt 等方式提供爬虫攻击防护。</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5、★支持敏感信息防泄漏功能，可自定义对身份证、信用卡、手机电话号码、座机电话号码、邮箱地址等敏感信息做检查，当检查到此类数据后可通过配置特殊字符*予以替换隐藏。（提供功能截图证明并加盖厂商公章）</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6、支持基线学习，可以自动学习用户http正常流量阈值模型，并给出推荐阈值配置项。</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7、★支持HTTP/HTTPS的DDoS攻击威胁检查，支持对慢速攻击，CC攻击进行防护。（提供功能截图证明并加盖厂商公章）</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8、网关型网页防篡改，无需在服务器中安装任何插件，即可对网站文件内容进行篡改防护，当检测到篡改后可以实时恢复篡改内容。</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9、★支持虚拟补丁功能，支持导入WAF内置扫描器及appscan、w3af等第三方扫描器的扫描结果生成WAF的防护规则，对此类网站漏洞直接防护。（提供功能截图证明并加盖厂商公章）</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10、支持日志敏感信息脱敏，记录日志时将敏感数据替换为某个特定字符。</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C56C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A537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2FC17631">
            <w:pPr>
              <w:jc w:val="center"/>
              <w:rPr>
                <w:rFonts w:hint="eastAsia" w:ascii="宋体" w:hAnsi="宋体" w:eastAsia="宋体" w:cs="宋体"/>
                <w:color w:val="auto"/>
                <w:sz w:val="24"/>
                <w:szCs w:val="24"/>
                <w:highlight w:val="none"/>
              </w:rPr>
            </w:pPr>
          </w:p>
        </w:tc>
      </w:tr>
      <w:tr w14:paraId="3E8F4B20">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4D7FF25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5</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173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网闸</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3B215F">
            <w:pPr>
              <w:widowControl/>
              <w:jc w:val="left"/>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1、≥1U,内端机≥6个10/100/1000Base-T接口（含1个管理口）；外端机≥6个10/100/1000Base-T接口（含1个HA口）,单电源,吞吐量≥100Mbps，并发连接数≥2万，延时≤1ms，内外端机各≥8G Msata，配置包含web访问模块、FTP访问模块、邮件访问模块、视频监控模块、数据库访问模块、自定义应用模块、文件同步模块、数据库同步模块，≥3年硬件质保。</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2、管理控制层和业务数据层分离，管理系统部署于内端机上， 只能通过内端机上的管理口对网闸进行配置，不允许外端机存在任何形式的管理接口。可避免黑客从外部网络入侵，导致隔离网闸被黑客完全控制的现象。</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 xml:space="preserve">3、支持HTTPS网络传输，可在SSL加密通道中分解出正常HTTPS网络应用。 </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4、代理、透明和路由工作模式下均支持FTP协议内部命令及命令参数控制策略。</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5、</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支持文件变动实时同步、定时同步、系统资源空闲智能同步等多种同步方式，支持同步删除和同步覆盖策略配置，并能将同步删除和同步覆盖的文件备份到指定文件夹，支持文件同步容错策略和告警策略，同步出错能够自动重传并能够设置重传次数，出现异常同步状况能够终止同步弹出告警提示并记录日志。（提供功能截图证明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 xml:space="preserve">6、支持TCP应用层数据单向传输的控制，保证TCP应用数据的0 反馈，以满足二次防护对数据传输的安全性需求。 </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7、支持设备策略的一键导入、一键导出，支持定期远程策略备份，可按指定周期将设备策略主动备份到外部FTP服务器上。支持设备时钟管理，可以手动修改时间，也可以通过网内NTP服务器进行时间同步。</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8、支持自定义的TCP、UDP协议的数据隔离交换，以用户定制的命令、参数等协议解析方式来解析自定义应用的通信内容，支持16进制数据格式的定制。</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 xml:space="preserve">9、支持代理模式、透明代理、路由模式三种工作模式，管理员可依据实际网络状况进行相应的部署，以满足各种网络环境状况。 </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C0CF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0AE05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1A4E07D6">
            <w:pPr>
              <w:jc w:val="center"/>
              <w:rPr>
                <w:rFonts w:hint="eastAsia" w:ascii="宋体" w:hAnsi="宋体" w:eastAsia="宋体" w:cs="宋体"/>
                <w:color w:val="auto"/>
                <w:sz w:val="24"/>
                <w:szCs w:val="24"/>
                <w:highlight w:val="none"/>
              </w:rPr>
            </w:pPr>
          </w:p>
        </w:tc>
      </w:tr>
      <w:tr w14:paraId="594EDAF8">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A41CED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A7C04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核心交换机</w:t>
            </w:r>
          </w:p>
        </w:tc>
        <w:tc>
          <w:tcPr>
            <w:tcW w:w="6173" w:type="dxa"/>
            <w:tcBorders>
              <w:top w:val="single" w:color="000000" w:sz="4" w:space="0"/>
              <w:left w:val="single" w:color="000000" w:sz="4" w:space="0"/>
              <w:bottom w:val="single" w:color="000000" w:sz="4" w:space="0"/>
              <w:right w:val="single" w:color="000000" w:sz="4" w:space="0"/>
            </w:tcBorders>
            <w:vAlign w:val="center"/>
          </w:tcPr>
          <w:p w14:paraId="63883EE7">
            <w:pPr>
              <w:widowControl/>
              <w:jc w:val="center"/>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1U机架式设备，</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24个千兆电口，</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24个千兆光口，</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6个万兆光口，可插拔双电源，交换容量：</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9.98Tbps  包转发</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542Mpps.</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E21F5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D893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vAlign w:val="center"/>
          </w:tcPr>
          <w:p w14:paraId="5494535C">
            <w:pPr>
              <w:jc w:val="center"/>
              <w:rPr>
                <w:rFonts w:hint="eastAsia" w:ascii="宋体" w:hAnsi="宋体" w:eastAsia="宋体" w:cs="宋体"/>
                <w:color w:val="auto"/>
                <w:sz w:val="24"/>
                <w:szCs w:val="24"/>
                <w:highlight w:val="none"/>
              </w:rPr>
            </w:pPr>
          </w:p>
        </w:tc>
      </w:tr>
      <w:tr w14:paraId="3CF913C1">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4133412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7</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58101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日志审计</w:t>
            </w:r>
          </w:p>
        </w:tc>
        <w:tc>
          <w:tcPr>
            <w:tcW w:w="6173" w:type="dxa"/>
            <w:tcBorders>
              <w:top w:val="single" w:color="000000" w:sz="4" w:space="0"/>
              <w:left w:val="single" w:color="000000" w:sz="4" w:space="0"/>
              <w:bottom w:val="single" w:color="000000" w:sz="4" w:space="0"/>
              <w:right w:val="single" w:color="000000" w:sz="4" w:space="0"/>
            </w:tcBorders>
            <w:vAlign w:val="center"/>
          </w:tcPr>
          <w:p w14:paraId="5B6E6420">
            <w:pPr>
              <w:widowControl/>
              <w:jc w:val="left"/>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1、配置≥30个日志源授权，授权可扩展，日志采集处理均值≥5000EPS，含日志收集、存储、查询、统计分析、告警响应等功能。</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2、支持安全设备、网络设备、中间件、服务器、数据库、操作系统、业务系统等日志数据采集。</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3、支持独立展示每个被采集源最近24小时的日志数量趋势，便于掌握设备的安全事件情况，支持独立展示每个设备日志的最新采集时间，便于了解设备日志的采集状态。</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4、支持对日志流量非常大但是日志重要程度低的syslog类型日志源进行限制接收速率，降低对系统资源的占用，保障重要日志的收集。</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5、</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支持根据设备重要程度设置独立设置每个被采集源的日志、报表数据存储时间为1个月、3个月、6个月和永久保存等参数。（提供功能截图证明并加盖厂商公章）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6、支持首页以全国地图、全球地图展示最近24小时日志访问源和访问目的的分布，能根据颜色区分访问来源和访问目的数据量大小，能够通过首页地图快速下钻查询指定区域的日志详细信息。</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7、支持为不同类型日志设置不同的查询条件和显示条件；支持展示日志查询情况，包括查询条件命中数、日志总量、查询耗时等信息；</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8、</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支持基于时间轴展示日志数据分布、告警数据分布，能够通过时间轴进行查询分析。（提供功能截图证明并加盖厂商公章）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9、支持对重点日志源的关注设置，并可通过关注列表快速查看重点日志源的状态、当日日志量、采集日志总量、最近接收时间、业务组等基础信息。</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10、支持以业务角度将日志源进行分组，支持在日志查询时以业务组进行查询，支持在首页拓扑展示时以业务组进行展示。</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03FFA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4B12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vAlign w:val="center"/>
          </w:tcPr>
          <w:p w14:paraId="18BD9B3C">
            <w:pPr>
              <w:jc w:val="center"/>
              <w:rPr>
                <w:rFonts w:hint="eastAsia" w:ascii="宋体" w:hAnsi="宋体" w:eastAsia="宋体" w:cs="宋体"/>
                <w:color w:val="auto"/>
                <w:sz w:val="24"/>
                <w:szCs w:val="24"/>
                <w:highlight w:val="none"/>
              </w:rPr>
            </w:pPr>
          </w:p>
        </w:tc>
      </w:tr>
      <w:tr w14:paraId="465E6D28">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3A77AD7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8</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6FD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数据库审计</w:t>
            </w:r>
          </w:p>
        </w:tc>
        <w:tc>
          <w:tcPr>
            <w:tcW w:w="6173" w:type="dxa"/>
            <w:tcBorders>
              <w:top w:val="single" w:color="000000" w:sz="4" w:space="0"/>
              <w:left w:val="single" w:color="000000" w:sz="4" w:space="0"/>
              <w:bottom w:val="single" w:color="000000" w:sz="4" w:space="0"/>
              <w:right w:val="single" w:color="000000" w:sz="4" w:space="0"/>
            </w:tcBorders>
            <w:vAlign w:val="center"/>
          </w:tcPr>
          <w:p w14:paraId="6A7461AF">
            <w:pPr>
              <w:widowControl/>
              <w:jc w:val="left"/>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1、标准机架式设备，配置液晶屏，设备内存≥16G，硬盘容量≥4T，≥8个千兆电口，≥4个千兆光口，冗余电源，≥2个扩展槽位，审计吞吐≥200Mbps，峰值SQL处理能力≥3000条/s，日处理能力≥500万条，支持数据库实例个数≥50，配置≥1个云审计代理/Agent授权，配置应用规则库，≥3年硬件质保。</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2、支持国内外40余种主流数据库协议，包括国产化/非国产化的关系型数据库、非关系型数据库等。</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3、支持通过声光、邮件、短信、企业微信等方式对审计日志、系统日志进行告警。</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4、</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支持Cache、Hive、Hana、clickhouse、Tibero、Solr、MongoDB、HBase、ElasticSearch、Redis等国际主流数据库系统。（提供功能截图证明并加盖厂商公章）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5、内置默认控制规则，包括用户登录、低中高风险操作、数据库DML、DCL、DDL等操作语句等规则定义，方便用户引用和制定控制规则；</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6、</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支持SMTP、POP3、IMAP的邮件审计功能、文件传输协议审计（FTP、TFTP协议）、DNS域名解析协议审计、SSH远程登录协议、SSL网络安全协议、Radius协议、Telnet协议、AD域和LDAP协议、即时通讯应用（如QQ语音视频、阿里旺旺、飞秋、钉钉文件传输等）、共享协议（SMB文件共享、NFS共享）、网页邮件（如126邮箱、189邮箱、QQ邮箱、联通沃邮箱）、网页应用（如腾讯微博、猫扑网、乐乎、腾讯新闻、百度贴吧等）、网盘外发文件审计（如115网盘、网易网盘）。（提供功能截图证明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7、支持匹配查询条件后的查询结果二次分析，分析结果支持在线查看报表导出。</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8、支持白名单审计：系统使用审计白名单将非关注的内容进行过滤，降低性能消耗和存储空间占用。</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D46DC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4917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vAlign w:val="center"/>
          </w:tcPr>
          <w:p w14:paraId="5DCE173D">
            <w:pPr>
              <w:jc w:val="center"/>
              <w:rPr>
                <w:rFonts w:hint="eastAsia" w:ascii="宋体" w:hAnsi="宋体" w:eastAsia="宋体" w:cs="宋体"/>
                <w:color w:val="auto"/>
                <w:sz w:val="24"/>
                <w:szCs w:val="24"/>
                <w:highlight w:val="none"/>
              </w:rPr>
            </w:pPr>
          </w:p>
        </w:tc>
      </w:tr>
      <w:tr w14:paraId="1C9D2EB9">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2F8E63E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9</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9AB27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杀毒软件</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D3F25">
            <w:pPr>
              <w:widowControl/>
              <w:jc w:val="left"/>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1、≥20个Windows客户端防病毒功能授权，配置统一管理中心，3年升级许可，支持基因识别、虚拟沙盒等引擎，可以精准查杀勒索、木马、蠕虫等各类病毒；提供病毒防御、系统防御以及网络防御等主动防御功能。</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2、</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客户端安装后至多占用50M硬盘资源，日常内存占用不到30M，有效节省PC/Server资源。（提供功能截图证明并加盖厂商公章）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3、全网安全态势展示，统计运行概况及客户端概况，包括终端信息、使用授权信息、待处理威胁、当日防护、全网风险趋势、威胁终端排行、病毒风险排行、安全事件、服务器信息等统计情况，点击统计数据可跳转查看详细信息。</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4、支持配置在线终端状态异常告警、终端离线告警，及时掌握终端连接状态。</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5、</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支持终端防卸载、防脱离功能，管理员能够统一设置防卸载密码，防止终端用户随意脱离保护。（提供功能截图证明并加盖厂商公章）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6、支持定制安全防护策略：包括病毒防御（病毒查杀、文件实时监控、恶意行为监控、U盘保护、下载保护、邮件监控、白名单）；系统防御（浏览器保护、软件安装拦截、系统加固）；网络防御（黑客入侵拦截、IP协议控制、恶意网站拦截、IP黑名单）；合规管控（文档检测、文档跟踪、USB存储、设备监控、进程监控、软件监控、服务监控、账号监控、外联监控）；其他设置（心跳配置、管理员配置、升级配置、补丁配置、弹窗配置、通信管理中心）。</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7、支持客户端主程序、病毒库、终端TD组件的灰度升级，可以按照部门、标签、终端维度进行灰度升级验证，设置不同终端类型设置和观察时长，确保程序无误后再全局升级。</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8、支持对终端内部文件进行全盘扫描、快速扫描，自定义扫描三种扫描能力，同时支持错峰扫描。</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9、支持对webshell后门进行扫描检测 , webshell后门规则数量大于100000。</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10、支持对邮件中的病毒进行查杀，防止病毒通过邮件在终端传播。</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2C45F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84A7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4527A2CB">
            <w:pPr>
              <w:jc w:val="center"/>
              <w:rPr>
                <w:rFonts w:hint="eastAsia" w:ascii="宋体" w:hAnsi="宋体" w:eastAsia="宋体" w:cs="宋体"/>
                <w:color w:val="auto"/>
                <w:sz w:val="24"/>
                <w:szCs w:val="24"/>
                <w:highlight w:val="none"/>
              </w:rPr>
            </w:pPr>
          </w:p>
        </w:tc>
      </w:tr>
      <w:tr w14:paraId="3AF18141">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516350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10</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FDA5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业务防火墙</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C5527D">
            <w:pPr>
              <w:widowControl/>
              <w:jc w:val="left"/>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1、≥1U,≥8个千兆电口（含1个MGMT口、1个HA口），≥2个千兆光和≥2个万兆光,单电源,≥1个扩展槽位,防火墙吞吐≥8G，并发连接≥220万，每秒新建连接≥3.8万，应用层吞吐量≥3G，全威胁吞吐量≥600M，配置IPSECVPN功能、SDWAN功能、应用识别功能，入侵检测（IDP）规则特征库和专业版快速扫描查杀病毒库≥3年升级服务许可，≥3年硬件质保。</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2、产品由专用的硬件平台、安全操作系统及功能软件构成，设备采用自主知识产权的专用安全操作系统，采用多核多平台并行处理机制。</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3、为保障网络高效性需支持 RIP 、 OSPF 、 BGP4 、 QinQ （ VLANVPN）、PIM-SM、PIM-DM等路由协议。</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4、支持多种地址转换，支持源/ 目的 NAT 、双向NAT、NoNAT 转换方式；支持源 IP 转换同一性，同时支持端口块地址转换和 EIM 地址转换。</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5、支持一体化安全策略配置，可以通过一条策略实现五元组、源 MAC、源地区、目的地区、域名、应用、服务、时间、 长连接、并发会话、 WEB 认证、IPS、AV、URL 过滤、高级威胁防护、WAF、邮件安全、数据过滤、文件过滤、僵木蠕防御、审计、数据库防护、防代理、APT 等功能配置,简化用户管理。</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6、访问控制策略执行动作支持放行、阻断、认证、收集，对需要认证的流量进行 Web 认证，策略中可设置用户 Web 认证的门户地址或收集策略流量访问记录，生成更细粒的策略。</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7、为保障防火墙策略的有效性和准确性，所投设备提供策略分析功能，支持策略命中分析、策略冗余分析、策略冲突检查、策略包含分析、宽泛策略分析，可在 WEB 界面显示检测结果。</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8、支持RADVD 、 ND 、RIPng、 OSPFv3 、BGP4+，支持IPv6 静态、动态组播路由。</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9、支持IPv6 安全控制策略设置，能针对 IPv6 的目的/源地址、目的/源服务端口、区域、服务、时间、扩展头属性等条件进行安全访问规则的设置。</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A62B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925F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30229D18">
            <w:pPr>
              <w:jc w:val="center"/>
              <w:rPr>
                <w:rFonts w:hint="eastAsia" w:ascii="宋体" w:hAnsi="宋体" w:eastAsia="宋体" w:cs="宋体"/>
                <w:color w:val="auto"/>
                <w:sz w:val="24"/>
                <w:szCs w:val="24"/>
                <w:highlight w:val="none"/>
              </w:rPr>
            </w:pPr>
          </w:p>
        </w:tc>
      </w:tr>
      <w:tr w14:paraId="2C07D2CC">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DF864C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11</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3F92D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超融合服务器</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12CC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1、机架式2U设备，单台配置</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2颗CPU，单颗CPU核心数</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28核，主频</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2.0GHz,标配内存</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256GB，配置</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2块480G SSD企业级硬盘，</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2块960GB SSD固态盘，存储盘</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3块3.5寸 8TB SATA硬盘，</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4个千兆电口，</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4个万兆光口（含光模块）,冗余电源，</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3年硬件质保。</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50A77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36394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514054F3">
            <w:pPr>
              <w:jc w:val="center"/>
              <w:rPr>
                <w:rFonts w:hint="eastAsia" w:ascii="宋体" w:hAnsi="宋体" w:eastAsia="宋体" w:cs="宋体"/>
                <w:color w:val="auto"/>
                <w:sz w:val="24"/>
                <w:szCs w:val="24"/>
                <w:highlight w:val="none"/>
              </w:rPr>
            </w:pPr>
          </w:p>
        </w:tc>
      </w:tr>
      <w:tr w14:paraId="734AA538">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432E961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12</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4153E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服务器</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D0422">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1.2U机架式服务器，单台配置</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2颗CPU，单颗CPU核心数</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20核，主频</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2.1GHz,标配内存</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256GB，配置</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2块480G SSD企业级硬盘，</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3块8T SATA硬盘，配置SATA硬盘控制器，支持RAID0/1/10/5/6/配置4口 16G HBA卡，</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2个万兆光口（含光模块）,冗余电源，</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3年硬件质保。</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47B2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6135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09A0A79B">
            <w:pPr>
              <w:jc w:val="center"/>
              <w:rPr>
                <w:rFonts w:hint="eastAsia" w:ascii="宋体" w:hAnsi="宋体" w:eastAsia="宋体" w:cs="宋体"/>
                <w:color w:val="auto"/>
                <w:sz w:val="24"/>
                <w:szCs w:val="24"/>
                <w:highlight w:val="none"/>
              </w:rPr>
            </w:pPr>
          </w:p>
        </w:tc>
      </w:tr>
      <w:tr w14:paraId="15DEDE22">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1B1533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13</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D2918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硬盘</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6412F">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6T SATA 7200RPM大容量硬盘</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9F910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C658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6620DD83">
            <w:pPr>
              <w:jc w:val="center"/>
              <w:rPr>
                <w:rFonts w:hint="eastAsia" w:ascii="宋体" w:hAnsi="宋体" w:eastAsia="宋体" w:cs="宋体"/>
                <w:color w:val="auto"/>
                <w:sz w:val="24"/>
                <w:szCs w:val="24"/>
                <w:highlight w:val="none"/>
              </w:rPr>
            </w:pPr>
          </w:p>
        </w:tc>
      </w:tr>
      <w:tr w14:paraId="4E213D42">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21FC754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14</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2BDDB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移动硬盘</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6774C">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2T 2.5寸移动硬盘</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7B7E2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A31B9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5A6775DB">
            <w:pPr>
              <w:jc w:val="center"/>
              <w:rPr>
                <w:rFonts w:hint="eastAsia" w:ascii="宋体" w:hAnsi="宋体" w:eastAsia="宋体" w:cs="宋体"/>
                <w:color w:val="auto"/>
                <w:sz w:val="24"/>
                <w:szCs w:val="24"/>
                <w:highlight w:val="none"/>
              </w:rPr>
            </w:pPr>
          </w:p>
        </w:tc>
      </w:tr>
      <w:tr w14:paraId="0E64F636">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6C37D9A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15</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A4C85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移动硬盘</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7475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6T 3.5寸移动硬盘</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69A1B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E992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4DF6C15D">
            <w:pPr>
              <w:jc w:val="center"/>
              <w:rPr>
                <w:rFonts w:hint="eastAsia" w:ascii="宋体" w:hAnsi="宋体" w:eastAsia="宋体" w:cs="宋体"/>
                <w:color w:val="auto"/>
                <w:sz w:val="24"/>
                <w:szCs w:val="24"/>
                <w:highlight w:val="none"/>
              </w:rPr>
            </w:pPr>
          </w:p>
        </w:tc>
      </w:tr>
      <w:tr w14:paraId="181F0700">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52463E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16</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E7C9C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超融合软件</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3E6E7">
            <w:pPr>
              <w:widowControl/>
              <w:jc w:val="left"/>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1、配置≥6颗CPU授权，包含计算虚拟化、存储虚拟化、网络虚拟化、统一云管平台，计算虚拟化提供将物理服务器虚拟化为逻辑资源池功能，提供虚拟机全生命周期管理、虚拟机模板管理、克隆、导入导出等功能；存储虚拟化硬盘资源池化后的统一存储服务（块存储、文件存储、对象存储），提供存储精简部署、存储卷存储策略设置（灵活多副本、副本优先级设定、存储QoS、纠删码）、存储数据在线可视等功能；网络虚拟化提供对虚拟网络设备的创建和管理、构建租户自定义内部网络功能，具备拖拽式组网、网络可视化等功能。统一云管平台提供跨地区、跨数据中心的多个集群（包含超融合集群、桌面云集群、VMware集群）的统一管理功能，提供多租户、集群资源监控、虚拟机生命周期管理等功能，3年软件升级。</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2、</w:t>
            </w:r>
            <w:r>
              <w:rPr>
                <w:rStyle w:val="15"/>
                <w:rFonts w:hint="eastAsia" w:ascii="宋体" w:hAnsi="宋体" w:eastAsia="宋体" w:cs="宋体"/>
                <w:color w:val="auto"/>
                <w:sz w:val="24"/>
                <w:szCs w:val="24"/>
                <w:highlight w:val="none"/>
                <w:lang w:bidi="ar"/>
              </w:rPr>
              <w:t>★</w:t>
            </w:r>
            <w:r>
              <w:rPr>
                <w:rStyle w:val="14"/>
                <w:rFonts w:ascii="宋体" w:hAnsi="宋体" w:eastAsia="宋体" w:cs="宋体"/>
                <w:color w:val="auto"/>
                <w:sz w:val="24"/>
                <w:szCs w:val="24"/>
                <w:highlight w:val="none"/>
                <w:lang w:bidi="ar"/>
              </w:rPr>
              <w:t>超融合的管理平台软件完全自主研发，非OEM或贴牌其他厂商产品，非借用第三方软件（如OpenStack、CloudStack等）进行的包装整合，以保证功能的可靠性和安全性，应能够提供整体架构平台性能监控功能，对集群资源、服务器、云服务器的性能监控等完整功能。同时为保障超融合产品的核心功能模块为厂商自主原创，超融合系统核心功能模块应通过中国信息安全测评中心的自主原创产品测评。（提供由中国信息安全测评中心颁发的自主原创证书）</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3、要求超融合分布式存储提供文件存储、块存储、对象存储服务，可以向外部系统提供对象存储服务，块存储支持SCSI及iSCSI接口,可以支持iSCSI加密传输；文件存储支持CIFS及NFS接口；对象存储支持S3及Swift接口，支持SSL加密传输，满足非结构化数据存储需求，同时支持存储的QoS设置；</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4、★为提升运维效率，在发生意外故障导致的云服务器停机时，具备将云服务器奔溃前最后一屏报错信息代码进行截图的功能，为后续排错提供依据；（提供具备CNAS/CMA资质的第三方测试机构测试报告证明材料，并加盖制造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5、支持云服务器桌面预览功能，无需登录云服务器即可在管理平台看到当前桌面的状态；同时支持本地文件拖拽到云服务器内部，且可以支持和本地共享粘贴板。</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6、★为提升超融合集群的可靠性需支持云服务器级别副本设置，可以针对不同场景给不同云服务器设置不同数量副本，提升灵活性。最小可以支持1副本，最高可以支持6个副本，并可以支持动态在线增加和删除副本。（提供具备CNAS/CMA资质的第三方测试机构测试报告证明材料，并加盖制造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7、支持云服务器网络防欺骗，云平台有开关阻止用户非法修改 IP 地址和MAC 地址后发出的数据包。</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8、CDP 备份模块故障不影响云服务器及云容器运行，支持快速浏览指定 CDP 备份内的文件，最小支持 0.5 秒级别的回滚可快速的从CDP 备份中找回数据文件。</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9、云服务器支持嵌套虚拟化功能，也就是在云服务器中允许 Hypervisor，使得在云服务器上可以再运行云服务器，为客户某些应用场景提供便利。</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10、支持集群配置元数据备份功能，可以定义备份策略，策略包括备份周期、保留份数及备份位置，备份位置包含本地或远端，出现问题时可以快速恢复。</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11、产品采用完全分布式架构构建，包括计算、存储、网络，单点故障不影响集群正常运行，保障集群的稳定性</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12、★为保障业务连续性，支持主机内存ECC自动扫描与处理，当扫描到主机的内存出现ECC CE错误时，能够将对应内存空间进行隔离，扫描到主机的内存出现ECC UE错误时，会发出告警并定位故障内存的槽位，减少硬件问题对业务的影响。（提供具备CNAS/CMA资质的第三方测试机构测试报告证明材料，并加盖制造商公章）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13、为保障业务连续性，避免主机假死导致系列问题发生，支持识别假死主机并标签化为亚健康主机，通过邮件或短信告警提醒用户进行处理，并限制重要业务在亚健康主机上运行，规避业务宕机风险</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14、支持配置云服务器资源动态扩展功能，根据计算资源负载情况实现CPU和内存的自动扩展，无需人工干预。可以支持云服务器的QoS功能，包括CPU上限、内存预留和存储IOPS等。</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15、★支持云服务器桌面预览功能，无需登录云服务器即可在管理平台看到当前桌面的状态；同时支持本地文件拖拽到云服务器内部，且可以支持和本地共享粘贴板；（提供具备CNAS/CMA资质的第三方测试机构测试报告证明材料，并加盖制造商公章）</w:t>
            </w:r>
            <w:r>
              <w:rPr>
                <w:rStyle w:val="14"/>
                <w:rFonts w:ascii="宋体" w:hAnsi="宋体" w:eastAsia="宋体" w:cs="宋体"/>
                <w:color w:val="auto"/>
                <w:sz w:val="24"/>
                <w:szCs w:val="24"/>
                <w:highlight w:val="none"/>
                <w:lang w:bidi="ar"/>
              </w:rPr>
              <w:br w:type="textWrapping"/>
            </w:r>
            <w:r>
              <w:rPr>
                <w:rStyle w:val="14"/>
                <w:rFonts w:ascii="宋体" w:hAnsi="宋体" w:eastAsia="宋体" w:cs="宋体"/>
                <w:color w:val="auto"/>
                <w:sz w:val="24"/>
                <w:szCs w:val="24"/>
                <w:highlight w:val="none"/>
                <w:lang w:bidi="ar"/>
              </w:rPr>
              <w:t>16、支持蓝屏检测技术，通过界面记录云服务器重新拉起过程，包括故障、蓝屏、HA等过程，可在云服务器详情日志页面里面查看详情。</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2DF41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F953A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610BADFF">
            <w:pPr>
              <w:jc w:val="center"/>
              <w:rPr>
                <w:rFonts w:hint="eastAsia" w:ascii="宋体" w:hAnsi="宋体" w:eastAsia="宋体" w:cs="宋体"/>
                <w:color w:val="auto"/>
                <w:sz w:val="24"/>
                <w:szCs w:val="24"/>
                <w:highlight w:val="none"/>
              </w:rPr>
            </w:pPr>
          </w:p>
        </w:tc>
      </w:tr>
      <w:tr w14:paraId="3246F57D">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95C4C0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17</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DDE89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超融合交换机</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308AF3">
            <w:pPr>
              <w:widowControl/>
              <w:jc w:val="center"/>
              <w:textAlignment w:val="center"/>
              <w:rPr>
                <w:rFonts w:hint="eastAsia" w:ascii="宋体" w:hAnsi="宋体" w:eastAsia="宋体" w:cs="宋体"/>
                <w:color w:val="auto"/>
                <w:sz w:val="24"/>
                <w:szCs w:val="24"/>
                <w:highlight w:val="none"/>
              </w:rPr>
            </w:pP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1U机架式设备，</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8个千兆电口，</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12个万兆光口(含光模块），单电源，交换容量：</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8.8Tbps 包转发率：</w:t>
            </w:r>
            <w:r>
              <w:rPr>
                <w:rStyle w:val="14"/>
                <w:rFonts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bidi="ar"/>
              </w:rPr>
              <w:t>448Mpps，支持堆叠。</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4F588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0515F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1A290239">
            <w:pPr>
              <w:jc w:val="center"/>
              <w:rPr>
                <w:rFonts w:hint="eastAsia" w:ascii="宋体" w:hAnsi="宋体" w:eastAsia="宋体" w:cs="宋体"/>
                <w:color w:val="auto"/>
                <w:sz w:val="24"/>
                <w:szCs w:val="24"/>
                <w:highlight w:val="none"/>
              </w:rPr>
            </w:pPr>
          </w:p>
        </w:tc>
      </w:tr>
      <w:tr w14:paraId="70A4B91A">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6744796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18</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F238B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UPS主机</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68539">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额定容量：6KVA/5.4KW，输入方式：单相接地，额定电压：220VAC，输入电压：（115-300）VAC，输入频率：50Hz，输入功率因素：0.98，输入旁路电压：80VAC×（1±5%） - 285VAC×（1±5%） ，输出方式：单相接地，额定电压：220VAC，输出功率因素：0.9，输出电压精度：±2%，输出频率：市电模式，输入频率46Hz-50Hz时，输出与输入保持一致；当市电频率超出(46~54)Hz范围时，输出频率锁定为50Hz。电池模式，输出频率为50×(1±0.2%)Hz。过载能力（市电、25℃）：108±5%＜负载＜150±5%，大于25s转旁路并报警；150±5%＜负载＜200±5%，300ms转旁路并报警。输出转换时间: 0ms（市电与电池互相转换），＜4ms（市电与旁路互相转换）。输出负载峰值比：3：1。外接电池标称电压: 192VDC</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E18CC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E2D3E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53E76F46">
            <w:pPr>
              <w:jc w:val="center"/>
              <w:rPr>
                <w:rFonts w:hint="eastAsia" w:ascii="宋体" w:hAnsi="宋体" w:eastAsia="宋体" w:cs="宋体"/>
                <w:color w:val="auto"/>
                <w:sz w:val="24"/>
                <w:szCs w:val="24"/>
                <w:highlight w:val="none"/>
              </w:rPr>
            </w:pPr>
          </w:p>
        </w:tc>
      </w:tr>
      <w:tr w14:paraId="2C3E0636">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A5E112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19</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C4146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蓄电池</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F7F2C">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12V100Ah</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E86F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支</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1C6C4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32</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1D71A7C6">
            <w:pPr>
              <w:jc w:val="center"/>
              <w:rPr>
                <w:rFonts w:hint="eastAsia" w:ascii="宋体" w:hAnsi="宋体" w:eastAsia="宋体" w:cs="宋体"/>
                <w:color w:val="auto"/>
                <w:sz w:val="24"/>
                <w:szCs w:val="24"/>
                <w:highlight w:val="none"/>
              </w:rPr>
            </w:pPr>
          </w:p>
        </w:tc>
      </w:tr>
      <w:tr w14:paraId="10CF633D">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628110B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20</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6A56A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电池柜</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8B2446">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加厚型A16</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FB88F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C154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41D483C1">
            <w:pPr>
              <w:jc w:val="center"/>
              <w:rPr>
                <w:rFonts w:hint="eastAsia" w:ascii="宋体" w:hAnsi="宋体" w:eastAsia="宋体" w:cs="宋体"/>
                <w:color w:val="auto"/>
                <w:sz w:val="24"/>
                <w:szCs w:val="24"/>
                <w:highlight w:val="none"/>
              </w:rPr>
            </w:pPr>
          </w:p>
        </w:tc>
      </w:tr>
      <w:tr w14:paraId="06DDF0A9">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F1EE76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21</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18A1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精密空调</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B0BBD">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1、24℃/50%RH回风工况下，制冷量（KW）≥12.5，显冷量(KW) ≥11.3，压缩机类型：涡旋式，380V电源；</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2、机组与风帽一体式设计，采用上送风、下回风方式，离心风机数量：1个，送风量(m3/h) ≥3600，机组送风余压75Pa；</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3、温度范围和精度 17-32±1℃，湿度范围和精度40-70±5%RH，温、湿度波动超限应能发出报警信号；</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4、报警记录 报警记录储存量不少于500条的功能；</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5、精密空调内部控制器不得采用第三方品牌，必须为自主研发产品，提供所投精密空调品牌相关控制软件著作权证书，手操器采用不小于4.3寸触摸屏，支持U盘升级维护；</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6、加热量（KW）≥4，采用PTC电加热器；</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7、可反复拆卸清洗的电极式加湿器，加湿量≥3kg/h；</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8、显热比 ≥0.90、能效比 ≥3.0，需提供具有CNAS或CMA认证的第三方权威测试机构出具的检测报告，报告检测项目包含但不限于制冷量、制冷消耗功率、能效比、送风量、显热比、冷风比、室内外机噪声；</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9、机房空调具备低噪音的特性，以不影响机房人员正常工作，投标需提供节能静音型空调相关第三方证书文件证明；</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10、机组尺寸长×宽×高（mm）≤600mm×570mm×2000mm；</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11、精密空调需标配RS485通信接口，提供通信协议，方便接入机房动力环境监控系统进行监控</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3E2F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BB77C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21EFC825">
            <w:pPr>
              <w:jc w:val="center"/>
              <w:rPr>
                <w:rFonts w:hint="eastAsia" w:ascii="宋体" w:hAnsi="宋体" w:eastAsia="宋体" w:cs="宋体"/>
                <w:color w:val="auto"/>
                <w:sz w:val="24"/>
                <w:szCs w:val="24"/>
                <w:highlight w:val="none"/>
              </w:rPr>
            </w:pPr>
          </w:p>
        </w:tc>
      </w:tr>
      <w:tr w14:paraId="21751418">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0B66463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22</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1202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配套管道</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5C108C">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包含不低于20米精密空调内外机连接铜管、内外机连接线、上下水，室外机支架</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F3BFA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0D0A2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3C4AED0E">
            <w:pPr>
              <w:jc w:val="center"/>
              <w:rPr>
                <w:rFonts w:hint="eastAsia" w:ascii="宋体" w:hAnsi="宋体" w:eastAsia="宋体" w:cs="宋体"/>
                <w:color w:val="auto"/>
                <w:sz w:val="24"/>
                <w:szCs w:val="24"/>
                <w:highlight w:val="none"/>
              </w:rPr>
            </w:pPr>
          </w:p>
        </w:tc>
      </w:tr>
      <w:tr w14:paraId="1BB13BAC">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2390A6A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23</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6F90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设备安装服务</w:t>
            </w:r>
          </w:p>
        </w:tc>
        <w:tc>
          <w:tcPr>
            <w:tcW w:w="61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9CC55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精密空调设备安装服务</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4B197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项</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1D681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6E2EFD1D">
            <w:pPr>
              <w:jc w:val="center"/>
              <w:rPr>
                <w:rFonts w:hint="eastAsia" w:ascii="宋体" w:hAnsi="宋体" w:eastAsia="宋体" w:cs="宋体"/>
                <w:color w:val="auto"/>
                <w:sz w:val="24"/>
                <w:szCs w:val="24"/>
                <w:highlight w:val="none"/>
              </w:rPr>
            </w:pPr>
          </w:p>
        </w:tc>
      </w:tr>
      <w:tr w14:paraId="64AA95C2">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6EA3F5B">
            <w:pPr>
              <w:widowControl/>
              <w:jc w:val="center"/>
              <w:textAlignment w:val="center"/>
              <w:rPr>
                <w:rFonts w:hint="default"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24</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8D71A9">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激光打印机</w:t>
            </w:r>
          </w:p>
        </w:tc>
        <w:tc>
          <w:tcPr>
            <w:tcW w:w="6173" w:type="dxa"/>
            <w:tcBorders>
              <w:top w:val="single" w:color="000000" w:sz="4" w:space="0"/>
              <w:left w:val="single" w:color="000000" w:sz="4" w:space="0"/>
              <w:bottom w:val="single" w:color="000000" w:sz="4" w:space="0"/>
              <w:right w:val="single" w:color="000000" w:sz="4" w:space="0"/>
            </w:tcBorders>
            <w:shd w:val="clear" w:color="auto" w:fill="FFFFFF"/>
          </w:tcPr>
          <w:p w14:paraId="344E0D94">
            <w:pPr>
              <w:widowControl/>
              <w:jc w:val="left"/>
              <w:textAlignment w:val="top"/>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1.激光打印机支持国产系统</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2.包含运输、安装、管理费、税金、维保等所有费用</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6BAE8C">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40B27">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1AFC85ED">
            <w:pPr>
              <w:jc w:val="center"/>
              <w:rPr>
                <w:rFonts w:hint="eastAsia" w:ascii="宋体" w:hAnsi="宋体" w:eastAsia="宋体" w:cs="宋体"/>
                <w:color w:val="auto"/>
                <w:sz w:val="24"/>
                <w:szCs w:val="24"/>
                <w:highlight w:val="none"/>
              </w:rPr>
            </w:pPr>
          </w:p>
        </w:tc>
      </w:tr>
      <w:tr w14:paraId="31FA784D">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F402A4F">
            <w:pPr>
              <w:widowControl/>
              <w:jc w:val="center"/>
              <w:textAlignment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bidi="ar"/>
              </w:rPr>
              <w:t>2</w:t>
            </w:r>
            <w:r>
              <w:rPr>
                <w:rFonts w:hint="eastAsia" w:ascii="宋体" w:hAnsi="宋体" w:eastAsia="宋体" w:cs="宋体"/>
                <w:color w:val="auto"/>
                <w:sz w:val="24"/>
                <w:szCs w:val="24"/>
                <w:highlight w:val="none"/>
                <w:lang w:val="en-US" w:eastAsia="zh-CN" w:bidi="ar"/>
              </w:rPr>
              <w:t>5</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41C0C">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立式复印打印机</w:t>
            </w:r>
          </w:p>
        </w:tc>
        <w:tc>
          <w:tcPr>
            <w:tcW w:w="6173" w:type="dxa"/>
            <w:tcBorders>
              <w:top w:val="single" w:color="000000" w:sz="4" w:space="0"/>
              <w:left w:val="single" w:color="000000" w:sz="4" w:space="0"/>
              <w:bottom w:val="single" w:color="000000" w:sz="4" w:space="0"/>
              <w:right w:val="single" w:color="000000" w:sz="4" w:space="0"/>
            </w:tcBorders>
            <w:shd w:val="clear" w:color="auto" w:fill="FFFFFF"/>
          </w:tcPr>
          <w:p w14:paraId="41D4E23C">
            <w:pPr>
              <w:widowControl/>
              <w:jc w:val="left"/>
              <w:textAlignment w:val="top"/>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1.复印打印一体机a3a4一体机 支持国产系统</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2.包含运输、安装、管理费、税金、维保等所有费用</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F7E487">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06C285">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496139FD">
            <w:pPr>
              <w:jc w:val="center"/>
              <w:rPr>
                <w:rFonts w:hint="eastAsia" w:ascii="宋体" w:hAnsi="宋体" w:eastAsia="宋体" w:cs="宋体"/>
                <w:color w:val="auto"/>
                <w:sz w:val="24"/>
                <w:szCs w:val="24"/>
                <w:highlight w:val="none"/>
              </w:rPr>
            </w:pPr>
          </w:p>
        </w:tc>
      </w:tr>
      <w:tr w14:paraId="7F8EF2C4">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0E5F032">
            <w:pPr>
              <w:widowControl/>
              <w:jc w:val="center"/>
              <w:textAlignment w:val="center"/>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bidi="ar"/>
              </w:rPr>
              <w:t>2</w:t>
            </w:r>
            <w:r>
              <w:rPr>
                <w:rFonts w:hint="eastAsia" w:ascii="宋体" w:hAnsi="宋体" w:eastAsia="宋体" w:cs="宋体"/>
                <w:color w:val="auto"/>
                <w:sz w:val="24"/>
                <w:szCs w:val="24"/>
                <w:highlight w:val="none"/>
                <w:lang w:val="en-US" w:eastAsia="zh-CN" w:bidi="ar"/>
              </w:rPr>
              <w:t>6</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CA048">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高拍仪</w:t>
            </w:r>
          </w:p>
        </w:tc>
        <w:tc>
          <w:tcPr>
            <w:tcW w:w="6173" w:type="dxa"/>
            <w:tcBorders>
              <w:top w:val="single" w:color="000000" w:sz="4" w:space="0"/>
              <w:left w:val="single" w:color="000000" w:sz="4" w:space="0"/>
              <w:bottom w:val="single" w:color="000000" w:sz="4" w:space="0"/>
              <w:right w:val="single" w:color="000000" w:sz="4" w:space="0"/>
            </w:tcBorders>
            <w:shd w:val="clear" w:color="auto" w:fill="FFFFFF"/>
          </w:tcPr>
          <w:p w14:paraId="70DDB635">
            <w:pPr>
              <w:widowControl/>
              <w:jc w:val="left"/>
              <w:textAlignment w:val="top"/>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1.高拍仪支持国产系统</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2.包含运输、安装、管理费、税金、维保等所有费用</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A3F71C">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台</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4B975C">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5</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6BFA6203">
            <w:pPr>
              <w:jc w:val="center"/>
              <w:rPr>
                <w:rFonts w:hint="eastAsia" w:ascii="宋体" w:hAnsi="宋体" w:eastAsia="宋体" w:cs="宋体"/>
                <w:color w:val="auto"/>
                <w:sz w:val="24"/>
                <w:szCs w:val="24"/>
                <w:highlight w:val="none"/>
              </w:rPr>
            </w:pPr>
          </w:p>
        </w:tc>
      </w:tr>
      <w:tr w14:paraId="045D979C">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2A0435C7">
            <w:pPr>
              <w:widowControl/>
              <w:jc w:val="center"/>
              <w:textAlignment w:val="center"/>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bidi="ar"/>
              </w:rPr>
              <w:t>2</w:t>
            </w:r>
            <w:r>
              <w:rPr>
                <w:rFonts w:hint="eastAsia" w:ascii="宋体" w:hAnsi="宋体" w:eastAsia="宋体" w:cs="宋体"/>
                <w:color w:val="auto"/>
                <w:sz w:val="24"/>
                <w:szCs w:val="24"/>
                <w:highlight w:val="none"/>
                <w:lang w:val="en-US" w:eastAsia="zh-CN" w:bidi="ar"/>
              </w:rPr>
              <w:t>7</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8FCE68">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密集档案柜</w:t>
            </w:r>
          </w:p>
        </w:tc>
        <w:tc>
          <w:tcPr>
            <w:tcW w:w="6173" w:type="dxa"/>
            <w:tcBorders>
              <w:top w:val="single" w:color="000000" w:sz="4" w:space="0"/>
              <w:left w:val="single" w:color="000000" w:sz="4" w:space="0"/>
              <w:bottom w:val="single" w:color="000000" w:sz="4" w:space="0"/>
              <w:right w:val="single" w:color="000000" w:sz="4" w:space="0"/>
            </w:tcBorders>
            <w:shd w:val="clear" w:color="auto" w:fill="FFFFFF"/>
          </w:tcPr>
          <w:p w14:paraId="6DEE780B">
            <w:pPr>
              <w:widowControl/>
              <w:jc w:val="left"/>
              <w:textAlignment w:val="top"/>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1.中轴带动，双链条传动，加厚钢板，静电喷涂，一列五组4650mm*2400mm*580mm*900</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2.包含运输、安装、管理费、税金、维保等所有费用</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803F65">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组</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CFA35">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60</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23E7881D">
            <w:pPr>
              <w:jc w:val="center"/>
              <w:rPr>
                <w:rFonts w:hint="eastAsia" w:ascii="宋体" w:hAnsi="宋体" w:eastAsia="宋体" w:cs="宋体"/>
                <w:color w:val="auto"/>
                <w:sz w:val="24"/>
                <w:szCs w:val="24"/>
                <w:highlight w:val="none"/>
              </w:rPr>
            </w:pPr>
          </w:p>
        </w:tc>
      </w:tr>
      <w:tr w14:paraId="6F788906">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158DE256">
            <w:pPr>
              <w:widowControl/>
              <w:jc w:val="center"/>
              <w:textAlignment w:val="center"/>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bidi="ar"/>
              </w:rPr>
              <w:t>2</w:t>
            </w:r>
            <w:r>
              <w:rPr>
                <w:rFonts w:hint="eastAsia" w:ascii="宋体" w:hAnsi="宋体" w:eastAsia="宋体" w:cs="宋体"/>
                <w:color w:val="auto"/>
                <w:sz w:val="24"/>
                <w:szCs w:val="24"/>
                <w:highlight w:val="none"/>
                <w:lang w:val="en-US" w:eastAsia="zh-CN" w:bidi="ar"/>
              </w:rPr>
              <w:t>8</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30CC96">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办公桌</w:t>
            </w:r>
          </w:p>
        </w:tc>
        <w:tc>
          <w:tcPr>
            <w:tcW w:w="6173" w:type="dxa"/>
            <w:tcBorders>
              <w:top w:val="single" w:color="000000" w:sz="4" w:space="0"/>
              <w:left w:val="single" w:color="000000" w:sz="4" w:space="0"/>
              <w:bottom w:val="single" w:color="000000" w:sz="4" w:space="0"/>
              <w:right w:val="single" w:color="000000" w:sz="4" w:space="0"/>
            </w:tcBorders>
            <w:shd w:val="clear" w:color="auto" w:fill="FFFFFF"/>
          </w:tcPr>
          <w:p w14:paraId="0E25A469">
            <w:pPr>
              <w:widowControl/>
              <w:jc w:val="left"/>
              <w:textAlignment w:val="top"/>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1.桌面加厚E1级环保板材，隐私主机卡位，独立三抽柜可左右安装1200mm*600mm*750mm</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2.包含运输、安装、管理费、税金、维保等所有费用</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2104D1">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2BA5D">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20</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3F7465F7">
            <w:pPr>
              <w:jc w:val="center"/>
              <w:rPr>
                <w:rFonts w:hint="eastAsia" w:ascii="宋体" w:hAnsi="宋体" w:eastAsia="宋体" w:cs="宋体"/>
                <w:color w:val="auto"/>
                <w:sz w:val="24"/>
                <w:szCs w:val="24"/>
                <w:highlight w:val="none"/>
              </w:rPr>
            </w:pPr>
          </w:p>
        </w:tc>
      </w:tr>
      <w:tr w14:paraId="31EBC871">
        <w:tblPrEx>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vAlign w:val="center"/>
          </w:tcPr>
          <w:p w14:paraId="7E2D9247">
            <w:pPr>
              <w:widowControl/>
              <w:jc w:val="center"/>
              <w:textAlignment w:val="center"/>
              <w:rPr>
                <w:rFonts w:hint="default"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29</w:t>
            </w:r>
          </w:p>
        </w:tc>
        <w:tc>
          <w:tcPr>
            <w:tcW w:w="1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51AB99">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办公椅</w:t>
            </w:r>
          </w:p>
        </w:tc>
        <w:tc>
          <w:tcPr>
            <w:tcW w:w="6173" w:type="dxa"/>
            <w:tcBorders>
              <w:top w:val="single" w:color="000000" w:sz="4" w:space="0"/>
              <w:left w:val="single" w:color="000000" w:sz="4" w:space="0"/>
              <w:bottom w:val="single" w:color="000000" w:sz="4" w:space="0"/>
              <w:right w:val="single" w:color="000000" w:sz="4" w:space="0"/>
            </w:tcBorders>
            <w:shd w:val="clear" w:color="auto" w:fill="FFFFFF"/>
          </w:tcPr>
          <w:p w14:paraId="1930E586">
            <w:pPr>
              <w:widowControl/>
              <w:jc w:val="left"/>
              <w:textAlignment w:val="top"/>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1.人体工程学椅</w:t>
            </w:r>
            <w:r>
              <w:rPr>
                <w:rFonts w:hint="eastAsia" w:ascii="宋体" w:hAnsi="宋体" w:eastAsia="宋体" w:cs="宋体"/>
                <w:color w:val="auto"/>
                <w:sz w:val="24"/>
                <w:szCs w:val="24"/>
                <w:highlight w:val="none"/>
                <w:lang w:bidi="ar"/>
              </w:rPr>
              <w:br w:type="textWrapping"/>
            </w:r>
            <w:r>
              <w:rPr>
                <w:rFonts w:hint="eastAsia" w:ascii="宋体" w:hAnsi="宋体" w:eastAsia="宋体" w:cs="宋体"/>
                <w:color w:val="auto"/>
                <w:sz w:val="24"/>
                <w:szCs w:val="24"/>
                <w:highlight w:val="none"/>
                <w:lang w:bidi="ar"/>
              </w:rPr>
              <w:t>2.包含运输、安装、管理费、税金、维保等所有费用</w:t>
            </w:r>
          </w:p>
        </w:tc>
        <w:tc>
          <w:tcPr>
            <w:tcW w:w="8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E21076">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把</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9E3CFC">
            <w:pPr>
              <w:widowControl/>
              <w:jc w:val="center"/>
              <w:textAlignment w:val="center"/>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20</w:t>
            </w:r>
          </w:p>
        </w:tc>
        <w:tc>
          <w:tcPr>
            <w:tcW w:w="743" w:type="dxa"/>
            <w:tcBorders>
              <w:top w:val="single" w:color="000000" w:sz="4" w:space="0"/>
              <w:left w:val="single" w:color="000000" w:sz="4" w:space="0"/>
              <w:bottom w:val="single" w:color="000000" w:sz="4" w:space="0"/>
              <w:right w:val="single" w:color="000000" w:sz="4" w:space="0"/>
            </w:tcBorders>
            <w:noWrap/>
            <w:vAlign w:val="center"/>
          </w:tcPr>
          <w:p w14:paraId="5B965946">
            <w:pPr>
              <w:jc w:val="center"/>
              <w:rPr>
                <w:rFonts w:hint="eastAsia" w:ascii="宋体" w:hAnsi="宋体" w:eastAsia="宋体" w:cs="宋体"/>
                <w:color w:val="auto"/>
                <w:sz w:val="24"/>
                <w:szCs w:val="24"/>
                <w:highlight w:val="none"/>
              </w:rPr>
            </w:pPr>
          </w:p>
        </w:tc>
      </w:tr>
    </w:tbl>
    <w:p w14:paraId="1431401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47AD3C">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3A36F14D">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5210F314">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2.2售后服务：免费质保</w:t>
      </w:r>
      <w:r>
        <w:rPr>
          <w:rFonts w:hint="eastAsia" w:ascii="Times New Roman" w:hAnsi="Times New Roman" w:eastAsia="宋体" w:cs="Times New Roman"/>
          <w:color w:val="auto"/>
          <w:spacing w:val="0"/>
          <w:position w:val="0"/>
          <w:sz w:val="21"/>
          <w:highlight w:val="none"/>
          <w:shd w:val="clear" w:fill="FFFFFF"/>
          <w:lang w:eastAsia="zh-CN"/>
        </w:rPr>
        <w:t>壹</w:t>
      </w:r>
      <w:r>
        <w:rPr>
          <w:rFonts w:ascii="宋体" w:hAnsi="宋体" w:eastAsia="宋体" w:cs="宋体"/>
          <w:color w:val="auto"/>
          <w:spacing w:val="0"/>
          <w:position w:val="0"/>
          <w:sz w:val="24"/>
          <w:highlight w:val="none"/>
          <w:shd w:val="clear" w:fill="auto"/>
        </w:rPr>
        <w:t>年,在接到采购方服务请求后，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12</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4</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0BD0F4E0">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2ABA196B">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2.4交货日期：双方签订合同后</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w:t>
      </w:r>
      <w:r>
        <w:rPr>
          <w:rFonts w:ascii="宋体" w:hAnsi="宋体" w:eastAsia="宋体" w:cs="宋体"/>
          <w:color w:val="auto"/>
          <w:spacing w:val="0"/>
          <w:position w:val="0"/>
          <w:sz w:val="24"/>
          <w:highlight w:val="none"/>
          <w:shd w:val="clear" w:fill="auto"/>
        </w:rPr>
        <w:t>日内。</w:t>
      </w:r>
    </w:p>
    <w:p w14:paraId="291B3BF4">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2.1验收：由最终用户组织验收。</w:t>
      </w:r>
    </w:p>
    <w:p w14:paraId="2CDE281A">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、项目其他要求：供应商需在响应文件中对其提供的产品出具《关于符合本国产品标准的声明函》或提供财政部会同有关部门规定的有关证明文件。</w:t>
      </w:r>
    </w:p>
    <w:p w14:paraId="1AC4606C">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p>
    <w:p w14:paraId="21607646">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21D689E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1BF808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ED92B1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A28B55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63E3D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D1470EB">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br w:type="page"/>
      </w:r>
      <w:r>
        <w:rPr>
          <w:rFonts w:ascii="宋体" w:hAnsi="宋体" w:eastAsia="宋体" w:cs="宋体"/>
          <w:b/>
          <w:bCs/>
          <w:color w:val="auto"/>
          <w:spacing w:val="0"/>
          <w:position w:val="0"/>
          <w:sz w:val="24"/>
          <w:highlight w:val="none"/>
          <w:shd w:val="clear" w:fill="auto"/>
        </w:rPr>
        <w:t>第四章  响应性文件内容及格式</w:t>
      </w:r>
    </w:p>
    <w:p w14:paraId="0F67ECAB">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4E8F27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注：请供应商按照以下文件的要求格式、内容，顺序制作响应性文件，并</w:t>
      </w:r>
      <w:r>
        <w:rPr>
          <w:rFonts w:hint="eastAsia" w:ascii="宋体" w:hAnsi="宋体" w:eastAsia="宋体" w:cs="宋体"/>
          <w:color w:val="auto"/>
          <w:spacing w:val="0"/>
          <w:position w:val="0"/>
          <w:sz w:val="24"/>
          <w:highlight w:val="none"/>
          <w:shd w:val="clear" w:fill="auto"/>
          <w:lang w:eastAsia="zh-CN"/>
        </w:rPr>
        <w:t>根据磋商文件要求</w:t>
      </w:r>
      <w:r>
        <w:rPr>
          <w:rFonts w:ascii="宋体" w:hAnsi="宋体" w:eastAsia="宋体" w:cs="宋体"/>
          <w:color w:val="auto"/>
          <w:spacing w:val="0"/>
          <w:position w:val="0"/>
          <w:sz w:val="24"/>
          <w:highlight w:val="none"/>
          <w:shd w:val="clear" w:fill="auto"/>
        </w:rPr>
        <w:t xml:space="preserve">编制目录及页码，否则可能将影响对响应性文件的评价。 </w:t>
      </w:r>
    </w:p>
    <w:p w14:paraId="1F06A97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BEBF62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26B5A0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3A52DB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4153A77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BAEA23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A50CD7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B432E7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2A1FB7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8CB153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688173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25B083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4B9A3A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9EF6DB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AAEB9D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20ECA8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54CF0A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C2C680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1C78E8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028603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56B65A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263A3A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88EBBA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11663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84B092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8E6D08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E1A81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116210A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72BA64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57E9D90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DF22EE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3604FE0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4FD81CF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430D509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7FC2573E">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7"/>
        <w:tblW w:w="0" w:type="auto"/>
        <w:tblInd w:w="0" w:type="dxa"/>
        <w:tblLayout w:type="autofit"/>
        <w:tblCellMar>
          <w:top w:w="0" w:type="dxa"/>
          <w:left w:w="10" w:type="dxa"/>
          <w:bottom w:w="0" w:type="dxa"/>
          <w:right w:w="10" w:type="dxa"/>
        </w:tblCellMar>
      </w:tblPr>
      <w:tblGrid>
        <w:gridCol w:w="5328"/>
      </w:tblGrid>
      <w:tr w14:paraId="10EF6D1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26F1EB">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337C1FBA">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CCAF4B2">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53E58692">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3EA45931">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4189577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DFCCA9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6B57E9D">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16E89E4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C0C928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88F80F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4BD07B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格式2-2</w:t>
      </w:r>
    </w:p>
    <w:p w14:paraId="6D76181D">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6FFDC99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0596A6A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7286A20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1728786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583D1FD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577794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51E455C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0718364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6651E84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7"/>
        <w:tblW w:w="0" w:type="auto"/>
        <w:tblInd w:w="0" w:type="dxa"/>
        <w:tblLayout w:type="autofit"/>
        <w:tblCellMar>
          <w:top w:w="0" w:type="dxa"/>
          <w:left w:w="10" w:type="dxa"/>
          <w:bottom w:w="0" w:type="dxa"/>
          <w:right w:w="10" w:type="dxa"/>
        </w:tblCellMar>
      </w:tblPr>
      <w:tblGrid>
        <w:gridCol w:w="5508"/>
      </w:tblGrid>
      <w:tr w14:paraId="09C5B956">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5A731C">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269A1BB">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6E6F073">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4F10C38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76E1149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E09410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0F2B17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543ABE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62F40E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8A62A6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FCDA7F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42094A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2BE2F9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7A2731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0860F38">
      <w:pPr>
        <w:pStyle w:val="10"/>
        <w:rPr>
          <w:color w:val="auto"/>
          <w:highlight w:val="none"/>
        </w:rPr>
      </w:pPr>
    </w:p>
    <w:p w14:paraId="119D5C4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E3FB7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格式2-3</w:t>
      </w:r>
    </w:p>
    <w:p w14:paraId="5C0B814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4FF6AF8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CF901D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F1E1C6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DC0D71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AA3BD9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格式3</w:t>
      </w:r>
    </w:p>
    <w:p w14:paraId="1CB7CBAA">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424EF405">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63D7BB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CF63415">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100CFE9E">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30F7F162">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673D6AE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3819F771">
      <w:pPr>
        <w:numPr>
          <w:ilvl w:val="0"/>
          <w:numId w:val="26"/>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592D758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B6EC10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7EA6B452">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228CF82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66AF090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4CEDAD5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762059A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5ABFFDD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6818985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367CF68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038FB8A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1FBA5017">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3140026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75FE4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F1B71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CBA210">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442E39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3FEABC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39510B8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格式4</w:t>
      </w:r>
    </w:p>
    <w:p w14:paraId="74D9B97A">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7"/>
        <w:tblW w:w="0" w:type="auto"/>
        <w:jc w:val="center"/>
        <w:tblLayout w:type="autofit"/>
        <w:tblCellMar>
          <w:top w:w="0" w:type="dxa"/>
          <w:left w:w="10" w:type="dxa"/>
          <w:bottom w:w="0" w:type="dxa"/>
          <w:right w:w="10" w:type="dxa"/>
        </w:tblCellMar>
      </w:tblPr>
      <w:tblGrid>
        <w:gridCol w:w="2368"/>
        <w:gridCol w:w="6154"/>
      </w:tblGrid>
      <w:tr w14:paraId="492622E9">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6CD0B">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8FD0E">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6E99B42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E7A7D">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666A6">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299DF58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AA3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296C1727">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EDC2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3F2B93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61A71">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7B9CD">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4E8145BB">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45DB17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3A2F878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5F048D7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34F869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BB98B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345192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格式5</w:t>
      </w:r>
    </w:p>
    <w:p w14:paraId="7A56662E">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3F1A3BB8">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2990AFEC">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70F2789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7"/>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2AC1E214">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F7B60C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E5259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AB0A5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9D051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DF774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3F93A11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0561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E8E1AA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16946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2A6A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7AB473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10CB10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5E01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423CEB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FD768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EBBC4E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D97EB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0EE861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36C1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FE3033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FBBF2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C210A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541C8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EA6F3D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8C24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193DB8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20C6F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ECEC1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1587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F41C04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C1FF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49635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C47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E7E396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D52C09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084423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6ED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468C79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8B4A1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276AC1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82F6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A5860C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94B4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0DE184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A81DD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1E5E0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A24AB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7DB26E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A1C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AF571C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839A6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E0B60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D8F22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0E982C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C7E3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B8E658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50008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70CB4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3AC21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8727004">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48F951">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76F9F6C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5E177BE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38E19D6">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6A7EF3C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8708FF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48ED607">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B691F0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5E9EA0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B5337E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C8D3B9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0656F2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1842010">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030702A">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98C4A5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6D6E37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D39844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4E677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12F92F6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2342AD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7"/>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5BBD1622">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7F7E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2E62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5AB97D4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96EC3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6767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176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2FB0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236F1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298C115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CFA0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1B99E">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6673D2">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C48623">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5C30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6D6519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A240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227F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5969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C47D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0CD4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445BD7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E4BB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8F15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C595A">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1030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14C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2CC0B5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0E7C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132E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E2788">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D6A28">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4F78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9E379F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E16B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1C2E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DE74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FE4D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E25C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FC900C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70D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F8B7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0EAC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5D80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B1B8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4259A94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E22E60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7329E33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7604F3E">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7C1E4F4">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EFE94C9">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5D6C815C">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CA61AA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58D824F">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10FB4D9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018F678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格式7</w:t>
      </w:r>
    </w:p>
    <w:p w14:paraId="4AA84EC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47497D5">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7F755F21">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26B259F1">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1E2C13B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041D8E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1CC48D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E06064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FFE3BB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4F3077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3B3E649">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031C6399">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C15D995">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849A986">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3C901B03">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251B2BA7">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B09B8D6">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0E24D3F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72242EF">
      <w:pPr>
        <w:pStyle w:val="12"/>
        <w:rPr>
          <w:rFonts w:ascii="宋体" w:hAnsi="宋体" w:eastAsia="宋体" w:cs="宋体"/>
          <w:b/>
          <w:color w:val="auto"/>
          <w:spacing w:val="0"/>
          <w:position w:val="0"/>
          <w:sz w:val="24"/>
          <w:highlight w:val="none"/>
          <w:shd w:val="clear" w:fill="auto"/>
        </w:rPr>
      </w:pPr>
    </w:p>
    <w:p w14:paraId="23CB487D">
      <w:pPr>
        <w:pStyle w:val="2"/>
        <w:rPr>
          <w:rFonts w:ascii="宋体" w:hAnsi="宋体" w:eastAsia="宋体" w:cs="宋体"/>
          <w:b/>
          <w:color w:val="auto"/>
          <w:spacing w:val="0"/>
          <w:position w:val="0"/>
          <w:sz w:val="24"/>
          <w:highlight w:val="none"/>
          <w:shd w:val="clear" w:fill="auto"/>
        </w:rPr>
      </w:pPr>
    </w:p>
    <w:p w14:paraId="489B8362">
      <w:pPr>
        <w:rPr>
          <w:rFonts w:ascii="宋体" w:hAnsi="宋体" w:eastAsia="宋体" w:cs="宋体"/>
          <w:b/>
          <w:color w:val="auto"/>
          <w:spacing w:val="0"/>
          <w:position w:val="0"/>
          <w:sz w:val="24"/>
          <w:highlight w:val="none"/>
          <w:shd w:val="clear" w:fill="auto"/>
        </w:rPr>
      </w:pPr>
    </w:p>
    <w:p w14:paraId="31AE4C18">
      <w:pPr>
        <w:pStyle w:val="12"/>
        <w:rPr>
          <w:rFonts w:ascii="宋体" w:hAnsi="宋体" w:eastAsia="宋体" w:cs="宋体"/>
          <w:b/>
          <w:color w:val="auto"/>
          <w:spacing w:val="0"/>
          <w:position w:val="0"/>
          <w:sz w:val="24"/>
          <w:highlight w:val="none"/>
          <w:shd w:val="clear" w:fill="auto"/>
        </w:rPr>
      </w:pPr>
    </w:p>
    <w:p w14:paraId="0B7C4024">
      <w:pPr>
        <w:pStyle w:val="2"/>
        <w:rPr>
          <w:rFonts w:ascii="宋体" w:hAnsi="宋体" w:eastAsia="宋体" w:cs="宋体"/>
          <w:b/>
          <w:color w:val="auto"/>
          <w:spacing w:val="0"/>
          <w:position w:val="0"/>
          <w:sz w:val="24"/>
          <w:highlight w:val="none"/>
          <w:shd w:val="clear" w:fill="auto"/>
        </w:rPr>
      </w:pPr>
    </w:p>
    <w:p w14:paraId="18227DFC">
      <w:pPr>
        <w:rPr>
          <w:rFonts w:ascii="宋体" w:hAnsi="宋体" w:eastAsia="宋体" w:cs="宋体"/>
          <w:b/>
          <w:color w:val="auto"/>
          <w:spacing w:val="0"/>
          <w:position w:val="0"/>
          <w:sz w:val="24"/>
          <w:highlight w:val="none"/>
          <w:shd w:val="clear" w:fill="auto"/>
        </w:rPr>
      </w:pPr>
    </w:p>
    <w:p w14:paraId="768BCB4B">
      <w:pPr>
        <w:pStyle w:val="12"/>
        <w:rPr>
          <w:rFonts w:ascii="宋体" w:hAnsi="宋体" w:eastAsia="宋体" w:cs="宋体"/>
          <w:b/>
          <w:color w:val="auto"/>
          <w:spacing w:val="0"/>
          <w:position w:val="0"/>
          <w:sz w:val="24"/>
          <w:highlight w:val="none"/>
          <w:shd w:val="clear" w:fill="auto"/>
        </w:rPr>
      </w:pPr>
    </w:p>
    <w:p w14:paraId="353E5F14">
      <w:pPr>
        <w:pStyle w:val="2"/>
        <w:rPr>
          <w:rFonts w:ascii="宋体" w:hAnsi="宋体" w:eastAsia="宋体" w:cs="宋体"/>
          <w:b/>
          <w:color w:val="auto"/>
          <w:spacing w:val="0"/>
          <w:position w:val="0"/>
          <w:sz w:val="24"/>
          <w:highlight w:val="none"/>
          <w:shd w:val="clear" w:fill="auto"/>
        </w:rPr>
      </w:pPr>
    </w:p>
    <w:p w14:paraId="15DA9E80">
      <w:pPr>
        <w:rPr>
          <w:rFonts w:ascii="宋体" w:hAnsi="宋体" w:eastAsia="宋体" w:cs="宋体"/>
          <w:b/>
          <w:color w:val="auto"/>
          <w:spacing w:val="0"/>
          <w:position w:val="0"/>
          <w:sz w:val="24"/>
          <w:highlight w:val="none"/>
          <w:shd w:val="clear" w:fill="auto"/>
        </w:rPr>
      </w:pPr>
    </w:p>
    <w:p w14:paraId="6DA9E244">
      <w:pPr>
        <w:pStyle w:val="12"/>
        <w:rPr>
          <w:rFonts w:ascii="宋体" w:hAnsi="宋体" w:eastAsia="宋体" w:cs="宋体"/>
          <w:b/>
          <w:color w:val="auto"/>
          <w:spacing w:val="0"/>
          <w:position w:val="0"/>
          <w:sz w:val="24"/>
          <w:highlight w:val="none"/>
          <w:shd w:val="clear" w:fill="auto"/>
        </w:rPr>
      </w:pPr>
    </w:p>
    <w:p w14:paraId="747D50B4">
      <w:pPr>
        <w:pStyle w:val="2"/>
        <w:rPr>
          <w:rFonts w:ascii="宋体" w:hAnsi="宋体" w:eastAsia="宋体" w:cs="宋体"/>
          <w:b/>
          <w:color w:val="auto"/>
          <w:spacing w:val="0"/>
          <w:position w:val="0"/>
          <w:sz w:val="24"/>
          <w:highlight w:val="none"/>
          <w:shd w:val="clear" w:fill="auto"/>
        </w:rPr>
      </w:pPr>
    </w:p>
    <w:p w14:paraId="4175711F">
      <w:pPr>
        <w:rPr>
          <w:rFonts w:ascii="宋体" w:hAnsi="宋体" w:eastAsia="宋体" w:cs="宋体"/>
          <w:b/>
          <w:color w:val="auto"/>
          <w:spacing w:val="0"/>
          <w:position w:val="0"/>
          <w:sz w:val="24"/>
          <w:highlight w:val="none"/>
          <w:shd w:val="clear" w:fill="auto"/>
        </w:rPr>
      </w:pPr>
    </w:p>
    <w:p w14:paraId="106FA114">
      <w:pPr>
        <w:pStyle w:val="12"/>
        <w:rPr>
          <w:rFonts w:ascii="宋体" w:hAnsi="宋体" w:eastAsia="宋体" w:cs="宋体"/>
          <w:b/>
          <w:color w:val="auto"/>
          <w:spacing w:val="0"/>
          <w:position w:val="0"/>
          <w:sz w:val="24"/>
          <w:highlight w:val="none"/>
          <w:shd w:val="clear" w:fill="auto"/>
        </w:rPr>
      </w:pPr>
    </w:p>
    <w:p w14:paraId="477C3327">
      <w:pPr>
        <w:pStyle w:val="2"/>
        <w:rPr>
          <w:rFonts w:ascii="宋体" w:hAnsi="宋体" w:eastAsia="宋体" w:cs="宋体"/>
          <w:b/>
          <w:color w:val="auto"/>
          <w:spacing w:val="0"/>
          <w:position w:val="0"/>
          <w:sz w:val="24"/>
          <w:highlight w:val="none"/>
          <w:shd w:val="clear" w:fill="auto"/>
        </w:rPr>
      </w:pPr>
    </w:p>
    <w:p w14:paraId="178D039A">
      <w:pPr>
        <w:rPr>
          <w:rFonts w:ascii="宋体" w:hAnsi="宋体" w:eastAsia="宋体" w:cs="宋体"/>
          <w:b/>
          <w:color w:val="auto"/>
          <w:spacing w:val="0"/>
          <w:position w:val="0"/>
          <w:sz w:val="24"/>
          <w:highlight w:val="none"/>
          <w:shd w:val="clear" w:fill="auto"/>
        </w:rPr>
      </w:pPr>
    </w:p>
    <w:p w14:paraId="31CE4953">
      <w:pPr>
        <w:pStyle w:val="12"/>
        <w:rPr>
          <w:rFonts w:ascii="宋体" w:hAnsi="宋体" w:eastAsia="宋体" w:cs="宋体"/>
          <w:b/>
          <w:color w:val="auto"/>
          <w:spacing w:val="0"/>
          <w:position w:val="0"/>
          <w:sz w:val="24"/>
          <w:highlight w:val="none"/>
          <w:shd w:val="clear" w:fill="auto"/>
        </w:rPr>
      </w:pPr>
    </w:p>
    <w:p w14:paraId="438052D6">
      <w:pPr>
        <w:pStyle w:val="2"/>
        <w:rPr>
          <w:rFonts w:ascii="宋体" w:hAnsi="宋体" w:eastAsia="宋体" w:cs="宋体"/>
          <w:b/>
          <w:color w:val="auto"/>
          <w:spacing w:val="0"/>
          <w:position w:val="0"/>
          <w:sz w:val="24"/>
          <w:highlight w:val="none"/>
          <w:shd w:val="clear" w:fill="auto"/>
        </w:rPr>
      </w:pPr>
    </w:p>
    <w:p w14:paraId="0ADEE574">
      <w:pPr>
        <w:rPr>
          <w:color w:val="auto"/>
          <w:highlight w:val="none"/>
        </w:rPr>
      </w:pPr>
    </w:p>
    <w:p w14:paraId="05945FA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027913A8">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434303A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DEFAFE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8EA684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229AC2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6A1C0A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D307B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4E8B1F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89CA259">
      <w:pPr>
        <w:pStyle w:val="12"/>
        <w:rPr>
          <w:color w:val="auto"/>
          <w:highlight w:val="none"/>
        </w:rPr>
      </w:pPr>
    </w:p>
    <w:p w14:paraId="64207D7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9C63F8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5F0B9E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24DD77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DB89A6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C65299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D02EBA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CFD9BB3">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0FF8A36">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13BAC6C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FCFEC0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4A1BA5C">
      <w:pPr>
        <w:pStyle w:val="12"/>
        <w:rPr>
          <w:rFonts w:ascii="宋体" w:hAnsi="宋体" w:eastAsia="宋体" w:cs="宋体"/>
          <w:b/>
          <w:color w:val="auto"/>
          <w:spacing w:val="0"/>
          <w:position w:val="0"/>
          <w:sz w:val="24"/>
          <w:highlight w:val="none"/>
          <w:shd w:val="clear" w:fill="auto"/>
        </w:rPr>
      </w:pPr>
    </w:p>
    <w:p w14:paraId="7BC23607">
      <w:pPr>
        <w:pStyle w:val="2"/>
        <w:rPr>
          <w:rFonts w:ascii="宋体" w:hAnsi="宋体" w:eastAsia="宋体" w:cs="宋体"/>
          <w:b/>
          <w:color w:val="auto"/>
          <w:spacing w:val="0"/>
          <w:position w:val="0"/>
          <w:sz w:val="24"/>
          <w:highlight w:val="none"/>
          <w:shd w:val="clear" w:fill="auto"/>
        </w:rPr>
      </w:pPr>
    </w:p>
    <w:p w14:paraId="49F5A95D">
      <w:pPr>
        <w:rPr>
          <w:rFonts w:ascii="宋体" w:hAnsi="宋体" w:eastAsia="宋体" w:cs="宋体"/>
          <w:b/>
          <w:color w:val="auto"/>
          <w:spacing w:val="0"/>
          <w:position w:val="0"/>
          <w:sz w:val="24"/>
          <w:highlight w:val="none"/>
          <w:shd w:val="clear" w:fill="auto"/>
        </w:rPr>
      </w:pPr>
    </w:p>
    <w:p w14:paraId="70C0EA61">
      <w:pPr>
        <w:pStyle w:val="12"/>
        <w:rPr>
          <w:rFonts w:ascii="宋体" w:hAnsi="宋体" w:eastAsia="宋体" w:cs="宋体"/>
          <w:b/>
          <w:color w:val="auto"/>
          <w:spacing w:val="0"/>
          <w:position w:val="0"/>
          <w:sz w:val="24"/>
          <w:highlight w:val="none"/>
          <w:shd w:val="clear" w:fill="auto"/>
        </w:rPr>
      </w:pPr>
    </w:p>
    <w:p w14:paraId="731FBCF3">
      <w:pPr>
        <w:pStyle w:val="2"/>
        <w:rPr>
          <w:rFonts w:ascii="宋体" w:hAnsi="宋体" w:eastAsia="宋体" w:cs="宋体"/>
          <w:b/>
          <w:color w:val="auto"/>
          <w:spacing w:val="0"/>
          <w:position w:val="0"/>
          <w:sz w:val="24"/>
          <w:highlight w:val="none"/>
          <w:shd w:val="clear" w:fill="auto"/>
        </w:rPr>
      </w:pPr>
    </w:p>
    <w:p w14:paraId="0B99E342">
      <w:pPr>
        <w:rPr>
          <w:rFonts w:ascii="宋体" w:hAnsi="宋体" w:eastAsia="宋体" w:cs="宋体"/>
          <w:b/>
          <w:color w:val="auto"/>
          <w:spacing w:val="0"/>
          <w:position w:val="0"/>
          <w:sz w:val="24"/>
          <w:highlight w:val="none"/>
          <w:shd w:val="clear" w:fill="auto"/>
        </w:rPr>
      </w:pPr>
    </w:p>
    <w:p w14:paraId="674DEC3F">
      <w:pPr>
        <w:pStyle w:val="12"/>
        <w:rPr>
          <w:rFonts w:ascii="宋体" w:hAnsi="宋体" w:eastAsia="宋体" w:cs="宋体"/>
          <w:b/>
          <w:color w:val="auto"/>
          <w:spacing w:val="0"/>
          <w:position w:val="0"/>
          <w:sz w:val="24"/>
          <w:highlight w:val="none"/>
          <w:shd w:val="clear" w:fill="auto"/>
        </w:rPr>
      </w:pPr>
    </w:p>
    <w:p w14:paraId="511D08F9">
      <w:pPr>
        <w:pStyle w:val="2"/>
        <w:rPr>
          <w:rFonts w:ascii="宋体" w:hAnsi="宋体" w:eastAsia="宋体" w:cs="宋体"/>
          <w:b/>
          <w:color w:val="auto"/>
          <w:spacing w:val="0"/>
          <w:position w:val="0"/>
          <w:sz w:val="24"/>
          <w:highlight w:val="none"/>
          <w:shd w:val="clear" w:fill="auto"/>
        </w:rPr>
      </w:pPr>
    </w:p>
    <w:p w14:paraId="292E431D">
      <w:pPr>
        <w:rPr>
          <w:rFonts w:ascii="宋体" w:hAnsi="宋体" w:eastAsia="宋体" w:cs="宋体"/>
          <w:b/>
          <w:color w:val="auto"/>
          <w:spacing w:val="0"/>
          <w:position w:val="0"/>
          <w:sz w:val="24"/>
          <w:highlight w:val="none"/>
          <w:shd w:val="clear" w:fill="auto"/>
        </w:rPr>
      </w:pPr>
    </w:p>
    <w:p w14:paraId="6D329675">
      <w:pPr>
        <w:pStyle w:val="12"/>
        <w:rPr>
          <w:rFonts w:ascii="宋体" w:hAnsi="宋体" w:eastAsia="宋体" w:cs="宋体"/>
          <w:b/>
          <w:color w:val="auto"/>
          <w:spacing w:val="0"/>
          <w:position w:val="0"/>
          <w:sz w:val="24"/>
          <w:highlight w:val="none"/>
          <w:shd w:val="clear" w:fill="auto"/>
        </w:rPr>
      </w:pPr>
    </w:p>
    <w:p w14:paraId="40D43F38">
      <w:pPr>
        <w:pStyle w:val="2"/>
        <w:rPr>
          <w:rFonts w:ascii="宋体" w:hAnsi="宋体" w:eastAsia="宋体" w:cs="宋体"/>
          <w:b/>
          <w:color w:val="auto"/>
          <w:spacing w:val="0"/>
          <w:position w:val="0"/>
          <w:sz w:val="24"/>
          <w:highlight w:val="none"/>
          <w:shd w:val="clear" w:fill="auto"/>
        </w:rPr>
      </w:pPr>
    </w:p>
    <w:p w14:paraId="4FD7CBF5">
      <w:pPr>
        <w:rPr>
          <w:color w:val="auto"/>
          <w:highlight w:val="none"/>
        </w:rPr>
      </w:pPr>
    </w:p>
    <w:p w14:paraId="332ED5E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B291DC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5456C0DA">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70A33959">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18B5E379">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2DC08AF7">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0CF4909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1036AED7">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03F994D5">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39D8E106">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4907E9F3">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2B40284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ACA0285">
      <w:pPr>
        <w:rPr>
          <w:rFonts w:hint="eastAsia"/>
          <w:color w:val="auto"/>
          <w:highlight w:val="none"/>
        </w:rPr>
      </w:pPr>
    </w:p>
    <w:p w14:paraId="5097D2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C0ABED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A26108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8A0576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84BBE65">
      <w:pPr>
        <w:pStyle w:val="12"/>
        <w:rPr>
          <w:rFonts w:ascii="宋体" w:hAnsi="宋体" w:eastAsia="宋体" w:cs="宋体"/>
          <w:color w:val="auto"/>
          <w:spacing w:val="0"/>
          <w:position w:val="0"/>
          <w:sz w:val="24"/>
          <w:highlight w:val="none"/>
          <w:shd w:val="clear" w:fill="auto"/>
        </w:rPr>
      </w:pPr>
    </w:p>
    <w:p w14:paraId="4BF2A1C4">
      <w:pPr>
        <w:pStyle w:val="2"/>
        <w:rPr>
          <w:rFonts w:ascii="宋体" w:hAnsi="宋体" w:eastAsia="宋体" w:cs="宋体"/>
          <w:color w:val="auto"/>
          <w:spacing w:val="0"/>
          <w:position w:val="0"/>
          <w:sz w:val="24"/>
          <w:highlight w:val="none"/>
          <w:shd w:val="clear" w:fill="auto"/>
        </w:rPr>
      </w:pPr>
    </w:p>
    <w:p w14:paraId="4255693F">
      <w:pPr>
        <w:rPr>
          <w:rFonts w:ascii="宋体" w:hAnsi="宋体" w:eastAsia="宋体" w:cs="宋体"/>
          <w:color w:val="auto"/>
          <w:spacing w:val="0"/>
          <w:position w:val="0"/>
          <w:sz w:val="24"/>
          <w:highlight w:val="none"/>
          <w:shd w:val="clear" w:fill="auto"/>
        </w:rPr>
      </w:pPr>
    </w:p>
    <w:p w14:paraId="56447B00">
      <w:pPr>
        <w:pStyle w:val="12"/>
        <w:rPr>
          <w:rFonts w:ascii="宋体" w:hAnsi="宋体" w:eastAsia="宋体" w:cs="宋体"/>
          <w:color w:val="auto"/>
          <w:spacing w:val="0"/>
          <w:position w:val="0"/>
          <w:sz w:val="24"/>
          <w:highlight w:val="none"/>
          <w:shd w:val="clear" w:fill="auto"/>
        </w:rPr>
      </w:pPr>
    </w:p>
    <w:p w14:paraId="607565D3">
      <w:pPr>
        <w:pStyle w:val="2"/>
        <w:rPr>
          <w:rFonts w:ascii="宋体" w:hAnsi="宋体" w:eastAsia="宋体" w:cs="宋体"/>
          <w:color w:val="auto"/>
          <w:spacing w:val="0"/>
          <w:position w:val="0"/>
          <w:sz w:val="24"/>
          <w:highlight w:val="none"/>
          <w:shd w:val="clear" w:fill="auto"/>
        </w:rPr>
      </w:pPr>
    </w:p>
    <w:p w14:paraId="7E67767D">
      <w:pPr>
        <w:rPr>
          <w:rFonts w:ascii="宋体" w:hAnsi="宋体" w:eastAsia="宋体" w:cs="宋体"/>
          <w:color w:val="auto"/>
          <w:spacing w:val="0"/>
          <w:position w:val="0"/>
          <w:sz w:val="24"/>
          <w:highlight w:val="none"/>
          <w:shd w:val="clear" w:fill="auto"/>
        </w:rPr>
      </w:pPr>
    </w:p>
    <w:p w14:paraId="2CFFACA9">
      <w:pPr>
        <w:pStyle w:val="10"/>
        <w:rPr>
          <w:rFonts w:ascii="宋体" w:hAnsi="宋体" w:eastAsia="宋体" w:cs="宋体"/>
          <w:color w:val="auto"/>
          <w:spacing w:val="0"/>
          <w:position w:val="0"/>
          <w:sz w:val="24"/>
          <w:highlight w:val="none"/>
          <w:shd w:val="clear" w:fill="auto"/>
        </w:rPr>
      </w:pPr>
    </w:p>
    <w:p w14:paraId="11140BBE">
      <w:pPr>
        <w:pStyle w:val="10"/>
        <w:rPr>
          <w:rFonts w:ascii="宋体" w:hAnsi="宋体" w:eastAsia="宋体" w:cs="宋体"/>
          <w:color w:val="auto"/>
          <w:spacing w:val="0"/>
          <w:position w:val="0"/>
          <w:sz w:val="24"/>
          <w:highlight w:val="none"/>
          <w:shd w:val="clear" w:fill="auto"/>
        </w:rPr>
      </w:pPr>
    </w:p>
    <w:p w14:paraId="78B2611B">
      <w:pPr>
        <w:pStyle w:val="10"/>
        <w:rPr>
          <w:rFonts w:ascii="宋体" w:hAnsi="宋体" w:eastAsia="宋体" w:cs="宋体"/>
          <w:color w:val="auto"/>
          <w:spacing w:val="0"/>
          <w:position w:val="0"/>
          <w:sz w:val="24"/>
          <w:highlight w:val="none"/>
          <w:shd w:val="clear" w:fill="auto"/>
        </w:rPr>
      </w:pPr>
    </w:p>
    <w:p w14:paraId="248F1B42">
      <w:pPr>
        <w:pStyle w:val="10"/>
        <w:rPr>
          <w:rFonts w:ascii="宋体" w:hAnsi="宋体" w:eastAsia="宋体" w:cs="宋体"/>
          <w:color w:val="auto"/>
          <w:spacing w:val="0"/>
          <w:position w:val="0"/>
          <w:sz w:val="24"/>
          <w:highlight w:val="none"/>
          <w:shd w:val="clear" w:fill="auto"/>
        </w:rPr>
      </w:pPr>
    </w:p>
    <w:p w14:paraId="5C388F10">
      <w:pPr>
        <w:pStyle w:val="10"/>
        <w:rPr>
          <w:rFonts w:ascii="宋体" w:hAnsi="宋体" w:eastAsia="宋体" w:cs="宋体"/>
          <w:color w:val="auto"/>
          <w:spacing w:val="0"/>
          <w:position w:val="0"/>
          <w:sz w:val="24"/>
          <w:highlight w:val="none"/>
          <w:shd w:val="clear" w:fill="auto"/>
        </w:rPr>
      </w:pPr>
    </w:p>
    <w:p w14:paraId="72610BF8">
      <w:pPr>
        <w:pStyle w:val="10"/>
        <w:rPr>
          <w:rFonts w:ascii="宋体" w:hAnsi="宋体" w:eastAsia="宋体" w:cs="宋体"/>
          <w:color w:val="auto"/>
          <w:spacing w:val="0"/>
          <w:position w:val="0"/>
          <w:sz w:val="24"/>
          <w:highlight w:val="none"/>
          <w:shd w:val="clear" w:fill="auto"/>
        </w:rPr>
      </w:pPr>
    </w:p>
    <w:p w14:paraId="3DA1A690">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494D319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9BE0B62">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03C84A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FEB85E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490F35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5DF66B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BE8014C">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5EDCB0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41C343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DE2A4B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DCFA21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C262644">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11F006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19C2F6F">
      <w:pPr>
        <w:pStyle w:val="12"/>
        <w:rPr>
          <w:rFonts w:ascii="宋体" w:hAnsi="宋体" w:eastAsia="宋体" w:cs="宋体"/>
          <w:color w:val="auto"/>
          <w:spacing w:val="0"/>
          <w:position w:val="0"/>
          <w:sz w:val="24"/>
          <w:highlight w:val="none"/>
          <w:shd w:val="clear" w:fill="auto"/>
        </w:rPr>
      </w:pPr>
    </w:p>
    <w:p w14:paraId="6069435E">
      <w:pPr>
        <w:pStyle w:val="2"/>
        <w:rPr>
          <w:rFonts w:ascii="宋体" w:hAnsi="宋体" w:eastAsia="宋体" w:cs="宋体"/>
          <w:color w:val="auto"/>
          <w:spacing w:val="0"/>
          <w:position w:val="0"/>
          <w:sz w:val="24"/>
          <w:highlight w:val="none"/>
          <w:shd w:val="clear" w:fill="auto"/>
        </w:rPr>
      </w:pPr>
    </w:p>
    <w:p w14:paraId="08D0DD96">
      <w:pPr>
        <w:rPr>
          <w:rFonts w:ascii="宋体" w:hAnsi="宋体" w:eastAsia="宋体" w:cs="宋体"/>
          <w:color w:val="auto"/>
          <w:spacing w:val="0"/>
          <w:position w:val="0"/>
          <w:sz w:val="24"/>
          <w:highlight w:val="none"/>
          <w:shd w:val="clear" w:fill="auto"/>
        </w:rPr>
      </w:pPr>
    </w:p>
    <w:p w14:paraId="477E114A">
      <w:pPr>
        <w:pStyle w:val="12"/>
        <w:rPr>
          <w:rFonts w:ascii="宋体" w:hAnsi="宋体" w:eastAsia="宋体" w:cs="宋体"/>
          <w:color w:val="auto"/>
          <w:spacing w:val="0"/>
          <w:position w:val="0"/>
          <w:sz w:val="24"/>
          <w:highlight w:val="none"/>
          <w:shd w:val="clear" w:fill="auto"/>
        </w:rPr>
      </w:pPr>
    </w:p>
    <w:p w14:paraId="3AE09164">
      <w:pPr>
        <w:pStyle w:val="2"/>
        <w:rPr>
          <w:rFonts w:ascii="宋体" w:hAnsi="宋体" w:eastAsia="宋体" w:cs="宋体"/>
          <w:color w:val="auto"/>
          <w:spacing w:val="0"/>
          <w:position w:val="0"/>
          <w:sz w:val="24"/>
          <w:highlight w:val="none"/>
          <w:shd w:val="clear" w:fill="auto"/>
        </w:rPr>
      </w:pPr>
    </w:p>
    <w:p w14:paraId="18376156">
      <w:pPr>
        <w:rPr>
          <w:rFonts w:ascii="宋体" w:hAnsi="宋体" w:eastAsia="宋体" w:cs="宋体"/>
          <w:color w:val="auto"/>
          <w:spacing w:val="0"/>
          <w:position w:val="0"/>
          <w:sz w:val="24"/>
          <w:highlight w:val="none"/>
          <w:shd w:val="clear" w:fill="auto"/>
        </w:rPr>
      </w:pPr>
    </w:p>
    <w:p w14:paraId="49A850C6">
      <w:pPr>
        <w:pStyle w:val="12"/>
        <w:rPr>
          <w:rFonts w:ascii="宋体" w:hAnsi="宋体" w:eastAsia="宋体" w:cs="宋体"/>
          <w:color w:val="auto"/>
          <w:spacing w:val="0"/>
          <w:position w:val="0"/>
          <w:sz w:val="24"/>
          <w:highlight w:val="none"/>
          <w:shd w:val="clear" w:fill="auto"/>
        </w:rPr>
      </w:pPr>
    </w:p>
    <w:p w14:paraId="5644F8FC">
      <w:pPr>
        <w:pStyle w:val="2"/>
        <w:rPr>
          <w:rFonts w:ascii="宋体" w:hAnsi="宋体" w:eastAsia="宋体" w:cs="宋体"/>
          <w:color w:val="auto"/>
          <w:spacing w:val="0"/>
          <w:position w:val="0"/>
          <w:sz w:val="24"/>
          <w:highlight w:val="none"/>
          <w:shd w:val="clear" w:fill="auto"/>
        </w:rPr>
      </w:pPr>
    </w:p>
    <w:p w14:paraId="6BB00ABB">
      <w:pPr>
        <w:rPr>
          <w:rFonts w:ascii="宋体" w:hAnsi="宋体" w:eastAsia="宋体" w:cs="宋体"/>
          <w:color w:val="auto"/>
          <w:spacing w:val="0"/>
          <w:position w:val="0"/>
          <w:sz w:val="24"/>
          <w:highlight w:val="none"/>
          <w:shd w:val="clear" w:fill="auto"/>
        </w:rPr>
      </w:pPr>
    </w:p>
    <w:p w14:paraId="63073103">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6EBFD8A7">
      <w:pPr>
        <w:pStyle w:val="10"/>
        <w:rPr>
          <w:rFonts w:hint="eastAsia" w:ascii="宋体" w:hAnsi="宋体" w:eastAsia="宋体" w:cs="宋体"/>
          <w:color w:val="auto"/>
          <w:spacing w:val="0"/>
          <w:position w:val="0"/>
          <w:sz w:val="24"/>
          <w:highlight w:val="none"/>
          <w:shd w:val="clear" w:fill="auto"/>
          <w:lang w:eastAsia="zh-CN"/>
        </w:rPr>
      </w:pPr>
    </w:p>
    <w:p w14:paraId="35D609A0">
      <w:pPr>
        <w:pStyle w:val="10"/>
        <w:rPr>
          <w:rFonts w:hint="eastAsia" w:ascii="宋体" w:hAnsi="宋体" w:eastAsia="宋体" w:cs="宋体"/>
          <w:color w:val="auto"/>
          <w:spacing w:val="0"/>
          <w:position w:val="0"/>
          <w:sz w:val="24"/>
          <w:highlight w:val="none"/>
          <w:shd w:val="clear" w:fill="auto"/>
          <w:lang w:eastAsia="zh-CN"/>
        </w:rPr>
      </w:pPr>
    </w:p>
    <w:p w14:paraId="380E7682">
      <w:pPr>
        <w:pStyle w:val="10"/>
        <w:rPr>
          <w:rFonts w:hint="eastAsia" w:ascii="宋体" w:hAnsi="宋体" w:eastAsia="宋体" w:cs="宋体"/>
          <w:color w:val="auto"/>
          <w:spacing w:val="0"/>
          <w:position w:val="0"/>
          <w:sz w:val="24"/>
          <w:highlight w:val="none"/>
          <w:shd w:val="clear" w:fill="auto"/>
          <w:lang w:eastAsia="zh-CN"/>
        </w:rPr>
      </w:pPr>
    </w:p>
    <w:p w14:paraId="731A0DEF">
      <w:pPr>
        <w:pStyle w:val="12"/>
        <w:rPr>
          <w:rFonts w:ascii="宋体" w:hAnsi="宋体" w:eastAsia="宋体" w:cs="宋体"/>
          <w:color w:val="auto"/>
          <w:spacing w:val="0"/>
          <w:position w:val="0"/>
          <w:sz w:val="24"/>
          <w:highlight w:val="none"/>
          <w:shd w:val="clear" w:fill="auto"/>
        </w:rPr>
      </w:pPr>
    </w:p>
    <w:p w14:paraId="5F24FFB7">
      <w:pPr>
        <w:pStyle w:val="2"/>
        <w:rPr>
          <w:rFonts w:ascii="宋体" w:hAnsi="宋体" w:eastAsia="宋体" w:cs="宋体"/>
          <w:color w:val="auto"/>
          <w:spacing w:val="0"/>
          <w:position w:val="0"/>
          <w:sz w:val="24"/>
          <w:highlight w:val="none"/>
          <w:shd w:val="clear" w:fill="auto"/>
        </w:rPr>
      </w:pPr>
    </w:p>
    <w:p w14:paraId="7EE50B6A">
      <w:pPr>
        <w:rPr>
          <w:rFonts w:ascii="宋体" w:hAnsi="宋体" w:eastAsia="宋体" w:cs="宋体"/>
          <w:color w:val="auto"/>
          <w:spacing w:val="0"/>
          <w:position w:val="0"/>
          <w:sz w:val="24"/>
          <w:highlight w:val="none"/>
          <w:shd w:val="clear" w:fill="auto"/>
        </w:rPr>
      </w:pPr>
    </w:p>
    <w:p w14:paraId="5AC076D5">
      <w:pPr>
        <w:pStyle w:val="12"/>
        <w:rPr>
          <w:color w:val="auto"/>
          <w:highlight w:val="none"/>
        </w:rPr>
      </w:pPr>
    </w:p>
    <w:p w14:paraId="3F7BBF1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E608A2">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7A7FF554">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50E36487">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23DDEC8">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1EB696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4CA2190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6375A14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78DC35E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081D84A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19BD62B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4568F91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7D587A8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3FAAD80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292F7D3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06117DC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7D6A8C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5CE6DFC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01B05F3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10FD52E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4250E25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289578D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18ED712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43133E35">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2CDDF323">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w:t>
      </w:r>
      <w:r>
        <w:rPr>
          <w:rFonts w:hint="eastAsia" w:ascii="宋体" w:hAnsi="宋体" w:eastAsia="宋体" w:cs="宋体"/>
          <w:color w:val="auto"/>
          <w:spacing w:val="0"/>
          <w:position w:val="0"/>
          <w:sz w:val="21"/>
          <w:szCs w:val="21"/>
          <w:highlight w:val="none"/>
          <w:shd w:val="clear" w:fill="auto"/>
          <w:lang w:eastAsia="zh-CN"/>
        </w:rPr>
        <w:t>和</w:t>
      </w:r>
      <w:r>
        <w:rPr>
          <w:rFonts w:hint="eastAsia" w:ascii="宋体" w:hAnsi="宋体" w:eastAsia="宋体" w:cs="宋体"/>
          <w:color w:val="auto"/>
          <w:spacing w:val="0"/>
          <w:position w:val="0"/>
          <w:sz w:val="21"/>
          <w:szCs w:val="21"/>
          <w:highlight w:val="none"/>
          <w:shd w:val="clear" w:fill="auto"/>
        </w:rPr>
        <w:t>授权委托人：（签</w:t>
      </w:r>
      <w:r>
        <w:rPr>
          <w:rFonts w:hint="eastAsia" w:ascii="宋体" w:hAnsi="宋体" w:eastAsia="宋体" w:cs="宋体"/>
          <w:color w:val="auto"/>
          <w:spacing w:val="0"/>
          <w:position w:val="0"/>
          <w:sz w:val="21"/>
          <w:szCs w:val="21"/>
          <w:highlight w:val="none"/>
          <w:shd w:val="clear" w:fill="auto"/>
          <w:lang w:eastAsia="zh-CN"/>
        </w:rPr>
        <w:t>章</w:t>
      </w:r>
      <w:r>
        <w:rPr>
          <w:rFonts w:hint="eastAsia" w:ascii="宋体" w:hAnsi="宋体" w:eastAsia="宋体" w:cs="宋体"/>
          <w:color w:val="auto"/>
          <w:spacing w:val="0"/>
          <w:position w:val="0"/>
          <w:sz w:val="21"/>
          <w:szCs w:val="21"/>
          <w:highlight w:val="none"/>
          <w:shd w:val="clear" w:fill="auto"/>
        </w:rPr>
        <w:t>）</w:t>
      </w:r>
    </w:p>
    <w:p w14:paraId="5D95A40D">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935FD4C">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w:t>
      </w:r>
      <w:r>
        <w:rPr>
          <w:rFonts w:hint="eastAsia" w:ascii="宋体" w:hAnsi="宋体" w:eastAsia="宋体" w:cs="宋体"/>
          <w:color w:val="auto"/>
          <w:spacing w:val="0"/>
          <w:position w:val="0"/>
          <w:sz w:val="21"/>
          <w:szCs w:val="21"/>
          <w:highlight w:val="none"/>
          <w:shd w:val="clear" w:fill="auto"/>
          <w:lang w:val="en-US" w:eastAsia="zh-CN"/>
        </w:rPr>
        <w:t xml:space="preserve">  </w:t>
      </w:r>
      <w:r>
        <w:rPr>
          <w:rFonts w:hint="eastAsia" w:ascii="宋体" w:hAnsi="宋体" w:eastAsia="宋体" w:cs="宋体"/>
          <w:color w:val="auto"/>
          <w:spacing w:val="0"/>
          <w:position w:val="0"/>
          <w:sz w:val="21"/>
          <w:szCs w:val="21"/>
          <w:highlight w:val="none"/>
          <w:shd w:val="clear" w:fill="auto"/>
        </w:rPr>
        <w:t>年</w:t>
      </w:r>
      <w:r>
        <w:rPr>
          <w:rFonts w:hint="eastAsia" w:ascii="宋体" w:hAnsi="宋体" w:eastAsia="宋体" w:cs="宋体"/>
          <w:color w:val="auto"/>
          <w:spacing w:val="0"/>
          <w:position w:val="0"/>
          <w:sz w:val="21"/>
          <w:szCs w:val="21"/>
          <w:highlight w:val="none"/>
          <w:shd w:val="clear" w:fill="auto"/>
          <w:lang w:val="en-US" w:eastAsia="zh-CN"/>
        </w:rPr>
        <w:t xml:space="preserve"> </w:t>
      </w:r>
      <w:r>
        <w:rPr>
          <w:rFonts w:hint="eastAsia" w:ascii="宋体" w:hAnsi="宋体" w:eastAsia="宋体" w:cs="宋体"/>
          <w:color w:val="auto"/>
          <w:spacing w:val="0"/>
          <w:position w:val="0"/>
          <w:sz w:val="21"/>
          <w:szCs w:val="21"/>
          <w:highlight w:val="none"/>
          <w:shd w:val="clear" w:fill="auto"/>
        </w:rPr>
        <w:t>月</w:t>
      </w:r>
      <w:r>
        <w:rPr>
          <w:rFonts w:hint="eastAsia" w:ascii="宋体" w:hAnsi="宋体" w:eastAsia="宋体" w:cs="宋体"/>
          <w:color w:val="auto"/>
          <w:spacing w:val="0"/>
          <w:position w:val="0"/>
          <w:sz w:val="21"/>
          <w:szCs w:val="21"/>
          <w:highlight w:val="none"/>
          <w:shd w:val="clear" w:fill="auto"/>
          <w:lang w:val="en-US" w:eastAsia="zh-CN"/>
        </w:rPr>
        <w:t xml:space="preserve"> </w:t>
      </w:r>
      <w:r>
        <w:rPr>
          <w:rFonts w:hint="eastAsia" w:ascii="宋体" w:hAnsi="宋体" w:eastAsia="宋体" w:cs="宋体"/>
          <w:color w:val="auto"/>
          <w:spacing w:val="0"/>
          <w:position w:val="0"/>
          <w:sz w:val="21"/>
          <w:szCs w:val="21"/>
          <w:highlight w:val="none"/>
          <w:shd w:val="clear" w:fill="auto"/>
        </w:rPr>
        <w:t>日</w:t>
      </w:r>
    </w:p>
    <w:p w14:paraId="4B342EDF">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6F2CBFCF">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5A77145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5CC8F3B">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E34BA8C">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CB4C57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F1CF834">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23231D0">
      <w:pPr>
        <w:pStyle w:val="12"/>
        <w:rPr>
          <w:rFonts w:hint="eastAsia" w:ascii="宋体" w:hAnsi="宋体" w:eastAsia="宋体" w:cs="宋体"/>
          <w:b/>
          <w:color w:val="auto"/>
          <w:spacing w:val="0"/>
          <w:position w:val="0"/>
          <w:sz w:val="21"/>
          <w:szCs w:val="21"/>
          <w:highlight w:val="none"/>
          <w:shd w:val="clear" w:fill="auto"/>
        </w:rPr>
      </w:pPr>
    </w:p>
    <w:p w14:paraId="2351FD76">
      <w:pPr>
        <w:pStyle w:val="2"/>
        <w:rPr>
          <w:rFonts w:hint="eastAsia" w:ascii="宋体" w:hAnsi="宋体" w:eastAsia="宋体" w:cs="宋体"/>
          <w:b/>
          <w:color w:val="auto"/>
          <w:spacing w:val="0"/>
          <w:position w:val="0"/>
          <w:sz w:val="21"/>
          <w:szCs w:val="21"/>
          <w:highlight w:val="none"/>
          <w:shd w:val="clear" w:fill="auto"/>
        </w:rPr>
      </w:pPr>
    </w:p>
    <w:p w14:paraId="46B8C96E">
      <w:pPr>
        <w:rPr>
          <w:rFonts w:hint="eastAsia" w:ascii="宋体" w:hAnsi="宋体" w:eastAsia="宋体" w:cs="宋体"/>
          <w:b/>
          <w:color w:val="auto"/>
          <w:spacing w:val="0"/>
          <w:position w:val="0"/>
          <w:sz w:val="21"/>
          <w:szCs w:val="21"/>
          <w:highlight w:val="none"/>
          <w:shd w:val="clear" w:fill="auto"/>
        </w:rPr>
      </w:pPr>
    </w:p>
    <w:p w14:paraId="61A37123">
      <w:pPr>
        <w:pStyle w:val="12"/>
        <w:rPr>
          <w:rFonts w:hint="eastAsia" w:ascii="宋体" w:hAnsi="宋体" w:eastAsia="宋体" w:cs="宋体"/>
          <w:b/>
          <w:color w:val="auto"/>
          <w:spacing w:val="0"/>
          <w:position w:val="0"/>
          <w:sz w:val="21"/>
          <w:szCs w:val="21"/>
          <w:highlight w:val="none"/>
          <w:shd w:val="clear" w:fill="auto"/>
        </w:rPr>
      </w:pPr>
    </w:p>
    <w:p w14:paraId="01502EF7">
      <w:pPr>
        <w:pStyle w:val="2"/>
        <w:rPr>
          <w:rFonts w:hint="eastAsia" w:ascii="宋体" w:hAnsi="宋体" w:eastAsia="宋体" w:cs="宋体"/>
          <w:b/>
          <w:color w:val="auto"/>
          <w:spacing w:val="0"/>
          <w:position w:val="0"/>
          <w:sz w:val="21"/>
          <w:szCs w:val="21"/>
          <w:highlight w:val="none"/>
          <w:shd w:val="clear" w:fill="auto"/>
        </w:rPr>
      </w:pPr>
    </w:p>
    <w:p w14:paraId="5B33E7AA">
      <w:pPr>
        <w:rPr>
          <w:rFonts w:hint="eastAsia" w:ascii="宋体" w:hAnsi="宋体" w:eastAsia="宋体" w:cs="宋体"/>
          <w:b/>
          <w:color w:val="auto"/>
          <w:spacing w:val="0"/>
          <w:position w:val="0"/>
          <w:sz w:val="21"/>
          <w:szCs w:val="21"/>
          <w:highlight w:val="none"/>
          <w:shd w:val="clear" w:fill="auto"/>
        </w:rPr>
      </w:pPr>
    </w:p>
    <w:p w14:paraId="79726146">
      <w:pPr>
        <w:pStyle w:val="12"/>
        <w:rPr>
          <w:rFonts w:hint="eastAsia" w:ascii="宋体" w:hAnsi="宋体" w:eastAsia="宋体" w:cs="宋体"/>
          <w:b/>
          <w:color w:val="auto"/>
          <w:spacing w:val="0"/>
          <w:position w:val="0"/>
          <w:sz w:val="21"/>
          <w:szCs w:val="21"/>
          <w:highlight w:val="none"/>
          <w:shd w:val="clear" w:fill="auto"/>
        </w:rPr>
      </w:pPr>
    </w:p>
    <w:p w14:paraId="53D7F9DC">
      <w:pPr>
        <w:pStyle w:val="2"/>
        <w:rPr>
          <w:rFonts w:hint="eastAsia" w:ascii="宋体" w:hAnsi="宋体" w:eastAsia="宋体" w:cs="宋体"/>
          <w:color w:val="auto"/>
          <w:sz w:val="21"/>
          <w:szCs w:val="21"/>
          <w:highlight w:val="none"/>
        </w:rPr>
      </w:pPr>
    </w:p>
    <w:p w14:paraId="357A904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EA0736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9706DE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84C4257">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5B018F8">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13473CE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6F422DE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64A8A137">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59BF4A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5E89012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4E7D1EC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F1082">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28699A3F">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F468144">
      <w:pPr>
        <w:pStyle w:val="12"/>
        <w:rPr>
          <w:rFonts w:hint="eastAsia" w:ascii="宋体" w:hAnsi="宋体" w:eastAsia="宋体" w:cs="宋体"/>
          <w:b/>
          <w:color w:val="auto"/>
          <w:spacing w:val="0"/>
          <w:position w:val="0"/>
          <w:sz w:val="21"/>
          <w:szCs w:val="21"/>
          <w:highlight w:val="none"/>
          <w:shd w:val="clear" w:fill="auto"/>
        </w:rPr>
      </w:pPr>
    </w:p>
    <w:p w14:paraId="6AB38232">
      <w:pPr>
        <w:pStyle w:val="2"/>
        <w:rPr>
          <w:rFonts w:ascii="宋体" w:hAnsi="宋体" w:eastAsia="宋体" w:cs="宋体"/>
          <w:b/>
          <w:color w:val="auto"/>
          <w:spacing w:val="0"/>
          <w:position w:val="0"/>
          <w:sz w:val="28"/>
          <w:highlight w:val="none"/>
          <w:shd w:val="clear" w:fill="auto"/>
        </w:rPr>
      </w:pPr>
    </w:p>
    <w:p w14:paraId="3915FC41">
      <w:pPr>
        <w:rPr>
          <w:rFonts w:ascii="宋体" w:hAnsi="宋体" w:eastAsia="宋体" w:cs="宋体"/>
          <w:b/>
          <w:color w:val="auto"/>
          <w:spacing w:val="0"/>
          <w:position w:val="0"/>
          <w:sz w:val="28"/>
          <w:highlight w:val="none"/>
          <w:shd w:val="clear" w:fill="auto"/>
        </w:rPr>
      </w:pPr>
    </w:p>
    <w:p w14:paraId="4192BB3F">
      <w:pPr>
        <w:pStyle w:val="12"/>
        <w:rPr>
          <w:rFonts w:ascii="宋体" w:hAnsi="宋体" w:eastAsia="宋体" w:cs="宋体"/>
          <w:b/>
          <w:color w:val="auto"/>
          <w:spacing w:val="0"/>
          <w:position w:val="0"/>
          <w:sz w:val="28"/>
          <w:highlight w:val="none"/>
          <w:shd w:val="clear" w:fill="auto"/>
        </w:rPr>
      </w:pPr>
    </w:p>
    <w:p w14:paraId="54B7BC5A">
      <w:pPr>
        <w:pStyle w:val="2"/>
        <w:rPr>
          <w:rFonts w:ascii="宋体" w:hAnsi="宋体" w:eastAsia="宋体" w:cs="宋体"/>
          <w:b/>
          <w:color w:val="auto"/>
          <w:spacing w:val="0"/>
          <w:position w:val="0"/>
          <w:sz w:val="28"/>
          <w:highlight w:val="none"/>
          <w:shd w:val="clear" w:fill="auto"/>
        </w:rPr>
      </w:pPr>
    </w:p>
    <w:p w14:paraId="147DAEE8">
      <w:pPr>
        <w:rPr>
          <w:rFonts w:ascii="宋体" w:hAnsi="宋体" w:eastAsia="宋体" w:cs="宋体"/>
          <w:b/>
          <w:color w:val="auto"/>
          <w:spacing w:val="0"/>
          <w:position w:val="0"/>
          <w:sz w:val="28"/>
          <w:highlight w:val="none"/>
          <w:shd w:val="clear" w:fill="auto"/>
        </w:rPr>
      </w:pPr>
    </w:p>
    <w:p w14:paraId="12DA9A09">
      <w:pPr>
        <w:pStyle w:val="12"/>
        <w:rPr>
          <w:rFonts w:ascii="宋体" w:hAnsi="宋体" w:eastAsia="宋体" w:cs="宋体"/>
          <w:b/>
          <w:color w:val="auto"/>
          <w:spacing w:val="0"/>
          <w:position w:val="0"/>
          <w:sz w:val="28"/>
          <w:highlight w:val="none"/>
          <w:shd w:val="clear" w:fill="auto"/>
        </w:rPr>
      </w:pPr>
    </w:p>
    <w:p w14:paraId="681A21D3">
      <w:pPr>
        <w:pStyle w:val="2"/>
        <w:rPr>
          <w:rFonts w:ascii="宋体" w:hAnsi="宋体" w:eastAsia="宋体" w:cs="宋体"/>
          <w:b/>
          <w:color w:val="auto"/>
          <w:spacing w:val="0"/>
          <w:position w:val="0"/>
          <w:sz w:val="28"/>
          <w:highlight w:val="none"/>
          <w:shd w:val="clear" w:fill="auto"/>
        </w:rPr>
      </w:pPr>
    </w:p>
    <w:p w14:paraId="0E649412">
      <w:pPr>
        <w:rPr>
          <w:rFonts w:ascii="宋体" w:hAnsi="宋体" w:eastAsia="宋体" w:cs="宋体"/>
          <w:b/>
          <w:color w:val="auto"/>
          <w:spacing w:val="0"/>
          <w:position w:val="0"/>
          <w:sz w:val="28"/>
          <w:highlight w:val="none"/>
          <w:shd w:val="clear" w:fill="auto"/>
        </w:rPr>
      </w:pPr>
    </w:p>
    <w:p w14:paraId="134565B6">
      <w:pPr>
        <w:pStyle w:val="12"/>
        <w:rPr>
          <w:rFonts w:ascii="宋体" w:hAnsi="宋体" w:eastAsia="宋体" w:cs="宋体"/>
          <w:b/>
          <w:color w:val="auto"/>
          <w:spacing w:val="0"/>
          <w:position w:val="0"/>
          <w:sz w:val="28"/>
          <w:highlight w:val="none"/>
          <w:shd w:val="clear" w:fill="auto"/>
        </w:rPr>
      </w:pPr>
    </w:p>
    <w:p w14:paraId="1A4571A1">
      <w:pPr>
        <w:pStyle w:val="2"/>
        <w:rPr>
          <w:rFonts w:ascii="宋体" w:hAnsi="宋体" w:eastAsia="宋体" w:cs="宋体"/>
          <w:b/>
          <w:color w:val="auto"/>
          <w:spacing w:val="0"/>
          <w:position w:val="0"/>
          <w:sz w:val="28"/>
          <w:highlight w:val="none"/>
          <w:shd w:val="clear" w:fill="auto"/>
        </w:rPr>
      </w:pPr>
    </w:p>
    <w:p w14:paraId="3CC5E87D">
      <w:pPr>
        <w:rPr>
          <w:rFonts w:ascii="宋体" w:hAnsi="宋体" w:eastAsia="宋体" w:cs="宋体"/>
          <w:b/>
          <w:color w:val="auto"/>
          <w:spacing w:val="0"/>
          <w:position w:val="0"/>
          <w:sz w:val="28"/>
          <w:highlight w:val="none"/>
          <w:shd w:val="clear" w:fill="auto"/>
        </w:rPr>
      </w:pPr>
    </w:p>
    <w:p w14:paraId="0AA03103">
      <w:pPr>
        <w:pStyle w:val="12"/>
        <w:rPr>
          <w:rFonts w:ascii="宋体" w:hAnsi="宋体" w:eastAsia="宋体" w:cs="宋体"/>
          <w:b/>
          <w:color w:val="auto"/>
          <w:spacing w:val="0"/>
          <w:position w:val="0"/>
          <w:sz w:val="28"/>
          <w:highlight w:val="none"/>
          <w:shd w:val="clear" w:fill="auto"/>
        </w:rPr>
      </w:pPr>
    </w:p>
    <w:p w14:paraId="5AB2F47D">
      <w:pPr>
        <w:pStyle w:val="2"/>
        <w:rPr>
          <w:rFonts w:ascii="宋体" w:hAnsi="宋体" w:eastAsia="宋体" w:cs="宋体"/>
          <w:b/>
          <w:color w:val="auto"/>
          <w:spacing w:val="0"/>
          <w:position w:val="0"/>
          <w:sz w:val="28"/>
          <w:highlight w:val="none"/>
          <w:shd w:val="clear" w:fill="auto"/>
        </w:rPr>
      </w:pPr>
    </w:p>
    <w:p w14:paraId="6BB98E09">
      <w:pPr>
        <w:rPr>
          <w:rFonts w:ascii="宋体" w:hAnsi="宋体" w:eastAsia="宋体" w:cs="宋体"/>
          <w:b/>
          <w:color w:val="auto"/>
          <w:spacing w:val="0"/>
          <w:position w:val="0"/>
          <w:sz w:val="28"/>
          <w:highlight w:val="none"/>
          <w:shd w:val="clear" w:fill="auto"/>
        </w:rPr>
      </w:pPr>
    </w:p>
    <w:p w14:paraId="0AF5C0A0">
      <w:pPr>
        <w:pStyle w:val="12"/>
        <w:rPr>
          <w:color w:val="auto"/>
          <w:highlight w:val="none"/>
        </w:rPr>
      </w:pPr>
    </w:p>
    <w:p w14:paraId="34462ED8">
      <w:pPr>
        <w:numPr>
          <w:ilvl w:val="0"/>
          <w:numId w:val="27"/>
        </w:numPr>
        <w:spacing w:before="0" w:after="0" w:line="360" w:lineRule="auto"/>
        <w:ind w:left="0" w:right="0" w:firstLine="0"/>
        <w:jc w:val="center"/>
        <w:rPr>
          <w:rFonts w:ascii="宋体" w:hAnsi="宋体" w:eastAsia="宋体" w:cs="宋体"/>
          <w:b/>
          <w:color w:val="auto"/>
          <w:spacing w:val="0"/>
          <w:position w:val="0"/>
          <w:sz w:val="28"/>
          <w:highlight w:val="none"/>
          <w:shd w:val="clear" w:fill="auto"/>
        </w:rPr>
      </w:pPr>
    </w:p>
    <w:p w14:paraId="71B7B0AF">
      <w:pPr>
        <w:numPr>
          <w:ilvl w:val="0"/>
          <w:numId w:val="27"/>
        </w:numPr>
        <w:spacing w:before="0" w:after="0" w:line="360" w:lineRule="auto"/>
        <w:ind w:left="0" w:right="0" w:firstLine="0"/>
        <w:jc w:val="center"/>
        <w:rPr>
          <w:rFonts w:ascii="宋体" w:hAnsi="宋体" w:eastAsia="宋体" w:cs="宋体"/>
          <w:b/>
          <w:color w:val="auto"/>
          <w:spacing w:val="0"/>
          <w:position w:val="0"/>
          <w:sz w:val="28"/>
          <w:highlight w:val="none"/>
          <w:shd w:val="clear" w:fill="auto"/>
        </w:rPr>
      </w:pPr>
    </w:p>
    <w:p w14:paraId="52C1B3DB">
      <w:pPr>
        <w:numPr>
          <w:ilvl w:val="0"/>
          <w:numId w:val="27"/>
        </w:numPr>
        <w:spacing w:before="0" w:after="0" w:line="360" w:lineRule="auto"/>
        <w:ind w:left="0" w:right="0" w:firstLine="0"/>
        <w:jc w:val="center"/>
        <w:rPr>
          <w:rFonts w:ascii="宋体" w:hAnsi="宋体" w:eastAsia="宋体" w:cs="宋体"/>
          <w:b/>
          <w:color w:val="auto"/>
          <w:spacing w:val="0"/>
          <w:position w:val="0"/>
          <w:sz w:val="28"/>
          <w:highlight w:val="none"/>
          <w:shd w:val="clear" w:fill="auto"/>
        </w:rPr>
      </w:pPr>
    </w:p>
    <w:p w14:paraId="04965D7C">
      <w:pPr>
        <w:numPr>
          <w:ilvl w:val="0"/>
          <w:numId w:val="27"/>
        </w:numPr>
        <w:spacing w:before="0" w:after="0" w:line="360" w:lineRule="auto"/>
        <w:ind w:left="0" w:right="0" w:firstLine="0"/>
        <w:jc w:val="center"/>
        <w:rPr>
          <w:rFonts w:ascii="宋体" w:hAnsi="宋体" w:eastAsia="宋体" w:cs="宋体"/>
          <w:b/>
          <w:color w:val="auto"/>
          <w:spacing w:val="0"/>
          <w:position w:val="0"/>
          <w:sz w:val="28"/>
          <w:highlight w:val="none"/>
          <w:shd w:val="clear" w:fill="auto"/>
        </w:rPr>
      </w:pPr>
    </w:p>
    <w:p w14:paraId="347ADD80">
      <w:pPr>
        <w:numPr>
          <w:ilvl w:val="0"/>
          <w:numId w:val="27"/>
        </w:numPr>
        <w:spacing w:before="0" w:after="0" w:line="360" w:lineRule="auto"/>
        <w:ind w:left="0" w:right="0" w:firstLine="0"/>
        <w:jc w:val="center"/>
        <w:rPr>
          <w:rFonts w:ascii="宋体" w:hAnsi="宋体" w:eastAsia="宋体" w:cs="宋体"/>
          <w:b/>
          <w:color w:val="auto"/>
          <w:spacing w:val="0"/>
          <w:position w:val="0"/>
          <w:sz w:val="28"/>
          <w:highlight w:val="none"/>
          <w:shd w:val="clear" w:fill="auto"/>
        </w:rPr>
      </w:pPr>
    </w:p>
    <w:p w14:paraId="411ED461">
      <w:pPr>
        <w:numPr>
          <w:ilvl w:val="0"/>
          <w:numId w:val="27"/>
        </w:numPr>
        <w:spacing w:before="0" w:after="0" w:line="360" w:lineRule="auto"/>
        <w:ind w:left="0" w:right="0" w:firstLine="0"/>
        <w:jc w:val="center"/>
        <w:rPr>
          <w:rFonts w:ascii="宋体" w:hAnsi="宋体" w:eastAsia="宋体" w:cs="宋体"/>
          <w:b/>
          <w:color w:val="auto"/>
          <w:spacing w:val="0"/>
          <w:position w:val="0"/>
          <w:sz w:val="28"/>
          <w:highlight w:val="none"/>
          <w:shd w:val="clear" w:fill="auto"/>
        </w:rPr>
      </w:pPr>
    </w:p>
    <w:p w14:paraId="434D6289">
      <w:pPr>
        <w:numPr>
          <w:ilvl w:val="0"/>
          <w:numId w:val="27"/>
        </w:numPr>
        <w:spacing w:before="0" w:after="0" w:line="360" w:lineRule="auto"/>
        <w:ind w:left="0" w:right="0" w:firstLine="0"/>
        <w:jc w:val="center"/>
        <w:rPr>
          <w:rFonts w:ascii="宋体" w:hAnsi="宋体" w:eastAsia="宋体" w:cs="宋体"/>
          <w:b/>
          <w:color w:val="auto"/>
          <w:spacing w:val="0"/>
          <w:position w:val="0"/>
          <w:sz w:val="28"/>
          <w:highlight w:val="none"/>
          <w:shd w:val="clear" w:fill="auto"/>
        </w:rPr>
      </w:pPr>
    </w:p>
    <w:p w14:paraId="059F39AC">
      <w:pPr>
        <w:numPr>
          <w:ilvl w:val="0"/>
          <w:numId w:val="27"/>
        </w:numPr>
        <w:spacing w:before="0" w:after="0" w:line="360" w:lineRule="auto"/>
        <w:ind w:left="0" w:right="0" w:firstLine="0"/>
        <w:jc w:val="center"/>
        <w:rPr>
          <w:rFonts w:ascii="宋体" w:hAnsi="宋体" w:eastAsia="宋体" w:cs="宋体"/>
          <w:b/>
          <w:color w:val="auto"/>
          <w:spacing w:val="0"/>
          <w:position w:val="0"/>
          <w:sz w:val="28"/>
          <w:highlight w:val="none"/>
          <w:shd w:val="clear" w:fill="auto"/>
        </w:rPr>
      </w:pPr>
    </w:p>
    <w:p w14:paraId="678F2F9B">
      <w:pPr>
        <w:numPr>
          <w:ilvl w:val="0"/>
          <w:numId w:val="27"/>
        </w:numPr>
        <w:spacing w:before="0" w:after="0" w:line="360" w:lineRule="auto"/>
        <w:ind w:left="0" w:right="0" w:firstLine="0"/>
        <w:jc w:val="center"/>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06ADA219">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4C6BB1FC">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137AAC3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694C65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5E4177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EB320D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37CC07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288CE3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F92259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5487CD1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652D98C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7AD10AD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1DD057F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60AE43A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49D7DF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1FF31B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60EE21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DBCCC20">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1960C300">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205D5FD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EDC831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18F8F8A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3970094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657A53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5EF6C1C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13459F3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47FFF9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353838F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53DBA5F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5DAA917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22051FD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38215CC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DD1746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6C7659C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7A402142">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29CA970F">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17ED8001">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DD9D748">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7FA9595C">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5878216E">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13E94B4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BA7122E">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5DCD0422">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6404B96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5F39D81E">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671583D4">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5949CE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4F063B1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3A45AF8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0B51D20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147707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53E5863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5F7BAC0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DC08C2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7"/>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721AB70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6F155D">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0F8E6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7C1BA4">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6667AF">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61286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182DB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5F43AE">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433C6BD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81070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524F4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506B6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E624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6647A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B5883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9B02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56320A6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5DEC5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78C57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F72E2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446F2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67C4D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C87FA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323C2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404F240F">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1AE49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534FF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554E3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1907D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92226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1C4F89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A5ED3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B0B4EAC">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9018E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15101961">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5A50BB2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82FD4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4711A6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470913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43CF16D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60302FA">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19B521A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2D871E4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0366BAD6">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54B2470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0282434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1B40CF0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4B54AB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1EBD36A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6EF6CE1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1706B221">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71C422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56F130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71C2B6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2BFC023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1D746716">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231FCD02">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50B6BCC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67673A1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27650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7C97D7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3B6832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56B930C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24D32D7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1AD1B2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318E2D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383276F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36B2B06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0785AC6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3DBE9A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04ADDC4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07B6618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31AF1AB8">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408A0E44">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10C7414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310C76A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0A8DFC6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96936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2CFB7BF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556955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7E487E1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7EE254D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543A982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645225C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07B3B2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510C72F">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17F9363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E2F88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95F1349">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1EB2B8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089161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038F2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52B2B31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1E5FD0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0750439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5016E235">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060737A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7270F66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1757CC0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75DF3EF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3875ED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1436462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0B91957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35C908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05C477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C99C3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FB569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2FC1A56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15CC589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360EF5A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4E5EB3E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549E39E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1120A78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23FBCF22">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2126EE21">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0B4A51C7">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657EDB8E">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57476C-58CF-42A0-8629-884D9FC9A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00B115E-EB12-475F-B206-B6D635143B07}"/>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PingFang SC">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embedRegular r:id="rId3" w:fontKey="{82F7F642-0EC4-4C8D-8F58-77AD206F058C}"/>
  </w:font>
  <w:font w:name="仿宋_GB2312">
    <w:altName w:val="仿宋"/>
    <w:panose1 w:val="00000000000000000000"/>
    <w:charset w:val="00"/>
    <w:family w:val="auto"/>
    <w:pitch w:val="default"/>
    <w:sig w:usb0="00000000" w:usb1="00000000" w:usb2="00000000" w:usb3="00000000" w:csb0="00000000" w:csb1="00000000"/>
    <w:embedRegular r:id="rId4" w:fontKey="{7CFF709D-C00D-4587-B470-F83368CC4224}"/>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embedRegular r:id="rId5" w:fontKey="{5E8AF9B2-E61E-4EAB-8B36-5DA703554023}"/>
  </w:font>
  <w:font w:name="方正小标宋简体">
    <w:panose1 w:val="02000000000000000000"/>
    <w:charset w:val="86"/>
    <w:family w:val="auto"/>
    <w:pitch w:val="default"/>
    <w:sig w:usb0="00000001" w:usb1="08000000" w:usb2="00000000" w:usb3="00000000" w:csb0="00040000" w:csb1="00000000"/>
    <w:embedRegular r:id="rId6" w:fontKey="{0852A5C8-3368-4B0B-8734-854016408182}"/>
  </w:font>
  <w:font w:name="KSOFE4500885">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5E49C">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7D91798">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multilevel"/>
    <w:tmpl w:val="25B654F3"/>
    <w:lvl w:ilvl="0" w:tentative="0">
      <w:start w:val="1"/>
      <w:numFmt w:val="bullet"/>
      <w:lvlText w:val="•"/>
      <w:lvlJc w:val="left"/>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29"/>
  </w:num>
  <w:num w:numId="26">
    <w:abstractNumId w:val="28"/>
  </w:num>
  <w:num w:numId="27">
    <w:abstractNumId w:val="5"/>
  </w:num>
  <w:num w:numId="28">
    <w:abstractNumId w:val="26"/>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000000"/>
    <w:rsid w:val="00B16FEB"/>
    <w:rsid w:val="04640B52"/>
    <w:rsid w:val="05A5591B"/>
    <w:rsid w:val="060266F5"/>
    <w:rsid w:val="08431698"/>
    <w:rsid w:val="09497E1A"/>
    <w:rsid w:val="0AC769A1"/>
    <w:rsid w:val="0C4A0F50"/>
    <w:rsid w:val="0CEE277D"/>
    <w:rsid w:val="0E4868F2"/>
    <w:rsid w:val="13B41C48"/>
    <w:rsid w:val="1484072D"/>
    <w:rsid w:val="164E081E"/>
    <w:rsid w:val="17A1148A"/>
    <w:rsid w:val="18D043C0"/>
    <w:rsid w:val="190A277E"/>
    <w:rsid w:val="1C662D65"/>
    <w:rsid w:val="1C692AB9"/>
    <w:rsid w:val="1E9509AC"/>
    <w:rsid w:val="1F35597B"/>
    <w:rsid w:val="2B234836"/>
    <w:rsid w:val="2CBB5CE4"/>
    <w:rsid w:val="2D9F6759"/>
    <w:rsid w:val="33673093"/>
    <w:rsid w:val="33AE307C"/>
    <w:rsid w:val="3436271A"/>
    <w:rsid w:val="39062073"/>
    <w:rsid w:val="3A654B5F"/>
    <w:rsid w:val="3B0A71ED"/>
    <w:rsid w:val="3FD414E4"/>
    <w:rsid w:val="42E36E7A"/>
    <w:rsid w:val="44C30432"/>
    <w:rsid w:val="466510E8"/>
    <w:rsid w:val="47070DC3"/>
    <w:rsid w:val="476F33D9"/>
    <w:rsid w:val="4ECB6A08"/>
    <w:rsid w:val="4EFF17AB"/>
    <w:rsid w:val="5036170A"/>
    <w:rsid w:val="51FC4CF7"/>
    <w:rsid w:val="52EF06B7"/>
    <w:rsid w:val="56FE6702"/>
    <w:rsid w:val="58E00C2E"/>
    <w:rsid w:val="598F3A95"/>
    <w:rsid w:val="5D0128BF"/>
    <w:rsid w:val="5E7F3237"/>
    <w:rsid w:val="5FB32A6C"/>
    <w:rsid w:val="623F4960"/>
    <w:rsid w:val="624B5761"/>
    <w:rsid w:val="6372336A"/>
    <w:rsid w:val="639F79E7"/>
    <w:rsid w:val="63D70E99"/>
    <w:rsid w:val="6B390327"/>
    <w:rsid w:val="6C5F1239"/>
    <w:rsid w:val="71F10299"/>
    <w:rsid w:val="73EF1E6D"/>
    <w:rsid w:val="747C5A5B"/>
    <w:rsid w:val="74992CD1"/>
    <w:rsid w:val="7632198A"/>
    <w:rsid w:val="7AF64429"/>
    <w:rsid w:val="7C185920"/>
    <w:rsid w:val="7E59377E"/>
    <w:rsid w:val="7EDA735F"/>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1"/>
    <w:qFormat/>
    <w:uiPriority w:val="1"/>
    <w:rPr>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9">
    <w:name w:val="Strong"/>
    <w:qFormat/>
    <w:uiPriority w:val="22"/>
    <w:rPr>
      <w:b/>
      <w:bCs/>
    </w:rPr>
  </w:style>
  <w:style w:type="paragraph" w:customStyle="1" w:styleId="10">
    <w:name w:val="BodyText1I"/>
    <w:basedOn w:val="11"/>
    <w:qFormat/>
    <w:uiPriority w:val="99"/>
    <w:pPr>
      <w:ind w:firstLine="420" w:firstLineChars="100"/>
    </w:pPr>
  </w:style>
  <w:style w:type="paragraph" w:customStyle="1" w:styleId="11">
    <w:name w:val="BodyText"/>
    <w:basedOn w:val="1"/>
    <w:qFormat/>
    <w:uiPriority w:val="99"/>
    <w:pPr>
      <w:spacing w:after="120"/>
    </w:pPr>
  </w:style>
  <w:style w:type="paragraph" w:customStyle="1" w:styleId="12">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3">
    <w:name w:val="List Paragraph"/>
    <w:basedOn w:val="1"/>
    <w:qFormat/>
    <w:uiPriority w:val="34"/>
    <w:pPr>
      <w:ind w:firstLine="420" w:firstLineChars="200"/>
    </w:pPr>
  </w:style>
  <w:style w:type="character" w:customStyle="1" w:styleId="14">
    <w:name w:val="font41"/>
    <w:basedOn w:val="8"/>
    <w:qFormat/>
    <w:uiPriority w:val="0"/>
    <w:rPr>
      <w:rFonts w:hint="eastAsia" w:ascii="微软雅黑" w:hAnsi="微软雅黑" w:eastAsia="微软雅黑" w:cs="微软雅黑"/>
      <w:color w:val="000000"/>
      <w:sz w:val="20"/>
      <w:szCs w:val="20"/>
      <w:u w:val="none"/>
    </w:rPr>
  </w:style>
  <w:style w:type="character" w:customStyle="1" w:styleId="15">
    <w:name w:val="font61"/>
    <w:basedOn w:val="8"/>
    <w:qFormat/>
    <w:uiPriority w:val="0"/>
    <w:rPr>
      <w:rFonts w:ascii="PingFang SC" w:hAnsi="PingFang SC" w:eastAsia="PingFang SC" w:cs="PingFang SC"/>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64</Pages>
  <Words>2449</Words>
  <Characters>2838</Characters>
  <TotalTime>2</TotalTime>
  <ScaleCrop>false</ScaleCrop>
  <LinksUpToDate>false</LinksUpToDate>
  <CharactersWithSpaces>3043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dcterms:modified xsi:type="dcterms:W3CDTF">2026-07-17T03:06:53Z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C17062F0C12B4DEABC74939960AD8055</vt:lpwstr>
  </property>
  <property fmtid="{D5CDD505-2E9C-101B-9397-08002B2CF9AE}" pid="4" name="KSOTemplateDocerSaveRecord">
    <vt:lpwstr>eyJoZGlkIjoiMzY3OTE0MzFlMWZhNmYzYzU2Y2EwNGZmYzNmMTVlOWMifQ==</vt:lpwstr>
  </property>
</Properties>
</file>