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0"/>
        <w:rPr>
          <w:rFonts w:ascii="宋体" w:hAnsi="宋体"/>
          <w:sz w:val="32"/>
          <w:highlight w:val="none"/>
        </w:rPr>
      </w:pPr>
    </w:p>
    <w:p w14:paraId="479DB073">
      <w:pPr>
        <w:pStyle w:val="38"/>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0" w:leftChars="200" w:right="-92" w:rightChars="-44" w:hanging="1500" w:hangingChars="500"/>
        <w:jc w:val="left"/>
        <w:rPr>
          <w:rFonts w:hint="eastAsia" w:ascii="宋体" w:hAnsi="宋体" w:eastAsia="宋体" w:cs="宋体"/>
          <w:b w:val="0"/>
          <w:bCs w:val="0"/>
          <w:color w:val="auto"/>
          <w:sz w:val="30"/>
          <w:szCs w:val="30"/>
          <w:lang w:eastAsia="zh-CN"/>
        </w:rPr>
      </w:pPr>
      <w:r>
        <w:rPr>
          <w:rFonts w:hint="eastAsia" w:ascii="宋体" w:hAnsi="宋体" w:eastAsia="宋体" w:cs="宋体"/>
          <w:b w:val="0"/>
          <w:bCs w:val="0"/>
          <w:color w:val="auto"/>
          <w:sz w:val="30"/>
          <w:szCs w:val="30"/>
          <w:lang w:eastAsia="zh-CN"/>
        </w:rPr>
        <w:t>项目名称</w:t>
      </w:r>
      <w:r>
        <w:rPr>
          <w:rFonts w:hint="eastAsia" w:ascii="宋体" w:hAnsi="宋体" w:cs="宋体"/>
          <w:b w:val="0"/>
          <w:bCs w:val="0"/>
          <w:color w:val="auto"/>
          <w:sz w:val="30"/>
          <w:szCs w:val="30"/>
          <w:lang w:eastAsia="zh-CN"/>
        </w:rPr>
        <w:t>：</w:t>
      </w:r>
      <w:r>
        <w:rPr>
          <w:rFonts w:hint="eastAsia" w:ascii="宋体" w:hAnsi="宋体" w:cs="宋体"/>
          <w:b w:val="0"/>
          <w:bCs w:val="0"/>
          <w:color w:val="auto"/>
          <w:sz w:val="30"/>
          <w:szCs w:val="30"/>
          <w:lang w:val="en-US" w:eastAsia="zh-CN"/>
        </w:rPr>
        <w:t>商水县人民医院数字影像（云胶片）服务项目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val="0"/>
          <w:bCs w:val="0"/>
          <w:color w:val="0C0C0C" w:themeColor="text1" w:themeTint="F2"/>
          <w:sz w:val="30"/>
          <w:szCs w:val="30"/>
          <w:lang w:val="en-US" w:eastAsia="zh-CN"/>
        </w:rPr>
      </w:pPr>
      <w:r>
        <w:rPr>
          <w:rFonts w:hint="eastAsia" w:ascii="宋体" w:hAnsi="宋体" w:eastAsia="宋体" w:cs="宋体"/>
          <w:b w:val="0"/>
          <w:bCs w:val="0"/>
          <w:color w:val="0C0C0C" w:themeColor="text1" w:themeTint="F2"/>
          <w:sz w:val="30"/>
          <w:szCs w:val="30"/>
          <w:lang w:eastAsia="zh-CN"/>
        </w:rPr>
        <w:t>项目编号:</w:t>
      </w:r>
      <w:r>
        <w:rPr>
          <w:rFonts w:hint="eastAsia" w:ascii="宋体" w:hAnsi="宋体" w:cs="宋体"/>
          <w:b w:val="0"/>
          <w:bCs w:val="0"/>
          <w:color w:val="0C0C0C" w:themeColor="text1" w:themeTint="F2"/>
          <w:sz w:val="30"/>
          <w:szCs w:val="30"/>
          <w:lang w:val="en-US" w:eastAsia="zh-CN"/>
        </w:rPr>
        <w:t xml:space="preserve"> 商水财磋商采购-2026-77</w:t>
      </w:r>
    </w:p>
    <w:p w14:paraId="4CF81C97">
      <w:pPr>
        <w:tabs>
          <w:tab w:val="left" w:pos="315"/>
          <w:tab w:val="left" w:pos="8820"/>
        </w:tabs>
        <w:spacing w:line="600" w:lineRule="exact"/>
        <w:ind w:left="1888" w:leftChars="0" w:right="-92" w:rightChars="-44" w:hanging="1888" w:hangingChars="590"/>
        <w:jc w:val="left"/>
        <w:rPr>
          <w:rFonts w:hint="eastAsia" w:ascii="宋体" w:hAnsi="宋体" w:eastAsia="宋体" w:cs="宋体"/>
          <w:b w:val="0"/>
          <w:bCs w:val="0"/>
          <w:color w:val="auto"/>
          <w:sz w:val="32"/>
          <w:szCs w:val="32"/>
          <w:lang w:eastAsia="zh-CN"/>
        </w:rPr>
      </w:pPr>
    </w:p>
    <w:p w14:paraId="7F397FBE">
      <w:pPr>
        <w:tabs>
          <w:tab w:val="left" w:pos="315"/>
          <w:tab w:val="left" w:pos="8820"/>
        </w:tabs>
        <w:spacing w:line="600" w:lineRule="exact"/>
        <w:ind w:left="1888" w:leftChars="0" w:right="-92" w:rightChars="-44" w:hanging="1888" w:hangingChars="590"/>
        <w:jc w:val="center"/>
        <w:rPr>
          <w:rFonts w:hint="default" w:ascii="宋体" w:hAnsi="宋体" w:eastAsia="宋体" w:cs="宋体"/>
          <w:b w:val="0"/>
          <w:bCs w:val="0"/>
          <w:color w:val="auto"/>
          <w:sz w:val="32"/>
          <w:szCs w:val="32"/>
          <w:lang w:val="en-US" w:eastAsia="zh-CN"/>
        </w:rPr>
      </w:pPr>
      <w:r>
        <w:rPr>
          <w:rFonts w:hint="eastAsia" w:ascii="宋体" w:hAnsi="宋体" w:cs="宋体"/>
          <w:b w:val="0"/>
          <w:bCs w:val="0"/>
          <w:color w:val="auto"/>
          <w:sz w:val="32"/>
          <w:szCs w:val="32"/>
          <w:lang w:val="en-US" w:eastAsia="zh-CN"/>
        </w:rPr>
        <w:t>2026年8月3日</w:t>
      </w:r>
    </w:p>
    <w:p w14:paraId="450A2A74">
      <w:pPr>
        <w:pStyle w:val="9"/>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商水县人民医院数字影像（云胶片）服务项目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 xml:space="preserve">  </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49E48B15">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 xml:space="preserve">商水财磋商采购-2026-77 </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商水县人民医院数字影像（云胶片）服务项目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681600.00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681600.00</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5382"/>
        <w:gridCol w:w="238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382"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38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86"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382" w:type="dxa"/>
            <w:vAlign w:val="center"/>
          </w:tcPr>
          <w:p w14:paraId="05855409">
            <w:pPr>
              <w:adjustRightInd w:val="0"/>
              <w:snapToGrid w:val="0"/>
              <w:spacing w:line="360" w:lineRule="auto"/>
              <w:jc w:val="center"/>
              <w:rPr>
                <w:sz w:val="24"/>
                <w:szCs w:val="24"/>
                <w:highlight w:val="none"/>
              </w:rPr>
            </w:pPr>
            <w:r>
              <w:rPr>
                <w:rFonts w:hint="eastAsia" w:asciiTheme="minorEastAsia" w:hAnsiTheme="minorEastAsia" w:eastAsiaTheme="minorEastAsia" w:cstheme="minorEastAsia"/>
                <w:sz w:val="24"/>
                <w:highlight w:val="none"/>
                <w:lang w:val="en-US" w:eastAsia="zh-CN"/>
              </w:rPr>
              <w:t>商水县人民医院数字影像（云胶片）服务项目</w:t>
            </w:r>
          </w:p>
        </w:tc>
        <w:tc>
          <w:tcPr>
            <w:tcW w:w="238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681600.00元</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其他信息技术服务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2年</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799"/>
      <w:bookmarkStart w:id="6" w:name="_Toc28359013"/>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cs="宋体"/>
          <w:sz w:val="24"/>
          <w:highlight w:val="none"/>
        </w:rPr>
        <w:t>本项目是否为只面向中小企业采购：</w:t>
      </w:r>
      <w:r>
        <w:rPr>
          <w:rFonts w:hint="eastAsia" w:ascii="宋体" w:hAnsi="宋体" w:cs="宋体"/>
          <w:sz w:val="24"/>
        </w:rPr>
        <w:t>是，采购预留金额</w:t>
      </w:r>
      <w:r>
        <w:rPr>
          <w:rFonts w:hint="eastAsia" w:ascii="宋体" w:hAnsi="宋体" w:cs="宋体"/>
          <w:sz w:val="24"/>
          <w:lang w:eastAsia="zh-CN"/>
        </w:rPr>
        <w:t>681600.00</w:t>
      </w:r>
      <w:r>
        <w:rPr>
          <w:rFonts w:hint="eastAsia" w:asciiTheme="minorEastAsia" w:hAnsiTheme="minorEastAsia" w:eastAsiaTheme="minorEastAsia" w:cstheme="minorEastAsia"/>
          <w:sz w:val="24"/>
          <w:highlight w:val="none"/>
          <w:lang w:eastAsia="zh-CN"/>
        </w:rPr>
        <w:t>元，</w:t>
      </w:r>
      <w:r>
        <w:rPr>
          <w:rFonts w:hint="eastAsia" w:ascii="宋体" w:hAnsi="宋体" w:cs="宋体"/>
          <w:sz w:val="24"/>
        </w:rPr>
        <w:t>必须提供中小企业声明函</w:t>
      </w:r>
      <w:r>
        <w:rPr>
          <w:rFonts w:hint="eastAsia" w:ascii="宋体" w:hAnsi="宋体" w:eastAsia="宋体" w:cs="宋体"/>
          <w:i w:val="0"/>
          <w:iCs w:val="0"/>
          <w:color w:val="auto"/>
          <w:sz w:val="24"/>
          <w:szCs w:val="24"/>
          <w:highlight w:val="none"/>
          <w:lang w:val="en-US" w:eastAsia="zh-CN"/>
        </w:rPr>
        <w:t>。</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72987622">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4774A40D">
      <w:pPr>
        <w:spacing w:line="360" w:lineRule="auto"/>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3.2投标人</w:t>
      </w:r>
      <w:r>
        <w:rPr>
          <w:rFonts w:hint="eastAsia" w:ascii="宋体" w:hAnsi="宋体" w:eastAsia="宋体" w:cs="宋体"/>
          <w:sz w:val="24"/>
          <w:szCs w:val="24"/>
          <w:lang w:val="en-US" w:eastAsia="zh-CN"/>
        </w:rPr>
        <w:t>为服务商时应具有《医疗器械经营许可证》或《二类医疗器械经</w:t>
      </w:r>
      <w:r>
        <w:rPr>
          <w:rFonts w:hint="eastAsia" w:asciiTheme="minorEastAsia" w:hAnsiTheme="minorEastAsia" w:eastAsiaTheme="minorEastAsia" w:cstheme="minorBidi"/>
          <w:b w:val="0"/>
          <w:bCs w:val="0"/>
          <w:kern w:val="2"/>
          <w:sz w:val="24"/>
          <w:szCs w:val="24"/>
          <w:lang w:val="en-US" w:eastAsia="zh-CN" w:bidi="ar-SA"/>
        </w:rPr>
        <w:t>营备案凭证》；当</w:t>
      </w:r>
      <w:r>
        <w:rPr>
          <w:rFonts w:hint="eastAsia" w:ascii="宋体" w:hAnsi="宋体" w:cs="宋体"/>
          <w:sz w:val="24"/>
          <w:highlight w:val="none"/>
          <w:lang w:val="en-US" w:eastAsia="zh-CN"/>
        </w:rPr>
        <w:t>投标人</w:t>
      </w:r>
      <w:r>
        <w:rPr>
          <w:rFonts w:hint="eastAsia" w:asciiTheme="minorEastAsia" w:hAnsiTheme="minorEastAsia" w:eastAsiaTheme="minorEastAsia" w:cstheme="minorBidi"/>
          <w:b w:val="0"/>
          <w:bCs w:val="0"/>
          <w:kern w:val="2"/>
          <w:sz w:val="24"/>
          <w:szCs w:val="24"/>
          <w:lang w:val="en-US" w:eastAsia="zh-CN" w:bidi="ar-SA"/>
        </w:rPr>
        <w:t>为生产厂家时，</w:t>
      </w:r>
      <w:r>
        <w:rPr>
          <w:rFonts w:hint="eastAsia" w:asciiTheme="minorEastAsia" w:hAnsiTheme="minorEastAsia" w:cstheme="minorBidi"/>
          <w:b w:val="0"/>
          <w:bCs w:val="0"/>
          <w:kern w:val="2"/>
          <w:sz w:val="24"/>
          <w:szCs w:val="24"/>
          <w:lang w:val="en-US" w:eastAsia="zh-CN" w:bidi="ar-SA"/>
        </w:rPr>
        <w:t>还</w:t>
      </w:r>
      <w:r>
        <w:rPr>
          <w:rFonts w:hint="eastAsia" w:asciiTheme="minorEastAsia" w:hAnsiTheme="minorEastAsia" w:eastAsiaTheme="minorEastAsia" w:cstheme="minorBidi"/>
          <w:b w:val="0"/>
          <w:bCs w:val="0"/>
          <w:kern w:val="2"/>
          <w:sz w:val="24"/>
          <w:szCs w:val="24"/>
          <w:lang w:val="en-US" w:eastAsia="zh-CN" w:bidi="ar-SA"/>
        </w:rPr>
        <w:t>需具有《医疗器械生产许可证》。</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8</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92"/>
      <w:bookmarkStart w:id="13" w:name="_Toc35393801"/>
      <w:bookmarkStart w:id="14" w:name="_Toc35393632"/>
      <w:bookmarkStart w:id="15" w:name="_Toc28359015"/>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8</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14</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8</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14</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35393803"/>
      <w:bookmarkStart w:id="21" w:name="_Toc28359094"/>
      <w:bookmarkStart w:id="22" w:name="_Toc28359017"/>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color w:val="auto"/>
          <w:spacing w:val="0"/>
          <w:position w:val="0"/>
          <w:sz w:val="24"/>
          <w:highlight w:val="none"/>
          <w:shd w:val="clear" w:color="auto" w:fill="auto"/>
          <w:lang w:val="en-US" w:eastAsia="zh-CN"/>
        </w:rPr>
        <w:t>商水县人民医院　</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z w:val="24"/>
          <w:lang w:val="en-US" w:eastAsia="zh-CN"/>
        </w:rPr>
        <w:t>商水县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 xml:space="preserve">刘志刚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 xml:space="preserve">13938058968    </w:t>
      </w:r>
      <w:r>
        <w:rPr>
          <w:rFonts w:ascii="宋体" w:hAnsi="宋体" w:eastAsia="宋体" w:cs="宋体"/>
          <w:sz w:val="24"/>
          <w:highlight w:val="none"/>
        </w:rPr>
        <w:t>　</w:t>
      </w:r>
      <w:r>
        <w:rPr>
          <w:rFonts w:hint="eastAsia" w:ascii="宋体" w:hAnsi="宋体" w:cs="宋体"/>
          <w:sz w:val="24"/>
          <w:highlight w:val="none"/>
        </w:rPr>
        <w:t>　　　　</w:t>
      </w:r>
      <w:r>
        <w:rPr>
          <w:rFonts w:hint="eastAsia" w:ascii="宋体" w:hAnsi="宋体" w:cs="宋体"/>
          <w:sz w:val="24"/>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0394-8106517、17839489001</w:t>
      </w:r>
      <w:r>
        <w:rPr>
          <w:rFonts w:hint="eastAsia" w:ascii="宋体" w:hAnsi="宋体" w:cs="宋体"/>
          <w:sz w:val="24"/>
        </w:rPr>
        <w:t>　　　　　　　　</w:t>
      </w:r>
    </w:p>
    <w:bookmarkEnd w:id="32"/>
    <w:bookmarkEnd w:id="33"/>
    <w:p w14:paraId="4DF130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color="auto" w:fill="auto"/>
        </w:rPr>
      </w:pPr>
      <w:r>
        <w:rPr>
          <w:rFonts w:hint="eastAsia" w:ascii="宋体" w:hAnsi="宋体" w:cs="宋体"/>
          <w:sz w:val="24"/>
        </w:rPr>
        <w:t>3.监督单位：</w:t>
      </w:r>
      <w:r>
        <w:rPr>
          <w:rFonts w:hint="eastAsia" w:ascii="宋体" w:hAnsi="宋体" w:eastAsia="宋体" w:cs="宋体"/>
          <w:color w:val="auto"/>
          <w:spacing w:val="0"/>
          <w:position w:val="0"/>
          <w:sz w:val="24"/>
          <w:highlight w:val="none"/>
          <w:shd w:val="clear" w:color="auto" w:fill="auto"/>
          <w:lang w:val="en-US" w:eastAsia="zh-CN"/>
        </w:rPr>
        <w:t>商水县财政局采购科</w:t>
      </w:r>
    </w:p>
    <w:p w14:paraId="0670BD79">
      <w:pPr>
        <w:pStyle w:val="41"/>
        <w:ind w:firstLine="480" w:firstLineChars="200"/>
        <w:rPr>
          <w:highlight w:val="none"/>
        </w:rPr>
      </w:pPr>
      <w:r>
        <w:rPr>
          <w:rFonts w:ascii="宋体" w:hAnsi="宋体" w:eastAsia="宋体" w:cs="宋体"/>
          <w:sz w:val="24"/>
          <w:highlight w:val="none"/>
        </w:rPr>
        <w:t>联系方式：</w:t>
      </w:r>
      <w:r>
        <w:rPr>
          <w:rFonts w:hint="eastAsia" w:ascii="宋体" w:hAnsi="宋体" w:cs="宋体"/>
          <w:sz w:val="24"/>
          <w:highlight w:val="none"/>
          <w:lang w:val="en-US" w:eastAsia="zh-CN"/>
        </w:rPr>
        <w:t xml:space="preserve">0394-5859699  </w:t>
      </w:r>
    </w:p>
    <w:p w14:paraId="65E70E5E">
      <w:pPr>
        <w:pStyle w:val="41"/>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w:t>
      </w:r>
    </w:p>
    <w:p w14:paraId="159268E0">
      <w:pPr>
        <w:pStyle w:val="41"/>
        <w:ind w:firstLine="630" w:firstLineChars="300"/>
      </w:pPr>
    </w:p>
    <w:p w14:paraId="32DCD84C">
      <w:pPr>
        <w:pStyle w:val="41"/>
        <w:rPr>
          <w:highlight w:val="none"/>
        </w:rPr>
      </w:pPr>
    </w:p>
    <w:p w14:paraId="59FCCA32">
      <w:pPr>
        <w:pStyle w:val="10"/>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auto"/>
          <w:sz w:val="24"/>
          <w:szCs w:val="24"/>
          <w:highlight w:val="none"/>
          <w:lang w:val="en-US" w:eastAsia="zh-CN"/>
        </w:rPr>
        <w:t>2026年8月3日</w:t>
      </w:r>
      <w:bookmarkStart w:id="38" w:name="_GoBack"/>
      <w:bookmarkEnd w:id="38"/>
      <w:r>
        <w:rPr>
          <w:rFonts w:hint="eastAsia" w:ascii="宋体" w:hAnsi="宋体" w:cs="宋体"/>
          <w:color w:val="000000" w:themeColor="text1"/>
          <w:sz w:val="24"/>
          <w:szCs w:val="24"/>
          <w:highlight w:val="none"/>
        </w:rPr>
        <w:t>　</w:t>
      </w:r>
    </w:p>
    <w:p w14:paraId="04D37CC4">
      <w:pPr>
        <w:pStyle w:val="27"/>
        <w:adjustRightInd w:val="0"/>
        <w:snapToGrid w:val="0"/>
        <w:spacing w:line="360" w:lineRule="auto"/>
        <w:ind w:firstLine="0" w:firstLineChars="0"/>
        <w:rPr>
          <w:highlight w:val="none"/>
        </w:rPr>
      </w:pP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val="en-US" w:eastAsia="zh-CN"/>
              </w:rPr>
              <w:t>商水县人民医院数字影像（云胶片）服务项目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其他信息技术服务</w:t>
            </w:r>
            <w:r>
              <w:rPr>
                <w:rFonts w:hint="eastAsia" w:ascii="宋体" w:hAnsi="宋体" w:cs="宋体"/>
                <w:color w:val="0C0C0C" w:themeColor="text1" w:themeTint="F2"/>
                <w:sz w:val="24"/>
                <w:szCs w:val="24"/>
                <w:highlight w:val="none"/>
                <w:lang w:val="en-US" w:eastAsia="zh-CN"/>
              </w:rPr>
              <w:t xml:space="preserve">   </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商水县人民医院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ascii="宋体" w:hAnsi="宋体" w:cs="宋体"/>
                <w:sz w:val="24"/>
                <w:szCs w:val="24"/>
                <w:highlight w:val="none"/>
              </w:rPr>
            </w:pPr>
            <w:r>
              <w:rPr>
                <w:rFonts w:hint="eastAsia" w:ascii="宋体" w:hAnsi="宋体" w:cs="宋体"/>
                <w:sz w:val="24"/>
                <w:szCs w:val="24"/>
                <w:highlight w:val="none"/>
              </w:rPr>
              <w:t>无</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2年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4E2893A6">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cstheme="minorEastAsia"/>
                <w:kern w:val="2"/>
                <w:sz w:val="24"/>
                <w:szCs w:val="24"/>
                <w:highlight w:val="none"/>
                <w:lang w:val="en-US" w:eastAsia="zh-CN" w:bidi="ar-SA"/>
              </w:rPr>
              <w:t>（1）</w:t>
            </w:r>
            <w:r>
              <w:rPr>
                <w:rFonts w:hint="eastAsia" w:asciiTheme="minorEastAsia" w:hAnsiTheme="minorEastAsia" w:eastAsiaTheme="minorEastAsia" w:cstheme="minorEastAsia"/>
                <w:kern w:val="2"/>
                <w:sz w:val="24"/>
                <w:szCs w:val="24"/>
                <w:highlight w:val="none"/>
                <w:lang w:val="en-US" w:eastAsia="zh-CN" w:bidi="ar-SA"/>
              </w:rPr>
              <w:t>结算周期：按月核算实际使用量；</w:t>
            </w:r>
          </w:p>
          <w:p w14:paraId="1FBFF772">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cstheme="minorEastAsia"/>
                <w:kern w:val="2"/>
                <w:sz w:val="24"/>
                <w:szCs w:val="24"/>
                <w:highlight w:val="none"/>
                <w:lang w:val="en-US" w:eastAsia="zh-CN" w:bidi="ar-SA"/>
              </w:rPr>
              <w:t>（2）</w:t>
            </w:r>
            <w:r>
              <w:rPr>
                <w:rFonts w:hint="eastAsia" w:asciiTheme="minorEastAsia" w:hAnsiTheme="minorEastAsia" w:eastAsiaTheme="minorEastAsia" w:cstheme="minorEastAsia"/>
                <w:kern w:val="2"/>
                <w:sz w:val="24"/>
                <w:szCs w:val="24"/>
                <w:highlight w:val="none"/>
                <w:lang w:val="en-US" w:eastAsia="zh-CN" w:bidi="ar-SA"/>
              </w:rPr>
              <w:t>对账节点：乙方完成当月服务/供货使用后，于次月（第二个月）双方完成对账、确认结算单据；</w:t>
            </w:r>
          </w:p>
          <w:p w14:paraId="640FC910">
            <w:pPr>
              <w:pStyle w:val="93"/>
              <w:spacing w:line="360" w:lineRule="auto"/>
              <w:ind w:firstLine="480" w:firstLineChars="200"/>
              <w:rPr>
                <w:rFonts w:hint="default" w:eastAsia="宋体"/>
                <w:sz w:val="24"/>
                <w:szCs w:val="24"/>
                <w:highlight w:val="none"/>
                <w:lang w:val="en-US" w:eastAsia="zh-CN"/>
              </w:rPr>
            </w:pPr>
            <w:r>
              <w:rPr>
                <w:rFonts w:hint="eastAsia" w:asciiTheme="minorEastAsia" w:hAnsiTheme="minorEastAsia" w:cstheme="minorEastAsia"/>
                <w:kern w:val="2"/>
                <w:sz w:val="24"/>
                <w:szCs w:val="24"/>
                <w:highlight w:val="none"/>
                <w:lang w:val="en-US" w:eastAsia="zh-CN" w:bidi="ar-SA"/>
              </w:rPr>
              <w:t>（3）</w:t>
            </w:r>
            <w:r>
              <w:rPr>
                <w:rFonts w:hint="eastAsia" w:asciiTheme="minorEastAsia" w:hAnsiTheme="minorEastAsia" w:eastAsiaTheme="minorEastAsia" w:cstheme="minorEastAsia"/>
                <w:kern w:val="2"/>
                <w:sz w:val="24"/>
                <w:szCs w:val="24"/>
                <w:highlight w:val="none"/>
                <w:lang w:val="en-US" w:eastAsia="zh-CN" w:bidi="ar-SA"/>
              </w:rPr>
              <w:t>付款节点：对账无误后，甲方于对账完成后的次月（第三个月）足额支付本期全部结算款项。</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389EA9DD">
            <w:pPr>
              <w:spacing w:line="360" w:lineRule="auto"/>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highlight w:val="none"/>
                <w:lang w:val="en-US" w:eastAsia="zh-CN"/>
              </w:rPr>
              <w:t>最高限价：681600.00元</w:t>
            </w:r>
            <w:r>
              <w:rPr>
                <w:rFonts w:hint="eastAsia" w:asciiTheme="minorEastAsia" w:hAnsiTheme="minorEastAsia" w:cstheme="minorEastAsia"/>
                <w:sz w:val="24"/>
                <w:szCs w:val="24"/>
                <w:highlight w:val="none"/>
                <w:lang w:eastAsia="zh-CN"/>
              </w:rPr>
              <w:t>（服务费预算</w:t>
            </w:r>
            <w:r>
              <w:rPr>
                <w:rFonts w:hint="eastAsia" w:asciiTheme="minorEastAsia" w:hAnsiTheme="minorEastAsia" w:cstheme="minorEastAsia"/>
                <w:sz w:val="24"/>
                <w:szCs w:val="24"/>
                <w:highlight w:val="none"/>
                <w:lang w:val="en-US" w:eastAsia="zh-CN"/>
              </w:rPr>
              <w:t>每人每次4.26元</w:t>
            </w:r>
            <w:r>
              <w:rPr>
                <w:rFonts w:hint="eastAsia" w:asciiTheme="minorEastAsia" w:hAnsiTheme="minorEastAsia" w:cstheme="minorEastAsia"/>
                <w:sz w:val="24"/>
                <w:szCs w:val="24"/>
                <w:highlight w:val="none"/>
                <w:lang w:eastAsia="zh-CN"/>
              </w:rPr>
              <w:t>）</w:t>
            </w:r>
          </w:p>
          <w:p w14:paraId="204DCA1F">
            <w:pPr>
              <w:spacing w:line="360" w:lineRule="auto"/>
              <w:ind w:firstLine="480" w:firstLineChars="200"/>
              <w:rPr>
                <w:rFonts w:hint="eastAsia" w:ascii="宋体" w:hAnsi="宋体" w:cs="宋体"/>
                <w:b w:val="0"/>
                <w:bCs w:val="0"/>
                <w:sz w:val="24"/>
                <w:szCs w:val="24"/>
                <w:highlight w:val="none"/>
              </w:rPr>
            </w:pPr>
            <w:r>
              <w:rPr>
                <w:rFonts w:hint="eastAsia" w:ascii="宋体" w:hAnsi="宋体" w:cs="宋体"/>
                <w:b w:val="0"/>
                <w:bCs w:val="0"/>
                <w:sz w:val="24"/>
                <w:szCs w:val="24"/>
                <w:highlight w:val="none"/>
              </w:rPr>
              <w:t>一次报价</w:t>
            </w:r>
          </w:p>
          <w:p w14:paraId="36FCDB26">
            <w:pPr>
              <w:spacing w:line="360"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①投标报价不能超上述每人每次服务费预算最高限价；</w:t>
            </w:r>
          </w:p>
          <w:p w14:paraId="780AF5DA">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lang w:val="en-US" w:eastAsia="zh-CN"/>
              </w:rPr>
              <w:t>②</w:t>
            </w:r>
            <w:r>
              <w:rPr>
                <w:rFonts w:ascii="宋体" w:hAnsi="宋体" w:eastAsia="宋体" w:cs="宋体"/>
                <w:b/>
                <w:bCs/>
                <w:sz w:val="24"/>
                <w:szCs w:val="24"/>
              </w:rPr>
              <w:t>电子投标函/投标函/报价一览表/分项报价表：严格按照</w:t>
            </w:r>
            <w:r>
              <w:rPr>
                <w:rFonts w:hint="eastAsia" w:ascii="宋体" w:hAnsi="宋体" w:eastAsia="宋体" w:cs="宋体"/>
                <w:b/>
                <w:bCs/>
                <w:sz w:val="24"/>
                <w:szCs w:val="24"/>
                <w:lang w:val="en-US" w:eastAsia="zh-CN"/>
              </w:rPr>
              <w:t>每人每次</w:t>
            </w:r>
            <w:r>
              <w:rPr>
                <w:rFonts w:hint="eastAsia" w:ascii="宋体" w:hAnsi="宋体" w:eastAsia="宋体" w:cs="宋体"/>
                <w:b/>
                <w:bCs/>
                <w:sz w:val="24"/>
                <w:szCs w:val="24"/>
                <w:lang w:eastAsia="zh-CN"/>
              </w:rPr>
              <w:t>单</w:t>
            </w:r>
            <w:r>
              <w:rPr>
                <w:rFonts w:hint="eastAsia" w:ascii="宋体" w:hAnsi="宋体" w:eastAsia="宋体" w:cs="宋体"/>
                <w:b/>
                <w:bCs/>
                <w:sz w:val="24"/>
                <w:szCs w:val="24"/>
              </w:rPr>
              <w:t>价</w:t>
            </w:r>
            <w:r>
              <w:rPr>
                <w:rFonts w:ascii="宋体" w:hAnsi="宋体" w:eastAsia="宋体" w:cs="宋体"/>
                <w:b/>
                <w:bCs/>
                <w:sz w:val="24"/>
                <w:szCs w:val="24"/>
              </w:rPr>
              <w:t>如实填报；最终报价以投标函为准，按</w:t>
            </w:r>
            <w:r>
              <w:rPr>
                <w:rFonts w:hint="eastAsia" w:ascii="宋体" w:hAnsi="宋体" w:eastAsia="宋体" w:cs="宋体"/>
                <w:b/>
                <w:bCs/>
                <w:sz w:val="24"/>
                <w:szCs w:val="24"/>
                <w:lang w:val="en-US" w:eastAsia="zh-CN"/>
              </w:rPr>
              <w:t>每人每次</w:t>
            </w:r>
            <w:r>
              <w:rPr>
                <w:rFonts w:hint="eastAsia" w:ascii="宋体" w:hAnsi="宋体" w:eastAsia="宋体" w:cs="宋体"/>
                <w:b/>
                <w:bCs/>
                <w:sz w:val="24"/>
                <w:szCs w:val="24"/>
                <w:lang w:eastAsia="zh-CN"/>
              </w:rPr>
              <w:t>报</w:t>
            </w:r>
            <w:r>
              <w:rPr>
                <w:rFonts w:ascii="宋体" w:hAnsi="宋体" w:eastAsia="宋体" w:cs="宋体"/>
                <w:b/>
                <w:bCs/>
                <w:sz w:val="24"/>
                <w:szCs w:val="24"/>
              </w:rPr>
              <w:t>价据实结算。</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1EEBBE3">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highlight w:val="none"/>
              </w:rPr>
              <w:t>软件和信息技术服务业</w:t>
            </w:r>
          </w:p>
        </w:tc>
      </w:tr>
    </w:tbl>
    <w:p w14:paraId="6DD71D53">
      <w:pPr>
        <w:pStyle w:val="27"/>
        <w:ind w:firstLine="0" w:firstLineChars="0"/>
        <w:rPr>
          <w:rFonts w:hint="eastAsia" w:ascii="宋体" w:hAnsi="宋体" w:cs="宋体"/>
          <w:b/>
          <w:sz w:val="30"/>
          <w:szCs w:val="30"/>
          <w:highlight w:val="none"/>
        </w:rPr>
      </w:pPr>
    </w:p>
    <w:p w14:paraId="4CB7A7E1">
      <w:pPr>
        <w:spacing w:line="36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color w:val="0C0C0C" w:themeColor="text1" w:themeTint="F2"/>
          <w:sz w:val="24"/>
          <w:highlight w:val="none"/>
          <w:lang w:val="en-US" w:eastAsia="zh-CN"/>
        </w:rPr>
        <w:t>商水县人民医院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36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178B83CB">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714"/>
        <w:gridCol w:w="4072"/>
        <w:gridCol w:w="2326"/>
      </w:tblGrid>
      <w:tr w14:paraId="443E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Align w:val="center"/>
          </w:tcPr>
          <w:p w14:paraId="0AFBAE52">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946" w:type="pct"/>
            <w:vAlign w:val="center"/>
          </w:tcPr>
          <w:p w14:paraId="358B9CBF">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2248" w:type="pct"/>
            <w:vAlign w:val="center"/>
          </w:tcPr>
          <w:p w14:paraId="004DBAE2">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1284" w:type="pct"/>
            <w:vAlign w:val="center"/>
          </w:tcPr>
          <w:p w14:paraId="5821152F">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13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Align w:val="center"/>
          </w:tcPr>
          <w:p w14:paraId="4AB82D49">
            <w:pPr>
              <w:widowControl/>
              <w:spacing w:line="360" w:lineRule="auto"/>
              <w:jc w:val="left"/>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报价得分（</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946" w:type="pct"/>
            <w:vAlign w:val="center"/>
          </w:tcPr>
          <w:p w14:paraId="3A99C4CF">
            <w:pPr>
              <w:widowControl/>
              <w:spacing w:line="360" w:lineRule="auto"/>
              <w:jc w:val="center"/>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w:t>
            </w:r>
          </w:p>
          <w:p w14:paraId="7877A7A3">
            <w:pPr>
              <w:widowControl/>
              <w:spacing w:line="360" w:lineRule="auto"/>
              <w:jc w:val="center"/>
              <w:rPr>
                <w:rFonts w:hint="eastAsia" w:ascii="宋体" w:hAnsi="宋体" w:eastAsia="宋体" w:cs="宋体"/>
                <w:color w:val="000000" w:themeColor="text1"/>
                <w:sz w:val="24"/>
                <w:szCs w:val="24"/>
              </w:rPr>
            </w:pPr>
            <w:r>
              <w:rPr>
                <w:rFonts w:hint="eastAsia" w:ascii="宋体" w:hAnsi="宋体" w:eastAsia="宋体" w:cs="宋体"/>
                <w:b/>
                <w:bCs/>
                <w:color w:val="000000" w:themeColor="text1"/>
                <w:sz w:val="24"/>
                <w:szCs w:val="24"/>
              </w:rPr>
              <w:t>（</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3532" w:type="pct"/>
            <w:gridSpan w:val="2"/>
            <w:vAlign w:val="center"/>
          </w:tcPr>
          <w:p w14:paraId="6661242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w:t>
            </w:r>
            <w:r>
              <w:rPr>
                <w:rFonts w:hint="eastAsia" w:ascii="宋体" w:hAnsi="宋体" w:cs="宋体"/>
                <w:bCs/>
                <w:sz w:val="24"/>
                <w:szCs w:val="24"/>
                <w:highlight w:val="none"/>
                <w:lang w:eastAsia="zh-CN"/>
              </w:rPr>
              <w:t>（以</w:t>
            </w:r>
            <w:r>
              <w:rPr>
                <w:rFonts w:hint="eastAsia" w:ascii="宋体" w:hAnsi="宋体" w:cs="宋体"/>
                <w:bCs/>
                <w:sz w:val="24"/>
                <w:szCs w:val="24"/>
                <w:highlight w:val="none"/>
                <w:lang w:val="en-US" w:eastAsia="zh-CN"/>
              </w:rPr>
              <w:t>每人每次</w:t>
            </w:r>
            <w:r>
              <w:rPr>
                <w:rFonts w:hint="eastAsia" w:ascii="宋体" w:hAnsi="宋体" w:cs="宋体"/>
                <w:bCs/>
                <w:sz w:val="24"/>
                <w:szCs w:val="24"/>
                <w:highlight w:val="none"/>
                <w:lang w:eastAsia="zh-CN"/>
              </w:rPr>
              <w:t>报价为准）</w:t>
            </w:r>
            <w:r>
              <w:rPr>
                <w:rFonts w:hint="eastAsia" w:ascii="宋体" w:hAnsi="宋体" w:eastAsia="宋体" w:cs="宋体"/>
                <w:bCs/>
                <w:sz w:val="24"/>
                <w:szCs w:val="24"/>
              </w:rPr>
              <w:t>的供应商的价格为磋商基准价，其价格分为满分。其他供应商的价格分统一按照下列公式计算：</w:t>
            </w:r>
          </w:p>
          <w:p w14:paraId="5FA79EA5">
            <w:pPr>
              <w:spacing w:line="360" w:lineRule="auto"/>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w:t>
            </w:r>
            <w:r>
              <w:rPr>
                <w:rFonts w:hint="eastAsia" w:ascii="宋体" w:hAnsi="宋体" w:cs="宋体"/>
                <w:bCs/>
                <w:sz w:val="24"/>
                <w:szCs w:val="24"/>
                <w:lang w:val="en-US" w:eastAsia="zh-CN"/>
              </w:rPr>
              <w:t>20</w:t>
            </w:r>
          </w:p>
          <w:p w14:paraId="37042062">
            <w:pPr>
              <w:tabs>
                <w:tab w:val="left" w:pos="5130"/>
              </w:tabs>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14:paraId="3882B211">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29AEA666">
            <w:pPr>
              <w:pStyle w:val="26"/>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48798784">
            <w:pPr>
              <w:pStyle w:val="26"/>
              <w:spacing w:line="360" w:lineRule="auto"/>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14:paraId="0CFD6A35">
            <w:pPr>
              <w:pStyle w:val="26"/>
              <w:spacing w:line="360" w:lineRule="auto"/>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14:paraId="7FCD184C">
            <w:pPr>
              <w:widowControl/>
              <w:snapToGrid w:val="0"/>
              <w:spacing w:line="360" w:lineRule="auto"/>
              <w:jc w:val="left"/>
              <w:rPr>
                <w:rFonts w:hint="eastAsia" w:ascii="宋体" w:hAnsi="宋体" w:eastAsia="宋体" w:cs="宋体"/>
                <w:sz w:val="24"/>
                <w:szCs w:val="24"/>
              </w:rPr>
            </w:pPr>
            <w:r>
              <w:rPr>
                <w:rFonts w:hint="eastAsia" w:ascii="宋体" w:hAnsi="宋体" w:eastAsia="宋体" w:cs="宋体"/>
                <w:bCs/>
                <w:sz w:val="24"/>
                <w:szCs w:val="24"/>
              </w:rPr>
              <w:t>（4）没有提供有效证明材料的供应商将被视为不接受投标总价的扣除，用原投标总价参与评审。</w:t>
            </w:r>
          </w:p>
        </w:tc>
      </w:tr>
      <w:tr w14:paraId="18D3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restart"/>
            <w:vAlign w:val="center"/>
          </w:tcPr>
          <w:p w14:paraId="2EADDCFB">
            <w:pPr>
              <w:widowControl/>
              <w:spacing w:line="360" w:lineRule="auto"/>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技术</w:t>
            </w:r>
          </w:p>
          <w:p w14:paraId="7C645122">
            <w:pPr>
              <w:widowControl/>
              <w:spacing w:line="360" w:lineRule="auto"/>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部分</w:t>
            </w:r>
          </w:p>
          <w:p w14:paraId="66F355F0">
            <w:pPr>
              <w:widowControl/>
              <w:spacing w:line="360" w:lineRule="auto"/>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en-US" w:eastAsia="zh-CN"/>
              </w:rPr>
              <w:t>（5</w:t>
            </w:r>
            <w:r>
              <w:rPr>
                <w:rFonts w:hint="eastAsia" w:ascii="宋体" w:hAnsi="宋体" w:cs="宋体"/>
                <w:b w:val="0"/>
                <w:bCs w:val="0"/>
                <w:color w:val="000000" w:themeColor="text1"/>
                <w:sz w:val="24"/>
                <w:szCs w:val="24"/>
                <w:lang w:val="en-US" w:eastAsia="zh-CN"/>
              </w:rPr>
              <w:t>0</w:t>
            </w:r>
            <w:r>
              <w:rPr>
                <w:rFonts w:hint="eastAsia" w:ascii="宋体" w:hAnsi="宋体" w:eastAsia="宋体" w:cs="宋体"/>
                <w:b w:val="0"/>
                <w:bCs w:val="0"/>
                <w:color w:val="000000" w:themeColor="text1"/>
                <w:sz w:val="24"/>
                <w:szCs w:val="24"/>
                <w:lang w:val="en-US" w:eastAsia="zh-CN"/>
              </w:rPr>
              <w:t>分）</w:t>
            </w:r>
          </w:p>
        </w:tc>
        <w:tc>
          <w:tcPr>
            <w:tcW w:w="946" w:type="pct"/>
            <w:vAlign w:val="center"/>
          </w:tcPr>
          <w:p w14:paraId="61D002E4">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sz w:val="24"/>
                <w:szCs w:val="24"/>
                <w:lang w:val="en-US" w:eastAsia="zh-CN"/>
              </w:rPr>
              <w:t>服务内容及要求响应（15分）</w:t>
            </w:r>
          </w:p>
        </w:tc>
        <w:tc>
          <w:tcPr>
            <w:tcW w:w="3532" w:type="pct"/>
            <w:gridSpan w:val="2"/>
            <w:vAlign w:val="center"/>
          </w:tcPr>
          <w:p w14:paraId="5A4E3B54">
            <w:pPr>
              <w:keepNext w:val="0"/>
              <w:keepLines w:val="0"/>
              <w:pageBreakBefore w:val="0"/>
              <w:widowControl/>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sz w:val="24"/>
                <w:szCs w:val="24"/>
                <w:highlight w:val="none"/>
                <w:lang w:val="en-US" w:eastAsia="zh-CN"/>
              </w:rPr>
              <w:t>1.投标服务内容全部满足招标文件采购内容要求的</w:t>
            </w:r>
            <w:r>
              <w:rPr>
                <w:rFonts w:hint="eastAsia" w:asciiTheme="minorEastAsia" w:hAnsiTheme="minorEastAsia" w:eastAsiaTheme="minorEastAsia" w:cstheme="minorEastAsia"/>
                <w:sz w:val="24"/>
                <w:szCs w:val="24"/>
                <w:lang w:val="en-US" w:eastAsia="zh-CN"/>
              </w:rPr>
              <w:t>得基本分15分；</w:t>
            </w:r>
          </w:p>
          <w:p w14:paraId="78183FA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招标文件参数序号前有</w:t>
            </w:r>
            <w:r>
              <w:rPr>
                <w:rFonts w:hint="eastAsia" w:ascii="宋体" w:hAnsi="宋体" w:eastAsia="宋体" w:cs="宋体"/>
                <w:b/>
                <w:bCs/>
                <w:color w:val="000000"/>
                <w:kern w:val="0"/>
                <w:sz w:val="24"/>
                <w:szCs w:val="24"/>
              </w:rPr>
              <w:t>▲</w:t>
            </w:r>
            <w:r>
              <w:rPr>
                <w:rFonts w:hint="eastAsia" w:ascii="宋体" w:hAnsi="宋体" w:eastAsia="宋体" w:cs="宋体"/>
                <w:sz w:val="24"/>
                <w:szCs w:val="24"/>
              </w:rPr>
              <w:t>重点标注的，投标人每负偏离一处扣</w:t>
            </w:r>
            <w:r>
              <w:rPr>
                <w:rFonts w:hint="eastAsia" w:ascii="宋体" w:hAnsi="宋体" w:cs="宋体"/>
                <w:sz w:val="24"/>
                <w:szCs w:val="24"/>
                <w:lang w:val="en-US" w:eastAsia="zh-CN"/>
              </w:rPr>
              <w:t>1</w:t>
            </w:r>
            <w:r>
              <w:rPr>
                <w:rFonts w:hint="eastAsia" w:ascii="宋体" w:hAnsi="宋体" w:eastAsia="宋体" w:cs="宋体"/>
                <w:sz w:val="24"/>
                <w:szCs w:val="24"/>
              </w:rPr>
              <w:t>分，其他常规参数有负偏离的每处扣</w:t>
            </w:r>
            <w:r>
              <w:rPr>
                <w:rFonts w:hint="eastAsia" w:ascii="宋体" w:hAnsi="宋体" w:cs="宋体"/>
                <w:sz w:val="24"/>
                <w:szCs w:val="24"/>
                <w:lang w:val="en-US" w:eastAsia="zh-CN"/>
              </w:rPr>
              <w:t>0.5</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rPr>
              <w:t>扣完为止。</w:t>
            </w:r>
          </w:p>
          <w:p w14:paraId="2B9139C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w:t>
            </w:r>
            <w:r>
              <w:rPr>
                <w:rFonts w:hint="eastAsia" w:ascii="宋体" w:hAnsi="宋体" w:eastAsia="宋体" w:cs="宋体"/>
                <w:b/>
                <w:bCs/>
                <w:color w:val="000000"/>
                <w:kern w:val="0"/>
                <w:sz w:val="24"/>
                <w:szCs w:val="24"/>
              </w:rPr>
              <w:t>▲</w:t>
            </w:r>
            <w:r>
              <w:rPr>
                <w:rFonts w:hint="eastAsia" w:ascii="宋体" w:hAnsi="宋体" w:eastAsia="宋体" w:cs="宋体"/>
                <w:sz w:val="24"/>
                <w:szCs w:val="24"/>
              </w:rPr>
              <w:t>参数必须提供证明材料</w:t>
            </w:r>
            <w:r>
              <w:rPr>
                <w:rFonts w:hint="eastAsia" w:ascii="宋体" w:hAnsi="宋体" w:cs="宋体"/>
                <w:sz w:val="24"/>
                <w:szCs w:val="24"/>
                <w:lang w:eastAsia="zh-CN"/>
              </w:rPr>
              <w:t>。</w:t>
            </w:r>
          </w:p>
          <w:p w14:paraId="17543555">
            <w:pPr>
              <w:pStyle w:val="2"/>
              <w:pageBreakBefore w:val="0"/>
              <w:kinsoku/>
              <w:wordWrap/>
              <w:overflowPunct/>
              <w:topLinePunct w:val="0"/>
              <w:bidi w:val="0"/>
              <w:spacing w:before="0" w:after="0" w:line="240" w:lineRule="auto"/>
              <w:rPr>
                <w:rFonts w:hint="eastAsia"/>
                <w:lang w:val="en-US" w:eastAsia="zh-CN"/>
              </w:rPr>
            </w:pPr>
            <w:r>
              <w:rPr>
                <w:rFonts w:hint="eastAsia" w:ascii="宋体" w:hAnsi="宋体" w:eastAsia="宋体" w:cs="宋体"/>
                <w:b w:val="0"/>
                <w:bCs w:val="0"/>
                <w:kern w:val="2"/>
                <w:sz w:val="24"/>
                <w:szCs w:val="24"/>
                <w:lang w:val="en-US" w:eastAsia="zh-CN" w:bidi="ar-SA"/>
              </w:rPr>
              <w:t>未提供加“</w:t>
            </w:r>
            <w:r>
              <w:rPr>
                <w:rFonts w:hint="eastAsia" w:ascii="宋体" w:hAnsi="宋体" w:eastAsia="宋体" w:cs="宋体"/>
                <w:b/>
                <w:bCs/>
                <w:color w:val="000000"/>
                <w:kern w:val="0"/>
                <w:sz w:val="24"/>
                <w:szCs w:val="24"/>
              </w:rPr>
              <w:t>▲</w:t>
            </w:r>
            <w:r>
              <w:rPr>
                <w:rFonts w:hint="eastAsia" w:ascii="宋体" w:hAnsi="宋体" w:eastAsia="宋体" w:cs="宋体"/>
                <w:b w:val="0"/>
                <w:bCs w:val="0"/>
                <w:kern w:val="2"/>
                <w:sz w:val="24"/>
                <w:szCs w:val="24"/>
                <w:lang w:val="en-US" w:eastAsia="zh-CN" w:bidi="ar-SA"/>
              </w:rPr>
              <w:t>”的技术条款的证明文件的，不作为废标项，仅作为评分依据。</w:t>
            </w:r>
          </w:p>
        </w:tc>
      </w:tr>
      <w:tr w14:paraId="6C90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521" w:type="pct"/>
            <w:vMerge w:val="continue"/>
            <w:vAlign w:val="center"/>
          </w:tcPr>
          <w:p w14:paraId="2451F692">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vAlign w:val="center"/>
          </w:tcPr>
          <w:p w14:paraId="298E4398">
            <w:pPr>
              <w:jc w:val="cente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需求分析</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10分）</w:t>
            </w:r>
          </w:p>
        </w:tc>
        <w:tc>
          <w:tcPr>
            <w:tcW w:w="3532" w:type="pct"/>
            <w:gridSpan w:val="2"/>
            <w:vAlign w:val="center"/>
          </w:tcPr>
          <w:p w14:paraId="15E74B71">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投标人需对本项目需求</w:t>
            </w:r>
            <w:r>
              <w:rPr>
                <w:rFonts w:hint="eastAsia" w:asciiTheme="minorEastAsia" w:hAnsiTheme="minorEastAsia" w:eastAsiaTheme="minorEastAsia" w:cstheme="minorEastAsia"/>
                <w:sz w:val="24"/>
                <w:szCs w:val="24"/>
                <w:lang w:val="en-US" w:eastAsia="zh-CN"/>
              </w:rPr>
              <w:t>进行分析（</w:t>
            </w:r>
            <w:r>
              <w:rPr>
                <w:rFonts w:hint="eastAsia" w:asciiTheme="minorEastAsia" w:hAnsiTheme="minorEastAsia" w:eastAsiaTheme="minorEastAsia" w:cstheme="minorEastAsia"/>
                <w:color w:val="000000"/>
                <w:sz w:val="24"/>
                <w:szCs w:val="24"/>
                <w:lang w:val="en-US" w:eastAsia="zh-CN"/>
              </w:rPr>
              <w:t>包含但不限于</w:t>
            </w:r>
            <w:r>
              <w:rPr>
                <w:rFonts w:hint="eastAsia" w:asciiTheme="minorEastAsia" w:hAnsiTheme="minorEastAsia" w:eastAsiaTheme="minorEastAsia" w:cstheme="minorEastAsia"/>
                <w:sz w:val="24"/>
                <w:szCs w:val="24"/>
              </w:rPr>
              <w:t>建设目标、建设原则</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sz w:val="24"/>
                <w:szCs w:val="24"/>
                <w:lang w:val="en-US" w:eastAsia="zh-CN"/>
              </w:rPr>
              <w:t>的得10分，缺项或不提供不得分。</w:t>
            </w:r>
          </w:p>
        </w:tc>
      </w:tr>
      <w:tr w14:paraId="6DC3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continue"/>
            <w:vAlign w:val="center"/>
          </w:tcPr>
          <w:p w14:paraId="019BA16D">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vAlign w:val="center"/>
          </w:tcPr>
          <w:p w14:paraId="2CA1DD2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val="en-US" w:eastAsia="zh-CN"/>
              </w:rPr>
              <w:t>实施方案</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10分）</w:t>
            </w:r>
          </w:p>
        </w:tc>
        <w:tc>
          <w:tcPr>
            <w:tcW w:w="3532" w:type="pct"/>
            <w:gridSpan w:val="2"/>
            <w:vAlign w:val="center"/>
          </w:tcPr>
          <w:p w14:paraId="7E2C5D76">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提供针对本项目的</w:t>
            </w:r>
            <w:r>
              <w:rPr>
                <w:rFonts w:hint="eastAsia" w:asciiTheme="minorEastAsia" w:hAnsiTheme="minorEastAsia" w:eastAsiaTheme="minorEastAsia" w:cstheme="minorEastAsia"/>
                <w:color w:val="000000"/>
                <w:sz w:val="24"/>
                <w:szCs w:val="24"/>
                <w:lang w:val="en-US" w:eastAsia="zh-CN"/>
              </w:rPr>
              <w:t>实施方案（包含但不限于安装调试、试运行、测试以</w:t>
            </w:r>
            <w:r>
              <w:rPr>
                <w:rFonts w:hint="eastAsia" w:asciiTheme="minorEastAsia" w:hAnsiTheme="minorEastAsia" w:eastAsiaTheme="minorEastAsia" w:cstheme="minorEastAsia"/>
                <w:color w:val="000000"/>
                <w:sz w:val="24"/>
                <w:szCs w:val="24"/>
                <w:highlight w:val="none"/>
                <w:lang w:val="en-US" w:eastAsia="zh-CN"/>
              </w:rPr>
              <w:t>及实施计划进度表</w:t>
            </w:r>
            <w:r>
              <w:rPr>
                <w:rFonts w:hint="eastAsia" w:asciiTheme="minorEastAsia" w:hAnsiTheme="minorEastAsia" w:eastAsiaTheme="minorEastAsia" w:cstheme="minorEastAsia"/>
                <w:color w:val="000000"/>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的得1</w:t>
            </w:r>
            <w:r>
              <w:rPr>
                <w:rFonts w:hint="eastAsia" w:asciiTheme="minorEastAsia" w:hAnsiTheme="minorEastAsia" w:eastAsiaTheme="minorEastAsia" w:cstheme="minorEastAsia"/>
                <w:sz w:val="24"/>
                <w:szCs w:val="24"/>
                <w:lang w:val="en-US" w:eastAsia="zh-CN"/>
              </w:rPr>
              <w:t>0分，缺项或不提供不得分。</w:t>
            </w:r>
          </w:p>
        </w:tc>
      </w:tr>
      <w:tr w14:paraId="71C6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521" w:type="pct"/>
            <w:vMerge w:val="continue"/>
            <w:vAlign w:val="center"/>
          </w:tcPr>
          <w:p w14:paraId="4B0AA230">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shd w:val="clear" w:color="auto" w:fill="auto"/>
            <w:vAlign w:val="center"/>
          </w:tcPr>
          <w:p w14:paraId="2466A452">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color w:val="000000"/>
                <w:sz w:val="24"/>
                <w:szCs w:val="24"/>
                <w:lang w:val="en-US" w:eastAsia="zh-CN"/>
              </w:rPr>
              <w:t>培训方案</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7分）</w:t>
            </w:r>
          </w:p>
        </w:tc>
        <w:tc>
          <w:tcPr>
            <w:tcW w:w="3532" w:type="pct"/>
            <w:gridSpan w:val="2"/>
            <w:shd w:val="clear" w:color="auto" w:fill="auto"/>
            <w:vAlign w:val="center"/>
          </w:tcPr>
          <w:p w14:paraId="550D4AC1">
            <w:pP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提供针对本项目的</w:t>
            </w:r>
            <w:r>
              <w:rPr>
                <w:rFonts w:hint="eastAsia" w:asciiTheme="minorEastAsia" w:hAnsiTheme="minorEastAsia" w:eastAsiaTheme="minorEastAsia" w:cstheme="minorEastAsia"/>
                <w:color w:val="000000"/>
                <w:sz w:val="24"/>
                <w:szCs w:val="24"/>
                <w:lang w:val="en-US" w:eastAsia="zh-CN"/>
              </w:rPr>
              <w:t>培训方案（包含但不限于</w:t>
            </w:r>
            <w:r>
              <w:rPr>
                <w:rFonts w:hint="eastAsia" w:asciiTheme="minorEastAsia" w:hAnsiTheme="minorEastAsia" w:eastAsiaTheme="minorEastAsia" w:cstheme="minorEastAsia"/>
                <w:color w:val="000000"/>
                <w:sz w:val="24"/>
                <w:szCs w:val="24"/>
              </w:rPr>
              <w:t>培训内容、培训方式、师资安排</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sz w:val="24"/>
                <w:szCs w:val="24"/>
                <w:lang w:val="en-US" w:eastAsia="zh-CN"/>
              </w:rPr>
              <w:t>的得7分，缺项或不提供不得分。</w:t>
            </w:r>
          </w:p>
        </w:tc>
      </w:tr>
      <w:tr w14:paraId="5F65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521" w:type="pct"/>
            <w:vMerge w:val="continue"/>
            <w:vAlign w:val="center"/>
          </w:tcPr>
          <w:p w14:paraId="13C16A14">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shd w:val="clear" w:color="auto" w:fill="auto"/>
            <w:vAlign w:val="center"/>
          </w:tcPr>
          <w:p w14:paraId="642AC0F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应急方案</w:t>
            </w:r>
          </w:p>
          <w:p w14:paraId="04968CC4">
            <w:pPr>
              <w:spacing w:line="360" w:lineRule="auto"/>
              <w:jc w:val="center"/>
              <w:rPr>
                <w:rFonts w:hint="eastAsia" w:asciiTheme="minorEastAsia" w:hAnsiTheme="minorEastAsia" w:eastAsiaTheme="minorEastAsia" w:cstheme="minorEastAsia"/>
                <w:color w:val="000000"/>
                <w:sz w:val="24"/>
                <w:szCs w:val="24"/>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3532" w:type="pct"/>
            <w:gridSpan w:val="2"/>
            <w:shd w:val="clear" w:color="auto" w:fill="auto"/>
            <w:vAlign w:val="center"/>
          </w:tcPr>
          <w:p w14:paraId="30363A70">
            <w:pPr>
              <w:spacing w:line="360" w:lineRule="auto"/>
              <w:ind w:left="18" w:leftChars="0" w:firstLine="261" w:firstLineChars="10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提供针对本项目的</w:t>
            </w:r>
            <w:r>
              <w:rPr>
                <w:rFonts w:hint="eastAsia" w:ascii="宋体" w:hAnsi="宋体" w:eastAsia="宋体" w:cs="宋体"/>
                <w:color w:val="auto"/>
                <w:kern w:val="0"/>
                <w:sz w:val="24"/>
                <w:szCs w:val="24"/>
                <w:highlight w:val="none"/>
                <w:lang w:val="en-US" w:eastAsia="zh-CN"/>
              </w:rPr>
              <w:t>应急方案</w:t>
            </w:r>
            <w:r>
              <w:rPr>
                <w:rFonts w:hint="eastAsia" w:ascii="宋体" w:hAnsi="宋体" w:eastAsia="宋体" w:cs="宋体"/>
                <w:color w:val="auto"/>
                <w:kern w:val="0"/>
                <w:sz w:val="24"/>
                <w:szCs w:val="24"/>
                <w:highlight w:val="none"/>
                <w:lang w:eastAsia="zh-CN"/>
              </w:rPr>
              <w:t>（</w:t>
            </w:r>
            <w:r>
              <w:rPr>
                <w:rFonts w:hint="eastAsia" w:asciiTheme="minorEastAsia" w:hAnsiTheme="minorEastAsia" w:eastAsiaTheme="minorEastAsia" w:cstheme="minorEastAsia"/>
                <w:color w:val="000000"/>
                <w:sz w:val="24"/>
                <w:szCs w:val="24"/>
                <w:lang w:val="en-US" w:eastAsia="zh-CN"/>
              </w:rPr>
              <w:t>包含但不限于</w:t>
            </w:r>
            <w:r>
              <w:rPr>
                <w:rFonts w:hint="eastAsia" w:ascii="宋体" w:hAnsi="宋体" w:eastAsia="宋体" w:cs="宋体"/>
                <w:color w:val="auto"/>
                <w:kern w:val="0"/>
                <w:sz w:val="24"/>
                <w:szCs w:val="24"/>
                <w:highlight w:val="none"/>
                <w:lang w:eastAsia="zh-CN"/>
              </w:rPr>
              <w:t>应急措施及解决方案</w:t>
            </w:r>
            <w:r>
              <w:rPr>
                <w:rFonts w:hint="eastAsia" w:asciiTheme="minorEastAsia" w:hAnsiTheme="minorEastAsia" w:eastAsiaTheme="minorEastAsia" w:cstheme="minorEastAsia"/>
                <w:color w:val="000000"/>
                <w:sz w:val="24"/>
                <w:szCs w:val="24"/>
              </w:rPr>
              <w:t>、</w:t>
            </w:r>
            <w:r>
              <w:rPr>
                <w:rFonts w:hint="eastAsia" w:asciiTheme="minorEastAsia" w:hAnsiTheme="minorEastAsia" w:eastAsiaTheme="minorEastAsia" w:cstheme="minorEastAsia"/>
                <w:color w:val="000000"/>
                <w:sz w:val="24"/>
                <w:szCs w:val="24"/>
                <w:lang w:val="en-US" w:eastAsia="zh-CN"/>
              </w:rPr>
              <w:t>应急响应时间</w:t>
            </w:r>
            <w:r>
              <w:rPr>
                <w:rFonts w:hint="eastAsia" w:asciiTheme="minorEastAsia" w:hAnsiTheme="minorEastAsia" w:eastAsiaTheme="minorEastAsia" w:cstheme="minorEastAsia"/>
                <w:color w:val="000000"/>
                <w:sz w:val="24"/>
                <w:szCs w:val="24"/>
              </w:rPr>
              <w:t>、</w:t>
            </w:r>
            <w:r>
              <w:rPr>
                <w:rFonts w:hint="eastAsia" w:ascii="宋体" w:hAnsi="宋体" w:eastAsia="宋体" w:cs="宋体"/>
                <w:color w:val="auto"/>
                <w:kern w:val="0"/>
                <w:sz w:val="24"/>
                <w:szCs w:val="24"/>
                <w:highlight w:val="none"/>
                <w:lang w:eastAsia="zh-CN"/>
              </w:rPr>
              <w:t>制定工作流程）</w:t>
            </w:r>
            <w:r>
              <w:rPr>
                <w:rFonts w:hint="eastAsia" w:ascii="宋体" w:hAnsi="宋体" w:eastAsia="宋体" w:cs="宋体"/>
                <w:color w:val="auto"/>
                <w:kern w:val="0"/>
                <w:sz w:val="24"/>
                <w:szCs w:val="24"/>
                <w:highlight w:val="none"/>
                <w:lang w:val="en-US" w:eastAsia="zh-CN"/>
              </w:rPr>
              <w:t>的得</w:t>
            </w: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lang w:val="en-US" w:eastAsia="zh-CN"/>
              </w:rPr>
              <w:t>分，缺项或不提供不得分。</w:t>
            </w:r>
          </w:p>
        </w:tc>
      </w:tr>
      <w:tr w14:paraId="2D55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restart"/>
            <w:vAlign w:val="center"/>
          </w:tcPr>
          <w:p w14:paraId="5488C730">
            <w:pPr>
              <w:widowControl/>
              <w:spacing w:line="360" w:lineRule="auto"/>
              <w:jc w:val="center"/>
              <w:rPr>
                <w:rFonts w:hint="eastAsia" w:asciiTheme="minorEastAsia" w:hAnsiTheme="minorEastAsia" w:eastAsiaTheme="minorEastAsia" w:cstheme="minorEastAsia"/>
                <w:b w:val="0"/>
                <w:bCs w:val="0"/>
                <w:color w:val="000000" w:themeColor="text1"/>
                <w:sz w:val="24"/>
                <w:szCs w:val="24"/>
                <w:lang w:val="zh-CN"/>
              </w:rPr>
            </w:pPr>
            <w:r>
              <w:rPr>
                <w:rFonts w:hint="eastAsia" w:asciiTheme="minorEastAsia" w:hAnsiTheme="minorEastAsia" w:eastAsiaTheme="minorEastAsia" w:cstheme="minorEastAsia"/>
                <w:b w:val="0"/>
                <w:bCs w:val="0"/>
                <w:color w:val="000000" w:themeColor="text1"/>
                <w:sz w:val="24"/>
                <w:szCs w:val="24"/>
                <w:lang w:val="zh-CN"/>
              </w:rPr>
              <w:t>商务</w:t>
            </w:r>
          </w:p>
          <w:p w14:paraId="22D44660">
            <w:pPr>
              <w:widowControl/>
              <w:spacing w:line="360" w:lineRule="auto"/>
              <w:jc w:val="center"/>
              <w:rPr>
                <w:rFonts w:hint="eastAsia" w:asciiTheme="minorEastAsia" w:hAnsiTheme="minorEastAsia" w:eastAsiaTheme="minorEastAsia" w:cstheme="minorEastAsia"/>
                <w:b w:val="0"/>
                <w:bCs w:val="0"/>
                <w:color w:val="000000" w:themeColor="text1"/>
                <w:sz w:val="24"/>
                <w:szCs w:val="24"/>
                <w:lang w:val="zh-CN"/>
              </w:rPr>
            </w:pPr>
            <w:r>
              <w:rPr>
                <w:rFonts w:hint="eastAsia" w:asciiTheme="minorEastAsia" w:hAnsiTheme="minorEastAsia" w:eastAsiaTheme="minorEastAsia" w:cstheme="minorEastAsia"/>
                <w:b w:val="0"/>
                <w:bCs w:val="0"/>
                <w:color w:val="000000" w:themeColor="text1"/>
                <w:sz w:val="24"/>
                <w:szCs w:val="24"/>
                <w:lang w:val="zh-CN"/>
              </w:rPr>
              <w:t>部分</w:t>
            </w:r>
          </w:p>
          <w:p w14:paraId="2418A0B8">
            <w:pPr>
              <w:widowControl/>
              <w:spacing w:line="360" w:lineRule="auto"/>
              <w:jc w:val="center"/>
              <w:rPr>
                <w:rFonts w:hint="eastAsia" w:asciiTheme="minorEastAsia" w:hAnsiTheme="minorEastAsia" w:eastAsiaTheme="minorEastAsia" w:cstheme="minorEastAsia"/>
                <w:b w:val="0"/>
                <w:bCs w:val="0"/>
                <w:color w:val="000000" w:themeColor="text1"/>
                <w:sz w:val="24"/>
                <w:szCs w:val="24"/>
              </w:rPr>
            </w:pPr>
            <w:r>
              <w:rPr>
                <w:rFonts w:hint="eastAsia" w:asciiTheme="minorEastAsia" w:hAnsiTheme="minorEastAsia" w:eastAsiaTheme="minorEastAsia" w:cstheme="minorEastAsia"/>
                <w:b w:val="0"/>
                <w:bCs w:val="0"/>
                <w:color w:val="000000" w:themeColor="text1"/>
                <w:sz w:val="24"/>
                <w:szCs w:val="24"/>
                <w:lang w:val="zh-CN"/>
              </w:rPr>
              <w:t>（</w:t>
            </w:r>
            <w:r>
              <w:rPr>
                <w:rFonts w:hint="eastAsia" w:asciiTheme="minorEastAsia" w:hAnsiTheme="minorEastAsia" w:eastAsiaTheme="minorEastAsia" w:cstheme="minorEastAsia"/>
                <w:b w:val="0"/>
                <w:bCs w:val="0"/>
                <w:color w:val="000000" w:themeColor="text1"/>
                <w:sz w:val="24"/>
                <w:szCs w:val="24"/>
                <w:lang w:val="en-US" w:eastAsia="zh-CN"/>
              </w:rPr>
              <w:t>30</w:t>
            </w:r>
            <w:r>
              <w:rPr>
                <w:rFonts w:hint="eastAsia" w:asciiTheme="minorEastAsia" w:hAnsiTheme="minorEastAsia" w:eastAsiaTheme="minorEastAsia" w:cstheme="minorEastAsia"/>
                <w:b w:val="0"/>
                <w:bCs w:val="0"/>
                <w:color w:val="000000" w:themeColor="text1"/>
                <w:sz w:val="24"/>
                <w:szCs w:val="24"/>
                <w:lang w:val="zh-CN"/>
              </w:rPr>
              <w:t>分）</w:t>
            </w:r>
          </w:p>
        </w:tc>
        <w:tc>
          <w:tcPr>
            <w:tcW w:w="946" w:type="pct"/>
            <w:shd w:val="clear" w:color="auto" w:fill="auto"/>
            <w:vAlign w:val="center"/>
          </w:tcPr>
          <w:p w14:paraId="079D0539">
            <w:pPr>
              <w:jc w:val="center"/>
              <w:rPr>
                <w:rFonts w:hint="eastAsia" w:asciiTheme="minorEastAsia" w:hAnsiTheme="minorEastAsia" w:eastAsiaTheme="minorEastAsia" w:cstheme="minorEastAsia"/>
                <w:bCs/>
                <w:color w:val="000000"/>
                <w:kern w:val="0"/>
                <w:sz w:val="24"/>
                <w:szCs w:val="24"/>
                <w:highlight w:val="none"/>
                <w:lang w:val="zh-CN" w:eastAsia="zh-CN" w:bidi="zh-CN"/>
              </w:rPr>
            </w:pPr>
            <w:r>
              <w:rPr>
                <w:rFonts w:hint="eastAsia" w:asciiTheme="minorEastAsia" w:hAnsiTheme="minorEastAsia" w:eastAsiaTheme="minorEastAsia" w:cstheme="minorEastAsia"/>
                <w:sz w:val="24"/>
                <w:szCs w:val="24"/>
                <w:highlight w:val="none"/>
                <w:lang w:val="en-US" w:eastAsia="zh-CN"/>
              </w:rPr>
              <w:t>人员配备方案</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6分）</w:t>
            </w:r>
          </w:p>
        </w:tc>
        <w:tc>
          <w:tcPr>
            <w:tcW w:w="3532" w:type="pct"/>
            <w:gridSpan w:val="2"/>
            <w:shd w:val="clear" w:color="auto" w:fill="auto"/>
            <w:vAlign w:val="center"/>
          </w:tcPr>
          <w:p w14:paraId="7035E285">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highlight w:val="none"/>
                <w:lang w:val="en-US" w:eastAsia="zh-CN"/>
              </w:rPr>
              <w:t>提供针对本项目的人员职责与管理方案的得6分，不提供不得分。</w:t>
            </w:r>
          </w:p>
        </w:tc>
      </w:tr>
      <w:tr w14:paraId="45840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continue"/>
            <w:vAlign w:val="center"/>
          </w:tcPr>
          <w:p w14:paraId="7AA2D931">
            <w:pPr>
              <w:widowControl/>
              <w:spacing w:line="360" w:lineRule="auto"/>
              <w:jc w:val="center"/>
              <w:rPr>
                <w:rFonts w:hint="eastAsia" w:asciiTheme="minorEastAsia" w:hAnsiTheme="minorEastAsia" w:eastAsiaTheme="minorEastAsia" w:cstheme="minorEastAsia"/>
                <w:b w:val="0"/>
                <w:bCs w:val="0"/>
                <w:color w:val="000000" w:themeColor="text1"/>
                <w:sz w:val="24"/>
                <w:szCs w:val="24"/>
                <w:lang w:val="zh-CN"/>
              </w:rPr>
            </w:pPr>
          </w:p>
        </w:tc>
        <w:tc>
          <w:tcPr>
            <w:tcW w:w="946" w:type="pct"/>
            <w:shd w:val="clear" w:color="auto" w:fill="auto"/>
            <w:vAlign w:val="center"/>
          </w:tcPr>
          <w:p w14:paraId="16859529">
            <w:pPr>
              <w:tabs>
                <w:tab w:val="center" w:pos="809"/>
                <w:tab w:val="right" w:pos="1498"/>
              </w:tabs>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企业实力</w:t>
            </w:r>
            <w:r>
              <w:rPr>
                <w:rFonts w:hint="eastAsia" w:asciiTheme="minorEastAsia" w:hAnsiTheme="minorEastAsia" w:eastAsiaTheme="minorEastAsia" w:cstheme="minorEastAsia"/>
                <w:sz w:val="24"/>
                <w:szCs w:val="24"/>
                <w:highlight w:val="none"/>
                <w:lang w:eastAsia="zh-CN"/>
              </w:rPr>
              <w:tab/>
            </w:r>
          </w:p>
          <w:p w14:paraId="6EB2E397">
            <w:pPr>
              <w:tabs>
                <w:tab w:val="center" w:pos="809"/>
                <w:tab w:val="right" w:pos="1498"/>
              </w:tabs>
              <w:jc w:val="left"/>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16分</w:t>
            </w:r>
            <w:r>
              <w:rPr>
                <w:rFonts w:hint="eastAsia" w:asciiTheme="minorEastAsia" w:hAnsiTheme="minorEastAsia" w:eastAsiaTheme="minorEastAsia" w:cstheme="minorEastAsia"/>
                <w:sz w:val="24"/>
                <w:szCs w:val="24"/>
                <w:highlight w:val="none"/>
                <w:lang w:eastAsia="zh-CN"/>
              </w:rPr>
              <w:t>）</w:t>
            </w:r>
          </w:p>
        </w:tc>
        <w:tc>
          <w:tcPr>
            <w:tcW w:w="3532" w:type="pct"/>
            <w:gridSpan w:val="2"/>
            <w:shd w:val="clear" w:color="auto" w:fill="auto"/>
            <w:vAlign w:val="center"/>
          </w:tcPr>
          <w:p w14:paraId="791957FF">
            <w:pPr>
              <w:numPr>
                <w:ilvl w:val="0"/>
                <w:numId w:val="3"/>
              </w:numP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val="en-US" w:eastAsia="zh-CN"/>
              </w:rPr>
              <w:t>厂家或</w:t>
            </w:r>
            <w:r>
              <w:rPr>
                <w:rFonts w:hint="eastAsia" w:asciiTheme="minorEastAsia" w:hAnsiTheme="minorEastAsia" w:eastAsiaTheme="minorEastAsia" w:cstheme="minorEastAsia"/>
                <w:kern w:val="0"/>
                <w:sz w:val="24"/>
                <w:szCs w:val="24"/>
                <w:highlight w:val="none"/>
              </w:rPr>
              <w:t>投标人同时通过CMMI3级和DCMM2级及以上评估，</w:t>
            </w:r>
            <w:r>
              <w:rPr>
                <w:rFonts w:hint="eastAsia" w:asciiTheme="minorEastAsia" w:hAnsiTheme="minorEastAsia" w:eastAsiaTheme="minorEastAsia" w:cstheme="minorEastAsia"/>
                <w:kern w:val="0"/>
                <w:sz w:val="24"/>
                <w:szCs w:val="24"/>
                <w:highlight w:val="none"/>
                <w:lang w:val="en-US" w:eastAsia="zh-CN"/>
              </w:rPr>
              <w:t>提供证书扫描件的</w:t>
            </w:r>
            <w:r>
              <w:rPr>
                <w:rFonts w:hint="eastAsia" w:asciiTheme="minorEastAsia" w:hAnsiTheme="minorEastAsia" w:eastAsiaTheme="minorEastAsia" w:cstheme="minorEastAsia"/>
                <w:kern w:val="0"/>
                <w:sz w:val="24"/>
                <w:szCs w:val="24"/>
                <w:highlight w:val="none"/>
              </w:rPr>
              <w:t>得</w:t>
            </w:r>
            <w:r>
              <w:rPr>
                <w:rFonts w:hint="eastAsia" w:asciiTheme="minorEastAsia" w:hAnsiTheme="minorEastAsia" w:eastAsiaTheme="minorEastAsia" w:cstheme="minorEastAsia"/>
                <w:kern w:val="0"/>
                <w:sz w:val="24"/>
                <w:szCs w:val="24"/>
                <w:highlight w:val="none"/>
                <w:lang w:val="en-US" w:eastAsia="zh-CN"/>
              </w:rPr>
              <w:t>4</w:t>
            </w:r>
            <w:r>
              <w:rPr>
                <w:rFonts w:hint="eastAsia" w:asciiTheme="minorEastAsia" w:hAnsiTheme="minorEastAsia" w:eastAsiaTheme="minorEastAsia" w:cstheme="minorEastAsia"/>
                <w:kern w:val="0"/>
                <w:sz w:val="24"/>
                <w:szCs w:val="24"/>
                <w:highlight w:val="none"/>
              </w:rPr>
              <w:t>分</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缺项或不提供不得分</w:t>
            </w:r>
            <w:r>
              <w:rPr>
                <w:rFonts w:hint="eastAsia" w:asciiTheme="minorEastAsia" w:hAnsiTheme="minorEastAsia" w:eastAsiaTheme="minorEastAsia" w:cstheme="minorEastAsia"/>
                <w:kern w:val="0"/>
                <w:sz w:val="24"/>
                <w:szCs w:val="24"/>
                <w:highlight w:val="none"/>
              </w:rPr>
              <w:t>。</w:t>
            </w:r>
          </w:p>
          <w:p w14:paraId="014E481B">
            <w:pP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val="en-US" w:eastAsia="zh-CN"/>
              </w:rPr>
              <w:t>2、厂家或</w:t>
            </w:r>
            <w:r>
              <w:rPr>
                <w:rFonts w:hint="eastAsia" w:asciiTheme="minorEastAsia" w:hAnsiTheme="minorEastAsia" w:eastAsiaTheme="minorEastAsia" w:cstheme="minorEastAsia"/>
                <w:kern w:val="0"/>
                <w:sz w:val="24"/>
                <w:szCs w:val="24"/>
                <w:highlight w:val="none"/>
              </w:rPr>
              <w:t>投标人通过信息系统安全等级保护备案(三级及以上)，</w:t>
            </w:r>
            <w:r>
              <w:rPr>
                <w:rFonts w:hint="eastAsia" w:asciiTheme="minorEastAsia" w:hAnsiTheme="minorEastAsia" w:eastAsiaTheme="minorEastAsia" w:cstheme="minorEastAsia"/>
                <w:kern w:val="0"/>
                <w:sz w:val="24"/>
                <w:szCs w:val="24"/>
                <w:highlight w:val="none"/>
                <w:lang w:val="en-US" w:eastAsia="zh-CN"/>
              </w:rPr>
              <w:t>提供证书扫描件的</w:t>
            </w:r>
            <w:r>
              <w:rPr>
                <w:rFonts w:hint="eastAsia" w:asciiTheme="minorEastAsia" w:hAnsiTheme="minorEastAsia" w:eastAsiaTheme="minorEastAsia" w:cstheme="minorEastAsia"/>
                <w:kern w:val="0"/>
                <w:sz w:val="24"/>
                <w:szCs w:val="24"/>
                <w:highlight w:val="none"/>
              </w:rPr>
              <w:t>得</w:t>
            </w:r>
            <w:r>
              <w:rPr>
                <w:rFonts w:hint="eastAsia" w:asciiTheme="minorEastAsia" w:hAnsiTheme="minorEastAsia" w:eastAsiaTheme="minorEastAsia" w:cstheme="minorEastAsia"/>
                <w:kern w:val="0"/>
                <w:sz w:val="24"/>
                <w:szCs w:val="24"/>
                <w:highlight w:val="none"/>
                <w:lang w:val="en-US" w:eastAsia="zh-CN"/>
              </w:rPr>
              <w:t>3</w:t>
            </w:r>
            <w:r>
              <w:rPr>
                <w:rFonts w:hint="eastAsia" w:asciiTheme="minorEastAsia" w:hAnsiTheme="minorEastAsia" w:eastAsiaTheme="minorEastAsia" w:cstheme="minorEastAsia"/>
                <w:kern w:val="0"/>
                <w:sz w:val="24"/>
                <w:szCs w:val="24"/>
                <w:highlight w:val="none"/>
              </w:rPr>
              <w:t>分</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不提供不得分</w:t>
            </w:r>
            <w:r>
              <w:rPr>
                <w:rFonts w:hint="eastAsia" w:asciiTheme="minorEastAsia" w:hAnsiTheme="minorEastAsia" w:eastAsiaTheme="minorEastAsia" w:cstheme="minorEastAsia"/>
                <w:kern w:val="0"/>
                <w:sz w:val="24"/>
                <w:szCs w:val="24"/>
                <w:highlight w:val="none"/>
              </w:rPr>
              <w:t>。</w:t>
            </w:r>
          </w:p>
          <w:p w14:paraId="0820A7D0">
            <w:pPr>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lang w:val="en-US" w:eastAsia="zh-CN"/>
              </w:rPr>
              <w:t>3、厂家或</w:t>
            </w:r>
            <w:r>
              <w:rPr>
                <w:rFonts w:hint="eastAsia" w:asciiTheme="minorEastAsia" w:hAnsiTheme="minorEastAsia" w:eastAsiaTheme="minorEastAsia" w:cstheme="minorEastAsia"/>
                <w:kern w:val="0"/>
                <w:sz w:val="24"/>
                <w:szCs w:val="24"/>
                <w:highlight w:val="none"/>
              </w:rPr>
              <w:t>投标人</w:t>
            </w:r>
            <w:r>
              <w:rPr>
                <w:rFonts w:hint="eastAsia" w:asciiTheme="minorEastAsia" w:hAnsiTheme="minorEastAsia" w:eastAsiaTheme="minorEastAsia" w:cstheme="minorEastAsia"/>
                <w:kern w:val="0"/>
                <w:sz w:val="24"/>
                <w:szCs w:val="24"/>
                <w:highlight w:val="none"/>
                <w:lang w:val="en-US" w:eastAsia="zh-CN"/>
              </w:rPr>
              <w:t>通过医疗云计算影像云和移动健康应用程序可信选型测试评，提供证书扫描件的</w:t>
            </w:r>
            <w:r>
              <w:rPr>
                <w:rFonts w:hint="eastAsia" w:asciiTheme="minorEastAsia" w:hAnsiTheme="minorEastAsia" w:eastAsiaTheme="minorEastAsia" w:cstheme="minorEastAsia"/>
                <w:kern w:val="0"/>
                <w:sz w:val="24"/>
                <w:szCs w:val="24"/>
                <w:highlight w:val="none"/>
              </w:rPr>
              <w:t>得</w:t>
            </w:r>
            <w:r>
              <w:rPr>
                <w:rFonts w:hint="eastAsia" w:asciiTheme="minorEastAsia" w:hAnsiTheme="minorEastAsia" w:eastAsiaTheme="minorEastAsia" w:cstheme="minorEastAsia"/>
                <w:kern w:val="0"/>
                <w:sz w:val="24"/>
                <w:szCs w:val="24"/>
                <w:highlight w:val="none"/>
                <w:lang w:val="en-US" w:eastAsia="zh-CN"/>
              </w:rPr>
              <w:t>3</w:t>
            </w:r>
            <w:r>
              <w:rPr>
                <w:rFonts w:hint="eastAsia" w:asciiTheme="minorEastAsia" w:hAnsiTheme="minorEastAsia" w:eastAsiaTheme="minorEastAsia" w:cstheme="minorEastAsia"/>
                <w:kern w:val="0"/>
                <w:sz w:val="24"/>
                <w:szCs w:val="24"/>
                <w:highlight w:val="none"/>
              </w:rPr>
              <w:t>分</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不提供不得分</w:t>
            </w:r>
            <w:r>
              <w:rPr>
                <w:rFonts w:hint="eastAsia" w:asciiTheme="minorEastAsia" w:hAnsiTheme="minorEastAsia" w:eastAsiaTheme="minorEastAsia" w:cstheme="minorEastAsia"/>
                <w:kern w:val="0"/>
                <w:sz w:val="24"/>
                <w:szCs w:val="24"/>
                <w:highlight w:val="none"/>
              </w:rPr>
              <w:t>。</w:t>
            </w:r>
          </w:p>
          <w:p w14:paraId="37B2F3C8">
            <w:pPr>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lang w:val="en-US" w:eastAsia="zh-CN"/>
              </w:rPr>
              <w:t>4、厂家或</w:t>
            </w:r>
            <w:r>
              <w:rPr>
                <w:rFonts w:hint="eastAsia" w:asciiTheme="minorEastAsia" w:hAnsiTheme="minorEastAsia" w:eastAsiaTheme="minorEastAsia" w:cstheme="minorEastAsia"/>
                <w:kern w:val="0"/>
                <w:sz w:val="24"/>
                <w:szCs w:val="24"/>
                <w:highlight w:val="none"/>
              </w:rPr>
              <w:t>投标人</w:t>
            </w:r>
            <w:r>
              <w:rPr>
                <w:rFonts w:hint="eastAsia" w:asciiTheme="minorEastAsia" w:hAnsiTheme="minorEastAsia" w:eastAsiaTheme="minorEastAsia" w:cstheme="minorEastAsia"/>
                <w:kern w:val="0"/>
                <w:sz w:val="24"/>
                <w:szCs w:val="24"/>
                <w:highlight w:val="none"/>
                <w:lang w:val="en-US" w:eastAsia="zh-CN"/>
              </w:rPr>
              <w:t>运行服务能力达到ITSS评估三级及以上，提供证书扫描件的</w:t>
            </w:r>
            <w:r>
              <w:rPr>
                <w:rFonts w:hint="eastAsia" w:asciiTheme="minorEastAsia" w:hAnsiTheme="minorEastAsia" w:eastAsiaTheme="minorEastAsia" w:cstheme="minorEastAsia"/>
                <w:kern w:val="0"/>
                <w:sz w:val="24"/>
                <w:szCs w:val="24"/>
                <w:highlight w:val="none"/>
              </w:rPr>
              <w:t>得</w:t>
            </w:r>
            <w:r>
              <w:rPr>
                <w:rFonts w:hint="eastAsia" w:asciiTheme="minorEastAsia" w:hAnsiTheme="minorEastAsia" w:eastAsiaTheme="minorEastAsia" w:cstheme="minorEastAsia"/>
                <w:kern w:val="0"/>
                <w:sz w:val="24"/>
                <w:szCs w:val="24"/>
                <w:highlight w:val="none"/>
                <w:lang w:val="en-US" w:eastAsia="zh-CN"/>
              </w:rPr>
              <w:t>3</w:t>
            </w:r>
            <w:r>
              <w:rPr>
                <w:rFonts w:hint="eastAsia" w:asciiTheme="minorEastAsia" w:hAnsiTheme="minorEastAsia" w:eastAsiaTheme="minorEastAsia" w:cstheme="minorEastAsia"/>
                <w:kern w:val="0"/>
                <w:sz w:val="24"/>
                <w:szCs w:val="24"/>
                <w:highlight w:val="none"/>
              </w:rPr>
              <w:t>分</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不提供不得分</w:t>
            </w:r>
            <w:r>
              <w:rPr>
                <w:rFonts w:hint="eastAsia" w:asciiTheme="minorEastAsia" w:hAnsiTheme="minorEastAsia" w:eastAsiaTheme="minorEastAsia" w:cstheme="minorEastAsia"/>
                <w:kern w:val="0"/>
                <w:sz w:val="24"/>
                <w:szCs w:val="24"/>
                <w:highlight w:val="none"/>
              </w:rPr>
              <w:t>。</w:t>
            </w:r>
          </w:p>
          <w:p w14:paraId="0C2CC1F9">
            <w:pPr>
              <w:rPr>
                <w:rFonts w:hint="default" w:asciiTheme="minorEastAsia" w:hAnsiTheme="minorEastAsia" w:eastAsiaTheme="minorEastAsia" w:cstheme="minorEastAsia"/>
                <w:kern w:val="0"/>
                <w:sz w:val="24"/>
                <w:szCs w:val="24"/>
                <w:highlight w:val="green"/>
                <w:lang w:val="en-US" w:eastAsia="zh-CN"/>
              </w:rPr>
            </w:pPr>
            <w:r>
              <w:rPr>
                <w:rFonts w:hint="eastAsia" w:asciiTheme="minorEastAsia" w:hAnsiTheme="minorEastAsia" w:eastAsiaTheme="minorEastAsia" w:cstheme="minorEastAsia"/>
                <w:kern w:val="0"/>
                <w:sz w:val="24"/>
                <w:szCs w:val="24"/>
                <w:highlight w:val="none"/>
                <w:lang w:val="en-US" w:eastAsia="zh-CN"/>
              </w:rPr>
              <w:t>5、厂家或</w:t>
            </w:r>
            <w:r>
              <w:rPr>
                <w:rFonts w:hint="eastAsia" w:asciiTheme="minorEastAsia" w:hAnsiTheme="minorEastAsia" w:eastAsiaTheme="minorEastAsia" w:cstheme="minorEastAsia"/>
                <w:kern w:val="0"/>
                <w:sz w:val="24"/>
                <w:szCs w:val="24"/>
                <w:highlight w:val="none"/>
              </w:rPr>
              <w:t>投标人</w:t>
            </w:r>
            <w:r>
              <w:rPr>
                <w:rFonts w:hint="eastAsia" w:asciiTheme="minorEastAsia" w:hAnsiTheme="minorEastAsia" w:eastAsiaTheme="minorEastAsia" w:cstheme="minorEastAsia"/>
                <w:kern w:val="0"/>
                <w:sz w:val="24"/>
                <w:szCs w:val="24"/>
                <w:highlight w:val="none"/>
                <w:lang w:val="en-US" w:eastAsia="zh-CN"/>
              </w:rPr>
              <w:t>通过FHIR医疗互操作性认证，提供证书扫描件的</w:t>
            </w:r>
            <w:r>
              <w:rPr>
                <w:rFonts w:hint="eastAsia" w:asciiTheme="minorEastAsia" w:hAnsiTheme="minorEastAsia" w:eastAsiaTheme="minorEastAsia" w:cstheme="minorEastAsia"/>
                <w:kern w:val="0"/>
                <w:sz w:val="24"/>
                <w:szCs w:val="24"/>
                <w:highlight w:val="none"/>
              </w:rPr>
              <w:t>得</w:t>
            </w:r>
            <w:r>
              <w:rPr>
                <w:rFonts w:hint="eastAsia" w:asciiTheme="minorEastAsia" w:hAnsiTheme="minorEastAsia" w:eastAsiaTheme="minorEastAsia" w:cstheme="minorEastAsia"/>
                <w:kern w:val="0"/>
                <w:sz w:val="24"/>
                <w:szCs w:val="24"/>
                <w:highlight w:val="none"/>
                <w:lang w:val="en-US" w:eastAsia="zh-CN"/>
              </w:rPr>
              <w:t>3</w:t>
            </w:r>
            <w:r>
              <w:rPr>
                <w:rFonts w:hint="eastAsia" w:asciiTheme="minorEastAsia" w:hAnsiTheme="minorEastAsia" w:eastAsiaTheme="minorEastAsia" w:cstheme="minorEastAsia"/>
                <w:kern w:val="0"/>
                <w:sz w:val="24"/>
                <w:szCs w:val="24"/>
                <w:highlight w:val="none"/>
              </w:rPr>
              <w:t>分</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不提供不得分</w:t>
            </w:r>
            <w:r>
              <w:rPr>
                <w:rFonts w:hint="eastAsia" w:asciiTheme="minorEastAsia" w:hAnsiTheme="minorEastAsia" w:eastAsiaTheme="minorEastAsia" w:cstheme="minorEastAsia"/>
                <w:kern w:val="0"/>
                <w:sz w:val="24"/>
                <w:szCs w:val="24"/>
                <w:highlight w:val="none"/>
              </w:rPr>
              <w:t>。</w:t>
            </w:r>
          </w:p>
        </w:tc>
      </w:tr>
      <w:tr w14:paraId="24AF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21" w:type="pct"/>
            <w:vMerge w:val="continue"/>
            <w:vAlign w:val="center"/>
          </w:tcPr>
          <w:p w14:paraId="59B21142">
            <w:pPr>
              <w:widowControl/>
              <w:spacing w:line="360" w:lineRule="auto"/>
              <w:jc w:val="center"/>
              <w:rPr>
                <w:rFonts w:hint="eastAsia" w:asciiTheme="minorEastAsia" w:hAnsiTheme="minorEastAsia" w:eastAsiaTheme="minorEastAsia" w:cstheme="minorEastAsia"/>
                <w:b w:val="0"/>
                <w:bCs w:val="0"/>
                <w:color w:val="000000" w:themeColor="text1"/>
                <w:sz w:val="24"/>
                <w:szCs w:val="24"/>
              </w:rPr>
            </w:pPr>
          </w:p>
        </w:tc>
        <w:tc>
          <w:tcPr>
            <w:tcW w:w="946" w:type="pct"/>
            <w:shd w:val="clear" w:color="auto" w:fill="auto"/>
            <w:vAlign w:val="center"/>
          </w:tcPr>
          <w:p w14:paraId="26C2C52C">
            <w:pPr>
              <w:jc w:val="center"/>
              <w:rPr>
                <w:rFonts w:hint="eastAsia" w:asciiTheme="minorEastAsia" w:hAnsiTheme="minorEastAsia" w:eastAsiaTheme="minorEastAsia" w:cstheme="minorEastAsia"/>
                <w:bCs/>
                <w:color w:val="000000"/>
                <w:kern w:val="0"/>
                <w:sz w:val="24"/>
                <w:szCs w:val="24"/>
                <w:lang w:val="en-US" w:eastAsia="zh-CN" w:bidi="zh-CN"/>
              </w:rPr>
            </w:pPr>
            <w:r>
              <w:rPr>
                <w:rFonts w:hint="eastAsia" w:asciiTheme="minorEastAsia" w:hAnsiTheme="minorEastAsia" w:eastAsiaTheme="minorEastAsia" w:cstheme="minorEastAsia"/>
                <w:color w:val="000000"/>
                <w:sz w:val="24"/>
                <w:szCs w:val="24"/>
              </w:rPr>
              <w:t>售后服务方案</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8分）</w:t>
            </w:r>
          </w:p>
        </w:tc>
        <w:tc>
          <w:tcPr>
            <w:tcW w:w="3532" w:type="pct"/>
            <w:gridSpan w:val="2"/>
            <w:shd w:val="clear" w:color="auto" w:fill="auto"/>
            <w:vAlign w:val="center"/>
          </w:tcPr>
          <w:p w14:paraId="46236A6D">
            <w:pPr>
              <w:rPr>
                <w:rFonts w:hint="eastAsia" w:asciiTheme="minorEastAsia" w:hAnsiTheme="minorEastAsia" w:eastAsiaTheme="minorEastAsia" w:cstheme="minorEastAsia"/>
                <w:bCs/>
                <w:color w:val="000000"/>
                <w:kern w:val="0"/>
                <w:sz w:val="24"/>
                <w:szCs w:val="24"/>
                <w:highlight w:val="green"/>
                <w:lang w:val="en-US" w:eastAsia="zh-CN" w:bidi="zh-CN"/>
              </w:rPr>
            </w:pPr>
            <w:r>
              <w:rPr>
                <w:rFonts w:hint="eastAsia" w:asciiTheme="minorEastAsia" w:hAnsiTheme="minorEastAsia" w:eastAsiaTheme="minorEastAsia" w:cstheme="minorEastAsia"/>
                <w:color w:val="000000"/>
                <w:sz w:val="24"/>
                <w:szCs w:val="24"/>
                <w:lang w:val="en-US" w:eastAsia="zh-CN"/>
              </w:rPr>
              <w:t>提供</w:t>
            </w:r>
            <w:r>
              <w:rPr>
                <w:rFonts w:hint="eastAsia" w:asciiTheme="minorEastAsia" w:hAnsiTheme="minorEastAsia" w:eastAsiaTheme="minorEastAsia" w:cstheme="minorEastAsia"/>
                <w:color w:val="000000"/>
                <w:sz w:val="24"/>
                <w:szCs w:val="24"/>
              </w:rPr>
              <w:t>售后服务方案</w:t>
            </w:r>
            <w:r>
              <w:rPr>
                <w:rFonts w:hint="eastAsia" w:asciiTheme="minorEastAsia" w:hAnsiTheme="minorEastAsia" w:eastAsiaTheme="minorEastAsia" w:cstheme="minorEastAsia"/>
                <w:color w:val="000000"/>
                <w:sz w:val="24"/>
                <w:szCs w:val="24"/>
                <w:lang w:val="en-US" w:eastAsia="zh-CN"/>
              </w:rPr>
              <w:t>（包含但不限于</w:t>
            </w:r>
            <w:r>
              <w:rPr>
                <w:rFonts w:hint="eastAsia" w:asciiTheme="minorEastAsia" w:hAnsiTheme="minorEastAsia" w:eastAsiaTheme="minorEastAsia" w:cstheme="minorEastAsia"/>
                <w:color w:val="000000"/>
                <w:sz w:val="24"/>
                <w:szCs w:val="24"/>
              </w:rPr>
              <w:t>售后服务内容、故障响应时间、故障解决措施</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sz w:val="24"/>
                <w:szCs w:val="24"/>
                <w:lang w:val="en-US" w:eastAsia="zh-CN"/>
              </w:rPr>
              <w:t>的得8分，缺项或不提供不得分。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425445E3">
      <w:pPr>
        <w:numPr>
          <w:ilvl w:val="0"/>
          <w:numId w:val="4"/>
        </w:numPr>
        <w:spacing w:line="360" w:lineRule="auto"/>
        <w:ind w:firstLine="643" w:firstLineChars="200"/>
        <w:rPr>
          <w:rFonts w:hint="eastAsia" w:asciiTheme="minorEastAsia" w:hAnsiTheme="minorEastAsia" w:cstheme="minorEastAsia"/>
          <w:b/>
          <w:bCs w:val="0"/>
          <w:sz w:val="32"/>
          <w:szCs w:val="32"/>
          <w:highlight w:val="none"/>
          <w:lang w:eastAsia="zh-CN"/>
        </w:rPr>
      </w:pPr>
      <w:r>
        <w:rPr>
          <w:rFonts w:hint="eastAsia" w:asciiTheme="minorEastAsia" w:hAnsiTheme="minorEastAsia" w:cstheme="minorEastAsia"/>
          <w:b/>
          <w:bCs w:val="0"/>
          <w:sz w:val="32"/>
          <w:szCs w:val="32"/>
          <w:highlight w:val="none"/>
          <w:lang w:eastAsia="zh-CN"/>
        </w:rPr>
        <w:t>采购内容</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1158"/>
        <w:gridCol w:w="6339"/>
      </w:tblGrid>
      <w:tr w14:paraId="4ADB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shd w:val="clear" w:color="auto" w:fill="auto"/>
            <w:vAlign w:val="center"/>
          </w:tcPr>
          <w:p w14:paraId="3572E89E">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模块</w:t>
            </w:r>
          </w:p>
        </w:tc>
        <w:tc>
          <w:tcPr>
            <w:tcW w:w="647" w:type="pct"/>
            <w:shd w:val="clear" w:color="auto" w:fill="auto"/>
            <w:vAlign w:val="center"/>
          </w:tcPr>
          <w:p w14:paraId="21FD1797">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子模块</w:t>
            </w:r>
          </w:p>
        </w:tc>
        <w:tc>
          <w:tcPr>
            <w:tcW w:w="3542" w:type="pct"/>
            <w:shd w:val="clear" w:color="auto" w:fill="auto"/>
            <w:vAlign w:val="center"/>
          </w:tcPr>
          <w:p w14:paraId="64D6EEB5">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功能需求</w:t>
            </w:r>
          </w:p>
        </w:tc>
      </w:tr>
      <w:tr w14:paraId="53528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restart"/>
            <w:shd w:val="clear" w:color="auto" w:fill="auto"/>
            <w:vAlign w:val="center"/>
          </w:tcPr>
          <w:p w14:paraId="4E8D575E">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基础要求</w:t>
            </w:r>
          </w:p>
        </w:tc>
        <w:tc>
          <w:tcPr>
            <w:tcW w:w="647" w:type="pct"/>
            <w:vMerge w:val="restart"/>
            <w:shd w:val="clear" w:color="auto" w:fill="auto"/>
            <w:vAlign w:val="center"/>
          </w:tcPr>
          <w:p w14:paraId="1A057898">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w:t>
            </w:r>
          </w:p>
        </w:tc>
        <w:tc>
          <w:tcPr>
            <w:tcW w:w="3542" w:type="pct"/>
            <w:shd w:val="clear" w:color="auto" w:fill="auto"/>
            <w:vAlign w:val="center"/>
          </w:tcPr>
          <w:p w14:paraId="0A5B3BE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投标产品应全面支持DICOM3.0标准</w:t>
            </w:r>
          </w:p>
        </w:tc>
      </w:tr>
      <w:tr w14:paraId="07B8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22077F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221185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07F47C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投标产品应全面遵从HL7医疗服务信息网络通讯协议</w:t>
            </w:r>
          </w:p>
        </w:tc>
      </w:tr>
      <w:tr w14:paraId="60B03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25B8A4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26850BD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406668F">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系统核心基于企业级的Windows平台，系统服务端软件可安装于Linux或WindowsServer2012及以上操作系统</w:t>
            </w:r>
          </w:p>
        </w:tc>
      </w:tr>
      <w:tr w14:paraId="32FA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B3B7FE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1FC047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4F10012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系统支持大型关系型数据库Oracle或MSSQLServer</w:t>
            </w:r>
          </w:p>
        </w:tc>
      </w:tr>
      <w:tr w14:paraId="1C3A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DE05A1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0D64E4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C7DAF4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系统设计采用B/S架构，可进行PC端、手机端、PAD端的页面浏览调阅</w:t>
            </w:r>
          </w:p>
        </w:tc>
      </w:tr>
      <w:tr w14:paraId="6282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6C126E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BE9228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DC6FAEF">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系统应实现7×24小时的连续运行</w:t>
            </w:r>
          </w:p>
        </w:tc>
      </w:tr>
      <w:tr w14:paraId="1F0B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F35D0D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06272B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A2B6002">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该平台建设须采用符合国家、行业有关政策要求</w:t>
            </w:r>
          </w:p>
        </w:tc>
      </w:tr>
      <w:tr w14:paraId="0BEA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FDF8D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7542D4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059B0DE">
            <w:pPr>
              <w:keepNext w:val="0"/>
              <w:keepLines w:val="0"/>
              <w:pageBreakBefore w:val="0"/>
              <w:widowControl/>
              <w:kinsoku/>
              <w:wordWrap/>
              <w:overflowPunct/>
              <w:topLinePunct w:val="0"/>
              <w:autoSpaceDE/>
              <w:autoSpaceDN/>
              <w:bidi w:val="0"/>
              <w:adjustRightInd/>
              <w:snapToGrid/>
              <w:ind w:firstLine="0" w:firstLineChars="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支持日志服务，对平台运行状况实时监控，对系统故障、报错等信息记录并保存，对用户访问数据库行为进行记录，便于后期追溯。</w:t>
            </w:r>
          </w:p>
        </w:tc>
      </w:tr>
      <w:tr w14:paraId="43473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restart"/>
            <w:shd w:val="clear" w:color="auto" w:fill="auto"/>
            <w:vAlign w:val="center"/>
          </w:tcPr>
          <w:p w14:paraId="020DE816">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医学影像诊断中心</w:t>
            </w:r>
          </w:p>
        </w:tc>
        <w:tc>
          <w:tcPr>
            <w:tcW w:w="647" w:type="pct"/>
            <w:vMerge w:val="restart"/>
            <w:shd w:val="clear" w:color="auto" w:fill="auto"/>
            <w:vAlign w:val="center"/>
          </w:tcPr>
          <w:p w14:paraId="325D1357">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云PACS系统</w:t>
            </w:r>
          </w:p>
        </w:tc>
        <w:tc>
          <w:tcPr>
            <w:tcW w:w="3542" w:type="pct"/>
            <w:shd w:val="clear" w:color="auto" w:fill="auto"/>
            <w:vAlign w:val="center"/>
          </w:tcPr>
          <w:p w14:paraId="41B10E9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支持用户注册、实名认证、账户管理功能</w:t>
            </w:r>
          </w:p>
        </w:tc>
      </w:tr>
      <w:tr w14:paraId="523A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CE252E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36B2FF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40E0219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支持用户信息设置(用户基本信息修改、设置)</w:t>
            </w:r>
          </w:p>
        </w:tc>
      </w:tr>
      <w:tr w14:paraId="11D6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609C50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A80A4DF">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623F7F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支持医生在电脑设备中便捷的在线阅片服务。开通账号的医生可以在线查看该医生所执业医院的上传的全量DICOM影像数据、检查信息及报告信息</w:t>
            </w:r>
          </w:p>
        </w:tc>
      </w:tr>
      <w:tr w14:paraId="49F5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299F9E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3CB5D06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730E3CF">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支持EMPI患者交叉索引</w:t>
            </w:r>
          </w:p>
        </w:tc>
      </w:tr>
      <w:tr w14:paraId="178E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3BEF97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3D89F6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1C1628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支持诊断申请、接收功能</w:t>
            </w:r>
          </w:p>
        </w:tc>
      </w:tr>
      <w:tr w14:paraId="3710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E1D12B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6760EC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C4E95F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支持通过手机、PAD、电脑，远程写报告</w:t>
            </w:r>
          </w:p>
        </w:tc>
      </w:tr>
      <w:tr w14:paraId="4511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6D2EC1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079362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1F462B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支持原始影像数据及报告的归档排列，提供移动端以翻页、播放方式浏览病人所有原始影像数据</w:t>
            </w:r>
          </w:p>
        </w:tc>
      </w:tr>
      <w:tr w14:paraId="09D5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AAC712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DBB0CE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8EB9B3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1:1展示，将DICOM图像按照其原始尺寸和比例进行显示，确保图像的每一个细节都能被准确还原</w:t>
            </w:r>
          </w:p>
        </w:tc>
      </w:tr>
      <w:tr w14:paraId="3A74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C42B91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820B32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4A400CA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w:t>
            </w:r>
            <w:r>
              <w:rPr>
                <w:rFonts w:hint="eastAsia" w:ascii="宋体" w:hAnsi="宋体" w:eastAsia="宋体" w:cs="宋体"/>
                <w:b/>
                <w:bCs/>
                <w:color w:val="000000"/>
                <w:kern w:val="0"/>
                <w:sz w:val="24"/>
                <w:szCs w:val="24"/>
                <w:lang w:val="en-US" w:eastAsia="zh-CN"/>
              </w:rPr>
              <w:t>在单个原始影像文件小于530KB下：加载 JPEG-LS 压缩的CT、MR、XA影像，每百幅影像不超过3秒（需提供第三方机构出具的产品检验报告复印件佐证）</w:t>
            </w:r>
          </w:p>
        </w:tc>
      </w:tr>
      <w:tr w14:paraId="4B3C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A950C8D">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7D9DA2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A4CBC4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w:t>
            </w:r>
            <w:r>
              <w:rPr>
                <w:rFonts w:hint="eastAsia" w:ascii="宋体" w:hAnsi="宋体" w:eastAsia="宋体" w:cs="宋体"/>
                <w:b/>
                <w:bCs/>
                <w:color w:val="000000"/>
                <w:kern w:val="0"/>
                <w:sz w:val="24"/>
                <w:szCs w:val="24"/>
                <w:lang w:val="en-US" w:eastAsia="zh-CN"/>
              </w:rPr>
              <w:t>在单个原始影像文件小于530KB下：加载 JPEG-LS 压缩的CT、MR、XA影像，每百幅标准分辨率影像消耗流量不超过20M，每百幅影像阅片流量不超过实际数据存储量的30%（需提供第三方机构出具的产品检验报告复印件佐证）</w:t>
            </w:r>
          </w:p>
        </w:tc>
      </w:tr>
      <w:tr w14:paraId="1CA5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BA16B7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E96DC1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7C5513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支持暂停或播放序列，可以调整播放帧率及控制序列中部分帧的播放范围，支持重置。</w:t>
            </w:r>
          </w:p>
        </w:tc>
      </w:tr>
      <w:tr w14:paraId="113A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601AEC0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AD0542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E02451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客户端工作站打开约10M字节影像，时间不大于5秒,WEB端工作站打开约10M字节影像，时间不大于10秒,IOS端工作站打开约10M字节影像，时间不大于10秒,安卓端工作站打开约10M字节影像，时间不大于10秒。标准运行环境下测试【提供医疗器械质量监督检验部门出具的检测文件复印件】</w:t>
            </w:r>
          </w:p>
        </w:tc>
      </w:tr>
      <w:tr w14:paraId="5795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1FB104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5C99BE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E96F31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支持展示影像全息视图，实现在一个浏览窗口的界面下，显示该病人历次的不同时期检查的图像，并可以直接进行影像对比查看</w:t>
            </w:r>
          </w:p>
        </w:tc>
      </w:tr>
      <w:tr w14:paraId="55BB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4B396C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B205A1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5769E9C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val="0"/>
                <w:bCs w:val="0"/>
                <w:color w:val="000000"/>
                <w:kern w:val="0"/>
                <w:sz w:val="24"/>
                <w:szCs w:val="24"/>
              </w:rPr>
              <w:t>支持报告比对功能，当审核医生对报告进行修改时，可直观显示修改痕迹</w:t>
            </w:r>
          </w:p>
        </w:tc>
      </w:tr>
      <w:tr w14:paraId="2DA9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84ED37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restart"/>
            <w:shd w:val="clear" w:color="auto" w:fill="auto"/>
            <w:vAlign w:val="center"/>
          </w:tcPr>
          <w:p w14:paraId="47875B0F">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院内影像诊断</w:t>
            </w:r>
          </w:p>
        </w:tc>
        <w:tc>
          <w:tcPr>
            <w:tcW w:w="3542" w:type="pct"/>
            <w:shd w:val="clear" w:color="auto" w:fill="auto"/>
            <w:vAlign w:val="center"/>
          </w:tcPr>
          <w:p w14:paraId="2DD7C47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支持影像浏览双浏览器兼容性工作（同时支持H5 Viewer和PACS影像浏览器）</w:t>
            </w:r>
          </w:p>
        </w:tc>
      </w:tr>
      <w:tr w14:paraId="7A78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881DD2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shd w:val="clear" w:color="auto" w:fill="auto"/>
            <w:vAlign w:val="center"/>
          </w:tcPr>
          <w:p w14:paraId="36A4EF81">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94A2DA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支持显示设备类型、帧图像个数</w:t>
            </w:r>
          </w:p>
        </w:tc>
      </w:tr>
      <w:tr w14:paraId="014F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FCBBBD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45920BF">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5397B2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支持图像常用快捷操作工具</w:t>
            </w:r>
          </w:p>
        </w:tc>
      </w:tr>
      <w:tr w14:paraId="18FF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12976E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5C7980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FCEA2BD">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支持显示或隐藏图像相关信息</w:t>
            </w:r>
          </w:p>
        </w:tc>
      </w:tr>
      <w:tr w14:paraId="16D0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6243C0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7E03AD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987D87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支持移动，医生选择移动功能在可将影像移动至画布的任意位置</w:t>
            </w:r>
          </w:p>
        </w:tc>
      </w:tr>
      <w:tr w14:paraId="08CE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95DF88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69340C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BBA920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支持缩放，通过缩放功能可将单张影像放大至任意倍率</w:t>
            </w:r>
          </w:p>
        </w:tc>
      </w:tr>
      <w:tr w14:paraId="5458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70CF36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051BFE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E905D1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翻页，单击该按钮，将鼠标移动到影像区域，按住鼠标左键上下拖动，实现影像快速调阅</w:t>
            </w:r>
          </w:p>
        </w:tc>
      </w:tr>
      <w:tr w14:paraId="3F12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719FA9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B41859F">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8BDC15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lang w:val="en-US" w:eastAsia="zh-CN"/>
              </w:rPr>
              <w:t>支持</w:t>
            </w:r>
            <w:r>
              <w:rPr>
                <w:rFonts w:hint="eastAsia" w:ascii="宋体" w:hAnsi="宋体" w:eastAsia="宋体" w:cs="宋体"/>
                <w:b/>
                <w:bCs/>
                <w:color w:val="000000"/>
                <w:kern w:val="0"/>
                <w:sz w:val="24"/>
                <w:szCs w:val="24"/>
              </w:rPr>
              <w:t>对影像处理后单击该按钮，输入文件名称，保存处理痕迹，可以进行多份保存，供其他医生调阅【提供产品功能界面截图】</w:t>
            </w:r>
          </w:p>
        </w:tc>
      </w:tr>
      <w:tr w14:paraId="4F67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DCDFFB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1933C9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B722D3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b/>
                <w:bCs/>
                <w:color w:val="000000"/>
                <w:kern w:val="0"/>
                <w:sz w:val="24"/>
                <w:szCs w:val="24"/>
              </w:rPr>
              <w:t>▲支持DICOM关键影像标记；医生可以在书写报告时标记影像为关键影像，其他医生可以浏览影像时，查看关键影像标记【提供产品功能界面截图】</w:t>
            </w:r>
          </w:p>
        </w:tc>
      </w:tr>
      <w:tr w14:paraId="3582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29E057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23508F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456A92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窗宽窗位调整，支持按照所打开的影像类型自动展示该类型已配置的窗宽窗位，支持数字快捷键的快速切换窗宽窗位和自定义窗宽窗位</w:t>
            </w:r>
          </w:p>
        </w:tc>
      </w:tr>
      <w:tr w14:paraId="37D5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0EEB67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38D13FE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8C9B5F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支持在多窗口布局中只针对指定的图像进行调整，而窗口中其它帧图像不同步此操作</w:t>
            </w:r>
          </w:p>
        </w:tc>
      </w:tr>
      <w:tr w14:paraId="63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35DD60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9360B9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45594D3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支持变换，支持顺时针旋转90°、逆时针旋转90°、水平翻转、垂直翻转、手动调节任意角度旋转</w:t>
            </w:r>
          </w:p>
        </w:tc>
      </w:tr>
      <w:tr w14:paraId="614B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B280C9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9A28D9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588D02B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支持长度</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角度</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矩形、椭圆、多边形测量</w:t>
            </w:r>
          </w:p>
        </w:tc>
      </w:tr>
      <w:tr w14:paraId="7FD4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61A364C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375593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1EBD99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支持对图像序列窗口进行</w:t>
            </w:r>
            <w:r>
              <w:rPr>
                <w:rFonts w:hint="eastAsia" w:ascii="宋体" w:hAnsi="宋体" w:eastAsia="宋体" w:cs="宋体"/>
                <w:color w:val="000000"/>
                <w:kern w:val="0"/>
                <w:sz w:val="24"/>
                <w:szCs w:val="24"/>
                <w:lang w:val="en-US" w:eastAsia="zh-CN"/>
              </w:rPr>
              <w:t>伪彩、</w:t>
            </w:r>
            <w:r>
              <w:rPr>
                <w:rFonts w:hint="eastAsia" w:ascii="宋体" w:hAnsi="宋体" w:eastAsia="宋体" w:cs="宋体"/>
                <w:color w:val="000000"/>
                <w:kern w:val="0"/>
                <w:sz w:val="24"/>
                <w:szCs w:val="24"/>
              </w:rPr>
              <w:t>反色操作</w:t>
            </w:r>
          </w:p>
        </w:tc>
      </w:tr>
      <w:tr w14:paraId="19228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C65019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3AF09B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6C3541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支持病灶同步定位，同一个DICOM检查中，在某个序列的某个图像上定位的病灶，可以自动同步定位到其他序列图像上的相同位置</w:t>
            </w:r>
          </w:p>
        </w:tc>
      </w:tr>
      <w:tr w14:paraId="5B02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4E6F7E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86A456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2DF3EB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▲支持矩形、椭圆、多边形的遮挡【提供产品功能界面截图】</w:t>
            </w:r>
          </w:p>
        </w:tc>
      </w:tr>
      <w:tr w14:paraId="53D2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6C9751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CBFDE5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1EEA1B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▲支持多平面重建MPR功能，支持冠状面、矢状面快速切换，提供斜切MPR后各切面的测量工具，如：长度、角度、矩形、椭圆等【提供产品功能界面截图】</w:t>
            </w:r>
          </w:p>
        </w:tc>
      </w:tr>
      <w:tr w14:paraId="0EBD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D03694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397850D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16E612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▲支持3D重建，显示3D图像。具备基本功能包含虚拟切割、去除骨骼、去除床板、保留骨骼、保留肺【提供产品功能界面截图】</w:t>
            </w:r>
          </w:p>
        </w:tc>
      </w:tr>
      <w:tr w14:paraId="77795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490738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42A2F5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AFDCC8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w:t>
            </w:r>
            <w:r>
              <w:rPr>
                <w:rFonts w:hint="eastAsia" w:ascii="宋体" w:hAnsi="宋体" w:eastAsia="宋体" w:cs="宋体"/>
                <w:color w:val="000000"/>
                <w:kern w:val="0"/>
                <w:sz w:val="24"/>
                <w:szCs w:val="24"/>
                <w:lang w:val="en-US" w:eastAsia="zh-CN"/>
              </w:rPr>
              <w:t>5*5</w:t>
            </w:r>
            <w:r>
              <w:rPr>
                <w:rFonts w:hint="eastAsia" w:ascii="宋体" w:hAnsi="宋体" w:eastAsia="宋体" w:cs="宋体"/>
                <w:color w:val="000000"/>
                <w:kern w:val="0"/>
                <w:sz w:val="24"/>
                <w:szCs w:val="24"/>
              </w:rPr>
              <w:t>格式以内的任意自定义挂片，支持10种4*4以内的挂片形式支持双击放大缩小选定的图像</w:t>
            </w:r>
          </w:p>
        </w:tc>
      </w:tr>
      <w:tr w14:paraId="1070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restart"/>
            <w:shd w:val="clear" w:color="auto" w:fill="auto"/>
            <w:vAlign w:val="center"/>
          </w:tcPr>
          <w:p w14:paraId="57753A08">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医学影像数据中心</w:t>
            </w:r>
          </w:p>
        </w:tc>
        <w:tc>
          <w:tcPr>
            <w:tcW w:w="647" w:type="pct"/>
            <w:vMerge w:val="restart"/>
            <w:shd w:val="clear" w:color="auto" w:fill="auto"/>
            <w:vAlign w:val="center"/>
          </w:tcPr>
          <w:p w14:paraId="1145184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影像云存储</w:t>
            </w:r>
          </w:p>
        </w:tc>
        <w:tc>
          <w:tcPr>
            <w:tcW w:w="3542" w:type="pct"/>
            <w:shd w:val="clear" w:color="auto" w:fill="auto"/>
            <w:vAlign w:val="center"/>
          </w:tcPr>
          <w:p w14:paraId="0673842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支持影像数据存储、归档、管理服务</w:t>
            </w:r>
          </w:p>
        </w:tc>
      </w:tr>
      <w:tr w14:paraId="1F1A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04ED09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A72C84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55FEF87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支持患者信息识别、数据回溯技术</w:t>
            </w:r>
          </w:p>
        </w:tc>
      </w:tr>
      <w:tr w14:paraId="7148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485CCF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EE1FEF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60D522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支持数据转换、处理、集成、共享</w:t>
            </w:r>
          </w:p>
        </w:tc>
      </w:tr>
      <w:tr w14:paraId="7C2E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5EA859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13FA684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7D36D4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支持数字影像文件无损压缩处理</w:t>
            </w:r>
          </w:p>
        </w:tc>
      </w:tr>
      <w:tr w14:paraId="0231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3D2C44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BCC14D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5B6FCEF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支持实时获取数据上行到影像云归档情况；检查业务详细概述，不同时间段产生的数据情况展示功能</w:t>
            </w:r>
          </w:p>
        </w:tc>
      </w:tr>
      <w:tr w14:paraId="0A18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A685D9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895512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5851A7B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影像文件使用对象存储方式</w:t>
            </w:r>
          </w:p>
        </w:tc>
      </w:tr>
      <w:tr w14:paraId="3DD2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AFD700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91E878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68E48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支持检查数据质量监控</w:t>
            </w:r>
          </w:p>
        </w:tc>
      </w:tr>
      <w:tr w14:paraId="7301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A20933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48A8D7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B79FE5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▲支持数据存储的组织层级管理功能，支持患者、检查、设备等不同层级节点的按需组合配置【提供产品功能界面截图】</w:t>
            </w:r>
          </w:p>
        </w:tc>
      </w:tr>
      <w:tr w14:paraId="7547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FA9138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AECEBE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8C7434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提供标准RESTful协议的API接口以及多语言的SDK</w:t>
            </w:r>
          </w:p>
        </w:tc>
      </w:tr>
      <w:tr w14:paraId="7DA92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01AC7C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36F5DFE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5B3A260D">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支持通过DICOM标准方式采集PACS系统产生的检查数据功能</w:t>
            </w:r>
          </w:p>
        </w:tc>
      </w:tr>
      <w:tr w14:paraId="6DB2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6D8379D">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04138F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777D8D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支持将PACS系统中非DICOM标准设备产生的数据转换为DICOM标准数据处理</w:t>
            </w:r>
          </w:p>
        </w:tc>
      </w:tr>
      <w:tr w14:paraId="0092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22D6F2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restart"/>
            <w:shd w:val="clear" w:color="auto" w:fill="auto"/>
            <w:vAlign w:val="center"/>
          </w:tcPr>
          <w:p w14:paraId="0B8C9543">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数字影像服务</w:t>
            </w:r>
          </w:p>
        </w:tc>
        <w:tc>
          <w:tcPr>
            <w:tcW w:w="3542" w:type="pct"/>
            <w:shd w:val="clear" w:color="auto" w:fill="auto"/>
            <w:vAlign w:val="center"/>
          </w:tcPr>
          <w:p w14:paraId="4233BF7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支持提供基于云存储的移动端应用浏览服务</w:t>
            </w:r>
          </w:p>
        </w:tc>
      </w:tr>
      <w:tr w14:paraId="4B68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354509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shd w:val="clear" w:color="auto" w:fill="auto"/>
            <w:vAlign w:val="center"/>
          </w:tcPr>
          <w:p w14:paraId="4D37F2BB">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95089F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支持通过二维码关联病人影像、各类检查报告、DICOM影像的移动端浏览</w:t>
            </w:r>
          </w:p>
        </w:tc>
      </w:tr>
      <w:tr w14:paraId="6AB1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91AD89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shd w:val="clear" w:color="auto" w:fill="auto"/>
            <w:vAlign w:val="center"/>
          </w:tcPr>
          <w:p w14:paraId="0B0FBA6E">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AB2756D">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支持提供病人报告短信提醒服务，提供短信链接方式实现病人原始DICOM影像数据及报告的浏览</w:t>
            </w:r>
          </w:p>
        </w:tc>
      </w:tr>
      <w:tr w14:paraId="413A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A399F7C">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shd w:val="clear" w:color="auto" w:fill="auto"/>
            <w:vAlign w:val="center"/>
          </w:tcPr>
          <w:p w14:paraId="1C2A121C">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29115F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支持验证查看影像的用户是否为患者本人，验证方式包括身份证后六位、手机验证码、手机后四位三种。患者可根据自身情况，从这三种方式中选择其一进行验证</w:t>
            </w:r>
          </w:p>
        </w:tc>
      </w:tr>
      <w:tr w14:paraId="657D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6FDC419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0F3679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F115EF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兼容 DICOM 3.0 标准（CT/MRI/DR 等），支持 JPEG、PDF 等轻量化格式预览</w:t>
            </w:r>
          </w:p>
        </w:tc>
      </w:tr>
      <w:tr w14:paraId="5138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D811EC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53407F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4A4A56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支持具备病人影像服务中心软件系统，实现影像及报告的一站式管理及服务</w:t>
            </w:r>
          </w:p>
        </w:tc>
      </w:tr>
      <w:tr w14:paraId="547A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6FB8319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484EB9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56869B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支持具备云存储应用服务器软件系统，实现原始DICOM影像及报告的云端管理应用</w:t>
            </w:r>
          </w:p>
        </w:tc>
      </w:tr>
      <w:tr w14:paraId="4A86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16B2532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F8F084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288BDB6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支持缩略图节约流量模式，患者查看影像时会优先显示序列的缩略图，且可对缩略图进行基层操作包括：播放、暂停及进度调整操作等</w:t>
            </w:r>
          </w:p>
        </w:tc>
      </w:tr>
      <w:tr w14:paraId="21EF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57CB9FF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582674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48517CB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▲软件产品支持四种以上方式进行移动设备的光环境评价测试。</w:t>
            </w:r>
            <w:r>
              <w:rPr>
                <w:rFonts w:hint="eastAsia" w:ascii="宋体" w:hAnsi="宋体" w:eastAsia="宋体" w:cs="宋体"/>
                <w:b/>
                <w:bCs/>
                <w:color w:val="000000"/>
                <w:kern w:val="0"/>
                <w:sz w:val="24"/>
                <w:szCs w:val="24"/>
              </w:rPr>
              <w:t>【提供产品功能界面截图】</w:t>
            </w:r>
          </w:p>
        </w:tc>
      </w:tr>
      <w:tr w14:paraId="1EC5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E1F4785">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restart"/>
            <w:shd w:val="clear" w:color="auto" w:fill="auto"/>
            <w:vAlign w:val="center"/>
          </w:tcPr>
          <w:p w14:paraId="3EA681D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影像云共享</w:t>
            </w:r>
          </w:p>
        </w:tc>
        <w:tc>
          <w:tcPr>
            <w:tcW w:w="3542" w:type="pct"/>
            <w:shd w:val="clear" w:color="auto" w:fill="auto"/>
            <w:vAlign w:val="center"/>
          </w:tcPr>
          <w:p w14:paraId="4C02373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支持同一患者历史检查记录可见</w:t>
            </w:r>
          </w:p>
        </w:tc>
      </w:tr>
      <w:tr w14:paraId="062D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07F193E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861CE5D">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A5E557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支持患者分享自己的原始影像信息</w:t>
            </w:r>
          </w:p>
        </w:tc>
      </w:tr>
      <w:tr w14:paraId="0A09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25DE41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7168E3D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1659F123">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支持分享时进行加密设置</w:t>
            </w:r>
          </w:p>
        </w:tc>
      </w:tr>
      <w:tr w14:paraId="3727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1F001A9">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5BC660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CB119E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支持数据分享时进行匿名化设置</w:t>
            </w:r>
          </w:p>
        </w:tc>
      </w:tr>
      <w:tr w14:paraId="7E51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47299297">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36FB0FF">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03ED34A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支持分享时设置有效时限</w:t>
            </w:r>
          </w:p>
        </w:tc>
      </w:tr>
      <w:tr w14:paraId="714BE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6285C3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65636BC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BFC6CB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家庭档案</w:t>
            </w:r>
            <w:r>
              <w:rPr>
                <w:rFonts w:hint="eastAsia" w:ascii="宋体" w:hAnsi="宋体" w:eastAsia="宋体" w:cs="宋体"/>
                <w:color w:val="000000"/>
                <w:kern w:val="0"/>
                <w:sz w:val="24"/>
                <w:szCs w:val="24"/>
                <w:lang w:val="en-US" w:eastAsia="zh-CN"/>
              </w:rPr>
              <w:t>创建</w:t>
            </w:r>
            <w:r>
              <w:rPr>
                <w:rFonts w:hint="eastAsia" w:ascii="宋体" w:hAnsi="宋体" w:eastAsia="宋体" w:cs="宋体"/>
                <w:color w:val="000000"/>
                <w:kern w:val="0"/>
                <w:sz w:val="24"/>
                <w:szCs w:val="24"/>
              </w:rPr>
              <w:t>，通过维护家庭成员可以查看成员报告</w:t>
            </w:r>
          </w:p>
        </w:tc>
      </w:tr>
      <w:tr w14:paraId="5ED4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3CEC22BB">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5420DEB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302198F8">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支持DICOM文件下载功能：可以将调阅的影像信息以DICOM格式进行保存下载</w:t>
            </w:r>
          </w:p>
        </w:tc>
      </w:tr>
      <w:tr w14:paraId="3597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7DBE5B90">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4A95D571">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74BF668E">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在授权和法律提醒情况下有条件开放或不开放影像下载服务</w:t>
            </w:r>
          </w:p>
        </w:tc>
      </w:tr>
      <w:tr w14:paraId="6086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10" w:type="pct"/>
            <w:vMerge w:val="continue"/>
            <w:vAlign w:val="center"/>
          </w:tcPr>
          <w:p w14:paraId="2BC8ADA6">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647" w:type="pct"/>
            <w:vMerge w:val="continue"/>
            <w:vAlign w:val="center"/>
          </w:tcPr>
          <w:p w14:paraId="065BE912">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b/>
                <w:bCs/>
                <w:color w:val="000000"/>
                <w:kern w:val="0"/>
                <w:sz w:val="24"/>
                <w:szCs w:val="24"/>
              </w:rPr>
            </w:pPr>
          </w:p>
        </w:tc>
        <w:tc>
          <w:tcPr>
            <w:tcW w:w="3542" w:type="pct"/>
            <w:shd w:val="clear" w:color="auto" w:fill="auto"/>
            <w:vAlign w:val="center"/>
          </w:tcPr>
          <w:p w14:paraId="683B6E04">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严格遵循《个人信息保护法》，仅在患者授权范围内使用数据</w:t>
            </w:r>
          </w:p>
        </w:tc>
      </w:tr>
    </w:tbl>
    <w:p w14:paraId="223024D3">
      <w:pPr>
        <w:jc w:val="both"/>
      </w:pPr>
    </w:p>
    <w:p w14:paraId="1BD4C005">
      <w:pPr>
        <w:spacing w:line="360" w:lineRule="auto"/>
        <w:ind w:firstLine="643" w:firstLineChars="200"/>
        <w:rPr>
          <w:rFonts w:hint="eastAsia" w:asciiTheme="minorEastAsia" w:hAnsiTheme="minorEastAsia" w:eastAsiaTheme="minorEastAsia" w:cstheme="minorEastAsia"/>
          <w:b/>
          <w:bCs w:val="0"/>
          <w:sz w:val="32"/>
          <w:szCs w:val="32"/>
          <w:highlight w:val="none"/>
        </w:rPr>
      </w:pPr>
      <w:r>
        <w:rPr>
          <w:rFonts w:hint="eastAsia" w:asciiTheme="minorEastAsia" w:hAnsiTheme="minorEastAsia" w:eastAsiaTheme="minorEastAsia" w:cstheme="minorEastAsia"/>
          <w:b/>
          <w:bCs w:val="0"/>
          <w:sz w:val="32"/>
          <w:szCs w:val="32"/>
          <w:highlight w:val="none"/>
        </w:rPr>
        <w:t>（2）商务要求</w:t>
      </w:r>
    </w:p>
    <w:p w14:paraId="2DE754B7">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1、支付方式：</w:t>
      </w:r>
    </w:p>
    <w:p w14:paraId="2BE97947">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cstheme="minorEastAsia"/>
          <w:kern w:val="2"/>
          <w:sz w:val="24"/>
          <w:szCs w:val="24"/>
          <w:highlight w:val="none"/>
          <w:lang w:val="en-US" w:eastAsia="zh-CN" w:bidi="ar-SA"/>
        </w:rPr>
        <w:t>（1）</w:t>
      </w:r>
      <w:r>
        <w:rPr>
          <w:rFonts w:hint="eastAsia" w:asciiTheme="minorEastAsia" w:hAnsiTheme="minorEastAsia" w:eastAsiaTheme="minorEastAsia" w:cstheme="minorEastAsia"/>
          <w:kern w:val="2"/>
          <w:sz w:val="24"/>
          <w:szCs w:val="24"/>
          <w:highlight w:val="none"/>
          <w:lang w:val="en-US" w:eastAsia="zh-CN" w:bidi="ar-SA"/>
        </w:rPr>
        <w:t>.结算周期：按月核算实际使用量；</w:t>
      </w:r>
    </w:p>
    <w:p w14:paraId="7D955178">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cstheme="minorEastAsia"/>
          <w:kern w:val="2"/>
          <w:sz w:val="24"/>
          <w:szCs w:val="24"/>
          <w:highlight w:val="none"/>
          <w:lang w:val="en-US" w:eastAsia="zh-CN" w:bidi="ar-SA"/>
        </w:rPr>
        <w:t>（2）</w:t>
      </w:r>
      <w:r>
        <w:rPr>
          <w:rFonts w:hint="eastAsia" w:asciiTheme="minorEastAsia" w:hAnsiTheme="minorEastAsia" w:eastAsiaTheme="minorEastAsia" w:cstheme="minorEastAsia"/>
          <w:kern w:val="2"/>
          <w:sz w:val="24"/>
          <w:szCs w:val="24"/>
          <w:highlight w:val="none"/>
          <w:lang w:val="en-US" w:eastAsia="zh-CN" w:bidi="ar-SA"/>
        </w:rPr>
        <w:t>.对账节点：乙方完成当月服务/供货使用后，于次月（第二个月）双方完成对账、确认结算单据；</w:t>
      </w:r>
    </w:p>
    <w:p w14:paraId="7DAE443A">
      <w:pPr>
        <w:pStyle w:val="93"/>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cstheme="minorEastAsia"/>
          <w:kern w:val="2"/>
          <w:sz w:val="24"/>
          <w:szCs w:val="24"/>
          <w:highlight w:val="none"/>
          <w:lang w:val="en-US" w:eastAsia="zh-CN" w:bidi="ar-SA"/>
        </w:rPr>
        <w:t>（3）</w:t>
      </w:r>
      <w:r>
        <w:rPr>
          <w:rFonts w:hint="eastAsia" w:asciiTheme="minorEastAsia" w:hAnsiTheme="minorEastAsia" w:eastAsiaTheme="minorEastAsia" w:cstheme="minorEastAsia"/>
          <w:kern w:val="2"/>
          <w:sz w:val="24"/>
          <w:szCs w:val="24"/>
          <w:highlight w:val="none"/>
          <w:lang w:val="en-US" w:eastAsia="zh-CN" w:bidi="ar-SA"/>
        </w:rPr>
        <w:t>.付款节点：对账无误后，甲方于对账完成后的次月（第三个月）足额支付本期全部结算款项。</w:t>
      </w:r>
    </w:p>
    <w:p w14:paraId="7DCEB4CA">
      <w:pPr>
        <w:numPr>
          <w:ilvl w:val="0"/>
          <w:numId w:val="0"/>
        </w:num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2AA8F2BC">
      <w:pPr>
        <w:spacing w:line="360" w:lineRule="auto"/>
        <w:ind w:firstLine="480" w:firstLineChars="200"/>
        <w:rPr>
          <w:rFonts w:hint="default" w:ascii="宋体" w:hAnsi="宋体" w:eastAsia="宋体" w:cs="宋体"/>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auto"/>
          <w:sz w:val="24"/>
          <w:szCs w:val="24"/>
          <w:lang w:val="en-US" w:eastAsia="zh-CN"/>
        </w:rPr>
        <w:t>2年</w:t>
      </w:r>
    </w:p>
    <w:p w14:paraId="59E99890">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合格，符合国家现行规定</w:t>
      </w:r>
    </w:p>
    <w:p w14:paraId="04F0260D">
      <w:pPr>
        <w:spacing w:line="360" w:lineRule="auto"/>
        <w:ind w:firstLine="482" w:firstLineChars="200"/>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5、供应商需在响应文件中对其提供的产品出具&lt;&lt;关于符合本国产品标准的声明函&gt;&gt;或提供财政部会同有关部门规定的有关证明文件。</w:t>
      </w:r>
    </w:p>
    <w:p w14:paraId="4A145474">
      <w:pPr>
        <w:rPr>
          <w:rFonts w:hint="default" w:asciiTheme="minorEastAsia" w:hAnsiTheme="minorEastAsia" w:eastAsiaTheme="minorEastAsia" w:cstheme="minorEastAsia"/>
          <w:sz w:val="24"/>
          <w:szCs w:val="24"/>
          <w:highlight w:val="none"/>
          <w:lang w:val="en-US" w:eastAsia="zh-CN"/>
        </w:rPr>
      </w:pPr>
    </w:p>
    <w:p w14:paraId="38BCBF44">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755F2E71">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w:t>
      </w:r>
      <w:r>
        <w:rPr>
          <w:rFonts w:hint="eastAsia" w:ascii="宋体" w:hAnsi="宋体"/>
          <w:sz w:val="24"/>
          <w:szCs w:val="24"/>
          <w:highlight w:val="none"/>
          <w:u w:val="none"/>
        </w:rPr>
        <w:t>价为</w:t>
      </w:r>
      <w:r>
        <w:rPr>
          <w:rFonts w:hint="eastAsia" w:ascii="宋体" w:hAnsi="宋体" w:cs="宋体"/>
          <w:sz w:val="24"/>
          <w:highlight w:val="none"/>
          <w:lang w:eastAsia="zh-CN"/>
        </w:rPr>
        <w:t>（</w:t>
      </w:r>
      <w:r>
        <w:rPr>
          <w:rFonts w:hint="eastAsia" w:ascii="宋体" w:hAnsi="宋体" w:eastAsia="宋体" w:cs="宋体"/>
          <w:kern w:val="2"/>
          <w:sz w:val="24"/>
          <w:szCs w:val="24"/>
          <w:highlight w:val="none"/>
          <w:lang w:val="en-US" w:eastAsia="zh-CN" w:bidi="ar-SA"/>
        </w:rPr>
        <w:t>每人每次</w:t>
      </w:r>
      <w:r>
        <w:rPr>
          <w:rFonts w:hint="eastAsia" w:ascii="宋体" w:hAnsi="宋体" w:cs="宋体"/>
          <w:sz w:val="24"/>
          <w:highlight w:val="none"/>
          <w:lang w:eastAsia="zh-CN"/>
        </w:rPr>
        <w:t>）</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eastAsia="宋体" w:cs="宋体"/>
                <w:kern w:val="2"/>
                <w:sz w:val="24"/>
                <w:szCs w:val="24"/>
                <w:highlight w:val="none"/>
                <w:lang w:val="en-US" w:eastAsia="zh-CN" w:bidi="ar-SA"/>
              </w:rPr>
              <w:t>每人每次</w:t>
            </w:r>
            <w:r>
              <w:rPr>
                <w:rFonts w:hint="eastAsia" w:ascii="宋体" w:hAnsi="宋体" w:cs="宋体"/>
                <w:sz w:val="24"/>
                <w:highlight w:val="none"/>
                <w:lang w:val="en-US" w:eastAsia="zh-CN"/>
              </w:rPr>
              <w:t>报价</w:t>
            </w:r>
            <w:r>
              <w:rPr>
                <w:rFonts w:hint="eastAsia" w:ascii="宋体" w:hAnsi="宋体" w:cs="宋体"/>
                <w:sz w:val="24"/>
                <w:highlight w:val="none"/>
              </w:rPr>
              <w:t xml:space="preserve">：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hint="eastAsia" w:ascii="宋体" w:hAnsi="宋体" w:cs="宋体"/>
          <w:b/>
          <w:bCs/>
          <w:sz w:val="24"/>
          <w:szCs w:val="24"/>
          <w:highlight w:val="none"/>
          <w:lang w:val="en-US"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r>
        <w:rPr>
          <w:rFonts w:hint="eastAsia" w:ascii="宋体" w:hAnsi="宋体" w:cs="宋体"/>
          <w:b/>
          <w:bCs/>
          <w:sz w:val="24"/>
          <w:szCs w:val="24"/>
          <w:highlight w:val="none"/>
          <w:lang w:val="en-US" w:eastAsia="zh-CN"/>
        </w:rPr>
        <w:t xml:space="preserve"> </w:t>
      </w:r>
    </w:p>
    <w:p w14:paraId="0B3D7460">
      <w:pPr>
        <w:spacing w:line="360" w:lineRule="auto"/>
        <w:jc w:val="right"/>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单位：元</w:t>
      </w:r>
    </w:p>
    <w:tbl>
      <w:tblPr>
        <w:tblStyle w:val="28"/>
        <w:tblW w:w="875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2593"/>
        <w:gridCol w:w="1125"/>
        <w:gridCol w:w="987"/>
        <w:gridCol w:w="1481"/>
        <w:gridCol w:w="1584"/>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987"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593"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1125"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987"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481" w:type="dxa"/>
            <w:vAlign w:val="center"/>
          </w:tcPr>
          <w:p w14:paraId="3785F1FB">
            <w:pPr>
              <w:spacing w:line="340" w:lineRule="exact"/>
              <w:jc w:val="center"/>
              <w:rPr>
                <w:rFonts w:hint="eastAsia" w:ascii="宋体" w:hAnsi="宋体" w:eastAsia="宋体" w:cs="宋体"/>
                <w:sz w:val="24"/>
                <w:highlight w:val="none"/>
                <w:lang w:eastAsia="zh-CN"/>
              </w:rPr>
            </w:pPr>
            <w:r>
              <w:rPr>
                <w:rFonts w:hint="eastAsia" w:ascii="宋体" w:hAnsi="宋体" w:cs="宋体"/>
                <w:sz w:val="24"/>
                <w:highlight w:val="none"/>
              </w:rPr>
              <w:t>单价</w:t>
            </w:r>
          </w:p>
        </w:tc>
        <w:tc>
          <w:tcPr>
            <w:tcW w:w="1584"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987"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593" w:type="dxa"/>
          </w:tcPr>
          <w:p w14:paraId="5C17A661">
            <w:pPr>
              <w:spacing w:line="340" w:lineRule="exact"/>
              <w:rPr>
                <w:rFonts w:ascii="宋体" w:hAnsi="宋体" w:cs="宋体"/>
                <w:sz w:val="24"/>
                <w:highlight w:val="none"/>
              </w:rPr>
            </w:pPr>
          </w:p>
        </w:tc>
        <w:tc>
          <w:tcPr>
            <w:tcW w:w="1125" w:type="dxa"/>
          </w:tcPr>
          <w:p w14:paraId="64DB81DA">
            <w:pPr>
              <w:spacing w:line="340" w:lineRule="exact"/>
              <w:jc w:val="center"/>
              <w:rPr>
                <w:rFonts w:hint="eastAsia" w:ascii="宋体" w:hAnsi="宋体" w:eastAsia="宋体" w:cs="宋体"/>
                <w:sz w:val="24"/>
                <w:highlight w:val="none"/>
                <w:lang w:val="en-US" w:eastAsia="zh-CN"/>
              </w:rPr>
            </w:pPr>
            <w:r>
              <w:rPr>
                <w:rFonts w:hint="eastAsia" w:ascii="宋体" w:hAnsi="宋体" w:eastAsia="宋体" w:cs="宋体"/>
                <w:kern w:val="2"/>
                <w:sz w:val="24"/>
                <w:szCs w:val="24"/>
                <w:highlight w:val="none"/>
                <w:lang w:val="en-US" w:eastAsia="zh-CN" w:bidi="ar-SA"/>
              </w:rPr>
              <w:t>每人每次</w:t>
            </w:r>
          </w:p>
        </w:tc>
        <w:tc>
          <w:tcPr>
            <w:tcW w:w="987" w:type="dxa"/>
          </w:tcPr>
          <w:p w14:paraId="5D98CC36">
            <w:pPr>
              <w:spacing w:line="340" w:lineRule="exact"/>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1</w:t>
            </w:r>
          </w:p>
        </w:tc>
        <w:tc>
          <w:tcPr>
            <w:tcW w:w="1481" w:type="dxa"/>
          </w:tcPr>
          <w:p w14:paraId="21BA970E">
            <w:pPr>
              <w:spacing w:line="340" w:lineRule="exact"/>
              <w:rPr>
                <w:rFonts w:ascii="宋体" w:hAnsi="宋体" w:cs="宋体"/>
                <w:sz w:val="24"/>
                <w:highlight w:val="none"/>
              </w:rPr>
            </w:pPr>
          </w:p>
        </w:tc>
        <w:tc>
          <w:tcPr>
            <w:tcW w:w="1584" w:type="dxa"/>
          </w:tcPr>
          <w:p w14:paraId="1A35BC35">
            <w:pPr>
              <w:spacing w:line="340" w:lineRule="exact"/>
              <w:rPr>
                <w:rFonts w:hint="eastAsia" w:ascii="宋体" w:hAnsi="宋体" w:eastAsia="宋体" w:cs="宋体"/>
                <w:sz w:val="24"/>
                <w:highlight w:val="none"/>
                <w:lang w:val="en-US" w:eastAsia="zh-CN"/>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987"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593" w:type="dxa"/>
          </w:tcPr>
          <w:p w14:paraId="7FD01946">
            <w:pPr>
              <w:spacing w:line="340" w:lineRule="exact"/>
              <w:rPr>
                <w:rFonts w:ascii="宋体" w:hAnsi="宋体" w:cs="宋体"/>
                <w:sz w:val="24"/>
                <w:highlight w:val="none"/>
              </w:rPr>
            </w:pPr>
          </w:p>
        </w:tc>
        <w:tc>
          <w:tcPr>
            <w:tcW w:w="1125" w:type="dxa"/>
          </w:tcPr>
          <w:p w14:paraId="62BE43E3">
            <w:pPr>
              <w:spacing w:line="340" w:lineRule="exact"/>
              <w:rPr>
                <w:rFonts w:ascii="宋体" w:hAnsi="宋体" w:cs="宋体"/>
                <w:sz w:val="24"/>
                <w:highlight w:val="none"/>
              </w:rPr>
            </w:pPr>
          </w:p>
        </w:tc>
        <w:tc>
          <w:tcPr>
            <w:tcW w:w="987" w:type="dxa"/>
          </w:tcPr>
          <w:p w14:paraId="75C7C957">
            <w:pPr>
              <w:spacing w:line="340" w:lineRule="exact"/>
              <w:rPr>
                <w:rFonts w:ascii="宋体" w:hAnsi="宋体" w:cs="宋体"/>
                <w:sz w:val="24"/>
                <w:highlight w:val="none"/>
              </w:rPr>
            </w:pPr>
          </w:p>
        </w:tc>
        <w:tc>
          <w:tcPr>
            <w:tcW w:w="1481" w:type="dxa"/>
          </w:tcPr>
          <w:p w14:paraId="426FB99E">
            <w:pPr>
              <w:spacing w:line="340" w:lineRule="exact"/>
              <w:rPr>
                <w:rFonts w:ascii="宋体" w:hAnsi="宋体" w:cs="宋体"/>
                <w:sz w:val="24"/>
                <w:highlight w:val="none"/>
              </w:rPr>
            </w:pPr>
          </w:p>
        </w:tc>
        <w:tc>
          <w:tcPr>
            <w:tcW w:w="1584"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593" w:type="dxa"/>
          </w:tcPr>
          <w:p w14:paraId="518FE268">
            <w:pPr>
              <w:spacing w:line="340" w:lineRule="exact"/>
              <w:rPr>
                <w:rFonts w:ascii="宋体" w:hAnsi="宋体" w:cs="宋体"/>
                <w:sz w:val="24"/>
                <w:highlight w:val="none"/>
              </w:rPr>
            </w:pPr>
          </w:p>
        </w:tc>
        <w:tc>
          <w:tcPr>
            <w:tcW w:w="1125" w:type="dxa"/>
          </w:tcPr>
          <w:p w14:paraId="5FAF20F1">
            <w:pPr>
              <w:spacing w:line="340" w:lineRule="exact"/>
              <w:rPr>
                <w:rFonts w:ascii="宋体" w:hAnsi="宋体" w:cs="宋体"/>
                <w:sz w:val="24"/>
                <w:highlight w:val="none"/>
              </w:rPr>
            </w:pPr>
          </w:p>
        </w:tc>
        <w:tc>
          <w:tcPr>
            <w:tcW w:w="987" w:type="dxa"/>
          </w:tcPr>
          <w:p w14:paraId="4EC65352">
            <w:pPr>
              <w:spacing w:line="340" w:lineRule="exact"/>
              <w:rPr>
                <w:rFonts w:ascii="宋体" w:hAnsi="宋体" w:cs="宋体"/>
                <w:sz w:val="24"/>
                <w:highlight w:val="none"/>
              </w:rPr>
            </w:pPr>
          </w:p>
        </w:tc>
        <w:tc>
          <w:tcPr>
            <w:tcW w:w="1481" w:type="dxa"/>
          </w:tcPr>
          <w:p w14:paraId="19A22D03">
            <w:pPr>
              <w:spacing w:line="340" w:lineRule="exact"/>
              <w:rPr>
                <w:rFonts w:ascii="宋体" w:hAnsi="宋体" w:cs="宋体"/>
                <w:sz w:val="24"/>
                <w:highlight w:val="none"/>
              </w:rPr>
            </w:pPr>
          </w:p>
        </w:tc>
        <w:tc>
          <w:tcPr>
            <w:tcW w:w="1584"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987"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593" w:type="dxa"/>
          </w:tcPr>
          <w:p w14:paraId="7428E95E">
            <w:pPr>
              <w:spacing w:line="340" w:lineRule="exact"/>
              <w:rPr>
                <w:rFonts w:ascii="宋体" w:hAnsi="宋体" w:cs="宋体"/>
                <w:sz w:val="24"/>
                <w:highlight w:val="none"/>
              </w:rPr>
            </w:pPr>
          </w:p>
        </w:tc>
        <w:tc>
          <w:tcPr>
            <w:tcW w:w="1125" w:type="dxa"/>
          </w:tcPr>
          <w:p w14:paraId="60124C2E">
            <w:pPr>
              <w:spacing w:line="340" w:lineRule="exact"/>
              <w:rPr>
                <w:rFonts w:ascii="宋体" w:hAnsi="宋体" w:cs="宋体"/>
                <w:sz w:val="24"/>
                <w:highlight w:val="none"/>
              </w:rPr>
            </w:pPr>
          </w:p>
        </w:tc>
        <w:tc>
          <w:tcPr>
            <w:tcW w:w="987" w:type="dxa"/>
          </w:tcPr>
          <w:p w14:paraId="0C7EBFFB">
            <w:pPr>
              <w:spacing w:line="340" w:lineRule="exact"/>
              <w:rPr>
                <w:rFonts w:ascii="宋体" w:hAnsi="宋体" w:cs="宋体"/>
                <w:sz w:val="24"/>
                <w:highlight w:val="none"/>
              </w:rPr>
            </w:pPr>
          </w:p>
        </w:tc>
        <w:tc>
          <w:tcPr>
            <w:tcW w:w="1481" w:type="dxa"/>
          </w:tcPr>
          <w:p w14:paraId="0689A97E">
            <w:pPr>
              <w:spacing w:line="340" w:lineRule="exact"/>
              <w:rPr>
                <w:rFonts w:ascii="宋体" w:hAnsi="宋体" w:cs="宋体"/>
                <w:sz w:val="24"/>
                <w:highlight w:val="none"/>
              </w:rPr>
            </w:pPr>
          </w:p>
        </w:tc>
        <w:tc>
          <w:tcPr>
            <w:tcW w:w="1584"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593" w:type="dxa"/>
          </w:tcPr>
          <w:p w14:paraId="1BD1F7C3">
            <w:pPr>
              <w:spacing w:line="340" w:lineRule="exact"/>
              <w:rPr>
                <w:rFonts w:ascii="宋体" w:hAnsi="宋体" w:cs="宋体"/>
                <w:sz w:val="24"/>
                <w:highlight w:val="none"/>
              </w:rPr>
            </w:pPr>
          </w:p>
        </w:tc>
        <w:tc>
          <w:tcPr>
            <w:tcW w:w="1125" w:type="dxa"/>
          </w:tcPr>
          <w:p w14:paraId="0C9A4849">
            <w:pPr>
              <w:spacing w:line="340" w:lineRule="exact"/>
              <w:rPr>
                <w:rFonts w:ascii="宋体" w:hAnsi="宋体" w:cs="宋体"/>
                <w:sz w:val="24"/>
                <w:highlight w:val="none"/>
              </w:rPr>
            </w:pPr>
          </w:p>
        </w:tc>
        <w:tc>
          <w:tcPr>
            <w:tcW w:w="987" w:type="dxa"/>
          </w:tcPr>
          <w:p w14:paraId="2632B76A">
            <w:pPr>
              <w:spacing w:line="340" w:lineRule="exact"/>
              <w:rPr>
                <w:rFonts w:ascii="宋体" w:hAnsi="宋体" w:cs="宋体"/>
                <w:sz w:val="24"/>
                <w:highlight w:val="none"/>
              </w:rPr>
            </w:pPr>
          </w:p>
        </w:tc>
        <w:tc>
          <w:tcPr>
            <w:tcW w:w="1481" w:type="dxa"/>
          </w:tcPr>
          <w:p w14:paraId="3C38B810">
            <w:pPr>
              <w:spacing w:line="340" w:lineRule="exact"/>
              <w:rPr>
                <w:rFonts w:ascii="宋体" w:hAnsi="宋体" w:cs="宋体"/>
                <w:sz w:val="24"/>
                <w:highlight w:val="none"/>
              </w:rPr>
            </w:pPr>
          </w:p>
        </w:tc>
        <w:tc>
          <w:tcPr>
            <w:tcW w:w="1584"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987"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593" w:type="dxa"/>
          </w:tcPr>
          <w:p w14:paraId="20212E56">
            <w:pPr>
              <w:spacing w:line="340" w:lineRule="exact"/>
              <w:rPr>
                <w:rFonts w:ascii="宋体" w:hAnsi="宋体" w:cs="宋体"/>
                <w:sz w:val="24"/>
                <w:highlight w:val="none"/>
              </w:rPr>
            </w:pPr>
          </w:p>
        </w:tc>
        <w:tc>
          <w:tcPr>
            <w:tcW w:w="1125" w:type="dxa"/>
          </w:tcPr>
          <w:p w14:paraId="3D0DE544">
            <w:pPr>
              <w:spacing w:line="340" w:lineRule="exact"/>
              <w:rPr>
                <w:rFonts w:ascii="宋体" w:hAnsi="宋体" w:cs="宋体"/>
                <w:sz w:val="24"/>
                <w:highlight w:val="none"/>
              </w:rPr>
            </w:pPr>
          </w:p>
        </w:tc>
        <w:tc>
          <w:tcPr>
            <w:tcW w:w="987" w:type="dxa"/>
          </w:tcPr>
          <w:p w14:paraId="25AB6B9B">
            <w:pPr>
              <w:spacing w:line="340" w:lineRule="exact"/>
              <w:rPr>
                <w:rFonts w:ascii="宋体" w:hAnsi="宋体" w:cs="宋体"/>
                <w:sz w:val="24"/>
                <w:highlight w:val="none"/>
              </w:rPr>
            </w:pPr>
          </w:p>
        </w:tc>
        <w:tc>
          <w:tcPr>
            <w:tcW w:w="1481" w:type="dxa"/>
          </w:tcPr>
          <w:p w14:paraId="3C70F20F">
            <w:pPr>
              <w:spacing w:line="340" w:lineRule="exact"/>
              <w:rPr>
                <w:rFonts w:ascii="宋体" w:hAnsi="宋体" w:cs="宋体"/>
                <w:sz w:val="24"/>
                <w:highlight w:val="none"/>
              </w:rPr>
            </w:pPr>
          </w:p>
        </w:tc>
        <w:tc>
          <w:tcPr>
            <w:tcW w:w="1584"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593" w:type="dxa"/>
          </w:tcPr>
          <w:p w14:paraId="2129E396">
            <w:pPr>
              <w:spacing w:line="340" w:lineRule="exact"/>
              <w:rPr>
                <w:rFonts w:ascii="宋体" w:hAnsi="宋体" w:cs="宋体"/>
                <w:sz w:val="24"/>
                <w:highlight w:val="none"/>
              </w:rPr>
            </w:pPr>
          </w:p>
        </w:tc>
        <w:tc>
          <w:tcPr>
            <w:tcW w:w="1125" w:type="dxa"/>
          </w:tcPr>
          <w:p w14:paraId="097D6DCE">
            <w:pPr>
              <w:spacing w:line="340" w:lineRule="exact"/>
              <w:rPr>
                <w:rFonts w:ascii="宋体" w:hAnsi="宋体" w:cs="宋体"/>
                <w:sz w:val="24"/>
                <w:highlight w:val="none"/>
              </w:rPr>
            </w:pPr>
          </w:p>
        </w:tc>
        <w:tc>
          <w:tcPr>
            <w:tcW w:w="987" w:type="dxa"/>
          </w:tcPr>
          <w:p w14:paraId="48792163">
            <w:pPr>
              <w:spacing w:line="340" w:lineRule="exact"/>
              <w:rPr>
                <w:rFonts w:ascii="宋体" w:hAnsi="宋体" w:cs="宋体"/>
                <w:sz w:val="24"/>
                <w:highlight w:val="none"/>
              </w:rPr>
            </w:pPr>
          </w:p>
        </w:tc>
        <w:tc>
          <w:tcPr>
            <w:tcW w:w="1481" w:type="dxa"/>
          </w:tcPr>
          <w:p w14:paraId="5609D017">
            <w:pPr>
              <w:spacing w:line="340" w:lineRule="exact"/>
              <w:rPr>
                <w:rFonts w:ascii="宋体" w:hAnsi="宋体" w:cs="宋体"/>
                <w:sz w:val="24"/>
                <w:highlight w:val="none"/>
              </w:rPr>
            </w:pPr>
          </w:p>
        </w:tc>
        <w:tc>
          <w:tcPr>
            <w:tcW w:w="1584"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987"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593" w:type="dxa"/>
          </w:tcPr>
          <w:p w14:paraId="6F508598">
            <w:pPr>
              <w:spacing w:line="340" w:lineRule="exact"/>
              <w:rPr>
                <w:rFonts w:ascii="宋体" w:hAnsi="宋体" w:cs="宋体"/>
                <w:sz w:val="24"/>
                <w:highlight w:val="none"/>
              </w:rPr>
            </w:pPr>
          </w:p>
        </w:tc>
        <w:tc>
          <w:tcPr>
            <w:tcW w:w="1125" w:type="dxa"/>
          </w:tcPr>
          <w:p w14:paraId="44EDA2B1">
            <w:pPr>
              <w:spacing w:line="340" w:lineRule="exact"/>
              <w:rPr>
                <w:rFonts w:ascii="宋体" w:hAnsi="宋体" w:cs="宋体"/>
                <w:sz w:val="24"/>
                <w:highlight w:val="none"/>
              </w:rPr>
            </w:pPr>
          </w:p>
        </w:tc>
        <w:tc>
          <w:tcPr>
            <w:tcW w:w="987" w:type="dxa"/>
          </w:tcPr>
          <w:p w14:paraId="3F737539">
            <w:pPr>
              <w:spacing w:line="340" w:lineRule="exact"/>
              <w:rPr>
                <w:rFonts w:ascii="宋体" w:hAnsi="宋体" w:cs="宋体"/>
                <w:sz w:val="24"/>
                <w:highlight w:val="none"/>
              </w:rPr>
            </w:pPr>
          </w:p>
        </w:tc>
        <w:tc>
          <w:tcPr>
            <w:tcW w:w="1481" w:type="dxa"/>
          </w:tcPr>
          <w:p w14:paraId="06B9766C">
            <w:pPr>
              <w:spacing w:line="340" w:lineRule="exact"/>
              <w:rPr>
                <w:rFonts w:ascii="宋体" w:hAnsi="宋体" w:cs="宋体"/>
                <w:sz w:val="24"/>
                <w:highlight w:val="none"/>
              </w:rPr>
            </w:pPr>
          </w:p>
        </w:tc>
        <w:tc>
          <w:tcPr>
            <w:tcW w:w="1584"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593" w:type="dxa"/>
          </w:tcPr>
          <w:p w14:paraId="584C5602">
            <w:pPr>
              <w:spacing w:line="340" w:lineRule="exact"/>
              <w:rPr>
                <w:rFonts w:ascii="宋体" w:hAnsi="宋体" w:cs="宋体"/>
                <w:sz w:val="24"/>
                <w:highlight w:val="none"/>
              </w:rPr>
            </w:pPr>
          </w:p>
        </w:tc>
        <w:tc>
          <w:tcPr>
            <w:tcW w:w="1125" w:type="dxa"/>
          </w:tcPr>
          <w:p w14:paraId="3DC6B0E1">
            <w:pPr>
              <w:spacing w:line="340" w:lineRule="exact"/>
              <w:rPr>
                <w:rFonts w:ascii="宋体" w:hAnsi="宋体" w:cs="宋体"/>
                <w:sz w:val="24"/>
                <w:highlight w:val="none"/>
              </w:rPr>
            </w:pPr>
          </w:p>
        </w:tc>
        <w:tc>
          <w:tcPr>
            <w:tcW w:w="987" w:type="dxa"/>
          </w:tcPr>
          <w:p w14:paraId="369E05C7">
            <w:pPr>
              <w:spacing w:line="340" w:lineRule="exact"/>
              <w:rPr>
                <w:rFonts w:ascii="宋体" w:hAnsi="宋体" w:cs="宋体"/>
                <w:sz w:val="24"/>
                <w:highlight w:val="none"/>
              </w:rPr>
            </w:pPr>
          </w:p>
        </w:tc>
        <w:tc>
          <w:tcPr>
            <w:tcW w:w="1481" w:type="dxa"/>
          </w:tcPr>
          <w:p w14:paraId="6259CB90">
            <w:pPr>
              <w:spacing w:line="340" w:lineRule="exact"/>
              <w:rPr>
                <w:rFonts w:ascii="宋体" w:hAnsi="宋体" w:cs="宋体"/>
                <w:sz w:val="24"/>
                <w:highlight w:val="none"/>
              </w:rPr>
            </w:pPr>
          </w:p>
        </w:tc>
        <w:tc>
          <w:tcPr>
            <w:tcW w:w="1584"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593" w:type="dxa"/>
          </w:tcPr>
          <w:p w14:paraId="71CD3189">
            <w:pPr>
              <w:spacing w:line="340" w:lineRule="exact"/>
              <w:rPr>
                <w:rFonts w:ascii="宋体" w:hAnsi="宋体" w:cs="宋体"/>
                <w:sz w:val="24"/>
                <w:highlight w:val="none"/>
              </w:rPr>
            </w:pPr>
          </w:p>
        </w:tc>
        <w:tc>
          <w:tcPr>
            <w:tcW w:w="1125" w:type="dxa"/>
          </w:tcPr>
          <w:p w14:paraId="01C9BD1E">
            <w:pPr>
              <w:spacing w:line="340" w:lineRule="exact"/>
              <w:rPr>
                <w:rFonts w:ascii="宋体" w:hAnsi="宋体" w:cs="宋体"/>
                <w:sz w:val="24"/>
                <w:highlight w:val="none"/>
              </w:rPr>
            </w:pPr>
          </w:p>
        </w:tc>
        <w:tc>
          <w:tcPr>
            <w:tcW w:w="987" w:type="dxa"/>
          </w:tcPr>
          <w:p w14:paraId="01898C06">
            <w:pPr>
              <w:spacing w:line="340" w:lineRule="exact"/>
              <w:rPr>
                <w:rFonts w:ascii="宋体" w:hAnsi="宋体" w:cs="宋体"/>
                <w:sz w:val="24"/>
                <w:highlight w:val="none"/>
              </w:rPr>
            </w:pPr>
          </w:p>
        </w:tc>
        <w:tc>
          <w:tcPr>
            <w:tcW w:w="1481" w:type="dxa"/>
          </w:tcPr>
          <w:p w14:paraId="1DF4CE1A">
            <w:pPr>
              <w:spacing w:line="340" w:lineRule="exact"/>
              <w:rPr>
                <w:rFonts w:ascii="宋体" w:hAnsi="宋体" w:cs="宋体"/>
                <w:sz w:val="24"/>
                <w:highlight w:val="none"/>
              </w:rPr>
            </w:pPr>
          </w:p>
        </w:tc>
        <w:tc>
          <w:tcPr>
            <w:tcW w:w="1584"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593" w:type="dxa"/>
          </w:tcPr>
          <w:p w14:paraId="0576BD7E">
            <w:pPr>
              <w:spacing w:line="340" w:lineRule="exact"/>
              <w:rPr>
                <w:rFonts w:ascii="宋体" w:hAnsi="宋体" w:cs="宋体"/>
                <w:sz w:val="24"/>
                <w:highlight w:val="none"/>
              </w:rPr>
            </w:pPr>
          </w:p>
        </w:tc>
        <w:tc>
          <w:tcPr>
            <w:tcW w:w="1125" w:type="dxa"/>
          </w:tcPr>
          <w:p w14:paraId="631339DE">
            <w:pPr>
              <w:spacing w:line="340" w:lineRule="exact"/>
              <w:rPr>
                <w:rFonts w:ascii="宋体" w:hAnsi="宋体" w:cs="宋体"/>
                <w:sz w:val="24"/>
                <w:highlight w:val="none"/>
              </w:rPr>
            </w:pPr>
          </w:p>
        </w:tc>
        <w:tc>
          <w:tcPr>
            <w:tcW w:w="987" w:type="dxa"/>
          </w:tcPr>
          <w:p w14:paraId="5532CAA8">
            <w:pPr>
              <w:spacing w:line="340" w:lineRule="exact"/>
              <w:rPr>
                <w:rFonts w:ascii="宋体" w:hAnsi="宋体" w:cs="宋体"/>
                <w:sz w:val="24"/>
                <w:highlight w:val="none"/>
              </w:rPr>
            </w:pPr>
          </w:p>
        </w:tc>
        <w:tc>
          <w:tcPr>
            <w:tcW w:w="1481" w:type="dxa"/>
          </w:tcPr>
          <w:p w14:paraId="111003FD">
            <w:pPr>
              <w:spacing w:line="340" w:lineRule="exact"/>
              <w:rPr>
                <w:rFonts w:ascii="宋体" w:hAnsi="宋体" w:cs="宋体"/>
                <w:sz w:val="24"/>
                <w:highlight w:val="none"/>
              </w:rPr>
            </w:pPr>
          </w:p>
        </w:tc>
        <w:tc>
          <w:tcPr>
            <w:tcW w:w="1584"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593" w:type="dxa"/>
          </w:tcPr>
          <w:p w14:paraId="2E84E320">
            <w:pPr>
              <w:spacing w:line="340" w:lineRule="exact"/>
              <w:rPr>
                <w:rFonts w:ascii="宋体" w:hAnsi="宋体" w:cs="宋体"/>
                <w:sz w:val="24"/>
                <w:highlight w:val="none"/>
              </w:rPr>
            </w:pPr>
          </w:p>
        </w:tc>
        <w:tc>
          <w:tcPr>
            <w:tcW w:w="1125" w:type="dxa"/>
          </w:tcPr>
          <w:p w14:paraId="31D2DC0C">
            <w:pPr>
              <w:spacing w:line="340" w:lineRule="exact"/>
              <w:rPr>
                <w:rFonts w:ascii="宋体" w:hAnsi="宋体" w:cs="宋体"/>
                <w:sz w:val="24"/>
                <w:highlight w:val="none"/>
              </w:rPr>
            </w:pPr>
          </w:p>
        </w:tc>
        <w:tc>
          <w:tcPr>
            <w:tcW w:w="987" w:type="dxa"/>
          </w:tcPr>
          <w:p w14:paraId="15C7878F">
            <w:pPr>
              <w:spacing w:line="340" w:lineRule="exact"/>
              <w:rPr>
                <w:rFonts w:ascii="宋体" w:hAnsi="宋体" w:cs="宋体"/>
                <w:sz w:val="24"/>
                <w:highlight w:val="none"/>
              </w:rPr>
            </w:pPr>
          </w:p>
        </w:tc>
        <w:tc>
          <w:tcPr>
            <w:tcW w:w="1481" w:type="dxa"/>
          </w:tcPr>
          <w:p w14:paraId="20EAD244">
            <w:pPr>
              <w:spacing w:line="340" w:lineRule="exact"/>
              <w:rPr>
                <w:rFonts w:ascii="宋体" w:hAnsi="宋体" w:cs="宋体"/>
                <w:sz w:val="24"/>
                <w:highlight w:val="none"/>
              </w:rPr>
            </w:pPr>
          </w:p>
        </w:tc>
        <w:tc>
          <w:tcPr>
            <w:tcW w:w="1584"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593" w:type="dxa"/>
          </w:tcPr>
          <w:p w14:paraId="32AE461F">
            <w:pPr>
              <w:spacing w:line="340" w:lineRule="exact"/>
              <w:rPr>
                <w:rFonts w:ascii="宋体" w:hAnsi="宋体" w:cs="宋体"/>
                <w:sz w:val="24"/>
                <w:highlight w:val="none"/>
              </w:rPr>
            </w:pPr>
          </w:p>
        </w:tc>
        <w:tc>
          <w:tcPr>
            <w:tcW w:w="1125" w:type="dxa"/>
          </w:tcPr>
          <w:p w14:paraId="5C9F4A63">
            <w:pPr>
              <w:spacing w:line="340" w:lineRule="exact"/>
              <w:rPr>
                <w:rFonts w:ascii="宋体" w:hAnsi="宋体" w:cs="宋体"/>
                <w:sz w:val="24"/>
                <w:highlight w:val="none"/>
              </w:rPr>
            </w:pPr>
          </w:p>
        </w:tc>
        <w:tc>
          <w:tcPr>
            <w:tcW w:w="987" w:type="dxa"/>
          </w:tcPr>
          <w:p w14:paraId="3BF350E2">
            <w:pPr>
              <w:spacing w:line="340" w:lineRule="exact"/>
              <w:rPr>
                <w:rFonts w:ascii="宋体" w:hAnsi="宋体" w:cs="宋体"/>
                <w:sz w:val="24"/>
                <w:highlight w:val="none"/>
              </w:rPr>
            </w:pPr>
          </w:p>
        </w:tc>
        <w:tc>
          <w:tcPr>
            <w:tcW w:w="1481" w:type="dxa"/>
          </w:tcPr>
          <w:p w14:paraId="5DBB9FC5">
            <w:pPr>
              <w:spacing w:line="340" w:lineRule="exact"/>
              <w:rPr>
                <w:rFonts w:ascii="宋体" w:hAnsi="宋体" w:cs="宋体"/>
                <w:sz w:val="24"/>
                <w:highlight w:val="none"/>
              </w:rPr>
            </w:pPr>
          </w:p>
        </w:tc>
        <w:tc>
          <w:tcPr>
            <w:tcW w:w="1584"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6414506D">
            <w:pPr>
              <w:spacing w:line="340" w:lineRule="exact"/>
              <w:jc w:val="center"/>
              <w:rPr>
                <w:rFonts w:ascii="宋体" w:hAnsi="宋体" w:cs="宋体"/>
                <w:sz w:val="24"/>
                <w:highlight w:val="none"/>
              </w:rPr>
            </w:pPr>
          </w:p>
        </w:tc>
        <w:tc>
          <w:tcPr>
            <w:tcW w:w="2593"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1125" w:type="dxa"/>
          </w:tcPr>
          <w:p w14:paraId="2DA9F526">
            <w:pPr>
              <w:spacing w:line="340" w:lineRule="exact"/>
              <w:rPr>
                <w:rFonts w:ascii="宋体" w:hAnsi="宋体" w:cs="宋体"/>
                <w:sz w:val="24"/>
                <w:highlight w:val="none"/>
              </w:rPr>
            </w:pPr>
          </w:p>
        </w:tc>
        <w:tc>
          <w:tcPr>
            <w:tcW w:w="987" w:type="dxa"/>
          </w:tcPr>
          <w:p w14:paraId="2AE0E147">
            <w:pPr>
              <w:spacing w:line="340" w:lineRule="exact"/>
              <w:rPr>
                <w:rFonts w:ascii="宋体" w:hAnsi="宋体" w:cs="宋体"/>
                <w:sz w:val="24"/>
                <w:highlight w:val="none"/>
              </w:rPr>
            </w:pPr>
          </w:p>
        </w:tc>
        <w:tc>
          <w:tcPr>
            <w:tcW w:w="1481" w:type="dxa"/>
          </w:tcPr>
          <w:p w14:paraId="3AE4F712">
            <w:pPr>
              <w:spacing w:line="340" w:lineRule="exact"/>
              <w:rPr>
                <w:rFonts w:ascii="宋体" w:hAnsi="宋体" w:cs="宋体"/>
                <w:sz w:val="24"/>
                <w:highlight w:val="none"/>
              </w:rPr>
            </w:pPr>
          </w:p>
        </w:tc>
        <w:tc>
          <w:tcPr>
            <w:tcW w:w="1584"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582DA8DD">
            <w:pPr>
              <w:spacing w:line="340" w:lineRule="exact"/>
              <w:jc w:val="center"/>
              <w:rPr>
                <w:rFonts w:ascii="宋体" w:hAnsi="宋体" w:cs="宋体"/>
                <w:sz w:val="24"/>
                <w:highlight w:val="none"/>
              </w:rPr>
            </w:pPr>
          </w:p>
        </w:tc>
        <w:tc>
          <w:tcPr>
            <w:tcW w:w="2593"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1125" w:type="dxa"/>
          </w:tcPr>
          <w:p w14:paraId="0481F8CD">
            <w:pPr>
              <w:spacing w:line="340" w:lineRule="exact"/>
              <w:rPr>
                <w:rFonts w:ascii="宋体" w:hAnsi="宋体" w:cs="宋体"/>
                <w:sz w:val="24"/>
                <w:highlight w:val="none"/>
              </w:rPr>
            </w:pPr>
          </w:p>
        </w:tc>
        <w:tc>
          <w:tcPr>
            <w:tcW w:w="987" w:type="dxa"/>
          </w:tcPr>
          <w:p w14:paraId="14AE350F">
            <w:pPr>
              <w:spacing w:line="340" w:lineRule="exact"/>
              <w:rPr>
                <w:rFonts w:ascii="宋体" w:hAnsi="宋体" w:cs="宋体"/>
                <w:sz w:val="24"/>
                <w:highlight w:val="none"/>
              </w:rPr>
            </w:pPr>
          </w:p>
        </w:tc>
        <w:tc>
          <w:tcPr>
            <w:tcW w:w="1481" w:type="dxa"/>
          </w:tcPr>
          <w:p w14:paraId="751D58F2">
            <w:pPr>
              <w:spacing w:line="340" w:lineRule="exact"/>
              <w:rPr>
                <w:rFonts w:ascii="宋体" w:hAnsi="宋体" w:cs="宋体"/>
                <w:sz w:val="24"/>
                <w:highlight w:val="none"/>
              </w:rPr>
            </w:pPr>
          </w:p>
        </w:tc>
        <w:tc>
          <w:tcPr>
            <w:tcW w:w="1584"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987" w:type="dxa"/>
          </w:tcPr>
          <w:p w14:paraId="6339EB60">
            <w:pPr>
              <w:spacing w:line="340" w:lineRule="exact"/>
              <w:jc w:val="center"/>
              <w:rPr>
                <w:rFonts w:ascii="宋体" w:hAnsi="宋体" w:cs="宋体"/>
                <w:sz w:val="24"/>
                <w:highlight w:val="none"/>
              </w:rPr>
            </w:pPr>
          </w:p>
        </w:tc>
        <w:tc>
          <w:tcPr>
            <w:tcW w:w="2593"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1125" w:type="dxa"/>
          </w:tcPr>
          <w:p w14:paraId="76E9DC56">
            <w:pPr>
              <w:spacing w:line="340" w:lineRule="exact"/>
              <w:rPr>
                <w:rFonts w:ascii="宋体" w:hAnsi="宋体" w:cs="宋体"/>
                <w:sz w:val="24"/>
                <w:highlight w:val="none"/>
              </w:rPr>
            </w:pPr>
          </w:p>
        </w:tc>
        <w:tc>
          <w:tcPr>
            <w:tcW w:w="987" w:type="dxa"/>
          </w:tcPr>
          <w:p w14:paraId="266B220A">
            <w:pPr>
              <w:spacing w:line="340" w:lineRule="exact"/>
              <w:rPr>
                <w:rFonts w:ascii="宋体" w:hAnsi="宋体" w:cs="宋体"/>
                <w:sz w:val="24"/>
                <w:highlight w:val="none"/>
              </w:rPr>
            </w:pPr>
          </w:p>
        </w:tc>
        <w:tc>
          <w:tcPr>
            <w:tcW w:w="1481" w:type="dxa"/>
          </w:tcPr>
          <w:p w14:paraId="1BEF6035">
            <w:pPr>
              <w:spacing w:line="340" w:lineRule="exact"/>
              <w:rPr>
                <w:rFonts w:ascii="宋体" w:hAnsi="宋体" w:cs="宋体"/>
                <w:sz w:val="24"/>
                <w:highlight w:val="none"/>
              </w:rPr>
            </w:pPr>
          </w:p>
        </w:tc>
        <w:tc>
          <w:tcPr>
            <w:tcW w:w="1584"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987" w:type="dxa"/>
          </w:tcPr>
          <w:p w14:paraId="5F83AD5F">
            <w:pPr>
              <w:spacing w:line="340" w:lineRule="exact"/>
              <w:jc w:val="center"/>
              <w:rPr>
                <w:rFonts w:ascii="宋体" w:hAnsi="宋体" w:cs="宋体"/>
                <w:sz w:val="24"/>
                <w:highlight w:val="none"/>
              </w:rPr>
            </w:pPr>
          </w:p>
        </w:tc>
        <w:tc>
          <w:tcPr>
            <w:tcW w:w="2593"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1125" w:type="dxa"/>
          </w:tcPr>
          <w:p w14:paraId="67A1D64B">
            <w:pPr>
              <w:spacing w:line="340" w:lineRule="exact"/>
              <w:rPr>
                <w:rFonts w:ascii="宋体" w:hAnsi="宋体" w:cs="宋体"/>
                <w:sz w:val="24"/>
                <w:highlight w:val="none"/>
              </w:rPr>
            </w:pPr>
          </w:p>
        </w:tc>
        <w:tc>
          <w:tcPr>
            <w:tcW w:w="987" w:type="dxa"/>
          </w:tcPr>
          <w:p w14:paraId="503D179D">
            <w:pPr>
              <w:spacing w:line="340" w:lineRule="exact"/>
              <w:rPr>
                <w:rFonts w:ascii="宋体" w:hAnsi="宋体" w:cs="宋体"/>
                <w:sz w:val="24"/>
                <w:highlight w:val="none"/>
              </w:rPr>
            </w:pPr>
          </w:p>
        </w:tc>
        <w:tc>
          <w:tcPr>
            <w:tcW w:w="1481" w:type="dxa"/>
          </w:tcPr>
          <w:p w14:paraId="1AA63B6E">
            <w:pPr>
              <w:spacing w:line="340" w:lineRule="exact"/>
              <w:rPr>
                <w:rFonts w:ascii="宋体" w:hAnsi="宋体" w:cs="宋体"/>
                <w:sz w:val="24"/>
                <w:highlight w:val="none"/>
              </w:rPr>
            </w:pPr>
          </w:p>
        </w:tc>
        <w:tc>
          <w:tcPr>
            <w:tcW w:w="1584" w:type="dxa"/>
          </w:tcPr>
          <w:p w14:paraId="7A0B1F78">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w:t>
      </w:r>
      <w:r>
        <w:rPr>
          <w:rFonts w:hint="eastAsia" w:ascii="宋体" w:hAnsi="宋体" w:eastAsia="宋体" w:cs="宋体"/>
          <w:color w:val="auto"/>
          <w:kern w:val="2"/>
          <w:sz w:val="24"/>
          <w:szCs w:val="24"/>
          <w:highlight w:val="none"/>
          <w:lang w:val="en-US" w:eastAsia="zh-CN" w:bidi="ar-SA"/>
        </w:rPr>
        <w:t>〔2022〕19号</w:t>
      </w:r>
      <w:r>
        <w:rPr>
          <w:rFonts w:hint="eastAsia" w:ascii="宋体" w:hAnsi="宋体" w:cs="宋体"/>
          <w:sz w:val="24"/>
          <w:highlight w:val="none"/>
        </w:rPr>
        <w:t>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6"/>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1497D342">
      <w:pPr>
        <w:rPr>
          <w:rFonts w:hint="eastAsia" w:ascii="宋体" w:hAnsi="宋体" w:cs="宋体"/>
          <w:b/>
          <w:bCs/>
          <w:sz w:val="24"/>
          <w:highlight w:val="none"/>
        </w:rPr>
      </w:pPr>
      <w:r>
        <w:rPr>
          <w:rFonts w:hint="eastAsia" w:ascii="宋体" w:hAnsi="宋体" w:cs="宋体"/>
          <w:b/>
          <w:bCs/>
          <w:sz w:val="24"/>
          <w:highlight w:val="none"/>
        </w:rPr>
        <w:br w:type="page"/>
      </w: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0"/>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spacing w:line="360" w:lineRule="auto"/>
        <w:ind w:firstLine="420" w:firstLineChars="200"/>
        <w:rPr>
          <w:rFonts w:ascii="宋体" w:hAnsi="宋体" w:cs="宋体"/>
          <w:highlight w:val="none"/>
        </w:rPr>
      </w:pPr>
      <w:r>
        <w:rPr>
          <w:rFonts w:hint="eastAsia" w:ascii="宋体" w:hAnsi="宋体" w:cs="宋体"/>
          <w:highlight w:val="none"/>
        </w:rPr>
        <w:t>本项目不收取</w:t>
      </w:r>
      <w:r>
        <w:rPr>
          <w:rFonts w:hint="eastAsia" w:ascii="宋体" w:hAnsi="宋体" w:cs="宋体"/>
          <w:b/>
          <w:bCs/>
          <w:szCs w:val="27"/>
          <w:highlight w:val="none"/>
        </w:rPr>
        <w:t xml:space="preserve"> </w:t>
      </w:r>
      <w:r>
        <w:rPr>
          <w:rFonts w:hint="eastAsia" w:ascii="宋体" w:hAnsi="宋体" w:cs="宋体"/>
          <w:szCs w:val="27"/>
          <w:highlight w:val="none"/>
        </w:rPr>
        <w:t>履约（或质量）保证金</w:t>
      </w:r>
    </w:p>
    <w:p w14:paraId="1904FA0F">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3D718673">
      <w:pPr>
        <w:spacing w:line="360" w:lineRule="auto"/>
        <w:ind w:firstLine="420" w:firstLineChars="200"/>
        <w:rPr>
          <w:rFonts w:hint="eastAsia"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7F05EC14">
      <w:pPr>
        <w:rPr>
          <w:rFonts w:hint="eastAsia"/>
          <w:b/>
          <w:sz w:val="32"/>
          <w:szCs w:val="32"/>
          <w:highlight w:val="none"/>
        </w:rPr>
      </w:pPr>
      <w:r>
        <w:rPr>
          <w:rFonts w:hint="eastAsia"/>
          <w:b/>
          <w:sz w:val="32"/>
          <w:szCs w:val="32"/>
          <w:highlight w:val="none"/>
        </w:rPr>
        <w:br w:type="page"/>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DFA02"/>
    <w:multiLevelType w:val="singleLevel"/>
    <w:tmpl w:val="88EDFA02"/>
    <w:lvl w:ilvl="0" w:tentative="0">
      <w:start w:val="1"/>
      <w:numFmt w:val="decimal"/>
      <w:suff w:val="nothing"/>
      <w:lvlText w:val="%1、"/>
      <w:lvlJc w:val="left"/>
    </w:lvl>
  </w:abstractNum>
  <w:abstractNum w:abstractNumId="1">
    <w:nsid w:val="8E3D9CF9"/>
    <w:multiLevelType w:val="singleLevel"/>
    <w:tmpl w:val="8E3D9CF9"/>
    <w:lvl w:ilvl="0" w:tentative="0">
      <w:start w:val="2"/>
      <w:numFmt w:val="decimal"/>
      <w:lvlText w:val="%1."/>
      <w:lvlJc w:val="left"/>
      <w:pPr>
        <w:tabs>
          <w:tab w:val="left" w:pos="312"/>
        </w:tabs>
      </w:p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BD54048"/>
    <w:multiLevelType w:val="singleLevel"/>
    <w:tmpl w:val="1BD54048"/>
    <w:lvl w:ilvl="0" w:tentative="0">
      <w:start w:val="1"/>
      <w:numFmt w:val="decimal"/>
      <w:suff w:val="nothing"/>
      <w:lvlText w:val="（%1）"/>
      <w:lvlJc w:val="left"/>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B643A"/>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AD2"/>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4B0099"/>
    <w:rsid w:val="017C3055"/>
    <w:rsid w:val="018B5C56"/>
    <w:rsid w:val="01934780"/>
    <w:rsid w:val="01C86C1D"/>
    <w:rsid w:val="01DF5C17"/>
    <w:rsid w:val="01EC42D0"/>
    <w:rsid w:val="02104022"/>
    <w:rsid w:val="021533E7"/>
    <w:rsid w:val="021A62ED"/>
    <w:rsid w:val="021F6AE2"/>
    <w:rsid w:val="02300221"/>
    <w:rsid w:val="02305D77"/>
    <w:rsid w:val="023A2E4D"/>
    <w:rsid w:val="0243687E"/>
    <w:rsid w:val="026806B0"/>
    <w:rsid w:val="026C6D7F"/>
    <w:rsid w:val="02734D00"/>
    <w:rsid w:val="027A149C"/>
    <w:rsid w:val="02B07FF7"/>
    <w:rsid w:val="02BA21E0"/>
    <w:rsid w:val="02CA345F"/>
    <w:rsid w:val="02ED333D"/>
    <w:rsid w:val="02F32FFC"/>
    <w:rsid w:val="030636D7"/>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50B6D23"/>
    <w:rsid w:val="050F05C1"/>
    <w:rsid w:val="051259ED"/>
    <w:rsid w:val="05252CCF"/>
    <w:rsid w:val="053718C6"/>
    <w:rsid w:val="056326BB"/>
    <w:rsid w:val="056401E1"/>
    <w:rsid w:val="05645491"/>
    <w:rsid w:val="05936B68"/>
    <w:rsid w:val="05C0008F"/>
    <w:rsid w:val="05F504EE"/>
    <w:rsid w:val="061E4834"/>
    <w:rsid w:val="06253CC7"/>
    <w:rsid w:val="06287461"/>
    <w:rsid w:val="064B1AAF"/>
    <w:rsid w:val="065D2B7B"/>
    <w:rsid w:val="066D7A56"/>
    <w:rsid w:val="06C13B3D"/>
    <w:rsid w:val="07041580"/>
    <w:rsid w:val="072010BD"/>
    <w:rsid w:val="07726BE5"/>
    <w:rsid w:val="07932A4C"/>
    <w:rsid w:val="07D93108"/>
    <w:rsid w:val="07F876A6"/>
    <w:rsid w:val="08306015"/>
    <w:rsid w:val="083E11BD"/>
    <w:rsid w:val="084B4B31"/>
    <w:rsid w:val="08660CC0"/>
    <w:rsid w:val="08703D30"/>
    <w:rsid w:val="088E7A4F"/>
    <w:rsid w:val="08B33959"/>
    <w:rsid w:val="08BB45BC"/>
    <w:rsid w:val="08CC4A1B"/>
    <w:rsid w:val="08DB1CFF"/>
    <w:rsid w:val="08DF474E"/>
    <w:rsid w:val="08F75702"/>
    <w:rsid w:val="09066CD0"/>
    <w:rsid w:val="090F7700"/>
    <w:rsid w:val="092E1232"/>
    <w:rsid w:val="09442803"/>
    <w:rsid w:val="095C6D8E"/>
    <w:rsid w:val="096D2F3E"/>
    <w:rsid w:val="098761CE"/>
    <w:rsid w:val="09885527"/>
    <w:rsid w:val="0989722B"/>
    <w:rsid w:val="09A92667"/>
    <w:rsid w:val="09C23374"/>
    <w:rsid w:val="09D65411"/>
    <w:rsid w:val="09E813E1"/>
    <w:rsid w:val="09EF6C13"/>
    <w:rsid w:val="0A261F09"/>
    <w:rsid w:val="0A2F0DBE"/>
    <w:rsid w:val="0A481E7F"/>
    <w:rsid w:val="0A540824"/>
    <w:rsid w:val="0A652A31"/>
    <w:rsid w:val="0A663E58"/>
    <w:rsid w:val="0A93641A"/>
    <w:rsid w:val="0A9E30AD"/>
    <w:rsid w:val="0AA51080"/>
    <w:rsid w:val="0AB4794F"/>
    <w:rsid w:val="0AC105A6"/>
    <w:rsid w:val="0AC736EC"/>
    <w:rsid w:val="0AEE2A27"/>
    <w:rsid w:val="0B226B74"/>
    <w:rsid w:val="0B867103"/>
    <w:rsid w:val="0B8D4DE8"/>
    <w:rsid w:val="0B93537C"/>
    <w:rsid w:val="0BAE62C0"/>
    <w:rsid w:val="0BBA0B5B"/>
    <w:rsid w:val="0BD0037E"/>
    <w:rsid w:val="0BE04A65"/>
    <w:rsid w:val="0BE35ECF"/>
    <w:rsid w:val="0BEB3B44"/>
    <w:rsid w:val="0C0644C0"/>
    <w:rsid w:val="0C4F74F5"/>
    <w:rsid w:val="0C505731"/>
    <w:rsid w:val="0C522BFB"/>
    <w:rsid w:val="0C626572"/>
    <w:rsid w:val="0C7B02EA"/>
    <w:rsid w:val="0CB8153E"/>
    <w:rsid w:val="0CBB4B8B"/>
    <w:rsid w:val="0CC2416B"/>
    <w:rsid w:val="0CC51EAD"/>
    <w:rsid w:val="0CCA3020"/>
    <w:rsid w:val="0CE71E24"/>
    <w:rsid w:val="0D2B0595"/>
    <w:rsid w:val="0D417345"/>
    <w:rsid w:val="0D4234FE"/>
    <w:rsid w:val="0D9F44AC"/>
    <w:rsid w:val="0DB51369"/>
    <w:rsid w:val="0DC32327"/>
    <w:rsid w:val="0DC54782"/>
    <w:rsid w:val="0DD405FA"/>
    <w:rsid w:val="0DDC1DC5"/>
    <w:rsid w:val="0E3C1CFB"/>
    <w:rsid w:val="0E470868"/>
    <w:rsid w:val="0E4D1706"/>
    <w:rsid w:val="0E590AFF"/>
    <w:rsid w:val="0E745939"/>
    <w:rsid w:val="0EA31D7A"/>
    <w:rsid w:val="0EDB4DDC"/>
    <w:rsid w:val="0EF425D6"/>
    <w:rsid w:val="0F1D0E35"/>
    <w:rsid w:val="0F3F1515"/>
    <w:rsid w:val="0F6634D4"/>
    <w:rsid w:val="0F7F4595"/>
    <w:rsid w:val="0F997970"/>
    <w:rsid w:val="0F9F2542"/>
    <w:rsid w:val="0FD541B5"/>
    <w:rsid w:val="0FDF5034"/>
    <w:rsid w:val="100131FC"/>
    <w:rsid w:val="10141182"/>
    <w:rsid w:val="10234F21"/>
    <w:rsid w:val="10280789"/>
    <w:rsid w:val="10330A53"/>
    <w:rsid w:val="103435D2"/>
    <w:rsid w:val="10482E63"/>
    <w:rsid w:val="10753CA3"/>
    <w:rsid w:val="107B4D5D"/>
    <w:rsid w:val="10855BDB"/>
    <w:rsid w:val="10A67900"/>
    <w:rsid w:val="10AB7932"/>
    <w:rsid w:val="10D62AA4"/>
    <w:rsid w:val="10F90377"/>
    <w:rsid w:val="10F93ED3"/>
    <w:rsid w:val="112F78F5"/>
    <w:rsid w:val="11613351"/>
    <w:rsid w:val="11844488"/>
    <w:rsid w:val="119D5A3B"/>
    <w:rsid w:val="11B36778"/>
    <w:rsid w:val="12080872"/>
    <w:rsid w:val="12103BCB"/>
    <w:rsid w:val="126A32DB"/>
    <w:rsid w:val="12C0739F"/>
    <w:rsid w:val="13070B2A"/>
    <w:rsid w:val="131A1E5E"/>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B75806"/>
    <w:rsid w:val="14DE58BA"/>
    <w:rsid w:val="152E6B10"/>
    <w:rsid w:val="15311E8E"/>
    <w:rsid w:val="15437E13"/>
    <w:rsid w:val="154C6CC8"/>
    <w:rsid w:val="15593193"/>
    <w:rsid w:val="15606711"/>
    <w:rsid w:val="15645374"/>
    <w:rsid w:val="156C736A"/>
    <w:rsid w:val="157C1645"/>
    <w:rsid w:val="1585042C"/>
    <w:rsid w:val="1598015F"/>
    <w:rsid w:val="15981F0D"/>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400B6"/>
    <w:rsid w:val="175B58E8"/>
    <w:rsid w:val="1783656C"/>
    <w:rsid w:val="17944956"/>
    <w:rsid w:val="179A1DFB"/>
    <w:rsid w:val="17C117AD"/>
    <w:rsid w:val="17E10BD4"/>
    <w:rsid w:val="17E86A50"/>
    <w:rsid w:val="180513B0"/>
    <w:rsid w:val="181939B9"/>
    <w:rsid w:val="183323C1"/>
    <w:rsid w:val="18952734"/>
    <w:rsid w:val="18A60DE5"/>
    <w:rsid w:val="18D74DC1"/>
    <w:rsid w:val="18EB2C9C"/>
    <w:rsid w:val="18F57676"/>
    <w:rsid w:val="193006AE"/>
    <w:rsid w:val="195E16BF"/>
    <w:rsid w:val="197C38F7"/>
    <w:rsid w:val="19A60971"/>
    <w:rsid w:val="19A846E9"/>
    <w:rsid w:val="19ED659F"/>
    <w:rsid w:val="1A2024D1"/>
    <w:rsid w:val="1A472154"/>
    <w:rsid w:val="1A6C12ED"/>
    <w:rsid w:val="1A8618F5"/>
    <w:rsid w:val="1A9D7FC6"/>
    <w:rsid w:val="1AA94BBC"/>
    <w:rsid w:val="1AE04F3D"/>
    <w:rsid w:val="1AE259D8"/>
    <w:rsid w:val="1AE34745"/>
    <w:rsid w:val="1AED58EF"/>
    <w:rsid w:val="1B057C4F"/>
    <w:rsid w:val="1B3501FE"/>
    <w:rsid w:val="1B561B37"/>
    <w:rsid w:val="1B960FA2"/>
    <w:rsid w:val="1BD21EF1"/>
    <w:rsid w:val="1BF51B10"/>
    <w:rsid w:val="1C2362A8"/>
    <w:rsid w:val="1C273FEB"/>
    <w:rsid w:val="1C314390"/>
    <w:rsid w:val="1C424981"/>
    <w:rsid w:val="1C5A7422"/>
    <w:rsid w:val="1C940F54"/>
    <w:rsid w:val="1C9A2A0F"/>
    <w:rsid w:val="1CA078F9"/>
    <w:rsid w:val="1CA473E9"/>
    <w:rsid w:val="1CA76EDA"/>
    <w:rsid w:val="1CB12360"/>
    <w:rsid w:val="1CC82894"/>
    <w:rsid w:val="1CDC777D"/>
    <w:rsid w:val="1CDF0421"/>
    <w:rsid w:val="1CEC0D90"/>
    <w:rsid w:val="1CFA2F29"/>
    <w:rsid w:val="1CFF2872"/>
    <w:rsid w:val="1D295B40"/>
    <w:rsid w:val="1D3C5874"/>
    <w:rsid w:val="1D747E59"/>
    <w:rsid w:val="1DA67191"/>
    <w:rsid w:val="1DB01DBE"/>
    <w:rsid w:val="1DB7314C"/>
    <w:rsid w:val="1DCA7323"/>
    <w:rsid w:val="1E430E84"/>
    <w:rsid w:val="1E4F15D7"/>
    <w:rsid w:val="1E4F7829"/>
    <w:rsid w:val="1E7159F1"/>
    <w:rsid w:val="1E982F7E"/>
    <w:rsid w:val="1EA3498E"/>
    <w:rsid w:val="1EA9518B"/>
    <w:rsid w:val="1EBB0A1A"/>
    <w:rsid w:val="1EBF4137"/>
    <w:rsid w:val="1ED301C4"/>
    <w:rsid w:val="1EFC175F"/>
    <w:rsid w:val="1EFF4DAB"/>
    <w:rsid w:val="1F132604"/>
    <w:rsid w:val="1F1C595D"/>
    <w:rsid w:val="1F2667DB"/>
    <w:rsid w:val="1F397F3B"/>
    <w:rsid w:val="1F3A0BB5"/>
    <w:rsid w:val="1F5A46D7"/>
    <w:rsid w:val="1F78690B"/>
    <w:rsid w:val="1FA616CA"/>
    <w:rsid w:val="1FA92FCB"/>
    <w:rsid w:val="1FA94D17"/>
    <w:rsid w:val="1FAB4B1F"/>
    <w:rsid w:val="1FB50AD1"/>
    <w:rsid w:val="1FBC7140"/>
    <w:rsid w:val="1FC252A5"/>
    <w:rsid w:val="1FE12702"/>
    <w:rsid w:val="20193BC8"/>
    <w:rsid w:val="20211A14"/>
    <w:rsid w:val="202D76F6"/>
    <w:rsid w:val="204F3B10"/>
    <w:rsid w:val="20601879"/>
    <w:rsid w:val="20611612"/>
    <w:rsid w:val="2063580D"/>
    <w:rsid w:val="206C021E"/>
    <w:rsid w:val="20981EA4"/>
    <w:rsid w:val="20A51947"/>
    <w:rsid w:val="20EC5803"/>
    <w:rsid w:val="20F36B91"/>
    <w:rsid w:val="21090163"/>
    <w:rsid w:val="21222FD3"/>
    <w:rsid w:val="21747CD2"/>
    <w:rsid w:val="21751354"/>
    <w:rsid w:val="2177331E"/>
    <w:rsid w:val="217C0935"/>
    <w:rsid w:val="218617B3"/>
    <w:rsid w:val="219A700D"/>
    <w:rsid w:val="21E82750"/>
    <w:rsid w:val="21ED67BC"/>
    <w:rsid w:val="21EF55AB"/>
    <w:rsid w:val="220D398C"/>
    <w:rsid w:val="222425A5"/>
    <w:rsid w:val="223C6316"/>
    <w:rsid w:val="22721109"/>
    <w:rsid w:val="228D26CE"/>
    <w:rsid w:val="22EA32EC"/>
    <w:rsid w:val="22F4099F"/>
    <w:rsid w:val="22FD3CF7"/>
    <w:rsid w:val="2301566F"/>
    <w:rsid w:val="23242385"/>
    <w:rsid w:val="23290648"/>
    <w:rsid w:val="23384D2F"/>
    <w:rsid w:val="234731C4"/>
    <w:rsid w:val="237F4F9E"/>
    <w:rsid w:val="23825FAA"/>
    <w:rsid w:val="23B00D6A"/>
    <w:rsid w:val="23CB7951"/>
    <w:rsid w:val="240B2444"/>
    <w:rsid w:val="24165293"/>
    <w:rsid w:val="24634583"/>
    <w:rsid w:val="24727DCD"/>
    <w:rsid w:val="24822706"/>
    <w:rsid w:val="2482721D"/>
    <w:rsid w:val="2483647E"/>
    <w:rsid w:val="248F097F"/>
    <w:rsid w:val="24A10BF5"/>
    <w:rsid w:val="24D70B68"/>
    <w:rsid w:val="24FB6014"/>
    <w:rsid w:val="2519649B"/>
    <w:rsid w:val="251E2F40"/>
    <w:rsid w:val="25203CCD"/>
    <w:rsid w:val="255B5FF6"/>
    <w:rsid w:val="25744FE5"/>
    <w:rsid w:val="2584600A"/>
    <w:rsid w:val="258C3110"/>
    <w:rsid w:val="25DF5936"/>
    <w:rsid w:val="25E46AA9"/>
    <w:rsid w:val="26223BC6"/>
    <w:rsid w:val="262525E5"/>
    <w:rsid w:val="26483AF9"/>
    <w:rsid w:val="264E6012"/>
    <w:rsid w:val="264F324D"/>
    <w:rsid w:val="26802C75"/>
    <w:rsid w:val="26AB07CC"/>
    <w:rsid w:val="26C03072"/>
    <w:rsid w:val="26C32B62"/>
    <w:rsid w:val="26E86A6C"/>
    <w:rsid w:val="26F62F37"/>
    <w:rsid w:val="275D2FB6"/>
    <w:rsid w:val="27610678"/>
    <w:rsid w:val="27873B8F"/>
    <w:rsid w:val="27DA0EE3"/>
    <w:rsid w:val="28593D52"/>
    <w:rsid w:val="285E0D94"/>
    <w:rsid w:val="287B63A6"/>
    <w:rsid w:val="287E4E02"/>
    <w:rsid w:val="28887BBF"/>
    <w:rsid w:val="28B02089"/>
    <w:rsid w:val="28F25980"/>
    <w:rsid w:val="28F33BD2"/>
    <w:rsid w:val="29023E15"/>
    <w:rsid w:val="292A336C"/>
    <w:rsid w:val="295108F9"/>
    <w:rsid w:val="29613C02"/>
    <w:rsid w:val="297E7214"/>
    <w:rsid w:val="29A0718A"/>
    <w:rsid w:val="29BD5D4E"/>
    <w:rsid w:val="29DD218D"/>
    <w:rsid w:val="29DD2CB3"/>
    <w:rsid w:val="2A111E36"/>
    <w:rsid w:val="2A383867"/>
    <w:rsid w:val="2A397C18"/>
    <w:rsid w:val="2A5015D5"/>
    <w:rsid w:val="2A8645D2"/>
    <w:rsid w:val="2AA44A58"/>
    <w:rsid w:val="2AB729DE"/>
    <w:rsid w:val="2AB949A8"/>
    <w:rsid w:val="2AF27EBA"/>
    <w:rsid w:val="2AF63392"/>
    <w:rsid w:val="2AF754D0"/>
    <w:rsid w:val="2B856638"/>
    <w:rsid w:val="2BA2368E"/>
    <w:rsid w:val="2BA67492"/>
    <w:rsid w:val="2BDA1BE3"/>
    <w:rsid w:val="2BE538F2"/>
    <w:rsid w:val="2C0343BA"/>
    <w:rsid w:val="2C047EA4"/>
    <w:rsid w:val="2C66791C"/>
    <w:rsid w:val="2C673F8F"/>
    <w:rsid w:val="2C6B1CD2"/>
    <w:rsid w:val="2CB41783"/>
    <w:rsid w:val="2CC338BC"/>
    <w:rsid w:val="2CE00E0B"/>
    <w:rsid w:val="2D0A7234"/>
    <w:rsid w:val="2D2060D7"/>
    <w:rsid w:val="2D221D01"/>
    <w:rsid w:val="2D2F2CFF"/>
    <w:rsid w:val="2D360531"/>
    <w:rsid w:val="2D515EDF"/>
    <w:rsid w:val="2D531028"/>
    <w:rsid w:val="2D676A80"/>
    <w:rsid w:val="2D7352E2"/>
    <w:rsid w:val="2D7A3266"/>
    <w:rsid w:val="2D7D16CE"/>
    <w:rsid w:val="2DA134D1"/>
    <w:rsid w:val="2DB061CE"/>
    <w:rsid w:val="2DCE2518"/>
    <w:rsid w:val="2DD41AF8"/>
    <w:rsid w:val="2DD9710F"/>
    <w:rsid w:val="2DDB4C35"/>
    <w:rsid w:val="2DE0224B"/>
    <w:rsid w:val="2DE53D06"/>
    <w:rsid w:val="2DFB7085"/>
    <w:rsid w:val="2E4C5718"/>
    <w:rsid w:val="2E591C0D"/>
    <w:rsid w:val="2E8E1A42"/>
    <w:rsid w:val="2EAA4B78"/>
    <w:rsid w:val="2EC95935"/>
    <w:rsid w:val="2F097580"/>
    <w:rsid w:val="2F3740ED"/>
    <w:rsid w:val="2F5F2B72"/>
    <w:rsid w:val="2F7E1D1C"/>
    <w:rsid w:val="2F932167"/>
    <w:rsid w:val="2F9B467C"/>
    <w:rsid w:val="2FAA0D63"/>
    <w:rsid w:val="2FC17E5A"/>
    <w:rsid w:val="2FCA6D0F"/>
    <w:rsid w:val="2FD01CE8"/>
    <w:rsid w:val="2FFD70E5"/>
    <w:rsid w:val="30C212F0"/>
    <w:rsid w:val="30D512C0"/>
    <w:rsid w:val="30D77936"/>
    <w:rsid w:val="30E20088"/>
    <w:rsid w:val="30E50629"/>
    <w:rsid w:val="310D5422"/>
    <w:rsid w:val="31175F84"/>
    <w:rsid w:val="312513B2"/>
    <w:rsid w:val="312863E3"/>
    <w:rsid w:val="313C1E8F"/>
    <w:rsid w:val="31787686"/>
    <w:rsid w:val="31853836"/>
    <w:rsid w:val="318D4498"/>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AC4DF2"/>
    <w:rsid w:val="32C71C2C"/>
    <w:rsid w:val="32E427DE"/>
    <w:rsid w:val="32EC3440"/>
    <w:rsid w:val="33055DF4"/>
    <w:rsid w:val="33482D6D"/>
    <w:rsid w:val="33523A32"/>
    <w:rsid w:val="339B7340"/>
    <w:rsid w:val="33DA636A"/>
    <w:rsid w:val="33EA25D1"/>
    <w:rsid w:val="33F848B7"/>
    <w:rsid w:val="342521E3"/>
    <w:rsid w:val="342A4220"/>
    <w:rsid w:val="34366616"/>
    <w:rsid w:val="345D2848"/>
    <w:rsid w:val="34637732"/>
    <w:rsid w:val="346C2A8B"/>
    <w:rsid w:val="34943D90"/>
    <w:rsid w:val="349A13A6"/>
    <w:rsid w:val="349F69BC"/>
    <w:rsid w:val="34B524C1"/>
    <w:rsid w:val="34C80019"/>
    <w:rsid w:val="34D60CBB"/>
    <w:rsid w:val="34E341D7"/>
    <w:rsid w:val="34FC75A6"/>
    <w:rsid w:val="35030C9C"/>
    <w:rsid w:val="353C4230"/>
    <w:rsid w:val="35A23F2B"/>
    <w:rsid w:val="35A63D7A"/>
    <w:rsid w:val="35C6441D"/>
    <w:rsid w:val="35E14DB3"/>
    <w:rsid w:val="35E85214"/>
    <w:rsid w:val="360311CD"/>
    <w:rsid w:val="360D7E33"/>
    <w:rsid w:val="362C7056"/>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8204506"/>
    <w:rsid w:val="386677F1"/>
    <w:rsid w:val="38AF73EA"/>
    <w:rsid w:val="38B4055C"/>
    <w:rsid w:val="38D95136"/>
    <w:rsid w:val="38DC4FA1"/>
    <w:rsid w:val="38ED03A5"/>
    <w:rsid w:val="38FB1FB4"/>
    <w:rsid w:val="391D25A6"/>
    <w:rsid w:val="39243934"/>
    <w:rsid w:val="39321D68"/>
    <w:rsid w:val="393517E8"/>
    <w:rsid w:val="393C475A"/>
    <w:rsid w:val="393D49F6"/>
    <w:rsid w:val="3942025E"/>
    <w:rsid w:val="396170BB"/>
    <w:rsid w:val="39736669"/>
    <w:rsid w:val="39BD3DD0"/>
    <w:rsid w:val="39D4535A"/>
    <w:rsid w:val="3A10210A"/>
    <w:rsid w:val="3A1514CF"/>
    <w:rsid w:val="3A1C460B"/>
    <w:rsid w:val="3A26548A"/>
    <w:rsid w:val="3A612966"/>
    <w:rsid w:val="3A777A93"/>
    <w:rsid w:val="3A944AE9"/>
    <w:rsid w:val="3AC16F61"/>
    <w:rsid w:val="3ACA2C02"/>
    <w:rsid w:val="3ACC1BCC"/>
    <w:rsid w:val="3ACC4283"/>
    <w:rsid w:val="3AE80991"/>
    <w:rsid w:val="3B075DBD"/>
    <w:rsid w:val="3B08098E"/>
    <w:rsid w:val="3B693880"/>
    <w:rsid w:val="3B8763FC"/>
    <w:rsid w:val="3B903503"/>
    <w:rsid w:val="3B920829"/>
    <w:rsid w:val="3BAE6CD9"/>
    <w:rsid w:val="3BB84807"/>
    <w:rsid w:val="3BC82C9D"/>
    <w:rsid w:val="3C270B87"/>
    <w:rsid w:val="3C3000ED"/>
    <w:rsid w:val="3C371186"/>
    <w:rsid w:val="3C3C2D43"/>
    <w:rsid w:val="3C5207B8"/>
    <w:rsid w:val="3C7921E9"/>
    <w:rsid w:val="3CBE5E4E"/>
    <w:rsid w:val="3CF25AF7"/>
    <w:rsid w:val="3D141F11"/>
    <w:rsid w:val="3D232399"/>
    <w:rsid w:val="3D2E2D19"/>
    <w:rsid w:val="3D31181A"/>
    <w:rsid w:val="3D485717"/>
    <w:rsid w:val="3D733ABD"/>
    <w:rsid w:val="3DA037A5"/>
    <w:rsid w:val="3DC87CB2"/>
    <w:rsid w:val="3DDC65E6"/>
    <w:rsid w:val="3DDF7E2A"/>
    <w:rsid w:val="3E18158D"/>
    <w:rsid w:val="3E216694"/>
    <w:rsid w:val="3E285C74"/>
    <w:rsid w:val="3E3839DE"/>
    <w:rsid w:val="3E4E3201"/>
    <w:rsid w:val="3E7C38CA"/>
    <w:rsid w:val="3E873BCC"/>
    <w:rsid w:val="3E9055C8"/>
    <w:rsid w:val="3EAD617A"/>
    <w:rsid w:val="3EB43064"/>
    <w:rsid w:val="3ECF7E9E"/>
    <w:rsid w:val="3ED96F6F"/>
    <w:rsid w:val="3EEF4D65"/>
    <w:rsid w:val="3EFB5137"/>
    <w:rsid w:val="3F1749BD"/>
    <w:rsid w:val="3F285800"/>
    <w:rsid w:val="3F2A77CA"/>
    <w:rsid w:val="3F4F365B"/>
    <w:rsid w:val="3F4F5483"/>
    <w:rsid w:val="3F577E93"/>
    <w:rsid w:val="3F6A6789"/>
    <w:rsid w:val="3F7D78FA"/>
    <w:rsid w:val="3F9A5B70"/>
    <w:rsid w:val="3FA56E51"/>
    <w:rsid w:val="3FBB0422"/>
    <w:rsid w:val="3FCC6AD3"/>
    <w:rsid w:val="4050500F"/>
    <w:rsid w:val="40517EBE"/>
    <w:rsid w:val="405C7E57"/>
    <w:rsid w:val="409273D5"/>
    <w:rsid w:val="40AC5344"/>
    <w:rsid w:val="40D27557"/>
    <w:rsid w:val="40D6427E"/>
    <w:rsid w:val="40EF3CF6"/>
    <w:rsid w:val="41093759"/>
    <w:rsid w:val="41217879"/>
    <w:rsid w:val="41263FC1"/>
    <w:rsid w:val="412D35A2"/>
    <w:rsid w:val="412F10C8"/>
    <w:rsid w:val="41380196"/>
    <w:rsid w:val="41415EFF"/>
    <w:rsid w:val="414C5664"/>
    <w:rsid w:val="414F52C6"/>
    <w:rsid w:val="41A20564"/>
    <w:rsid w:val="41D026B4"/>
    <w:rsid w:val="41EE4ADF"/>
    <w:rsid w:val="420A5691"/>
    <w:rsid w:val="42213106"/>
    <w:rsid w:val="422E5823"/>
    <w:rsid w:val="425608D6"/>
    <w:rsid w:val="425D589D"/>
    <w:rsid w:val="425F59DD"/>
    <w:rsid w:val="42770F78"/>
    <w:rsid w:val="42935686"/>
    <w:rsid w:val="42982C9D"/>
    <w:rsid w:val="42B6777F"/>
    <w:rsid w:val="42CB6A8E"/>
    <w:rsid w:val="42E3216A"/>
    <w:rsid w:val="43195B8C"/>
    <w:rsid w:val="43574906"/>
    <w:rsid w:val="43640466"/>
    <w:rsid w:val="437234EE"/>
    <w:rsid w:val="43D1290A"/>
    <w:rsid w:val="43EA7528"/>
    <w:rsid w:val="4439400C"/>
    <w:rsid w:val="44C47D79"/>
    <w:rsid w:val="44CB55AC"/>
    <w:rsid w:val="44D0671E"/>
    <w:rsid w:val="44D81A76"/>
    <w:rsid w:val="44F22B38"/>
    <w:rsid w:val="44F45243"/>
    <w:rsid w:val="45050ABD"/>
    <w:rsid w:val="45100658"/>
    <w:rsid w:val="45147157"/>
    <w:rsid w:val="451707F1"/>
    <w:rsid w:val="451A172D"/>
    <w:rsid w:val="452567EA"/>
    <w:rsid w:val="456B16B7"/>
    <w:rsid w:val="45921C25"/>
    <w:rsid w:val="459260C9"/>
    <w:rsid w:val="45E05087"/>
    <w:rsid w:val="45E16709"/>
    <w:rsid w:val="46207231"/>
    <w:rsid w:val="463B6EDA"/>
    <w:rsid w:val="463C0496"/>
    <w:rsid w:val="465313B5"/>
    <w:rsid w:val="4654337F"/>
    <w:rsid w:val="46603AD2"/>
    <w:rsid w:val="46886BA6"/>
    <w:rsid w:val="46D03DFC"/>
    <w:rsid w:val="471A1ED2"/>
    <w:rsid w:val="4743767B"/>
    <w:rsid w:val="474451A1"/>
    <w:rsid w:val="475D052A"/>
    <w:rsid w:val="47777325"/>
    <w:rsid w:val="477E5B11"/>
    <w:rsid w:val="478657BA"/>
    <w:rsid w:val="47C655AE"/>
    <w:rsid w:val="47CA7D9C"/>
    <w:rsid w:val="47CB141F"/>
    <w:rsid w:val="47F46BC7"/>
    <w:rsid w:val="481132D5"/>
    <w:rsid w:val="484216E1"/>
    <w:rsid w:val="48524AAD"/>
    <w:rsid w:val="48627FD5"/>
    <w:rsid w:val="48861F15"/>
    <w:rsid w:val="48AB372A"/>
    <w:rsid w:val="48D72771"/>
    <w:rsid w:val="490552AA"/>
    <w:rsid w:val="497F6965"/>
    <w:rsid w:val="49AB59AC"/>
    <w:rsid w:val="49D722FD"/>
    <w:rsid w:val="49EF3AEA"/>
    <w:rsid w:val="4A003601"/>
    <w:rsid w:val="4A0B1FA6"/>
    <w:rsid w:val="4A1277D9"/>
    <w:rsid w:val="4A260766"/>
    <w:rsid w:val="4A5B1180"/>
    <w:rsid w:val="4AB61684"/>
    <w:rsid w:val="4AF528F5"/>
    <w:rsid w:val="4AF869CF"/>
    <w:rsid w:val="4B313A24"/>
    <w:rsid w:val="4B315A3D"/>
    <w:rsid w:val="4B3D62DA"/>
    <w:rsid w:val="4B5C2F33"/>
    <w:rsid w:val="4B5D6832"/>
    <w:rsid w:val="4B775B45"/>
    <w:rsid w:val="4B7A4CDC"/>
    <w:rsid w:val="4B8225F6"/>
    <w:rsid w:val="4B937D5C"/>
    <w:rsid w:val="4B944C64"/>
    <w:rsid w:val="4C346C1E"/>
    <w:rsid w:val="4C3E2B07"/>
    <w:rsid w:val="4C577725"/>
    <w:rsid w:val="4C63431C"/>
    <w:rsid w:val="4C935807"/>
    <w:rsid w:val="4CAC7A71"/>
    <w:rsid w:val="4CB87FAD"/>
    <w:rsid w:val="4CDA2830"/>
    <w:rsid w:val="4CF22EBA"/>
    <w:rsid w:val="4D091EAA"/>
    <w:rsid w:val="4D153868"/>
    <w:rsid w:val="4D21045F"/>
    <w:rsid w:val="4D471D29"/>
    <w:rsid w:val="4D4C3002"/>
    <w:rsid w:val="4D7F33D7"/>
    <w:rsid w:val="4DA90454"/>
    <w:rsid w:val="4DEA4CF4"/>
    <w:rsid w:val="4E516B22"/>
    <w:rsid w:val="4E79167E"/>
    <w:rsid w:val="4E913FBD"/>
    <w:rsid w:val="4E9F7959"/>
    <w:rsid w:val="4EAA4484"/>
    <w:rsid w:val="4ECF5C98"/>
    <w:rsid w:val="4F245FE4"/>
    <w:rsid w:val="4F6E3703"/>
    <w:rsid w:val="4F960564"/>
    <w:rsid w:val="4FA9473B"/>
    <w:rsid w:val="4FAE58AE"/>
    <w:rsid w:val="4FB11A1F"/>
    <w:rsid w:val="4FE15C83"/>
    <w:rsid w:val="4FFA680C"/>
    <w:rsid w:val="5006393C"/>
    <w:rsid w:val="50243DC2"/>
    <w:rsid w:val="502B33A2"/>
    <w:rsid w:val="503E1327"/>
    <w:rsid w:val="50446212"/>
    <w:rsid w:val="50970A38"/>
    <w:rsid w:val="50981A4B"/>
    <w:rsid w:val="509E3DF3"/>
    <w:rsid w:val="50BD3AD5"/>
    <w:rsid w:val="50EF43D0"/>
    <w:rsid w:val="50FF09C9"/>
    <w:rsid w:val="51024103"/>
    <w:rsid w:val="51084354"/>
    <w:rsid w:val="51143E36"/>
    <w:rsid w:val="511D3BEC"/>
    <w:rsid w:val="51411B30"/>
    <w:rsid w:val="514B6FD6"/>
    <w:rsid w:val="516E3507"/>
    <w:rsid w:val="5177586B"/>
    <w:rsid w:val="517849F0"/>
    <w:rsid w:val="51842D6A"/>
    <w:rsid w:val="519A2E90"/>
    <w:rsid w:val="51A90A23"/>
    <w:rsid w:val="51E90F7F"/>
    <w:rsid w:val="520420FD"/>
    <w:rsid w:val="52390069"/>
    <w:rsid w:val="524F431A"/>
    <w:rsid w:val="52500E9E"/>
    <w:rsid w:val="52861534"/>
    <w:rsid w:val="528D1696"/>
    <w:rsid w:val="52A04D83"/>
    <w:rsid w:val="52AD183E"/>
    <w:rsid w:val="52CB2821"/>
    <w:rsid w:val="52CC5908"/>
    <w:rsid w:val="52D675F5"/>
    <w:rsid w:val="530879CB"/>
    <w:rsid w:val="53117EC5"/>
    <w:rsid w:val="53330CBE"/>
    <w:rsid w:val="53A05E55"/>
    <w:rsid w:val="53A5521A"/>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A7E27"/>
    <w:rsid w:val="554D13F6"/>
    <w:rsid w:val="55766E6E"/>
    <w:rsid w:val="558F3DC0"/>
    <w:rsid w:val="55997DAA"/>
    <w:rsid w:val="55B94FAC"/>
    <w:rsid w:val="55F3226C"/>
    <w:rsid w:val="56165297"/>
    <w:rsid w:val="56486A5C"/>
    <w:rsid w:val="564B654C"/>
    <w:rsid w:val="56B24C1F"/>
    <w:rsid w:val="56CF0F2B"/>
    <w:rsid w:val="56E16569"/>
    <w:rsid w:val="570457DB"/>
    <w:rsid w:val="571C57F3"/>
    <w:rsid w:val="57234DD3"/>
    <w:rsid w:val="57390153"/>
    <w:rsid w:val="57580486"/>
    <w:rsid w:val="575E462C"/>
    <w:rsid w:val="57BD6FD6"/>
    <w:rsid w:val="57C40364"/>
    <w:rsid w:val="57D63BF4"/>
    <w:rsid w:val="57DD1426"/>
    <w:rsid w:val="57DE6E15"/>
    <w:rsid w:val="57E66554"/>
    <w:rsid w:val="57F8000E"/>
    <w:rsid w:val="585711D8"/>
    <w:rsid w:val="586631C9"/>
    <w:rsid w:val="587D519F"/>
    <w:rsid w:val="589A7317"/>
    <w:rsid w:val="59444C41"/>
    <w:rsid w:val="59B52E52"/>
    <w:rsid w:val="59B90367"/>
    <w:rsid w:val="59CC347C"/>
    <w:rsid w:val="59DA41E0"/>
    <w:rsid w:val="59E56370"/>
    <w:rsid w:val="59F900F6"/>
    <w:rsid w:val="59FF7E97"/>
    <w:rsid w:val="5A0C1C4B"/>
    <w:rsid w:val="5A2375CC"/>
    <w:rsid w:val="5A2424B3"/>
    <w:rsid w:val="5A2F4B9E"/>
    <w:rsid w:val="5A3906A0"/>
    <w:rsid w:val="5A7B6CD4"/>
    <w:rsid w:val="5A9919E3"/>
    <w:rsid w:val="5AA12E61"/>
    <w:rsid w:val="5AAE70AA"/>
    <w:rsid w:val="5ABF12B7"/>
    <w:rsid w:val="5AF54CD9"/>
    <w:rsid w:val="5B2A7B0A"/>
    <w:rsid w:val="5B2F58ED"/>
    <w:rsid w:val="5B411CCC"/>
    <w:rsid w:val="5B417B6B"/>
    <w:rsid w:val="5B4B42C4"/>
    <w:rsid w:val="5B54373E"/>
    <w:rsid w:val="5B696F34"/>
    <w:rsid w:val="5B8027F4"/>
    <w:rsid w:val="5B81656C"/>
    <w:rsid w:val="5BA1276A"/>
    <w:rsid w:val="5BC745F2"/>
    <w:rsid w:val="5BCD3B32"/>
    <w:rsid w:val="5BD963A8"/>
    <w:rsid w:val="5C115B42"/>
    <w:rsid w:val="5C1B42CB"/>
    <w:rsid w:val="5C3A276B"/>
    <w:rsid w:val="5C3F7E9C"/>
    <w:rsid w:val="5C4A7263"/>
    <w:rsid w:val="5C5F065B"/>
    <w:rsid w:val="5C6F4617"/>
    <w:rsid w:val="5C982768"/>
    <w:rsid w:val="5CA161B2"/>
    <w:rsid w:val="5CAF68E9"/>
    <w:rsid w:val="5CBC5AAE"/>
    <w:rsid w:val="5CC543A9"/>
    <w:rsid w:val="5CE46DB3"/>
    <w:rsid w:val="5CF27722"/>
    <w:rsid w:val="5D107D9C"/>
    <w:rsid w:val="5D1F7DEB"/>
    <w:rsid w:val="5D3C6BEF"/>
    <w:rsid w:val="5E196F30"/>
    <w:rsid w:val="5E1A1D8F"/>
    <w:rsid w:val="5E2E29DB"/>
    <w:rsid w:val="5E3577AE"/>
    <w:rsid w:val="5E5E2B95"/>
    <w:rsid w:val="5E655CD1"/>
    <w:rsid w:val="5EB855B3"/>
    <w:rsid w:val="5ED510A9"/>
    <w:rsid w:val="5EE21916"/>
    <w:rsid w:val="5F0E295E"/>
    <w:rsid w:val="5F1871E8"/>
    <w:rsid w:val="5F1C0A86"/>
    <w:rsid w:val="5F2416E8"/>
    <w:rsid w:val="5F261B1F"/>
    <w:rsid w:val="5F3B6A32"/>
    <w:rsid w:val="5F4417E0"/>
    <w:rsid w:val="5F457124"/>
    <w:rsid w:val="5F6E5059"/>
    <w:rsid w:val="5F750196"/>
    <w:rsid w:val="5F88669E"/>
    <w:rsid w:val="5FBA204D"/>
    <w:rsid w:val="5FEB2206"/>
    <w:rsid w:val="5FF23595"/>
    <w:rsid w:val="5FF94923"/>
    <w:rsid w:val="60363DC9"/>
    <w:rsid w:val="605F38FD"/>
    <w:rsid w:val="606C7B8D"/>
    <w:rsid w:val="606F72DB"/>
    <w:rsid w:val="608368E3"/>
    <w:rsid w:val="60AC7F80"/>
    <w:rsid w:val="60C56EFB"/>
    <w:rsid w:val="60D22077"/>
    <w:rsid w:val="60F035F8"/>
    <w:rsid w:val="613E10B3"/>
    <w:rsid w:val="6145065A"/>
    <w:rsid w:val="61483DB4"/>
    <w:rsid w:val="61905EB4"/>
    <w:rsid w:val="61BA6334"/>
    <w:rsid w:val="61D373F6"/>
    <w:rsid w:val="61F03F10"/>
    <w:rsid w:val="61FD4500"/>
    <w:rsid w:val="622A5268"/>
    <w:rsid w:val="622F04A1"/>
    <w:rsid w:val="623C143F"/>
    <w:rsid w:val="623E1776"/>
    <w:rsid w:val="62456183"/>
    <w:rsid w:val="62707B3A"/>
    <w:rsid w:val="62744735"/>
    <w:rsid w:val="62A768B8"/>
    <w:rsid w:val="62B334AF"/>
    <w:rsid w:val="62DF24F6"/>
    <w:rsid w:val="63B05C41"/>
    <w:rsid w:val="63BC45E5"/>
    <w:rsid w:val="63C86026"/>
    <w:rsid w:val="63F0603D"/>
    <w:rsid w:val="64025D70"/>
    <w:rsid w:val="643F1B9C"/>
    <w:rsid w:val="64436AB5"/>
    <w:rsid w:val="645C0879"/>
    <w:rsid w:val="645F787B"/>
    <w:rsid w:val="64741C1C"/>
    <w:rsid w:val="647D689B"/>
    <w:rsid w:val="648C064A"/>
    <w:rsid w:val="649F2599"/>
    <w:rsid w:val="64C32E21"/>
    <w:rsid w:val="65055B18"/>
    <w:rsid w:val="651641C9"/>
    <w:rsid w:val="652642B8"/>
    <w:rsid w:val="655C6080"/>
    <w:rsid w:val="65605444"/>
    <w:rsid w:val="656B3097"/>
    <w:rsid w:val="65742119"/>
    <w:rsid w:val="657F2DFA"/>
    <w:rsid w:val="6589499B"/>
    <w:rsid w:val="658E5B0E"/>
    <w:rsid w:val="65A44D2D"/>
    <w:rsid w:val="65B0017A"/>
    <w:rsid w:val="65B0271E"/>
    <w:rsid w:val="65C43C25"/>
    <w:rsid w:val="65DB0A87"/>
    <w:rsid w:val="65EF1521"/>
    <w:rsid w:val="66501015"/>
    <w:rsid w:val="665C4848"/>
    <w:rsid w:val="668A0D6B"/>
    <w:rsid w:val="668D7512"/>
    <w:rsid w:val="66A650D9"/>
    <w:rsid w:val="66AB4942"/>
    <w:rsid w:val="66B94F27"/>
    <w:rsid w:val="66C37A39"/>
    <w:rsid w:val="66DC0AFB"/>
    <w:rsid w:val="66F67E0E"/>
    <w:rsid w:val="66FB243A"/>
    <w:rsid w:val="67303449"/>
    <w:rsid w:val="67872BFA"/>
    <w:rsid w:val="679E1DF4"/>
    <w:rsid w:val="67BD3D46"/>
    <w:rsid w:val="67E73776"/>
    <w:rsid w:val="67F85E08"/>
    <w:rsid w:val="68411B87"/>
    <w:rsid w:val="687951D6"/>
    <w:rsid w:val="688431F8"/>
    <w:rsid w:val="68AB69AF"/>
    <w:rsid w:val="68D653C8"/>
    <w:rsid w:val="68D85250"/>
    <w:rsid w:val="68F6059A"/>
    <w:rsid w:val="69470DF5"/>
    <w:rsid w:val="695D23C7"/>
    <w:rsid w:val="696077C1"/>
    <w:rsid w:val="69666E14"/>
    <w:rsid w:val="697168CC"/>
    <w:rsid w:val="698D4180"/>
    <w:rsid w:val="69AF055A"/>
    <w:rsid w:val="69B51B3F"/>
    <w:rsid w:val="69BF098B"/>
    <w:rsid w:val="69C35B53"/>
    <w:rsid w:val="69C441F4"/>
    <w:rsid w:val="69F50851"/>
    <w:rsid w:val="69FF522C"/>
    <w:rsid w:val="6A294057"/>
    <w:rsid w:val="6A325601"/>
    <w:rsid w:val="6A667059"/>
    <w:rsid w:val="6A674AA1"/>
    <w:rsid w:val="6A885ED1"/>
    <w:rsid w:val="6AAD6A36"/>
    <w:rsid w:val="6ADC3625"/>
    <w:rsid w:val="6B0F25C1"/>
    <w:rsid w:val="6B182A49"/>
    <w:rsid w:val="6B511AB7"/>
    <w:rsid w:val="6B762D04"/>
    <w:rsid w:val="6BC56001"/>
    <w:rsid w:val="6BE9595D"/>
    <w:rsid w:val="6C141316"/>
    <w:rsid w:val="6C660F5A"/>
    <w:rsid w:val="6C8C5F63"/>
    <w:rsid w:val="6C905D74"/>
    <w:rsid w:val="6CCD1611"/>
    <w:rsid w:val="6CD02EB0"/>
    <w:rsid w:val="6D0668D1"/>
    <w:rsid w:val="6D1A1931"/>
    <w:rsid w:val="6D1F0B58"/>
    <w:rsid w:val="6D321474"/>
    <w:rsid w:val="6D3654A5"/>
    <w:rsid w:val="6D443C83"/>
    <w:rsid w:val="6D664A01"/>
    <w:rsid w:val="6D875C64"/>
    <w:rsid w:val="6DA71E62"/>
    <w:rsid w:val="6DB602F7"/>
    <w:rsid w:val="6DDE15FC"/>
    <w:rsid w:val="6DE0518A"/>
    <w:rsid w:val="6DE7336D"/>
    <w:rsid w:val="6E22598D"/>
    <w:rsid w:val="6E250FD9"/>
    <w:rsid w:val="6E3B6A4F"/>
    <w:rsid w:val="6E3F02ED"/>
    <w:rsid w:val="6E5D4C17"/>
    <w:rsid w:val="6E7206C2"/>
    <w:rsid w:val="6EB24C26"/>
    <w:rsid w:val="6EBC037B"/>
    <w:rsid w:val="6ED24CBD"/>
    <w:rsid w:val="6EE47BF5"/>
    <w:rsid w:val="6F047014"/>
    <w:rsid w:val="6F0E46F1"/>
    <w:rsid w:val="6F2439FD"/>
    <w:rsid w:val="6F72024E"/>
    <w:rsid w:val="6F751AEC"/>
    <w:rsid w:val="6FB2689C"/>
    <w:rsid w:val="70075491"/>
    <w:rsid w:val="70253512"/>
    <w:rsid w:val="707F7384"/>
    <w:rsid w:val="7080699B"/>
    <w:rsid w:val="709E54A1"/>
    <w:rsid w:val="70D50A94"/>
    <w:rsid w:val="718F6E95"/>
    <w:rsid w:val="71973F9C"/>
    <w:rsid w:val="71A32941"/>
    <w:rsid w:val="71FD0B25"/>
    <w:rsid w:val="720B620B"/>
    <w:rsid w:val="721147C0"/>
    <w:rsid w:val="721A6835"/>
    <w:rsid w:val="72704323"/>
    <w:rsid w:val="72823C75"/>
    <w:rsid w:val="729F75AC"/>
    <w:rsid w:val="72A430EE"/>
    <w:rsid w:val="72A5093A"/>
    <w:rsid w:val="72BE68BD"/>
    <w:rsid w:val="72C708B1"/>
    <w:rsid w:val="72CD6775"/>
    <w:rsid w:val="72EE22E1"/>
    <w:rsid w:val="73075151"/>
    <w:rsid w:val="731F249B"/>
    <w:rsid w:val="737A5923"/>
    <w:rsid w:val="739A5FC5"/>
    <w:rsid w:val="73C83C54"/>
    <w:rsid w:val="73D31750"/>
    <w:rsid w:val="74170E85"/>
    <w:rsid w:val="74365CEE"/>
    <w:rsid w:val="74392095"/>
    <w:rsid w:val="7447614D"/>
    <w:rsid w:val="7465554B"/>
    <w:rsid w:val="74975370"/>
    <w:rsid w:val="74AA60C2"/>
    <w:rsid w:val="74DE3871"/>
    <w:rsid w:val="74E12E70"/>
    <w:rsid w:val="75096F5F"/>
    <w:rsid w:val="751E6757"/>
    <w:rsid w:val="752B3379"/>
    <w:rsid w:val="752C3E3C"/>
    <w:rsid w:val="759321B8"/>
    <w:rsid w:val="75954C96"/>
    <w:rsid w:val="759E1D9D"/>
    <w:rsid w:val="75CD2682"/>
    <w:rsid w:val="75DA08FB"/>
    <w:rsid w:val="75DC35E9"/>
    <w:rsid w:val="75F0011F"/>
    <w:rsid w:val="75FA2D4B"/>
    <w:rsid w:val="7629538E"/>
    <w:rsid w:val="762F6E99"/>
    <w:rsid w:val="767F69B6"/>
    <w:rsid w:val="769E5BA6"/>
    <w:rsid w:val="76AD66B3"/>
    <w:rsid w:val="77184DE6"/>
    <w:rsid w:val="773D55E5"/>
    <w:rsid w:val="77AE2E62"/>
    <w:rsid w:val="77BE6726"/>
    <w:rsid w:val="77E517D3"/>
    <w:rsid w:val="77ED2E5B"/>
    <w:rsid w:val="77F27C88"/>
    <w:rsid w:val="77FA11D3"/>
    <w:rsid w:val="77FD1797"/>
    <w:rsid w:val="78120820"/>
    <w:rsid w:val="782C4FAF"/>
    <w:rsid w:val="789E20B4"/>
    <w:rsid w:val="789E6834"/>
    <w:rsid w:val="78AF2513"/>
    <w:rsid w:val="78B443FF"/>
    <w:rsid w:val="78BE4504"/>
    <w:rsid w:val="78E0447A"/>
    <w:rsid w:val="78ED1F7D"/>
    <w:rsid w:val="78FA7D89"/>
    <w:rsid w:val="78FB3F8B"/>
    <w:rsid w:val="791365FE"/>
    <w:rsid w:val="793D3D81"/>
    <w:rsid w:val="794A5D98"/>
    <w:rsid w:val="79521FAF"/>
    <w:rsid w:val="795804B5"/>
    <w:rsid w:val="795F7FF3"/>
    <w:rsid w:val="797F3C93"/>
    <w:rsid w:val="799534B7"/>
    <w:rsid w:val="79986B03"/>
    <w:rsid w:val="79DD67E6"/>
    <w:rsid w:val="79FA072F"/>
    <w:rsid w:val="7A3C1B84"/>
    <w:rsid w:val="7A4153ED"/>
    <w:rsid w:val="7A545120"/>
    <w:rsid w:val="7A684727"/>
    <w:rsid w:val="7A835A05"/>
    <w:rsid w:val="7AAC0AB8"/>
    <w:rsid w:val="7AB23BF5"/>
    <w:rsid w:val="7AD26045"/>
    <w:rsid w:val="7AE81103"/>
    <w:rsid w:val="7AEC7106"/>
    <w:rsid w:val="7AFA05E2"/>
    <w:rsid w:val="7B095F0A"/>
    <w:rsid w:val="7B25086A"/>
    <w:rsid w:val="7B9F350A"/>
    <w:rsid w:val="7BA72548"/>
    <w:rsid w:val="7BCB1412"/>
    <w:rsid w:val="7BCF79D9"/>
    <w:rsid w:val="7BDA1655"/>
    <w:rsid w:val="7BDE7397"/>
    <w:rsid w:val="7BFF6846"/>
    <w:rsid w:val="7C0304D8"/>
    <w:rsid w:val="7C10151B"/>
    <w:rsid w:val="7C1A4C7A"/>
    <w:rsid w:val="7C2974E5"/>
    <w:rsid w:val="7C444892"/>
    <w:rsid w:val="7C55371E"/>
    <w:rsid w:val="7C9B74EC"/>
    <w:rsid w:val="7CAE7448"/>
    <w:rsid w:val="7CB62772"/>
    <w:rsid w:val="7CCD4D16"/>
    <w:rsid w:val="7D1110A6"/>
    <w:rsid w:val="7D6F401F"/>
    <w:rsid w:val="7D9D293A"/>
    <w:rsid w:val="7DBB1012"/>
    <w:rsid w:val="7DBF1623"/>
    <w:rsid w:val="7DF36BF7"/>
    <w:rsid w:val="7DF764EE"/>
    <w:rsid w:val="7E33504C"/>
    <w:rsid w:val="7E543E84"/>
    <w:rsid w:val="7E7F0292"/>
    <w:rsid w:val="7E8A310F"/>
    <w:rsid w:val="7EAB278F"/>
    <w:rsid w:val="7EAC5767"/>
    <w:rsid w:val="7EBC3294"/>
    <w:rsid w:val="7EC32874"/>
    <w:rsid w:val="7EC90255"/>
    <w:rsid w:val="7EED5B43"/>
    <w:rsid w:val="7EF40C80"/>
    <w:rsid w:val="7F101066"/>
    <w:rsid w:val="7F2B6293"/>
    <w:rsid w:val="7F331B6A"/>
    <w:rsid w:val="7F565496"/>
    <w:rsid w:val="7F620EF8"/>
    <w:rsid w:val="7F822E3C"/>
    <w:rsid w:val="7F8E2BA0"/>
    <w:rsid w:val="7FD60385"/>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50"/>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2"/>
    <w:qFormat/>
    <w:uiPriority w:val="0"/>
    <w:pPr>
      <w:spacing w:after="120" w:line="480" w:lineRule="auto"/>
    </w:pPr>
  </w:style>
  <w:style w:type="paragraph" w:styleId="23">
    <w:name w:val="Message Header"/>
    <w:basedOn w:val="1"/>
    <w:next w:val="24"/>
    <w:qFormat/>
    <w:uiPriority w:val="0"/>
    <w:pPr>
      <w:widowControl/>
      <w:shd w:val="pct20" w:color="000000" w:fill="auto"/>
      <w:ind w:left="1080" w:hanging="1080"/>
    </w:pPr>
    <w:rPr>
      <w:rFonts w:ascii="Cambria" w:hAnsi="Cambria" w:eastAsia="Cambria"/>
      <w:sz w:val="24"/>
    </w:rPr>
  </w:style>
  <w:style w:type="paragraph" w:customStyle="1" w:styleId="24">
    <w:name w:val="我的正文"/>
    <w:basedOn w:val="11"/>
    <w:qFormat/>
    <w:uiPriority w:val="0"/>
    <w:pPr>
      <w:spacing w:line="500" w:lineRule="exact"/>
      <w:ind w:firstLine="480" w:firstLineChars="200"/>
    </w:pPr>
    <w:rPr>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9"/>
    <w:qFormat/>
    <w:uiPriority w:val="0"/>
    <w:pPr>
      <w:ind w:firstLine="420" w:firstLineChars="100"/>
    </w:pPr>
  </w:style>
  <w:style w:type="paragraph" w:styleId="27">
    <w:name w:val="Body Text First Indent 2"/>
    <w:basedOn w:val="11"/>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4"/>
    <w:semiHidden/>
    <w:qFormat/>
    <w:uiPriority w:val="0"/>
    <w:rPr>
      <w:b/>
      <w:bCs/>
      <w:kern w:val="2"/>
      <w:sz w:val="32"/>
      <w:szCs w:val="32"/>
    </w:rPr>
  </w:style>
  <w:style w:type="paragraph" w:customStyle="1" w:styleId="37">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8">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0"/>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next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6"/>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0"/>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2"/>
    <w:qFormat/>
    <w:uiPriority w:val="0"/>
    <w:rPr>
      <w:kern w:val="2"/>
      <w:sz w:val="21"/>
      <w:szCs w:val="24"/>
    </w:rPr>
  </w:style>
  <w:style w:type="character" w:customStyle="1" w:styleId="73">
    <w:name w:val="NormalCharacter"/>
    <w:qFormat/>
    <w:uiPriority w:val="0"/>
  </w:style>
  <w:style w:type="character" w:customStyle="1" w:styleId="74">
    <w:name w:val="页眉 字符"/>
    <w:link w:val="19"/>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宋体" w:hAnsi="宋体" w:eastAsia="宋体" w:cs="宋体"/>
      <w:b/>
      <w:bCs/>
      <w:color w:val="000000"/>
      <w:sz w:val="24"/>
      <w:szCs w:val="24"/>
      <w:u w:val="none"/>
    </w:rPr>
  </w:style>
  <w:style w:type="character" w:customStyle="1" w:styleId="92">
    <w:name w:val="font51"/>
    <w:basedOn w:val="30"/>
    <w:qFormat/>
    <w:uiPriority w:val="0"/>
    <w:rPr>
      <w:rFonts w:ascii="Arial" w:hAnsi="Arial" w:cs="Arial"/>
      <w:color w:val="000000"/>
      <w:sz w:val="24"/>
      <w:szCs w:val="24"/>
      <w:u w:val="none"/>
    </w:rPr>
  </w:style>
  <w:style w:type="paragraph" w:customStyle="1" w:styleId="93">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11585</Words>
  <Characters>12390</Characters>
  <Lines>146</Lines>
  <Paragraphs>41</Paragraphs>
  <TotalTime>4</TotalTime>
  <ScaleCrop>false</ScaleCrop>
  <LinksUpToDate>false</LinksUpToDate>
  <CharactersWithSpaces>12639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2026-08-03T08:49:01Z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