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34FDC">
      <w:pPr>
        <w:bidi w:val="0"/>
        <w:rPr>
          <w:rFonts w:hint="eastAsia"/>
          <w:highlight w:val="none"/>
        </w:rPr>
      </w:pPr>
    </w:p>
    <w:p w14:paraId="6C9FAA96">
      <w:pPr>
        <w:tabs>
          <w:tab w:val="left" w:pos="420"/>
        </w:tabs>
        <w:spacing w:line="1700" w:lineRule="exact"/>
        <w:jc w:val="center"/>
        <w:rPr>
          <w:rFonts w:hint="eastAsia" w:ascii="宋体" w:hAnsi="宋体" w:eastAsia="宋体" w:cs="宋体"/>
          <w:b/>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bCs/>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5579397F">
      <w:pPr>
        <w:tabs>
          <w:tab w:val="left" w:pos="315"/>
          <w:tab w:val="left" w:pos="8820"/>
        </w:tabs>
        <w:spacing w:line="500" w:lineRule="exact"/>
        <w:ind w:right="267" w:rightChars="127"/>
        <w:jc w:val="center"/>
        <w:rPr>
          <w:rFonts w:hint="eastAsia" w:ascii="宋体" w:hAnsi="宋体" w:eastAsia="宋体" w:cs="宋体"/>
          <w:b/>
          <w:bCs/>
          <w:color w:val="000000"/>
          <w:sz w:val="48"/>
          <w:highlight w:val="none"/>
        </w:rPr>
      </w:pPr>
    </w:p>
    <w:p w14:paraId="538FD50D">
      <w:pPr>
        <w:tabs>
          <w:tab w:val="left" w:pos="315"/>
          <w:tab w:val="left" w:pos="8820"/>
        </w:tabs>
        <w:spacing w:line="500" w:lineRule="exact"/>
        <w:ind w:right="267" w:rightChars="127"/>
        <w:jc w:val="center"/>
        <w:rPr>
          <w:rFonts w:hint="eastAsia" w:ascii="宋体" w:hAnsi="宋体" w:eastAsia="宋体" w:cs="宋体"/>
          <w:b/>
          <w:bCs/>
          <w:color w:val="000000"/>
          <w:sz w:val="52"/>
          <w:highlight w:val="none"/>
        </w:rPr>
      </w:pPr>
    </w:p>
    <w:p w14:paraId="37466740">
      <w:pPr>
        <w:tabs>
          <w:tab w:val="left" w:pos="315"/>
          <w:tab w:val="left" w:pos="8820"/>
        </w:tabs>
        <w:spacing w:line="500" w:lineRule="exact"/>
        <w:ind w:right="267" w:rightChars="127"/>
        <w:jc w:val="center"/>
        <w:rPr>
          <w:rFonts w:hint="eastAsia" w:ascii="宋体" w:hAnsi="宋体" w:eastAsia="宋体" w:cs="宋体"/>
          <w:b/>
          <w:bCs/>
          <w:color w:val="000000"/>
          <w:sz w:val="52"/>
          <w:highlight w:val="none"/>
        </w:rPr>
      </w:pPr>
      <w:r>
        <w:rPr>
          <w:rFonts w:hint="eastAsia" w:ascii="宋体" w:hAnsi="宋体" w:eastAsia="宋体" w:cs="宋体"/>
          <w:b/>
          <w:bCs/>
          <w:color w:val="000000"/>
          <w:sz w:val="52"/>
          <w:highlight w:val="none"/>
        </w:rPr>
        <w:t>政 府 采 购 招 标 文 件</w:t>
      </w:r>
    </w:p>
    <w:p w14:paraId="0185DFEE">
      <w:pPr>
        <w:tabs>
          <w:tab w:val="left" w:pos="315"/>
          <w:tab w:val="left" w:pos="8820"/>
        </w:tabs>
        <w:spacing w:line="500" w:lineRule="exact"/>
        <w:ind w:right="267" w:rightChars="127"/>
        <w:jc w:val="center"/>
        <w:rPr>
          <w:rFonts w:hint="eastAsia" w:ascii="宋体" w:hAnsi="宋体" w:eastAsia="宋体" w:cs="宋体"/>
          <w:color w:val="000000"/>
          <w:sz w:val="44"/>
          <w:highlight w:val="none"/>
        </w:rPr>
      </w:pPr>
    </w:p>
    <w:p w14:paraId="4E6C0015">
      <w:pPr>
        <w:tabs>
          <w:tab w:val="left" w:pos="315"/>
          <w:tab w:val="left" w:pos="8820"/>
        </w:tabs>
        <w:ind w:right="267" w:rightChars="127"/>
        <w:rPr>
          <w:rFonts w:hint="eastAsia" w:ascii="宋体" w:hAnsi="宋体" w:eastAsia="宋体" w:cs="宋体"/>
          <w:color w:val="000000"/>
          <w:sz w:val="44"/>
          <w:highlight w:val="none"/>
        </w:rPr>
      </w:pPr>
    </w:p>
    <w:p w14:paraId="4F3CF5D0">
      <w:pPr>
        <w:tabs>
          <w:tab w:val="left" w:pos="315"/>
          <w:tab w:val="left" w:pos="8820"/>
        </w:tabs>
        <w:ind w:right="267" w:rightChars="127"/>
        <w:rPr>
          <w:rFonts w:hint="eastAsia" w:ascii="宋体" w:hAnsi="宋体" w:eastAsia="宋体" w:cs="宋体"/>
          <w:color w:val="000000"/>
          <w:sz w:val="44"/>
          <w:highlight w:val="none"/>
        </w:rPr>
      </w:pPr>
    </w:p>
    <w:p w14:paraId="018512BA">
      <w:pPr>
        <w:tabs>
          <w:tab w:val="left" w:pos="315"/>
          <w:tab w:val="left" w:pos="8820"/>
        </w:tabs>
        <w:ind w:right="267" w:rightChars="127"/>
        <w:rPr>
          <w:rFonts w:hint="eastAsia" w:ascii="宋体" w:hAnsi="宋体" w:eastAsia="宋体" w:cs="宋体"/>
          <w:color w:val="000000"/>
          <w:sz w:val="44"/>
          <w:highlight w:val="none"/>
        </w:rPr>
      </w:pPr>
    </w:p>
    <w:p w14:paraId="51E7D5E9">
      <w:pPr>
        <w:tabs>
          <w:tab w:val="left" w:pos="315"/>
          <w:tab w:val="left" w:pos="8820"/>
        </w:tabs>
        <w:ind w:right="267" w:rightChars="127"/>
        <w:rPr>
          <w:rFonts w:hint="eastAsia" w:ascii="宋体" w:hAnsi="宋体" w:eastAsia="宋体" w:cs="宋体"/>
          <w:color w:val="000000"/>
          <w:sz w:val="44"/>
          <w:highlight w:val="none"/>
        </w:rPr>
      </w:pPr>
    </w:p>
    <w:p w14:paraId="403E36DB">
      <w:pPr>
        <w:tabs>
          <w:tab w:val="left" w:pos="315"/>
          <w:tab w:val="left" w:pos="8820"/>
        </w:tabs>
        <w:spacing w:line="500" w:lineRule="exact"/>
        <w:ind w:right="267" w:rightChars="127"/>
        <w:rPr>
          <w:rFonts w:hint="eastAsia" w:ascii="宋体" w:hAnsi="宋体" w:eastAsia="宋体" w:cs="宋体"/>
          <w:sz w:val="36"/>
          <w:highlight w:val="none"/>
        </w:rPr>
      </w:pPr>
    </w:p>
    <w:p w14:paraId="34A2FC9F">
      <w:pPr>
        <w:pStyle w:val="7"/>
        <w:spacing w:line="360" w:lineRule="auto"/>
        <w:ind w:firstLine="643" w:firstLineChars="200"/>
        <w:rPr>
          <w:rFonts w:hint="eastAsia" w:ascii="宋体" w:hAnsi="宋体" w:eastAsia="宋体" w:cs="宋体"/>
          <w:sz w:val="32"/>
          <w:szCs w:val="32"/>
          <w:highlight w:val="none"/>
        </w:rPr>
      </w:pPr>
    </w:p>
    <w:p w14:paraId="1A94DD05">
      <w:pPr>
        <w:pStyle w:val="7"/>
        <w:spacing w:line="360" w:lineRule="auto"/>
        <w:ind w:firstLine="643" w:firstLineChars="200"/>
        <w:rPr>
          <w:rFonts w:hint="eastAsia" w:ascii="宋体" w:hAnsi="宋体" w:eastAsia="宋体" w:cs="宋体"/>
          <w:sz w:val="32"/>
          <w:szCs w:val="32"/>
          <w:highlight w:val="none"/>
        </w:rPr>
      </w:pPr>
    </w:p>
    <w:p w14:paraId="44580A68">
      <w:pPr>
        <w:pStyle w:val="7"/>
        <w:spacing w:line="360" w:lineRule="auto"/>
        <w:ind w:firstLine="643" w:firstLineChars="200"/>
        <w:rPr>
          <w:rFonts w:hint="eastAsia" w:ascii="宋体" w:hAnsi="宋体" w:eastAsia="宋体" w:cs="宋体"/>
          <w:sz w:val="32"/>
          <w:szCs w:val="32"/>
          <w:highlight w:val="none"/>
        </w:rPr>
      </w:pPr>
    </w:p>
    <w:p w14:paraId="0E210BAC">
      <w:pPr>
        <w:pStyle w:val="7"/>
        <w:spacing w:line="360" w:lineRule="auto"/>
        <w:ind w:firstLine="640" w:firstLineChars="200"/>
        <w:rPr>
          <w:rFonts w:hint="eastAsia" w:ascii="宋体" w:hAnsi="宋体" w:eastAsia="宋体" w:cs="宋体"/>
          <w:b w:val="0"/>
          <w:bCs/>
          <w:sz w:val="32"/>
          <w:szCs w:val="32"/>
          <w:highlight w:val="none"/>
        </w:rPr>
      </w:pPr>
    </w:p>
    <w:p w14:paraId="42CCCD26">
      <w:pPr>
        <w:pStyle w:val="7"/>
        <w:spacing w:line="360" w:lineRule="auto"/>
        <w:ind w:firstLine="640" w:firstLineChars="200"/>
        <w:rPr>
          <w:rFonts w:hint="eastAsia" w:ascii="宋体" w:hAnsi="宋体" w:eastAsia="宋体" w:cs="宋体"/>
          <w:b w:val="0"/>
          <w:bCs/>
          <w:sz w:val="32"/>
          <w:szCs w:val="32"/>
          <w:highlight w:val="none"/>
        </w:rPr>
      </w:pPr>
    </w:p>
    <w:p w14:paraId="304CFAEB">
      <w:pPr>
        <w:pStyle w:val="7"/>
        <w:spacing w:line="360" w:lineRule="auto"/>
        <w:ind w:firstLine="640" w:firstLineChars="200"/>
        <w:rPr>
          <w:rFonts w:hint="eastAsia" w:ascii="宋体" w:hAnsi="宋体" w:eastAsia="宋体" w:cs="宋体"/>
          <w:b w:val="0"/>
          <w:bCs/>
          <w:sz w:val="32"/>
          <w:szCs w:val="32"/>
          <w:highlight w:val="none"/>
          <w:lang w:val="en-US" w:eastAsia="zh-CN"/>
        </w:rPr>
      </w:pPr>
      <w:r>
        <w:rPr>
          <w:rFonts w:hint="eastAsia" w:ascii="宋体" w:hAnsi="宋体" w:eastAsia="宋体" w:cs="宋体"/>
          <w:b w:val="0"/>
          <w:bCs/>
          <w:sz w:val="32"/>
          <w:szCs w:val="32"/>
          <w:highlight w:val="none"/>
        </w:rPr>
        <w:t>项目名称</w:t>
      </w:r>
      <w:r>
        <w:rPr>
          <w:rFonts w:hint="eastAsia" w:ascii="宋体" w:hAnsi="宋体" w:eastAsia="宋体" w:cs="宋体"/>
          <w:b w:val="0"/>
          <w:bCs/>
          <w:szCs w:val="28"/>
          <w:highlight w:val="none"/>
        </w:rPr>
        <w:t>：</w:t>
      </w:r>
      <w:r>
        <w:rPr>
          <w:rFonts w:hint="eastAsia" w:ascii="宋体" w:hAnsi="宋体" w:eastAsia="宋体" w:cs="宋体"/>
          <w:b w:val="0"/>
          <w:bCs/>
          <w:sz w:val="32"/>
          <w:szCs w:val="32"/>
          <w:highlight w:val="none"/>
          <w:lang w:val="en-US" w:eastAsia="zh-CN"/>
        </w:rPr>
        <w:t>太康县教育体育局2026---2027学年度校园餐、</w:t>
      </w:r>
    </w:p>
    <w:p w14:paraId="3A4A726C">
      <w:pPr>
        <w:pStyle w:val="7"/>
        <w:spacing w:line="360" w:lineRule="auto"/>
        <w:ind w:firstLine="2240" w:firstLineChars="700"/>
        <w:rPr>
          <w:rFonts w:hint="default" w:ascii="宋体" w:hAnsi="宋体" w:eastAsia="宋体" w:cs="宋体"/>
          <w:b w:val="0"/>
          <w:bCs/>
          <w:sz w:val="32"/>
          <w:highlight w:val="none"/>
          <w:lang w:val="en-US" w:eastAsia="zh-CN"/>
        </w:rPr>
      </w:pPr>
      <w:r>
        <w:rPr>
          <w:rFonts w:hint="eastAsia" w:ascii="宋体" w:hAnsi="宋体" w:eastAsia="宋体" w:cs="宋体"/>
          <w:b w:val="0"/>
          <w:bCs/>
          <w:sz w:val="32"/>
          <w:szCs w:val="32"/>
          <w:highlight w:val="none"/>
          <w:lang w:val="en-US" w:eastAsia="zh-CN"/>
        </w:rPr>
        <w:t>营养餐大宗食材采购项目</w:t>
      </w:r>
    </w:p>
    <w:p w14:paraId="38221939">
      <w:pPr>
        <w:pStyle w:val="7"/>
        <w:spacing w:line="360" w:lineRule="auto"/>
        <w:ind w:firstLine="640" w:firstLineChars="200"/>
        <w:rPr>
          <w:rFonts w:hint="default" w:ascii="宋体" w:hAnsi="宋体" w:eastAsia="宋体" w:cs="宋体"/>
          <w:b w:val="0"/>
          <w:bCs/>
          <w:sz w:val="32"/>
          <w:highlight w:val="none"/>
          <w:lang w:val="en-US" w:eastAsia="zh-CN"/>
        </w:rPr>
      </w:pPr>
      <w:r>
        <w:rPr>
          <w:rFonts w:hint="eastAsia" w:ascii="宋体" w:hAnsi="宋体" w:eastAsia="宋体" w:cs="宋体"/>
          <w:b w:val="0"/>
          <w:bCs/>
          <w:sz w:val="32"/>
          <w:highlight w:val="none"/>
        </w:rPr>
        <w:t>项目编号：</w:t>
      </w:r>
      <w:r>
        <w:rPr>
          <w:rFonts w:hint="eastAsia" w:ascii="宋体" w:hAnsi="宋体" w:eastAsia="宋体" w:cs="宋体"/>
          <w:b w:val="0"/>
          <w:bCs/>
          <w:sz w:val="32"/>
          <w:highlight w:val="none"/>
          <w:lang w:val="en-US" w:eastAsia="zh-CN"/>
        </w:rPr>
        <w:t>太财招标采购-2026-23</w:t>
      </w:r>
    </w:p>
    <w:p w14:paraId="3F8EAFED">
      <w:pPr>
        <w:spacing w:line="360" w:lineRule="auto"/>
        <w:jc w:val="center"/>
        <w:rPr>
          <w:rFonts w:hint="eastAsia" w:ascii="宋体" w:hAnsi="宋体" w:eastAsia="宋体" w:cs="宋体"/>
          <w:b w:val="0"/>
          <w:bCs/>
          <w:color w:val="000000"/>
          <w:spacing w:val="-4"/>
          <w:sz w:val="32"/>
          <w:szCs w:val="32"/>
          <w:highlight w:val="none"/>
        </w:rPr>
      </w:pPr>
    </w:p>
    <w:p w14:paraId="626A2460">
      <w:pPr>
        <w:spacing w:line="360" w:lineRule="auto"/>
        <w:jc w:val="center"/>
        <w:rPr>
          <w:rFonts w:hint="default" w:ascii="宋体" w:hAnsi="宋体" w:eastAsia="宋体" w:cs="宋体"/>
          <w:b w:val="0"/>
          <w:bCs/>
          <w:color w:val="000000"/>
          <w:spacing w:val="-4"/>
          <w:sz w:val="36"/>
          <w:szCs w:val="36"/>
          <w:highlight w:val="none"/>
          <w:lang w:val="en-US" w:eastAsia="zh-CN"/>
        </w:rPr>
      </w:pPr>
      <w:r>
        <w:rPr>
          <w:rFonts w:hint="eastAsia" w:ascii="宋体" w:hAnsi="宋体" w:eastAsia="宋体" w:cs="宋体"/>
          <w:b w:val="0"/>
          <w:bCs/>
          <w:i w:val="0"/>
          <w:iCs w:val="0"/>
          <w:color w:val="000000"/>
          <w:sz w:val="32"/>
          <w:szCs w:val="32"/>
          <w:highlight w:val="none"/>
          <w:shd w:val="clear" w:color="auto" w:fill="FFFFFF"/>
          <w:lang w:val="en-US" w:eastAsia="zh-CN"/>
        </w:rPr>
        <w:t>202</w:t>
      </w:r>
      <w:r>
        <w:rPr>
          <w:rFonts w:hint="eastAsia" w:ascii="宋体" w:hAnsi="宋体" w:cs="宋体"/>
          <w:b w:val="0"/>
          <w:bCs/>
          <w:i w:val="0"/>
          <w:iCs w:val="0"/>
          <w:color w:val="000000"/>
          <w:sz w:val="32"/>
          <w:szCs w:val="32"/>
          <w:highlight w:val="none"/>
          <w:shd w:val="clear" w:color="auto" w:fill="FFFFFF"/>
          <w:lang w:val="en-US" w:eastAsia="zh-CN"/>
        </w:rPr>
        <w:t>6</w:t>
      </w:r>
      <w:r>
        <w:rPr>
          <w:rFonts w:hint="eastAsia" w:ascii="宋体" w:hAnsi="宋体" w:eastAsia="宋体" w:cs="宋体"/>
          <w:b w:val="0"/>
          <w:bCs/>
          <w:i w:val="0"/>
          <w:iCs w:val="0"/>
          <w:color w:val="000000"/>
          <w:spacing w:val="-4"/>
          <w:sz w:val="32"/>
          <w:szCs w:val="32"/>
          <w:highlight w:val="none"/>
        </w:rPr>
        <w:t>年</w:t>
      </w:r>
      <w:r>
        <w:rPr>
          <w:rFonts w:hint="eastAsia" w:ascii="宋体" w:hAnsi="宋体" w:cs="宋体"/>
          <w:b w:val="0"/>
          <w:bCs/>
          <w:i w:val="0"/>
          <w:iCs w:val="0"/>
          <w:color w:val="000000"/>
          <w:sz w:val="32"/>
          <w:szCs w:val="32"/>
          <w:highlight w:val="none"/>
          <w:shd w:val="clear" w:color="auto" w:fill="FFFFFF"/>
          <w:lang w:val="en-US" w:eastAsia="zh-CN"/>
        </w:rPr>
        <w:t>8</w:t>
      </w:r>
      <w:r>
        <w:rPr>
          <w:rFonts w:hint="eastAsia" w:ascii="宋体" w:hAnsi="宋体" w:eastAsia="宋体" w:cs="宋体"/>
          <w:b w:val="0"/>
          <w:bCs/>
          <w:i w:val="0"/>
          <w:iCs w:val="0"/>
          <w:color w:val="000000"/>
          <w:spacing w:val="-4"/>
          <w:sz w:val="32"/>
          <w:szCs w:val="32"/>
          <w:highlight w:val="none"/>
        </w:rPr>
        <w:t>月</w:t>
      </w:r>
      <w:r>
        <w:rPr>
          <w:rFonts w:hint="eastAsia" w:ascii="宋体" w:hAnsi="宋体" w:cs="宋体"/>
          <w:b w:val="0"/>
          <w:bCs/>
          <w:i w:val="0"/>
          <w:iCs w:val="0"/>
          <w:color w:val="000000"/>
          <w:spacing w:val="-4"/>
          <w:sz w:val="32"/>
          <w:szCs w:val="32"/>
          <w:highlight w:val="none"/>
          <w:lang w:val="en-US" w:eastAsia="zh-CN"/>
        </w:rPr>
        <w:t>25日</w:t>
      </w:r>
    </w:p>
    <w:p w14:paraId="4F618B1D">
      <w:pPr>
        <w:pStyle w:val="7"/>
        <w:jc w:val="center"/>
        <w:rPr>
          <w:rFonts w:hint="eastAsia" w:ascii="宋体" w:hAnsi="宋体" w:eastAsia="宋体" w:cs="宋体"/>
          <w:highlight w:val="none"/>
        </w:rPr>
      </w:pPr>
    </w:p>
    <w:p w14:paraId="5AA2779F">
      <w:pPr>
        <w:pStyle w:val="7"/>
        <w:jc w:val="center"/>
        <w:rPr>
          <w:rFonts w:hint="eastAsia" w:ascii="宋体" w:hAnsi="宋体" w:eastAsia="宋体" w:cs="宋体"/>
          <w:highlight w:val="none"/>
        </w:rPr>
      </w:pPr>
    </w:p>
    <w:p w14:paraId="21C0C194">
      <w:pPr>
        <w:pStyle w:val="7"/>
        <w:jc w:val="both"/>
        <w:rPr>
          <w:rFonts w:hint="eastAsia" w:ascii="宋体" w:hAnsi="宋体" w:eastAsia="宋体" w:cs="宋体"/>
          <w:highlight w:val="none"/>
        </w:rPr>
      </w:pPr>
    </w:p>
    <w:p w14:paraId="08194901">
      <w:pPr>
        <w:tabs>
          <w:tab w:val="left" w:pos="4620"/>
        </w:tabs>
        <w:spacing w:line="500" w:lineRule="exact"/>
        <w:jc w:val="center"/>
        <w:rPr>
          <w:rFonts w:hint="eastAsia" w:ascii="宋体" w:hAnsi="宋体" w:eastAsia="宋体" w:cs="宋体"/>
          <w:b/>
          <w:sz w:val="32"/>
          <w:highlight w:val="none"/>
        </w:rPr>
      </w:pPr>
      <w:r>
        <w:rPr>
          <w:rFonts w:hint="eastAsia" w:ascii="宋体" w:hAnsi="宋体" w:cs="宋体"/>
          <w:b/>
          <w:sz w:val="32"/>
          <w:highlight w:val="none"/>
          <w:lang w:val="en-US" w:eastAsia="zh-CN"/>
        </w:rPr>
        <w:t xml:space="preserve">   </w:t>
      </w:r>
      <w:r>
        <w:rPr>
          <w:rFonts w:hint="eastAsia" w:ascii="宋体" w:hAnsi="宋体" w:eastAsia="宋体" w:cs="宋体"/>
          <w:b/>
          <w:sz w:val="32"/>
          <w:highlight w:val="none"/>
        </w:rPr>
        <w:t>目  录</w:t>
      </w:r>
    </w:p>
    <w:p w14:paraId="6D35CA15">
      <w:pPr>
        <w:pStyle w:val="16"/>
        <w:tabs>
          <w:tab w:val="right" w:leader="dot" w:pos="8390"/>
        </w:tabs>
        <w:jc w:val="left"/>
        <w:rPr>
          <w:rFonts w:hint="eastAsia" w:ascii="宋体" w:hAnsi="宋体" w:eastAsia="宋体" w:cs="宋体"/>
          <w:bCs/>
          <w:caps/>
          <w:smallCaps/>
          <w:sz w:val="32"/>
          <w:szCs w:val="32"/>
          <w:highlight w:val="none"/>
        </w:rPr>
      </w:pPr>
      <w:bookmarkStart w:id="0" w:name="_Hlt526418134"/>
      <w:bookmarkEnd w:id="0"/>
      <w:bookmarkStart w:id="1" w:name="_Hlt533241375"/>
      <w:bookmarkEnd w:id="1"/>
      <w:bookmarkStart w:id="2" w:name="_Hlt519045295"/>
      <w:bookmarkEnd w:id="2"/>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TOC \o "1-3" \h \z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_Toc20608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第一章  招标公告</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_Toc20608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3</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51803417">
      <w:pPr>
        <w:pStyle w:val="16"/>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_Toc8586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 xml:space="preserve">第二章 </w:t>
      </w:r>
      <w:r>
        <w:rPr>
          <w:rFonts w:hint="eastAsia" w:ascii="宋体" w:hAnsi="宋体" w:cs="宋体"/>
          <w:bCs/>
          <w:caps/>
          <w:smallCaps/>
          <w:sz w:val="32"/>
          <w:szCs w:val="32"/>
          <w:highlight w:val="none"/>
          <w:lang w:eastAsia="zh-CN"/>
        </w:rPr>
        <w:t>供应商</w:t>
      </w:r>
      <w:r>
        <w:rPr>
          <w:rFonts w:hint="eastAsia" w:ascii="宋体" w:hAnsi="宋体" w:eastAsia="宋体" w:cs="宋体"/>
          <w:bCs/>
          <w:caps/>
          <w:smallCaps/>
          <w:sz w:val="32"/>
          <w:szCs w:val="32"/>
          <w:highlight w:val="none"/>
        </w:rPr>
        <w:t>须知前附表</w:t>
      </w:r>
      <w:r>
        <w:rPr>
          <w:rFonts w:hint="eastAsia" w:ascii="宋体" w:hAnsi="宋体" w:eastAsia="宋体" w:cs="宋体"/>
          <w:bCs/>
          <w:caps/>
          <w:smallCaps/>
          <w:sz w:val="32"/>
          <w:szCs w:val="32"/>
          <w:highlight w:val="none"/>
        </w:rPr>
        <w:tab/>
      </w:r>
      <w:r>
        <w:rPr>
          <w:rFonts w:hint="eastAsia" w:ascii="宋体" w:hAnsi="宋体" w:cs="宋体"/>
          <w:bCs/>
          <w:caps/>
          <w:smallCaps/>
          <w:sz w:val="32"/>
          <w:szCs w:val="32"/>
          <w:highlight w:val="none"/>
          <w:lang w:val="en-US" w:eastAsia="zh-CN"/>
        </w:rPr>
        <w:t>7</w:t>
      </w:r>
      <w:r>
        <w:rPr>
          <w:rFonts w:hint="eastAsia" w:ascii="宋体" w:hAnsi="宋体" w:eastAsia="宋体" w:cs="宋体"/>
          <w:bCs/>
          <w:caps/>
          <w:smallCaps/>
          <w:sz w:val="32"/>
          <w:szCs w:val="32"/>
          <w:highlight w:val="none"/>
        </w:rPr>
        <w:fldChar w:fldCharType="end"/>
      </w:r>
    </w:p>
    <w:p w14:paraId="24B97C46">
      <w:pPr>
        <w:pStyle w:val="16"/>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_Toc22493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第三章</w:t>
      </w:r>
      <w:r>
        <w:rPr>
          <w:rFonts w:hint="eastAsia" w:ascii="宋体" w:hAnsi="宋体" w:eastAsia="宋体" w:cs="宋体"/>
          <w:bCs/>
          <w:caps/>
          <w:smallCaps/>
          <w:sz w:val="32"/>
          <w:szCs w:val="32"/>
          <w:highlight w:val="none"/>
          <w:lang w:eastAsia="zh-CN"/>
        </w:rPr>
        <w:t xml:space="preserve">  </w:t>
      </w:r>
      <w:r>
        <w:rPr>
          <w:rFonts w:hint="eastAsia" w:ascii="宋体" w:hAnsi="宋体" w:eastAsia="宋体" w:cs="宋体"/>
          <w:bCs/>
          <w:caps/>
          <w:smallCaps/>
          <w:sz w:val="32"/>
          <w:szCs w:val="32"/>
          <w:highlight w:val="none"/>
        </w:rPr>
        <w:t>需求一览表</w:t>
      </w:r>
      <w:r>
        <w:rPr>
          <w:rFonts w:hint="eastAsia" w:ascii="宋体" w:hAnsi="宋体" w:eastAsia="宋体" w:cs="宋体"/>
          <w:bCs/>
          <w:caps/>
          <w:smallCaps/>
          <w:sz w:val="32"/>
          <w:szCs w:val="32"/>
          <w:highlight w:val="none"/>
        </w:rPr>
        <w:tab/>
      </w:r>
      <w:r>
        <w:rPr>
          <w:rFonts w:hint="eastAsia" w:ascii="宋体" w:hAnsi="宋体" w:cs="宋体"/>
          <w:bCs/>
          <w:caps/>
          <w:smallCaps/>
          <w:sz w:val="32"/>
          <w:szCs w:val="32"/>
          <w:highlight w:val="none"/>
          <w:lang w:val="en-US" w:eastAsia="zh-CN"/>
        </w:rPr>
        <w:t>9</w:t>
      </w:r>
      <w:r>
        <w:rPr>
          <w:rFonts w:hint="eastAsia" w:ascii="宋体" w:hAnsi="宋体" w:eastAsia="宋体" w:cs="宋体"/>
          <w:bCs/>
          <w:caps/>
          <w:smallCaps/>
          <w:sz w:val="32"/>
          <w:szCs w:val="32"/>
          <w:highlight w:val="none"/>
        </w:rPr>
        <w:fldChar w:fldCharType="end"/>
      </w:r>
    </w:p>
    <w:p w14:paraId="76F4CEB1">
      <w:pPr>
        <w:pStyle w:val="16"/>
        <w:tabs>
          <w:tab w:val="right" w:leader="dot" w:pos="8390"/>
        </w:tabs>
        <w:jc w:val="left"/>
        <w:rPr>
          <w:rFonts w:hint="eastAsia"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_Toc2172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第四章 评标办法</w:t>
      </w:r>
      <w:r>
        <w:rPr>
          <w:rFonts w:hint="eastAsia" w:ascii="宋体" w:hAnsi="宋体" w:eastAsia="宋体" w:cs="宋体"/>
          <w:bCs/>
          <w:caps/>
          <w:smallCaps/>
          <w:sz w:val="32"/>
          <w:szCs w:val="32"/>
          <w:highlight w:val="none"/>
        </w:rPr>
        <w:tab/>
      </w:r>
      <w:r>
        <w:rPr>
          <w:rFonts w:hint="eastAsia" w:ascii="宋体" w:hAnsi="宋体" w:cs="宋体"/>
          <w:bCs/>
          <w:caps/>
          <w:smallCaps/>
          <w:sz w:val="32"/>
          <w:szCs w:val="32"/>
          <w:highlight w:val="none"/>
          <w:lang w:val="en-US" w:eastAsia="zh-CN"/>
        </w:rPr>
        <w:t>2</w:t>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3</w:t>
      </w:r>
    </w:p>
    <w:p w14:paraId="08CF68AC">
      <w:pPr>
        <w:pStyle w:val="16"/>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_Toc20612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 xml:space="preserve">第五章 </w:t>
      </w:r>
      <w:r>
        <w:rPr>
          <w:rFonts w:hint="eastAsia" w:ascii="宋体" w:hAnsi="宋体" w:cs="宋体"/>
          <w:bCs/>
          <w:caps/>
          <w:smallCaps/>
          <w:sz w:val="32"/>
          <w:szCs w:val="32"/>
          <w:highlight w:val="none"/>
          <w:lang w:eastAsia="zh-CN"/>
        </w:rPr>
        <w:t>供应商</w:t>
      </w:r>
      <w:r>
        <w:rPr>
          <w:rFonts w:hint="eastAsia" w:ascii="宋体" w:hAnsi="宋体" w:eastAsia="宋体" w:cs="宋体"/>
          <w:bCs/>
          <w:caps/>
          <w:smallCaps/>
          <w:sz w:val="32"/>
          <w:szCs w:val="32"/>
          <w:highlight w:val="none"/>
        </w:rPr>
        <w:t>须知</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_Toc20612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3</w:t>
      </w:r>
      <w:r>
        <w:rPr>
          <w:rFonts w:hint="eastAsia" w:ascii="宋体" w:hAnsi="宋体" w:cs="宋体"/>
          <w:bCs/>
          <w:caps/>
          <w:smallCaps/>
          <w:sz w:val="32"/>
          <w:szCs w:val="32"/>
          <w:highlight w:val="none"/>
          <w:lang w:val="en-US" w:eastAsia="zh-CN"/>
        </w:rPr>
        <w:t>0</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0B2553C3">
      <w:pPr>
        <w:pStyle w:val="16"/>
        <w:tabs>
          <w:tab w:val="right" w:leader="dot" w:pos="8390"/>
        </w:tabs>
        <w:jc w:val="left"/>
        <w:rPr>
          <w:rFonts w:hint="default"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_Toc13590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lang w:val="en-US"/>
        </w:rPr>
        <w:t>第六章 周口市政府采购合同（</w:t>
      </w:r>
      <w:r>
        <w:rPr>
          <w:rFonts w:hint="eastAsia" w:ascii="宋体" w:hAnsi="宋体" w:eastAsia="宋体" w:cs="宋体"/>
          <w:bCs/>
          <w:caps/>
          <w:smallCaps/>
          <w:sz w:val="32"/>
          <w:szCs w:val="32"/>
          <w:highlight w:val="none"/>
          <w:lang w:val="en-US" w:eastAsia="zh-CN"/>
        </w:rPr>
        <w:t>服务</w:t>
      </w:r>
      <w:r>
        <w:rPr>
          <w:rFonts w:hint="eastAsia" w:ascii="宋体" w:hAnsi="宋体" w:eastAsia="宋体" w:cs="宋体"/>
          <w:bCs/>
          <w:caps/>
          <w:smallCaps/>
          <w:sz w:val="32"/>
          <w:szCs w:val="32"/>
          <w:highlight w:val="none"/>
          <w:lang w:val="en-US"/>
        </w:rPr>
        <w:t>类）标准文本</w:t>
      </w:r>
      <w:r>
        <w:rPr>
          <w:rFonts w:hint="eastAsia" w:ascii="宋体" w:hAnsi="宋体" w:eastAsia="宋体" w:cs="宋体"/>
          <w:bCs/>
          <w:caps/>
          <w:smallCaps/>
          <w:sz w:val="32"/>
          <w:szCs w:val="32"/>
          <w:highlight w:val="none"/>
          <w:lang w:val="en-US" w:eastAsia="zh-CN"/>
        </w:rPr>
        <w:t>、</w:t>
      </w:r>
      <w:r>
        <w:rPr>
          <w:rFonts w:hint="eastAsia" w:ascii="宋体" w:hAnsi="宋体" w:eastAsia="宋体" w:cs="宋体"/>
          <w:bCs/>
          <w:caps/>
          <w:smallCaps/>
          <w:sz w:val="32"/>
          <w:szCs w:val="32"/>
          <w:highlight w:val="none"/>
        </w:rPr>
        <w:t>合同签订指引</w:t>
      </w:r>
      <w:r>
        <w:rPr>
          <w:rFonts w:hint="eastAsia" w:ascii="宋体" w:hAnsi="宋体" w:eastAsia="宋体" w:cs="宋体"/>
          <w:bCs/>
          <w:caps/>
          <w:smallCaps/>
          <w:sz w:val="32"/>
          <w:szCs w:val="32"/>
          <w:highlight w:val="none"/>
          <w:lang w:eastAsia="zh-CN"/>
        </w:rPr>
        <w:t>、</w:t>
      </w:r>
      <w:r>
        <w:rPr>
          <w:rFonts w:hint="eastAsia" w:ascii="宋体" w:hAnsi="宋体" w:eastAsia="宋体" w:cs="宋体"/>
          <w:bCs/>
          <w:caps/>
          <w:smallCaps/>
          <w:sz w:val="32"/>
          <w:szCs w:val="32"/>
          <w:highlight w:val="none"/>
        </w:rPr>
        <w:t>供应商履约验收指引</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43</w:t>
      </w:r>
    </w:p>
    <w:p w14:paraId="6F72B5E3">
      <w:pPr>
        <w:pStyle w:val="16"/>
        <w:tabs>
          <w:tab w:val="right" w:leader="dot" w:pos="8390"/>
        </w:tabs>
        <w:jc w:val="left"/>
        <w:rPr>
          <w:rFonts w:hint="eastAsia" w:ascii="宋体" w:hAnsi="宋体" w:eastAsia="宋体" w:cs="宋体"/>
          <w:bCs/>
          <w:caps/>
          <w:smallCaps/>
          <w:sz w:val="32"/>
          <w:szCs w:val="32"/>
          <w:highlight w:val="none"/>
          <w:lang w:val="en-US" w:eastAsia="zh-CN"/>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_Toc30673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采购合同内容</w:t>
      </w:r>
      <w:r>
        <w:rPr>
          <w:rFonts w:hint="eastAsia" w:ascii="宋体" w:hAnsi="宋体" w:eastAsia="宋体" w:cs="宋体"/>
          <w:bCs/>
          <w:caps/>
          <w:smallCaps/>
          <w:sz w:val="32"/>
          <w:szCs w:val="32"/>
          <w:highlight w:val="none"/>
        </w:rPr>
        <w:tab/>
      </w:r>
      <w:r>
        <w:rPr>
          <w:rFonts w:hint="eastAsia" w:ascii="宋体" w:hAnsi="宋体" w:cs="宋体"/>
          <w:bCs/>
          <w:caps/>
          <w:smallCaps/>
          <w:sz w:val="32"/>
          <w:szCs w:val="32"/>
          <w:highlight w:val="none"/>
          <w:lang w:val="en-US" w:eastAsia="zh-CN"/>
        </w:rPr>
        <w:t>4</w:t>
      </w:r>
      <w:r>
        <w:rPr>
          <w:rFonts w:hint="eastAsia" w:ascii="宋体" w:hAnsi="宋体" w:eastAsia="宋体" w:cs="宋体"/>
          <w:bCs/>
          <w:caps/>
          <w:smallCaps/>
          <w:sz w:val="32"/>
          <w:szCs w:val="32"/>
          <w:highlight w:val="none"/>
        </w:rPr>
        <w:fldChar w:fldCharType="end"/>
      </w:r>
      <w:r>
        <w:rPr>
          <w:rFonts w:hint="eastAsia" w:ascii="宋体" w:hAnsi="宋体" w:cs="宋体"/>
          <w:bCs/>
          <w:caps/>
          <w:smallCaps/>
          <w:sz w:val="32"/>
          <w:szCs w:val="32"/>
          <w:highlight w:val="none"/>
          <w:lang w:val="en-US" w:eastAsia="zh-CN"/>
        </w:rPr>
        <w:t>6</w:t>
      </w:r>
    </w:p>
    <w:p w14:paraId="6CFB8A0B">
      <w:pPr>
        <w:pStyle w:val="16"/>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_Toc30894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第七章 投标文件格式</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_Toc30894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5</w:t>
      </w:r>
      <w:r>
        <w:rPr>
          <w:rFonts w:hint="eastAsia" w:ascii="宋体" w:hAnsi="宋体" w:cs="宋体"/>
          <w:bCs/>
          <w:caps/>
          <w:smallCaps/>
          <w:sz w:val="32"/>
          <w:szCs w:val="32"/>
          <w:highlight w:val="none"/>
          <w:lang w:val="en-US" w:eastAsia="zh-CN"/>
        </w:rPr>
        <w:t>0</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5076E509">
      <w:pPr>
        <w:pStyle w:val="16"/>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HYPERLINK \l _Toc12913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周口市政府采购合同融资政策告知函</w:t>
      </w:r>
      <w:r>
        <w:rPr>
          <w:rFonts w:hint="eastAsia" w:ascii="宋体" w:hAnsi="宋体" w:eastAsia="宋体" w:cs="宋体"/>
          <w:bCs/>
          <w:caps/>
          <w:smallCaps/>
          <w:sz w:val="32"/>
          <w:szCs w:val="32"/>
          <w:highlight w:val="none"/>
        </w:rPr>
        <w:tab/>
      </w:r>
      <w:r>
        <w:rPr>
          <w:rFonts w:hint="eastAsia" w:ascii="宋体" w:hAnsi="宋体" w:eastAsia="宋体" w:cs="宋体"/>
          <w:bCs/>
          <w:caps/>
          <w:smallCaps/>
          <w:sz w:val="32"/>
          <w:szCs w:val="32"/>
          <w:highlight w:val="none"/>
        </w:rPr>
        <w:fldChar w:fldCharType="begin"/>
      </w:r>
      <w:r>
        <w:rPr>
          <w:rFonts w:hint="eastAsia" w:ascii="宋体" w:hAnsi="宋体" w:eastAsia="宋体" w:cs="宋体"/>
          <w:bCs/>
          <w:caps/>
          <w:smallCaps/>
          <w:sz w:val="32"/>
          <w:szCs w:val="32"/>
          <w:highlight w:val="none"/>
        </w:rPr>
        <w:instrText xml:space="preserve"> PAGEREF _Toc12913 \h </w:instrText>
      </w:r>
      <w:r>
        <w:rPr>
          <w:rFonts w:hint="eastAsia" w:ascii="宋体" w:hAnsi="宋体" w:eastAsia="宋体" w:cs="宋体"/>
          <w:bCs/>
          <w:caps/>
          <w:smallCaps/>
          <w:sz w:val="32"/>
          <w:szCs w:val="32"/>
          <w:highlight w:val="none"/>
        </w:rPr>
        <w:fldChar w:fldCharType="separate"/>
      </w:r>
      <w:r>
        <w:rPr>
          <w:rFonts w:hint="eastAsia" w:ascii="宋体" w:hAnsi="宋体" w:eastAsia="宋体" w:cs="宋体"/>
          <w:bCs/>
          <w:caps/>
          <w:smallCaps/>
          <w:sz w:val="32"/>
          <w:szCs w:val="32"/>
          <w:highlight w:val="none"/>
        </w:rPr>
        <w:t>6</w:t>
      </w:r>
      <w:r>
        <w:rPr>
          <w:rFonts w:hint="eastAsia" w:ascii="宋体" w:hAnsi="宋体" w:cs="宋体"/>
          <w:bCs/>
          <w:caps/>
          <w:smallCaps/>
          <w:sz w:val="32"/>
          <w:szCs w:val="32"/>
          <w:highlight w:val="none"/>
          <w:lang w:val="en-US" w:eastAsia="zh-CN"/>
        </w:rPr>
        <w:t>1</w:t>
      </w:r>
      <w:r>
        <w:rPr>
          <w:rFonts w:hint="eastAsia" w:ascii="宋体" w:hAnsi="宋体" w:eastAsia="宋体" w:cs="宋体"/>
          <w:bCs/>
          <w:caps/>
          <w:smallCaps/>
          <w:sz w:val="32"/>
          <w:szCs w:val="32"/>
          <w:highlight w:val="none"/>
        </w:rPr>
        <w:fldChar w:fldCharType="end"/>
      </w:r>
      <w:r>
        <w:rPr>
          <w:rFonts w:hint="eastAsia" w:ascii="宋体" w:hAnsi="宋体" w:eastAsia="宋体" w:cs="宋体"/>
          <w:bCs/>
          <w:caps/>
          <w:smallCaps/>
          <w:sz w:val="32"/>
          <w:szCs w:val="32"/>
          <w:highlight w:val="none"/>
        </w:rPr>
        <w:fldChar w:fldCharType="end"/>
      </w:r>
    </w:p>
    <w:p w14:paraId="41D0D929">
      <w:pPr>
        <w:pStyle w:val="16"/>
        <w:tabs>
          <w:tab w:val="right" w:leader="dot" w:pos="8390"/>
        </w:tabs>
        <w:jc w:val="left"/>
        <w:rPr>
          <w:rFonts w:hint="eastAsia" w:ascii="宋体" w:hAnsi="宋体" w:eastAsia="宋体" w:cs="宋体"/>
          <w:bCs/>
          <w:caps/>
          <w:smallCaps/>
          <w:sz w:val="32"/>
          <w:szCs w:val="32"/>
          <w:highlight w:val="none"/>
        </w:rPr>
      </w:pPr>
      <w:r>
        <w:rPr>
          <w:rFonts w:hint="eastAsia" w:ascii="宋体" w:hAnsi="宋体" w:eastAsia="宋体" w:cs="宋体"/>
          <w:bCs/>
          <w:caps/>
          <w:smallCaps/>
          <w:sz w:val="32"/>
          <w:szCs w:val="32"/>
          <w:highlight w:val="none"/>
        </w:rPr>
        <w:fldChar w:fldCharType="end"/>
      </w:r>
    </w:p>
    <w:p w14:paraId="1F4BDF9B">
      <w:pPr>
        <w:pStyle w:val="16"/>
        <w:tabs>
          <w:tab w:val="right" w:leader="dot" w:pos="8390"/>
        </w:tabs>
        <w:jc w:val="left"/>
        <w:rPr>
          <w:rFonts w:hint="eastAsia" w:ascii="宋体" w:hAnsi="宋体" w:eastAsia="宋体" w:cs="宋体"/>
          <w:bCs/>
          <w:caps/>
          <w:smallCaps/>
          <w:sz w:val="32"/>
          <w:szCs w:val="32"/>
          <w:highlight w:val="none"/>
        </w:rPr>
      </w:pPr>
    </w:p>
    <w:p w14:paraId="1B2C2A06">
      <w:pPr>
        <w:pStyle w:val="16"/>
        <w:tabs>
          <w:tab w:val="right" w:leader="dot" w:pos="8390"/>
        </w:tabs>
        <w:jc w:val="left"/>
        <w:rPr>
          <w:rFonts w:hint="eastAsia" w:ascii="宋体" w:hAnsi="宋体" w:eastAsia="宋体" w:cs="宋体"/>
          <w:bCs/>
          <w:caps/>
          <w:smallCaps/>
          <w:sz w:val="32"/>
          <w:szCs w:val="32"/>
          <w:highlight w:val="none"/>
        </w:rPr>
      </w:pPr>
    </w:p>
    <w:p w14:paraId="2036D8AE">
      <w:pPr>
        <w:pStyle w:val="16"/>
        <w:tabs>
          <w:tab w:val="right" w:leader="dot" w:pos="8390"/>
        </w:tabs>
        <w:jc w:val="left"/>
        <w:rPr>
          <w:rFonts w:hint="eastAsia" w:ascii="宋体" w:hAnsi="宋体" w:eastAsia="宋体" w:cs="宋体"/>
          <w:bCs/>
          <w:caps/>
          <w:smallCaps/>
          <w:sz w:val="32"/>
          <w:szCs w:val="32"/>
          <w:highlight w:val="none"/>
        </w:rPr>
      </w:pPr>
    </w:p>
    <w:p w14:paraId="56F1644F">
      <w:pPr>
        <w:pStyle w:val="16"/>
        <w:tabs>
          <w:tab w:val="right" w:leader="dot" w:pos="8390"/>
        </w:tabs>
        <w:jc w:val="left"/>
        <w:rPr>
          <w:rFonts w:hint="eastAsia" w:ascii="宋体" w:hAnsi="宋体" w:eastAsia="宋体" w:cs="宋体"/>
          <w:bCs/>
          <w:caps/>
          <w:smallCaps/>
          <w:sz w:val="32"/>
          <w:szCs w:val="32"/>
          <w:highlight w:val="none"/>
        </w:rPr>
      </w:pPr>
    </w:p>
    <w:p w14:paraId="2D76983A">
      <w:pPr>
        <w:rPr>
          <w:rFonts w:hint="eastAsia" w:ascii="宋体" w:hAnsi="宋体" w:eastAsia="宋体" w:cs="宋体"/>
          <w:b/>
          <w:bCs/>
          <w:caps/>
          <w:sz w:val="24"/>
          <w:szCs w:val="24"/>
          <w:highlight w:val="none"/>
        </w:rPr>
      </w:pPr>
    </w:p>
    <w:p w14:paraId="033D8EED">
      <w:pPr>
        <w:rPr>
          <w:rFonts w:hint="eastAsia" w:ascii="宋体" w:hAnsi="宋体" w:eastAsia="宋体" w:cs="宋体"/>
          <w:b/>
          <w:bCs/>
          <w:caps/>
          <w:sz w:val="24"/>
          <w:szCs w:val="24"/>
          <w:highlight w:val="none"/>
        </w:rPr>
      </w:pPr>
    </w:p>
    <w:p w14:paraId="5E3BD219">
      <w:pPr>
        <w:rPr>
          <w:rFonts w:hint="eastAsia" w:ascii="宋体" w:hAnsi="宋体" w:eastAsia="宋体" w:cs="宋体"/>
          <w:b/>
          <w:bCs/>
          <w:caps/>
          <w:sz w:val="24"/>
          <w:szCs w:val="24"/>
          <w:highlight w:val="none"/>
        </w:rPr>
      </w:pPr>
    </w:p>
    <w:p w14:paraId="3DE2D8E5">
      <w:pPr>
        <w:rPr>
          <w:rFonts w:hint="eastAsia" w:ascii="宋体" w:hAnsi="宋体" w:eastAsia="宋体" w:cs="宋体"/>
          <w:b/>
          <w:bCs/>
          <w:caps/>
          <w:sz w:val="24"/>
          <w:szCs w:val="24"/>
          <w:highlight w:val="none"/>
        </w:rPr>
      </w:pPr>
    </w:p>
    <w:p w14:paraId="4E80C50D">
      <w:pPr>
        <w:rPr>
          <w:rFonts w:hint="eastAsia" w:ascii="宋体" w:hAnsi="宋体" w:eastAsia="宋体" w:cs="宋体"/>
          <w:b/>
          <w:bCs/>
          <w:caps/>
          <w:sz w:val="24"/>
          <w:szCs w:val="24"/>
          <w:highlight w:val="none"/>
        </w:rPr>
      </w:pPr>
    </w:p>
    <w:p w14:paraId="5B453687">
      <w:pPr>
        <w:jc w:val="center"/>
        <w:rPr>
          <w:rFonts w:hint="eastAsia" w:ascii="宋体" w:hAnsi="宋体" w:eastAsia="宋体" w:cs="宋体"/>
          <w:b/>
          <w:bCs/>
          <w:caps/>
          <w:sz w:val="24"/>
          <w:szCs w:val="24"/>
          <w:highlight w:val="none"/>
        </w:rPr>
      </w:pPr>
      <w:r>
        <w:rPr>
          <w:rFonts w:hint="eastAsia" w:ascii="宋体" w:hAnsi="宋体" w:eastAsia="宋体" w:cs="宋体"/>
          <w:b/>
          <w:bCs/>
          <w:caps/>
          <w:sz w:val="24"/>
          <w:szCs w:val="24"/>
          <w:highlight w:val="none"/>
        </w:rPr>
        <w:br w:type="page"/>
      </w:r>
    </w:p>
    <w:p w14:paraId="27315F7A">
      <w:pPr>
        <w:pStyle w:val="3"/>
        <w:numPr>
          <w:ilvl w:val="0"/>
          <w:numId w:val="1"/>
        </w:numPr>
        <w:spacing w:before="0" w:after="0" w:line="240" w:lineRule="auto"/>
        <w:ind w:firstLine="0"/>
        <w:rPr>
          <w:rFonts w:hint="eastAsia" w:ascii="宋体" w:hAnsi="宋体" w:eastAsia="宋体" w:cs="宋体"/>
          <w:highlight w:val="none"/>
        </w:rPr>
      </w:pPr>
      <w:bookmarkStart w:id="3" w:name="_Toc28426_WPSOffice_Level1"/>
      <w:bookmarkStart w:id="4" w:name="_Toc20608"/>
      <w:r>
        <w:rPr>
          <w:rFonts w:hint="eastAsia" w:ascii="宋体" w:hAnsi="宋体" w:eastAsia="宋体" w:cs="宋体"/>
          <w:highlight w:val="none"/>
        </w:rPr>
        <w:t xml:space="preserve"> 招标公告</w:t>
      </w:r>
      <w:bookmarkEnd w:id="3"/>
      <w:bookmarkEnd w:id="4"/>
    </w:p>
    <w:p w14:paraId="19B0CB66">
      <w:pPr>
        <w:rPr>
          <w:rFonts w:hint="eastAsia"/>
          <w:highlight w:val="none"/>
        </w:rPr>
      </w:pPr>
    </w:p>
    <w:p w14:paraId="7144A0D7">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28784CE2">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太康县教育体育局2026---2027学年度校园餐、营养餐大宗食材采购项目</w:t>
      </w:r>
      <w:r>
        <w:rPr>
          <w:rFonts w:hint="eastAsia" w:ascii="宋体" w:hAnsi="宋体" w:eastAsia="宋体" w:cs="宋体"/>
          <w:i w:val="0"/>
          <w:iCs w:val="0"/>
          <w:sz w:val="24"/>
          <w:szCs w:val="24"/>
          <w:highlight w:val="none"/>
          <w:lang w:val="en-US" w:eastAsia="zh-CN"/>
        </w:rPr>
        <w:t>的潜在</w:t>
      </w:r>
      <w:r>
        <w:rPr>
          <w:rFonts w:hint="eastAsia" w:ascii="宋体" w:hAnsi="宋体" w:cs="宋体"/>
          <w:i w:val="0"/>
          <w:iCs w:val="0"/>
          <w:sz w:val="24"/>
          <w:szCs w:val="24"/>
          <w:highlight w:val="none"/>
          <w:lang w:val="en-US" w:eastAsia="zh-CN"/>
        </w:rPr>
        <w:t>供应商</w:t>
      </w:r>
      <w:r>
        <w:rPr>
          <w:rFonts w:hint="eastAsia" w:ascii="宋体" w:hAnsi="宋体" w:eastAsia="宋体" w:cs="宋体"/>
          <w:i w:val="0"/>
          <w:iCs w:val="0"/>
          <w:sz w:val="24"/>
          <w:szCs w:val="24"/>
          <w:highlight w:val="none"/>
          <w:lang w:val="en-US" w:eastAsia="zh-CN"/>
        </w:rPr>
        <w:t>应在周口市公共资源交易中心网（http://jyzx.zhoukou.gov.cn）获取招标文件，并于    年  月  日    点    分（北京时间）前递交投标文件。</w:t>
      </w:r>
    </w:p>
    <w:p w14:paraId="7BD226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5" w:name="_Toc28359079"/>
      <w:bookmarkStart w:id="6" w:name="_Toc35393621"/>
      <w:bookmarkStart w:id="7" w:name="_Toc28359002"/>
      <w:bookmarkStart w:id="8" w:name="_Toc35393790"/>
      <w:bookmarkStart w:id="9" w:name="_Hlk24379207"/>
      <w:r>
        <w:rPr>
          <w:rFonts w:hint="eastAsia" w:ascii="宋体" w:hAnsi="宋体" w:eastAsia="宋体" w:cs="宋体"/>
          <w:i w:val="0"/>
          <w:iCs w:val="0"/>
          <w:sz w:val="24"/>
          <w:szCs w:val="24"/>
          <w:highlight w:val="none"/>
        </w:rPr>
        <w:t>一、项目基本情况</w:t>
      </w:r>
      <w:bookmarkEnd w:id="5"/>
      <w:bookmarkEnd w:id="6"/>
      <w:bookmarkEnd w:id="7"/>
      <w:bookmarkEnd w:id="8"/>
    </w:p>
    <w:p w14:paraId="7000B1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项目编号：</w:t>
      </w:r>
      <w:r>
        <w:rPr>
          <w:rFonts w:hint="eastAsia" w:ascii="宋体" w:hAnsi="宋体" w:cs="宋体"/>
          <w:i w:val="0"/>
          <w:iCs w:val="0"/>
          <w:sz w:val="24"/>
          <w:szCs w:val="24"/>
          <w:highlight w:val="none"/>
          <w:lang w:val="en-US" w:eastAsia="zh-CN"/>
        </w:rPr>
        <w:t>太财招标采购-2026-23</w:t>
      </w:r>
    </w:p>
    <w:p w14:paraId="278712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项目名称：</w:t>
      </w:r>
      <w:r>
        <w:rPr>
          <w:rFonts w:hint="eastAsia" w:ascii="宋体" w:hAnsi="宋体" w:cs="宋体"/>
          <w:i w:val="0"/>
          <w:iCs w:val="0"/>
          <w:sz w:val="24"/>
          <w:szCs w:val="24"/>
          <w:highlight w:val="none"/>
          <w:lang w:val="en-US" w:eastAsia="zh-CN"/>
        </w:rPr>
        <w:t>太康县教育体育局2026---2027学年度校园餐、营养餐大宗食材采购项目</w:t>
      </w:r>
    </w:p>
    <w:bookmarkEnd w:id="9"/>
    <w:p w14:paraId="7CA9A0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预算金额：</w:t>
      </w:r>
      <w:r>
        <w:rPr>
          <w:rFonts w:hint="eastAsia" w:ascii="宋体" w:hAnsi="宋体" w:eastAsia="宋体" w:cs="宋体"/>
          <w:i w:val="0"/>
          <w:iCs w:val="0"/>
          <w:sz w:val="24"/>
          <w:szCs w:val="24"/>
          <w:highlight w:val="none"/>
          <w:lang w:val="en-US" w:eastAsia="zh-CN"/>
        </w:rPr>
        <w:t>361851000</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rPr>
        <w:t>元</w:t>
      </w:r>
    </w:p>
    <w:p w14:paraId="6C53C3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最高限价（如有）：</w:t>
      </w:r>
      <w:r>
        <w:rPr>
          <w:rFonts w:hint="eastAsia" w:ascii="宋体" w:hAnsi="宋体" w:eastAsia="宋体" w:cs="宋体"/>
          <w:i w:val="0"/>
          <w:iCs w:val="0"/>
          <w:sz w:val="24"/>
          <w:szCs w:val="24"/>
          <w:highlight w:val="none"/>
          <w:lang w:val="en-US" w:eastAsia="zh-CN"/>
        </w:rPr>
        <w:t>361851000</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rPr>
        <w:t>元</w:t>
      </w:r>
    </w:p>
    <w:p w14:paraId="372210D9">
      <w:pPr>
        <w:pStyle w:val="8"/>
        <w:adjustRightInd w:val="0"/>
        <w:snapToGrid w:val="0"/>
        <w:spacing w:line="360" w:lineRule="auto"/>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rPr>
        <w:t>采购方式：公开招标</w:t>
      </w:r>
    </w:p>
    <w:p w14:paraId="57BE52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sz w:val="24"/>
          <w:szCs w:val="24"/>
          <w:highlight w:val="none"/>
        </w:rPr>
        <w:t>包别划分</w:t>
      </w:r>
      <w:r>
        <w:rPr>
          <w:rFonts w:hint="eastAsia" w:ascii="宋体" w:hAnsi="宋体" w:eastAsia="宋体" w:cs="宋体"/>
          <w:i w:val="0"/>
          <w:iCs w:val="0"/>
          <w:sz w:val="24"/>
          <w:szCs w:val="24"/>
          <w:highlight w:val="none"/>
          <w:lang w:val="en-US" w:eastAsia="zh-CN"/>
        </w:rPr>
        <w:t>：</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cs="宋体"/>
          <w:i w:val="0"/>
          <w:iCs w:val="0"/>
          <w:sz w:val="24"/>
          <w:szCs w:val="24"/>
          <w:highlight w:val="none"/>
          <w:u w:val="single"/>
          <w:lang w:val="en-US" w:eastAsia="zh-CN"/>
        </w:rPr>
        <w:t>3</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lang w:val="en-US" w:eastAsia="zh-CN"/>
        </w:rPr>
        <w:t>个包</w:t>
      </w:r>
    </w:p>
    <w:tbl>
      <w:tblPr>
        <w:tblStyle w:val="21"/>
        <w:tblpPr w:leftFromText="180" w:rightFromText="180" w:vertAnchor="text" w:horzAnchor="margin" w:tblpXSpec="center" w:tblpY="154"/>
        <w:tblW w:w="4819" w:type="pct"/>
        <w:tblInd w:w="3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
        <w:gridCol w:w="4682"/>
        <w:gridCol w:w="3512"/>
      </w:tblGrid>
      <w:tr w14:paraId="1AE8B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532" w:type="pct"/>
            <w:noWrap w:val="0"/>
            <w:vAlign w:val="center"/>
          </w:tcPr>
          <w:p w14:paraId="0227F5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包号</w:t>
            </w:r>
          </w:p>
        </w:tc>
        <w:tc>
          <w:tcPr>
            <w:tcW w:w="2553" w:type="pct"/>
            <w:noWrap w:val="0"/>
            <w:vAlign w:val="center"/>
          </w:tcPr>
          <w:p w14:paraId="29756E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包名称</w:t>
            </w:r>
          </w:p>
        </w:tc>
        <w:tc>
          <w:tcPr>
            <w:tcW w:w="1913" w:type="pct"/>
            <w:noWrap w:val="0"/>
            <w:vAlign w:val="center"/>
          </w:tcPr>
          <w:p w14:paraId="561FF00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包最高限价元</w:t>
            </w:r>
          </w:p>
        </w:tc>
      </w:tr>
      <w:tr w14:paraId="2B284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532" w:type="pct"/>
            <w:noWrap w:val="0"/>
            <w:vAlign w:val="center"/>
          </w:tcPr>
          <w:p w14:paraId="3960F8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w:t>
            </w:r>
          </w:p>
        </w:tc>
        <w:tc>
          <w:tcPr>
            <w:tcW w:w="2553" w:type="pct"/>
            <w:noWrap w:val="0"/>
            <w:vAlign w:val="center"/>
          </w:tcPr>
          <w:p w14:paraId="31E14C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太康县教育体育局2026---2027学年度校园餐、营养餐大宗食材采购项目包1</w:t>
            </w:r>
          </w:p>
        </w:tc>
        <w:tc>
          <w:tcPr>
            <w:tcW w:w="1913" w:type="pct"/>
            <w:noWrap w:val="0"/>
            <w:vAlign w:val="center"/>
          </w:tcPr>
          <w:p w14:paraId="6BCBDA4C">
            <w:pPr>
              <w:keepNext w:val="0"/>
              <w:keepLines w:val="0"/>
              <w:widowControl/>
              <w:suppressLineNumbers w:val="0"/>
              <w:jc w:val="center"/>
              <w:textAlignment w:val="center"/>
              <w:rPr>
                <w:rFonts w:hint="default" w:ascii="宋体" w:hAnsi="宋体" w:eastAsia="宋体" w:cs="宋体"/>
                <w:i w:val="0"/>
                <w:iCs w:val="0"/>
                <w:sz w:val="24"/>
                <w:szCs w:val="24"/>
                <w:highlight w:val="none"/>
                <w:lang w:val="en-US" w:eastAsia="zh-CN"/>
              </w:rPr>
            </w:pPr>
            <w:r>
              <w:rPr>
                <w:rFonts w:hint="eastAsia" w:ascii="宋体" w:hAnsi="宋体" w:cs="宋体"/>
                <w:i w:val="0"/>
                <w:iCs w:val="0"/>
                <w:color w:val="auto"/>
                <w:sz w:val="24"/>
                <w:szCs w:val="24"/>
                <w:highlight w:val="none"/>
                <w:lang w:val="en-US" w:eastAsia="zh-CN"/>
              </w:rPr>
              <w:t>70112000.00</w:t>
            </w:r>
          </w:p>
        </w:tc>
      </w:tr>
      <w:tr w14:paraId="6E49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532" w:type="pct"/>
            <w:noWrap w:val="0"/>
            <w:vAlign w:val="center"/>
          </w:tcPr>
          <w:p w14:paraId="3A8B9E7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w:t>
            </w:r>
          </w:p>
        </w:tc>
        <w:tc>
          <w:tcPr>
            <w:tcW w:w="2553" w:type="pct"/>
            <w:noWrap w:val="0"/>
            <w:vAlign w:val="center"/>
          </w:tcPr>
          <w:p w14:paraId="5A39E3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太康县教育体育局2026---2027学年度校园餐、营养餐大宗食材采购项目包2</w:t>
            </w:r>
          </w:p>
        </w:tc>
        <w:tc>
          <w:tcPr>
            <w:tcW w:w="1913" w:type="pct"/>
            <w:noWrap w:val="0"/>
            <w:vAlign w:val="center"/>
          </w:tcPr>
          <w:p w14:paraId="4BBC3342">
            <w:pPr>
              <w:keepNext w:val="0"/>
              <w:keepLines w:val="0"/>
              <w:widowControl/>
              <w:suppressLineNumbers w:val="0"/>
              <w:jc w:val="center"/>
              <w:textAlignment w:val="center"/>
              <w:rPr>
                <w:rFonts w:hint="default" w:ascii="宋体" w:hAnsi="宋体" w:eastAsia="宋体" w:cs="宋体"/>
                <w:i w:val="0"/>
                <w:iCs w:val="0"/>
                <w:sz w:val="24"/>
                <w:szCs w:val="24"/>
                <w:highlight w:val="none"/>
                <w:lang w:val="en-US" w:eastAsia="zh-CN"/>
              </w:rPr>
            </w:pPr>
            <w:r>
              <w:rPr>
                <w:rFonts w:hint="eastAsia" w:ascii="宋体" w:hAnsi="宋体" w:cs="宋体"/>
                <w:i w:val="0"/>
                <w:iCs w:val="0"/>
                <w:color w:val="auto"/>
                <w:sz w:val="24"/>
                <w:szCs w:val="24"/>
                <w:highlight w:val="none"/>
                <w:lang w:val="en-US" w:eastAsia="zh-CN"/>
              </w:rPr>
              <w:t>101594000.00</w:t>
            </w:r>
          </w:p>
        </w:tc>
      </w:tr>
      <w:tr w14:paraId="6405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532" w:type="pct"/>
            <w:noWrap w:val="0"/>
            <w:vAlign w:val="center"/>
          </w:tcPr>
          <w:p w14:paraId="750547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3</w:t>
            </w:r>
          </w:p>
        </w:tc>
        <w:tc>
          <w:tcPr>
            <w:tcW w:w="2553" w:type="pct"/>
            <w:noWrap w:val="0"/>
            <w:vAlign w:val="center"/>
          </w:tcPr>
          <w:p w14:paraId="7FF6C1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太康县教育体育局2026---2027学年度校园餐、营养餐大宗食材采购项目包3</w:t>
            </w:r>
          </w:p>
        </w:tc>
        <w:tc>
          <w:tcPr>
            <w:tcW w:w="1913" w:type="pct"/>
            <w:noWrap w:val="0"/>
            <w:vAlign w:val="center"/>
          </w:tcPr>
          <w:p w14:paraId="0A071A6C">
            <w:pPr>
              <w:keepNext w:val="0"/>
              <w:keepLines w:val="0"/>
              <w:widowControl/>
              <w:suppressLineNumbers w:val="0"/>
              <w:jc w:val="center"/>
              <w:textAlignment w:val="center"/>
              <w:rPr>
                <w:rFonts w:hint="default" w:ascii="宋体" w:hAnsi="宋体" w:eastAsia="宋体" w:cs="宋体"/>
                <w:i w:val="0"/>
                <w:iCs w:val="0"/>
                <w:sz w:val="24"/>
                <w:szCs w:val="24"/>
                <w:highlight w:val="none"/>
                <w:lang w:val="en-US" w:eastAsia="zh-CN"/>
              </w:rPr>
            </w:pPr>
            <w:r>
              <w:rPr>
                <w:rFonts w:hint="eastAsia" w:ascii="宋体" w:hAnsi="宋体" w:cs="宋体"/>
                <w:i w:val="0"/>
                <w:iCs w:val="0"/>
                <w:color w:val="auto"/>
                <w:sz w:val="24"/>
                <w:szCs w:val="24"/>
                <w:highlight w:val="none"/>
                <w:lang w:val="en-US" w:eastAsia="zh-CN"/>
              </w:rPr>
              <w:t>190145000.00</w:t>
            </w:r>
          </w:p>
        </w:tc>
      </w:tr>
      <w:tr w14:paraId="572A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5000" w:type="pct"/>
            <w:gridSpan w:val="3"/>
            <w:noWrap w:val="0"/>
            <w:vAlign w:val="center"/>
          </w:tcPr>
          <w:p w14:paraId="091AEA63">
            <w:pPr>
              <w:keepNext w:val="0"/>
              <w:keepLines w:val="0"/>
              <w:widowControl/>
              <w:suppressLineNumbers w:val="0"/>
              <w:jc w:val="center"/>
              <w:textAlignment w:val="center"/>
              <w:rPr>
                <w:rFonts w:hint="eastAsia" w:ascii="宋体" w:hAnsi="宋体" w:cs="宋体"/>
                <w:i w:val="0"/>
                <w:i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因学生无序流动，以实际在校学生人数以及供餐天数为准</w:t>
            </w:r>
          </w:p>
        </w:tc>
      </w:tr>
    </w:tbl>
    <w:p w14:paraId="3B5D9964">
      <w:pPr>
        <w:bidi w:val="0"/>
        <w:rPr>
          <w:rFonts w:hint="eastAsia"/>
          <w:highlight w:val="none"/>
        </w:rPr>
      </w:pPr>
    </w:p>
    <w:p w14:paraId="1A4008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sz w:val="24"/>
          <w:szCs w:val="24"/>
          <w:highlight w:val="none"/>
          <w:lang w:val="en-US" w:eastAsia="zh-CN"/>
        </w:rPr>
        <w:t>详见招标文件第三章需求一览表</w:t>
      </w:r>
      <w:r>
        <w:rPr>
          <w:rFonts w:hint="eastAsia" w:ascii="宋体" w:hAnsi="宋体" w:eastAsia="宋体" w:cs="宋体"/>
          <w:i w:val="0"/>
          <w:iCs w:val="0"/>
          <w:sz w:val="24"/>
          <w:szCs w:val="24"/>
          <w:highlight w:val="none"/>
        </w:rPr>
        <w:t>（包括但不限于标的的名称、数量、简要技术需求或服务要求等）</w:t>
      </w:r>
    </w:p>
    <w:p w14:paraId="0A385FF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合同履行期限：</w:t>
      </w:r>
      <w:r>
        <w:rPr>
          <w:rFonts w:hint="eastAsia" w:ascii="宋体" w:hAnsi="宋体" w:eastAsia="宋体" w:cs="宋体"/>
          <w:i w:val="0"/>
          <w:iCs w:val="0"/>
          <w:color w:val="auto"/>
          <w:sz w:val="24"/>
          <w:szCs w:val="24"/>
          <w:highlight w:val="none"/>
        </w:rPr>
        <w:t>1 年（以教体局确定的日期和以在校在籍学生实际供餐天数和人数为准）</w:t>
      </w:r>
    </w:p>
    <w:p w14:paraId="659931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28359080"/>
      <w:bookmarkStart w:id="11" w:name="_Toc35393622"/>
      <w:bookmarkStart w:id="12" w:name="_Toc28359003"/>
      <w:bookmarkStart w:id="13" w:name="_Toc35393791"/>
      <w:r>
        <w:rPr>
          <w:rFonts w:hint="eastAsia" w:ascii="宋体" w:hAnsi="宋体" w:eastAsia="宋体" w:cs="宋体"/>
          <w:i w:val="0"/>
          <w:iCs w:val="0"/>
          <w:color w:val="auto"/>
          <w:sz w:val="24"/>
          <w:szCs w:val="24"/>
          <w:highlight w:val="none"/>
        </w:rPr>
        <w:t>是否接受进口产品：否</w:t>
      </w:r>
    </w:p>
    <w:p w14:paraId="2AE0EE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2DA7E9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49146D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二、申请人的资格要求：</w:t>
      </w:r>
      <w:bookmarkEnd w:id="10"/>
      <w:bookmarkEnd w:id="11"/>
      <w:bookmarkEnd w:id="12"/>
      <w:bookmarkEnd w:id="13"/>
    </w:p>
    <w:p w14:paraId="468B3A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14" w:name="_Toc28359081"/>
      <w:bookmarkStart w:id="15" w:name="_Toc28359004"/>
      <w:r>
        <w:rPr>
          <w:rFonts w:hint="eastAsia" w:ascii="宋体" w:hAnsi="宋体" w:eastAsia="宋体" w:cs="宋体"/>
          <w:i w:val="0"/>
          <w:iCs w:val="0"/>
          <w:color w:val="auto"/>
          <w:sz w:val="24"/>
          <w:szCs w:val="24"/>
          <w:highlight w:val="none"/>
        </w:rPr>
        <w:t>1.满足《中华人民共和国政府采购法》第二十二条规定；</w:t>
      </w:r>
    </w:p>
    <w:p w14:paraId="2F99AE0B">
      <w:pPr>
        <w:pStyle w:val="8"/>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(一)在中华人民共和国境内注册，具有独立承担民事责任的能力。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lang w:eastAsia="zh-CN"/>
        </w:rPr>
        <w:t>有效的营业执照）</w:t>
      </w:r>
    </w:p>
    <w:p w14:paraId="3B9F1E07">
      <w:pPr>
        <w:pStyle w:val="8"/>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(二)食材配送企业必须具备有效的《食品经营许可证》, 如果是食品生产企业的，还须具备有效的《食品生产许可证》。</w:t>
      </w:r>
    </w:p>
    <w:p w14:paraId="78DB12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(三)具有良好的商业信誉和健全的财务会计制度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年度财务审计报告或者</w:t>
      </w:r>
      <w:r>
        <w:rPr>
          <w:rFonts w:hint="eastAsia" w:ascii="宋体" w:hAnsi="宋体" w:cs="宋体"/>
          <w:color w:val="auto"/>
          <w:sz w:val="24"/>
          <w:szCs w:val="24"/>
          <w:highlight w:val="none"/>
          <w:lang w:val="en-US" w:eastAsia="zh-CN"/>
        </w:rPr>
        <w:t>财务报表原件复印件或者</w:t>
      </w:r>
      <w:r>
        <w:rPr>
          <w:rFonts w:hint="eastAsia" w:ascii="宋体" w:hAnsi="宋体" w:eastAsia="宋体" w:cs="宋体"/>
          <w:color w:val="auto"/>
          <w:sz w:val="24"/>
          <w:szCs w:val="24"/>
          <w:highlight w:val="none"/>
          <w:lang w:val="en-US" w:eastAsia="zh-CN"/>
        </w:rPr>
        <w:t>银行开具的资信证明</w:t>
      </w:r>
      <w:r>
        <w:rPr>
          <w:rFonts w:hint="eastAsia" w:ascii="宋体" w:hAnsi="宋体" w:eastAsia="宋体" w:cs="宋体"/>
          <w:color w:val="auto"/>
          <w:sz w:val="24"/>
          <w:szCs w:val="24"/>
          <w:highlight w:val="none"/>
          <w:lang w:eastAsia="zh-CN"/>
        </w:rPr>
        <w:t>）</w:t>
      </w:r>
    </w:p>
    <w:p w14:paraId="2C59FD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(四)具有履行合同必须具备的食品供应保障能力，具有履行合同所必需的设备和专业技术能力</w:t>
      </w:r>
      <w:r>
        <w:rPr>
          <w:rFonts w:hint="eastAsia" w:ascii="宋体" w:hAnsi="宋体" w:cs="宋体"/>
          <w:color w:val="auto"/>
          <w:sz w:val="24"/>
          <w:szCs w:val="24"/>
          <w:highlight w:val="none"/>
          <w:lang w:eastAsia="zh-CN"/>
        </w:rPr>
        <w:t>：</w:t>
      </w:r>
    </w:p>
    <w:p w14:paraId="00EC3A32">
      <w:pPr>
        <w:spacing w:before="6" w:line="358" w:lineRule="auto"/>
        <w:ind w:left="1" w:firstLine="49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食材配送企业必须具有与经营的食品、食用农产品的品种数量相适应的场所。经营场所环境整洁，与污染源保持合适的距离并具有与经营的食品、食用农产品品种、数量相适应的生产经营设备或者设施。食材配送企业配送中心仓库的配送半径必须能够保障按学校约定的时间配送食材到位。（供应商需在投标文件中出具承诺书）</w:t>
      </w:r>
    </w:p>
    <w:p w14:paraId="26EE262B">
      <w:pPr>
        <w:spacing w:before="6" w:line="358" w:lineRule="auto"/>
        <w:ind w:left="1" w:firstLine="49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食材配送企业经营对温度、湿度有特殊要求的食品和食用农产品，应确保贮存场所、设备、设施满足相应的食品安全要求，并做好相应的温湿度记录。常温库须配备智能温湿度监控系统。冷藏库或冷冻库外部具有便于监测和控制的设备仪器，并定期维护，确保准确有效。库房安装 AI 视频监控 (覆盖装卸区、存储区等关键点位),便于实时管理。</w:t>
      </w:r>
    </w:p>
    <w:p w14:paraId="6D754B79">
      <w:pPr>
        <w:spacing w:before="6" w:line="358" w:lineRule="auto"/>
        <w:ind w:left="1" w:firstLine="49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3.食材配送企业应配备符合食材配送要求的专用运输工具。生鲜产品(包含蔬菜水果鲜肉类等食用农产品)和冷藏冷冻食品配送车辆须为冷链车辆，冷链车辆需安装 GPS 定位及温度传感器，实时监控运行轨迹和运行状况。</w:t>
      </w:r>
    </w:p>
    <w:p w14:paraId="05896AC0">
      <w:pPr>
        <w:spacing w:before="49" w:line="359" w:lineRule="auto"/>
        <w:ind w:right="186" w:firstLine="47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4.食材配送企业须自行配备规范的检测室，对销售的食品及食用农产品开展快速检测。食品分重点检测，食用农产品批批检测，确保配送食材符合食品安全国家标准。</w:t>
      </w:r>
    </w:p>
    <w:p w14:paraId="7A5EF60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5.食材配送企业须配备有能接入互联网的计算机、打印机等外围设备，并有专人负责平台商品的价格更新、客户沟通、订单管理和食品安全溯源管理等业务。</w:t>
      </w:r>
    </w:p>
    <w:p w14:paraId="152827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食材配送企业应严格落实食品安全相关法律法规明确的相关要求，建立健全食品安全管理制度并严格执行。依法规范配备食品安全总监和食品安全管理人员，定期组织开展培训考核，严格坚持开展“日管控、周排查、月调度”食品安全自查，及时防范化解各类食品安全风险隐患。</w:t>
      </w:r>
    </w:p>
    <w:p w14:paraId="273F17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食材配送企业应建立食品追溯管理制度，严格落实索证索票和进货台账记录，明确专人及时向供应商索取并保留进货票据、合格证明等溯源凭证，做好食品来源相关的记录。建立食品销售记录制度，根据相关法规要求做好相应的配送去向记录，并保存相关凭证。应采用数字化手段采集、留存上述信息，及时上传食材配送平台，建立健全食品安全追溯体系。</w:t>
      </w:r>
    </w:p>
    <w:p w14:paraId="6E7A81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8.食品配送企业应制定食品安全事故处置方案，定期组织食品安全事故应急演练。</w:t>
      </w:r>
    </w:p>
    <w:p w14:paraId="588737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9.食品配送企业具有完善的食品配送应急预案和应急处置体系。建立2小时应急补货机制，在遇到停电停水、极端或灾害天气等情况下，做好食品紧急配货和安全配送。</w:t>
      </w:r>
    </w:p>
    <w:p w14:paraId="4996DD5B">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10.食材配送企业必须购买食品安全责任保险。保险额度需确保在食品安全事故发生后赔偿金额的足额支付</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需提供承诺函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7E8262D0">
      <w:pPr>
        <w:bidi w:val="0"/>
        <w:spacing w:line="360" w:lineRule="auto"/>
        <w:ind w:firstLine="482" w:firstLineChars="200"/>
        <w:rPr>
          <w:rFonts w:hint="eastAsia"/>
          <w:color w:val="auto"/>
          <w:highlight w:val="none"/>
          <w:lang w:eastAsia="zh-CN"/>
        </w:r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对于以上1-10条所需提供的证明材料，应保证其真实性合理性合法性。</w:t>
      </w:r>
    </w:p>
    <w:p w14:paraId="7D2426AA">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(五)具有依法缴纳税收和社会保障资金的良好记录。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提供近半年任意1个月的税收和社保证明，新成立的公司提供自成立之日起的。依法免税或不需要缴纳税收、社会保障资金的供应商，须出具有效证明文件。</w:t>
      </w:r>
      <w:r>
        <w:rPr>
          <w:rFonts w:hint="eastAsia" w:ascii="宋体" w:hAnsi="宋体" w:eastAsia="宋体" w:cs="宋体"/>
          <w:color w:val="auto"/>
          <w:sz w:val="24"/>
          <w:szCs w:val="24"/>
          <w:highlight w:val="none"/>
          <w:lang w:eastAsia="zh-CN"/>
        </w:rPr>
        <w:t>）</w:t>
      </w:r>
    </w:p>
    <w:p w14:paraId="5885FBEA">
      <w:pPr>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(六)近3年内，在经营活动中无食品安全行政处罚记录，未发生食品安全事故，在经营活动中没有重大违法记录（提供没有重大违法记录的书面声明函，格式自拟）</w:t>
      </w:r>
    </w:p>
    <w:p w14:paraId="6FC9B98C">
      <w:pPr>
        <w:spacing w:line="360" w:lineRule="auto"/>
        <w:ind w:firstLine="480" w:firstLineChars="200"/>
        <w:jc w:val="left"/>
        <w:rPr>
          <w:rFonts w:hint="eastAsia"/>
          <w:color w:val="auto"/>
          <w:highlight w:val="none"/>
        </w:rPr>
      </w:pPr>
      <w:r>
        <w:rPr>
          <w:rFonts w:hint="eastAsia" w:ascii="宋体" w:hAnsi="宋体" w:cs="宋体"/>
          <w:color w:val="auto"/>
          <w:sz w:val="24"/>
          <w:szCs w:val="24"/>
          <w:highlight w:val="none"/>
        </w:rPr>
        <w:t>(七)法律、行政法规、规章规定的其他条件。</w:t>
      </w:r>
    </w:p>
    <w:p w14:paraId="3AA0EE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2129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000000"/>
          <w:sz w:val="24"/>
          <w:szCs w:val="24"/>
          <w:highlight w:val="none"/>
        </w:rPr>
        <w:t>、“重大税收违法案件当事人名单（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)的“政府采购严重违法失信行为记录名单”的供应商，将拒绝其参加政</w:t>
      </w:r>
      <w:r>
        <w:rPr>
          <w:rFonts w:hint="eastAsia" w:ascii="宋体" w:hAnsi="宋体" w:eastAsia="宋体" w:cs="宋体"/>
          <w:i w:val="0"/>
          <w:iCs w:val="0"/>
          <w:sz w:val="24"/>
          <w:szCs w:val="24"/>
          <w:highlight w:val="none"/>
        </w:rPr>
        <w:t>府采购活动；在标书中附加盖公章的网页查询扫描件，查询日期为公告发布之日起至投标截止之日止。</w:t>
      </w:r>
      <w:bookmarkStart w:id="16" w:name="_Toc35393792"/>
      <w:bookmarkStart w:id="17" w:name="_Toc35393623"/>
      <w:r>
        <w:rPr>
          <w:rFonts w:hint="eastAsia" w:ascii="宋体" w:hAnsi="宋体" w:eastAsia="宋体" w:cs="宋体"/>
          <w:i w:val="0"/>
          <w:iCs w:val="0"/>
          <w:sz w:val="24"/>
          <w:szCs w:val="24"/>
          <w:highlight w:val="none"/>
          <w:lang w:val="en-US" w:eastAsia="zh-CN"/>
        </w:rPr>
        <w:t xml:space="preserve"> </w:t>
      </w:r>
    </w:p>
    <w:p w14:paraId="6D4F3B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pacing w:val="-1"/>
          <w:sz w:val="24"/>
          <w:szCs w:val="24"/>
          <w:highlight w:val="none"/>
        </w:rPr>
      </w:pPr>
      <w:r>
        <w:rPr>
          <w:rFonts w:hint="eastAsia" w:ascii="宋体" w:hAnsi="宋体" w:eastAsia="宋体" w:cs="宋体"/>
          <w:i w:val="0"/>
          <w:iCs w:val="0"/>
          <w:sz w:val="24"/>
          <w:szCs w:val="24"/>
          <w:highlight w:val="none"/>
          <w:lang w:val="en-US" w:eastAsia="zh-CN"/>
        </w:rPr>
        <w:t>（</w:t>
      </w:r>
      <w:r>
        <w:rPr>
          <w:rFonts w:hint="eastAsia" w:ascii="宋体" w:hAnsi="宋体" w:cs="宋体"/>
          <w:i w:val="0"/>
          <w:iCs w:val="0"/>
          <w:sz w:val="24"/>
          <w:szCs w:val="24"/>
          <w:highlight w:val="none"/>
          <w:lang w:val="en-US" w:eastAsia="zh-CN"/>
        </w:rPr>
        <w:t>2</w:t>
      </w:r>
      <w:r>
        <w:rPr>
          <w:rFonts w:hint="eastAsia" w:ascii="宋体" w:hAnsi="宋体" w:eastAsia="宋体" w:cs="宋体"/>
          <w:i w:val="0"/>
          <w:iCs w:val="0"/>
          <w:sz w:val="24"/>
          <w:szCs w:val="24"/>
          <w:highlight w:val="none"/>
          <w:lang w:val="en-US" w:eastAsia="zh-CN"/>
        </w:rPr>
        <w:t>）单位负责人为同一人或者存在直接控股、管理关系的不同供应商，不得参加同一合同项下的政府采购活动。</w:t>
      </w:r>
      <w:r>
        <w:rPr>
          <w:rFonts w:ascii="宋体" w:hAnsi="宋体" w:eastAsia="宋体" w:cs="宋体"/>
          <w:spacing w:val="-26"/>
          <w:sz w:val="24"/>
          <w:szCs w:val="24"/>
          <w:highlight w:val="none"/>
        </w:rPr>
        <w:t>（</w:t>
      </w:r>
      <w:r>
        <w:rPr>
          <w:rFonts w:ascii="宋体" w:hAnsi="宋体" w:eastAsia="宋体" w:cs="宋体"/>
          <w:spacing w:val="-2"/>
          <w:sz w:val="24"/>
          <w:szCs w:val="24"/>
          <w:highlight w:val="none"/>
        </w:rPr>
        <w:t>提供</w:t>
      </w:r>
      <w:r>
        <w:rPr>
          <w:rFonts w:hint="eastAsia" w:ascii="宋体" w:hAnsi="宋体" w:eastAsia="宋体" w:cs="宋体"/>
          <w:spacing w:val="-2"/>
          <w:sz w:val="24"/>
          <w:szCs w:val="24"/>
          <w:highlight w:val="none"/>
          <w:lang w:val="en-US" w:eastAsia="zh-CN"/>
        </w:rPr>
        <w:t>承诺书及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p>
    <w:p w14:paraId="070152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cs="宋体"/>
          <w:sz w:val="24"/>
          <w:szCs w:val="24"/>
          <w:highlight w:val="none"/>
        </w:rPr>
        <w:t>（</w:t>
      </w:r>
      <w:r>
        <w:rPr>
          <w:rFonts w:hint="eastAsia" w:ascii="宋体" w:hAnsi="宋体" w:cs="宋体"/>
          <w:sz w:val="24"/>
          <w:szCs w:val="24"/>
          <w:highlight w:val="none"/>
          <w:lang w:val="en-US" w:eastAsia="zh-CN"/>
        </w:rPr>
        <w:t>3</w:t>
      </w:r>
      <w:r>
        <w:rPr>
          <w:rFonts w:hint="eastAsia" w:ascii="宋体" w:hAnsi="宋体" w:cs="宋体"/>
          <w:sz w:val="24"/>
          <w:szCs w:val="24"/>
          <w:highlight w:val="none"/>
        </w:rPr>
        <w:t>）各合格供应商均可就本招标项目上述包段中任意包段投标，为避免单一供应商可能导致的供应风险，促进市场良性竞争，保证供应品质，一个供应商最多允许中标一个包段。如果供应商是两个以上包段的第一中标候选人，则按照包段顺序确定第一中标候选人，其他包段按照顺序递补确定为第一中标候选人。</w:t>
      </w:r>
      <w:r>
        <w:rPr>
          <w:rFonts w:hint="eastAsia" w:ascii="宋体" w:hAnsi="宋体" w:eastAsia="宋体" w:cs="宋体"/>
          <w:i w:val="0"/>
          <w:iCs w:val="0"/>
          <w:sz w:val="24"/>
          <w:szCs w:val="24"/>
          <w:highlight w:val="none"/>
          <w:lang w:val="en-US" w:eastAsia="zh-CN"/>
        </w:rPr>
        <w:t xml:space="preserve">                  </w:t>
      </w:r>
    </w:p>
    <w:p w14:paraId="162501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三、获取招标文件</w:t>
      </w:r>
      <w:bookmarkEnd w:id="14"/>
      <w:bookmarkEnd w:id="15"/>
      <w:bookmarkEnd w:id="16"/>
      <w:bookmarkEnd w:id="17"/>
    </w:p>
    <w:p w14:paraId="68DD51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时间：</w:t>
      </w:r>
      <w:r>
        <w:rPr>
          <w:rFonts w:hint="eastAsia" w:ascii="宋体" w:hAnsi="宋体" w:eastAsia="宋体" w:cs="宋体"/>
          <w:i w:val="0"/>
          <w:iCs w:val="0"/>
          <w:sz w:val="24"/>
          <w:szCs w:val="24"/>
          <w:highlight w:val="none"/>
          <w:lang w:val="en-US" w:eastAsia="zh-CN"/>
        </w:rPr>
        <w:t>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25</w:t>
      </w:r>
      <w:r>
        <w:rPr>
          <w:rFonts w:hint="eastAsia" w:ascii="宋体" w:hAnsi="宋体" w:eastAsia="宋体" w:cs="宋体"/>
          <w:i w:val="0"/>
          <w:iCs w:val="0"/>
          <w:sz w:val="24"/>
          <w:szCs w:val="24"/>
          <w:highlight w:val="none"/>
        </w:rPr>
        <w:t>日至</w:t>
      </w:r>
      <w:r>
        <w:rPr>
          <w:rFonts w:hint="eastAsia" w:ascii="宋体" w:hAnsi="宋体" w:eastAsia="宋体" w:cs="宋体"/>
          <w:i w:val="0"/>
          <w:iCs w:val="0"/>
          <w:sz w:val="24"/>
          <w:szCs w:val="24"/>
          <w:highlight w:val="none"/>
          <w:lang w:val="en-US" w:eastAsia="zh-CN"/>
        </w:rPr>
        <w:t>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1</w:t>
      </w:r>
      <w:r>
        <w:rPr>
          <w:rFonts w:hint="eastAsia" w:ascii="宋体" w:hAnsi="宋体" w:eastAsia="宋体" w:cs="宋体"/>
          <w:i w:val="0"/>
          <w:iCs w:val="0"/>
          <w:sz w:val="24"/>
          <w:szCs w:val="24"/>
          <w:highlight w:val="none"/>
        </w:rPr>
        <w:t>日（北京时间，法定节假日除外）</w:t>
      </w:r>
    </w:p>
    <w:p w14:paraId="5D7716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1255D4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70345C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r>
        <w:rPr>
          <w:rFonts w:hint="eastAsia" w:ascii="宋体" w:hAnsi="宋体" w:cs="宋体"/>
          <w:i w:val="0"/>
          <w:iCs w:val="0"/>
          <w:sz w:val="24"/>
          <w:szCs w:val="24"/>
          <w:highlight w:val="none"/>
          <w:lang w:val="en-US" w:eastAsia="zh-CN"/>
        </w:rPr>
        <w:t>元。</w:t>
      </w:r>
    </w:p>
    <w:p w14:paraId="0BB176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8" w:name="_Toc28359082"/>
      <w:bookmarkStart w:id="19" w:name="_Toc28359005"/>
      <w:bookmarkStart w:id="20" w:name="_Toc35393793"/>
      <w:bookmarkStart w:id="21" w:name="_Toc35393624"/>
      <w:r>
        <w:rPr>
          <w:rFonts w:hint="eastAsia" w:ascii="宋体" w:hAnsi="宋体" w:eastAsia="宋体" w:cs="宋体"/>
          <w:i w:val="0"/>
          <w:iCs w:val="0"/>
          <w:sz w:val="24"/>
          <w:szCs w:val="24"/>
          <w:highlight w:val="none"/>
        </w:rPr>
        <w:t>四、提交投标文件</w:t>
      </w:r>
      <w:bookmarkEnd w:id="18"/>
      <w:bookmarkEnd w:id="19"/>
      <w:r>
        <w:rPr>
          <w:rFonts w:hint="eastAsia" w:ascii="宋体" w:hAnsi="宋体" w:eastAsia="宋体" w:cs="宋体"/>
          <w:i w:val="0"/>
          <w:iCs w:val="0"/>
          <w:sz w:val="24"/>
          <w:szCs w:val="24"/>
          <w:highlight w:val="none"/>
        </w:rPr>
        <w:t>截止时间、开标时间和地点</w:t>
      </w:r>
      <w:bookmarkEnd w:id="20"/>
      <w:bookmarkEnd w:id="21"/>
    </w:p>
    <w:p w14:paraId="087319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时间：202</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15</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cs="宋体"/>
          <w:i w:val="0"/>
          <w:iCs w:val="0"/>
          <w:sz w:val="24"/>
          <w:szCs w:val="24"/>
          <w:highlight w:val="none"/>
          <w:lang w:val="en-US" w:eastAsia="zh-CN"/>
        </w:rPr>
        <w:t>0</w:t>
      </w:r>
      <w:r>
        <w:rPr>
          <w:rFonts w:hint="eastAsia" w:ascii="宋体" w:hAnsi="宋体" w:eastAsia="宋体" w:cs="宋体"/>
          <w:i w:val="0"/>
          <w:iCs w:val="0"/>
          <w:sz w:val="24"/>
          <w:szCs w:val="24"/>
          <w:highlight w:val="none"/>
        </w:rPr>
        <w:t>分（北京时间）</w:t>
      </w:r>
    </w:p>
    <w:p w14:paraId="527227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地点：周口市公共资源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FC1D5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2" w:name="_Toc35393794"/>
      <w:bookmarkStart w:id="23" w:name="_Toc28359084"/>
      <w:bookmarkStart w:id="24" w:name="_Toc28359007"/>
      <w:bookmarkStart w:id="25" w:name="_Toc35393625"/>
      <w:r>
        <w:rPr>
          <w:rFonts w:hint="eastAsia" w:ascii="宋体" w:hAnsi="宋体" w:eastAsia="宋体" w:cs="宋体"/>
          <w:i w:val="0"/>
          <w:iCs w:val="0"/>
          <w:sz w:val="24"/>
          <w:szCs w:val="24"/>
          <w:highlight w:val="none"/>
        </w:rPr>
        <w:t>五、公告期限</w:t>
      </w:r>
      <w:bookmarkEnd w:id="22"/>
      <w:bookmarkEnd w:id="23"/>
      <w:bookmarkEnd w:id="24"/>
      <w:bookmarkEnd w:id="25"/>
    </w:p>
    <w:p w14:paraId="77F763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自本公告发布之日起5个工作日。</w:t>
      </w:r>
    </w:p>
    <w:p w14:paraId="5D2837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6" w:name="_Toc35393795"/>
      <w:bookmarkStart w:id="27" w:name="_Toc35393626"/>
      <w:r>
        <w:rPr>
          <w:rFonts w:hint="eastAsia" w:ascii="宋体" w:hAnsi="宋体" w:eastAsia="宋体" w:cs="宋体"/>
          <w:i w:val="0"/>
          <w:iCs w:val="0"/>
          <w:sz w:val="24"/>
          <w:szCs w:val="24"/>
          <w:highlight w:val="none"/>
        </w:rPr>
        <w:t>六、其他补充事宜</w:t>
      </w:r>
      <w:bookmarkEnd w:id="26"/>
      <w:bookmarkEnd w:id="27"/>
    </w:p>
    <w:p w14:paraId="7C2797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28" w:name="_Toc35393796"/>
      <w:bookmarkStart w:id="29" w:name="_Toc28359008"/>
      <w:bookmarkStart w:id="30" w:name="_Toc35393627"/>
      <w:bookmarkStart w:id="31" w:name="_Toc28359085"/>
      <w:r>
        <w:rPr>
          <w:rFonts w:hint="eastAsia" w:ascii="宋体" w:hAnsi="宋体" w:eastAsia="宋体" w:cs="宋体"/>
          <w:i w:val="0"/>
          <w:iCs w:val="0"/>
          <w:sz w:val="24"/>
          <w:szCs w:val="24"/>
          <w:highlight w:val="none"/>
          <w:lang w:val="en-US" w:eastAsia="zh-CN"/>
        </w:rPr>
        <w:t>无</w:t>
      </w:r>
    </w:p>
    <w:p w14:paraId="6F66D4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七、对本次招标提出询问，请按以下方式联系。</w:t>
      </w:r>
      <w:bookmarkEnd w:id="28"/>
      <w:bookmarkEnd w:id="29"/>
      <w:bookmarkEnd w:id="30"/>
      <w:bookmarkEnd w:id="31"/>
    </w:p>
    <w:p w14:paraId="7E03D9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45E004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cs="宋体"/>
          <w:i w:val="0"/>
          <w:iCs w:val="0"/>
          <w:sz w:val="24"/>
          <w:szCs w:val="24"/>
          <w:highlight w:val="none"/>
          <w:lang w:val="en-US" w:eastAsia="zh-CN"/>
        </w:rPr>
        <w:t>太康县教育体育局</w:t>
      </w:r>
      <w:r>
        <w:rPr>
          <w:rFonts w:hint="eastAsia" w:ascii="宋体" w:hAnsi="宋体" w:eastAsia="宋体" w:cs="宋体"/>
          <w:i w:val="0"/>
          <w:iCs w:val="0"/>
          <w:sz w:val="24"/>
          <w:szCs w:val="24"/>
          <w:highlight w:val="none"/>
        </w:rPr>
        <w:t>　　　　　　　　　　　　</w:t>
      </w:r>
    </w:p>
    <w:p w14:paraId="7EE8E5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eastAsia="zh-CN"/>
        </w:rPr>
        <w:t>太康县境内</w:t>
      </w:r>
      <w:r>
        <w:rPr>
          <w:rFonts w:hint="eastAsia" w:ascii="宋体" w:hAnsi="宋体" w:eastAsia="宋体" w:cs="宋体"/>
          <w:i w:val="0"/>
          <w:iCs w:val="0"/>
          <w:sz w:val="24"/>
          <w:szCs w:val="24"/>
          <w:highlight w:val="none"/>
        </w:rPr>
        <w:t>　　　　　　　　　　　　</w:t>
      </w:r>
    </w:p>
    <w:p w14:paraId="39BBFE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陈永辉</w:t>
      </w: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15993253777</w:t>
      </w:r>
      <w:r>
        <w:rPr>
          <w:rFonts w:hint="eastAsia" w:ascii="宋体" w:hAnsi="宋体" w:eastAsia="宋体" w:cs="宋体"/>
          <w:i w:val="0"/>
          <w:iCs w:val="0"/>
          <w:sz w:val="24"/>
          <w:szCs w:val="24"/>
          <w:highlight w:val="none"/>
        </w:rPr>
        <w:t xml:space="preserve">　　　　　　　　　 </w:t>
      </w:r>
      <w:bookmarkStart w:id="32" w:name="_Toc28359009"/>
      <w:bookmarkStart w:id="33" w:name="_Toc28359086"/>
    </w:p>
    <w:p w14:paraId="65E8C2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1A78C3DE">
      <w:pPr>
        <w:pStyle w:val="8"/>
        <w:adjustRightInd w:val="0"/>
        <w:snapToGrid w:val="0"/>
        <w:spacing w:line="360" w:lineRule="auto"/>
        <w:ind w:firstLine="480" w:firstLineChars="2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eastAsia="宋体" w:cs="宋体"/>
          <w:sz w:val="24"/>
          <w:szCs w:val="24"/>
          <w:highlight w:val="none"/>
        </w:rPr>
        <w:t>周口市公共资源交易中心政府采购中心</w:t>
      </w:r>
      <w:r>
        <w:rPr>
          <w:rFonts w:hint="eastAsia" w:ascii="宋体" w:hAnsi="宋体" w:eastAsia="宋体" w:cs="宋体"/>
          <w:i w:val="0"/>
          <w:iCs w:val="0"/>
          <w:sz w:val="24"/>
          <w:szCs w:val="24"/>
          <w:highlight w:val="none"/>
        </w:rPr>
        <w:t>　　　　　　　　　　　　</w:t>
      </w:r>
    </w:p>
    <w:p w14:paraId="524B1E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地址：周口市光明路与政通路交叉口</w:t>
      </w:r>
      <w:r>
        <w:rPr>
          <w:rFonts w:hint="eastAsia" w:ascii="宋体" w:hAnsi="宋体" w:eastAsia="宋体" w:cs="宋体"/>
          <w:i w:val="0"/>
          <w:iCs w:val="0"/>
          <w:sz w:val="24"/>
          <w:szCs w:val="24"/>
          <w:highlight w:val="none"/>
          <w:lang w:val="en-US" w:eastAsia="zh-CN"/>
        </w:rPr>
        <w:t>向北100米路东</w:t>
      </w:r>
    </w:p>
    <w:p w14:paraId="36236D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郭战伟</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4" w:name="_Toc28359087"/>
      <w:bookmarkStart w:id="35" w:name="_Toc28359010"/>
      <w:r>
        <w:rPr>
          <w:rFonts w:hint="eastAsia" w:ascii="宋体" w:hAnsi="宋体" w:cs="宋体"/>
          <w:i w:val="0"/>
          <w:iCs w:val="0"/>
          <w:sz w:val="24"/>
          <w:szCs w:val="24"/>
          <w:highlight w:val="none"/>
          <w:lang w:val="en-US" w:eastAsia="zh-CN"/>
        </w:rPr>
        <w:t>0394-8106517、17839489001</w:t>
      </w:r>
      <w:r>
        <w:rPr>
          <w:rFonts w:hint="eastAsia" w:ascii="宋体" w:hAnsi="宋体" w:eastAsia="宋体" w:cs="宋体"/>
          <w:i w:val="0"/>
          <w:iCs w:val="0"/>
          <w:sz w:val="24"/>
          <w:szCs w:val="24"/>
          <w:highlight w:val="none"/>
        </w:rPr>
        <w:t>　　　　　　　　</w:t>
      </w:r>
    </w:p>
    <w:bookmarkEnd w:id="34"/>
    <w:bookmarkEnd w:id="35"/>
    <w:p w14:paraId="28C945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cs="宋体"/>
          <w:color w:val="auto"/>
          <w:sz w:val="24"/>
          <w:szCs w:val="24"/>
          <w:highlight w:val="none"/>
          <w:lang w:val="en-US" w:eastAsia="zh-CN"/>
        </w:rPr>
        <w:t>太康县财政局</w:t>
      </w:r>
      <w:r>
        <w:rPr>
          <w:rFonts w:hint="eastAsia" w:ascii="宋体" w:hAnsi="宋体" w:eastAsia="宋体" w:cs="宋体"/>
          <w:i w:val="0"/>
          <w:iCs w:val="0"/>
          <w:sz w:val="24"/>
          <w:szCs w:val="24"/>
          <w:highlight w:val="none"/>
          <w:lang w:val="en-US" w:eastAsia="zh-CN"/>
        </w:rPr>
        <w:t xml:space="preserve">       </w:t>
      </w:r>
    </w:p>
    <w:p w14:paraId="222CF515">
      <w:pPr>
        <w:pStyle w:val="25"/>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w:t>
      </w:r>
      <w:r>
        <w:rPr>
          <w:rFonts w:hint="eastAsia" w:ascii="宋体" w:hAnsi="宋体" w:eastAsia="宋体" w:cs="宋体"/>
          <w:i w:val="0"/>
          <w:iCs w:val="0"/>
          <w:sz w:val="24"/>
          <w:szCs w:val="24"/>
          <w:highlight w:val="none"/>
          <w:lang w:val="en-US" w:eastAsia="zh-CN"/>
        </w:rPr>
        <w:t xml:space="preserve">0394-6817366  </w:t>
      </w:r>
    </w:p>
    <w:p w14:paraId="598A19A6">
      <w:pPr>
        <w:pStyle w:val="25"/>
        <w:numPr>
          <w:ilvl w:val="0"/>
          <w:numId w:val="0"/>
        </w:numPr>
        <w:rPr>
          <w:rFonts w:hint="default"/>
          <w:highlight w:val="none"/>
          <w:lang w:val="en-US" w:eastAsia="zh-CN"/>
        </w:rPr>
      </w:pPr>
    </w:p>
    <w:p w14:paraId="5277AA09">
      <w:pPr>
        <w:pStyle w:val="8"/>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672EB3E0">
      <w:pPr>
        <w:pStyle w:val="15"/>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8</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25</w:t>
      </w:r>
      <w:r>
        <w:rPr>
          <w:rFonts w:hint="eastAsia" w:ascii="宋体" w:hAnsi="宋体" w:eastAsia="宋体" w:cs="宋体"/>
          <w:sz w:val="24"/>
          <w:szCs w:val="24"/>
          <w:highlight w:val="none"/>
        </w:rPr>
        <w:t>日</w:t>
      </w:r>
      <w:bookmarkStart w:id="201" w:name="_GoBack"/>
      <w:bookmarkEnd w:id="201"/>
      <w:r>
        <w:rPr>
          <w:rFonts w:hint="eastAsia" w:ascii="宋体" w:hAnsi="宋体" w:eastAsia="宋体" w:cs="宋体"/>
          <w:i w:val="0"/>
          <w:iCs w:val="0"/>
          <w:sz w:val="24"/>
          <w:szCs w:val="24"/>
          <w:highlight w:val="none"/>
        </w:rPr>
        <w:t>　　</w:t>
      </w:r>
    </w:p>
    <w:p w14:paraId="31B6D73E">
      <w:pPr>
        <w:keepNext w:val="0"/>
        <w:keepLines w:val="0"/>
        <w:pageBreakBefore w:val="0"/>
        <w:widowControl w:val="0"/>
        <w:kinsoku/>
        <w:wordWrap/>
        <w:overflowPunct/>
        <w:topLinePunct w:val="0"/>
        <w:autoSpaceDE/>
        <w:autoSpaceDN/>
        <w:bidi w:val="0"/>
        <w:adjustRightInd/>
        <w:snapToGrid/>
        <w:spacing w:line="360" w:lineRule="auto"/>
        <w:ind w:firstLine="3360" w:firstLineChars="1400"/>
        <w:jc w:val="left"/>
        <w:textAlignment w:val="auto"/>
        <w:rPr>
          <w:rFonts w:hint="eastAsia" w:ascii="宋体" w:hAnsi="宋体" w:eastAsia="宋体" w:cs="宋体"/>
          <w:i w:val="0"/>
          <w:iCs w:val="0"/>
          <w:sz w:val="24"/>
          <w:szCs w:val="24"/>
          <w:highlight w:val="none"/>
        </w:rPr>
      </w:pPr>
    </w:p>
    <w:p w14:paraId="1599CBB5">
      <w:pPr>
        <w:pStyle w:val="3"/>
        <w:ind w:firstLine="0"/>
        <w:rPr>
          <w:rFonts w:hint="eastAsia" w:ascii="宋体" w:hAnsi="宋体" w:eastAsia="宋体" w:cs="宋体"/>
          <w:highlight w:val="none"/>
          <w:lang w:eastAsia="zh-CN"/>
        </w:rPr>
      </w:pPr>
      <w:bookmarkStart w:id="36" w:name="_Hlt510343011"/>
      <w:bookmarkStart w:id="37" w:name="_Hlt510342998"/>
      <w:bookmarkStart w:id="38" w:name="_Toc7329_WPSOffice_Level1"/>
      <w:bookmarkStart w:id="39" w:name="_Toc8586"/>
      <w:r>
        <w:rPr>
          <w:rFonts w:hint="eastAsia" w:ascii="宋体" w:hAnsi="宋体" w:eastAsia="宋体" w:cs="宋体"/>
          <w:highlight w:val="none"/>
        </w:rPr>
        <w:t xml:space="preserve">第二章 </w:t>
      </w:r>
      <w:r>
        <w:rPr>
          <w:rFonts w:hint="eastAsia" w:ascii="宋体" w:hAnsi="宋体" w:eastAsia="宋体" w:cs="宋体"/>
          <w:highlight w:val="none"/>
          <w:lang w:eastAsia="zh-CN"/>
        </w:rPr>
        <w:t>供应商</w:t>
      </w:r>
      <w:r>
        <w:rPr>
          <w:rFonts w:hint="eastAsia" w:ascii="宋体" w:hAnsi="宋体" w:eastAsia="宋体" w:cs="宋体"/>
          <w:highlight w:val="none"/>
        </w:rPr>
        <w:t>须</w:t>
      </w:r>
      <w:bookmarkEnd w:id="36"/>
      <w:r>
        <w:rPr>
          <w:rFonts w:hint="eastAsia" w:ascii="宋体" w:hAnsi="宋体" w:eastAsia="宋体" w:cs="宋体"/>
          <w:highlight w:val="none"/>
        </w:rPr>
        <w:t>知前</w:t>
      </w:r>
      <w:bookmarkEnd w:id="37"/>
      <w:r>
        <w:rPr>
          <w:rFonts w:hint="eastAsia" w:ascii="宋体" w:hAnsi="宋体" w:eastAsia="宋体" w:cs="宋体"/>
          <w:highlight w:val="none"/>
        </w:rPr>
        <w:t>附表</w:t>
      </w:r>
      <w:bookmarkEnd w:id="38"/>
      <w:bookmarkEnd w:id="39"/>
    </w:p>
    <w:tbl>
      <w:tblPr>
        <w:tblStyle w:val="21"/>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5933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788" w:type="dxa"/>
            <w:noWrap w:val="0"/>
            <w:vAlign w:val="center"/>
          </w:tcPr>
          <w:p w14:paraId="6F9001FD">
            <w:pP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833" w:type="dxa"/>
            <w:noWrap w:val="0"/>
            <w:vAlign w:val="center"/>
          </w:tcPr>
          <w:p w14:paraId="551FC1F0">
            <w:pPr>
              <w:rPr>
                <w:rFonts w:hint="eastAsia" w:ascii="宋体" w:hAnsi="宋体" w:eastAsia="宋体" w:cs="宋体"/>
                <w:sz w:val="24"/>
                <w:szCs w:val="24"/>
                <w:highlight w:val="none"/>
              </w:rPr>
            </w:pPr>
            <w:r>
              <w:rPr>
                <w:rFonts w:hint="eastAsia" w:ascii="宋体" w:hAnsi="宋体" w:eastAsia="宋体" w:cs="宋体"/>
                <w:sz w:val="24"/>
                <w:szCs w:val="24"/>
                <w:highlight w:val="none"/>
              </w:rPr>
              <w:t>内容</w:t>
            </w:r>
          </w:p>
        </w:tc>
        <w:tc>
          <w:tcPr>
            <w:tcW w:w="6519" w:type="dxa"/>
            <w:noWrap w:val="0"/>
            <w:vAlign w:val="center"/>
          </w:tcPr>
          <w:p w14:paraId="0DB4404E">
            <w:pPr>
              <w:rPr>
                <w:rFonts w:hint="eastAsia" w:ascii="宋体" w:hAnsi="宋体" w:eastAsia="宋体" w:cs="宋体"/>
                <w:sz w:val="24"/>
                <w:szCs w:val="24"/>
                <w:highlight w:val="none"/>
              </w:rPr>
            </w:pPr>
            <w:r>
              <w:rPr>
                <w:rFonts w:hint="eastAsia" w:ascii="宋体" w:hAnsi="宋体" w:eastAsia="宋体" w:cs="宋体"/>
                <w:sz w:val="24"/>
                <w:szCs w:val="24"/>
                <w:highlight w:val="none"/>
              </w:rPr>
              <w:t>说明与要求</w:t>
            </w:r>
          </w:p>
        </w:tc>
      </w:tr>
      <w:tr w14:paraId="0E74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88" w:type="dxa"/>
            <w:noWrap w:val="0"/>
            <w:vAlign w:val="center"/>
          </w:tcPr>
          <w:p w14:paraId="3EC9BD7A">
            <w:pP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833" w:type="dxa"/>
            <w:noWrap w:val="0"/>
            <w:vAlign w:val="center"/>
          </w:tcPr>
          <w:p w14:paraId="4FAACAD1">
            <w:pPr>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tc>
        <w:tc>
          <w:tcPr>
            <w:tcW w:w="6519" w:type="dxa"/>
            <w:noWrap w:val="0"/>
            <w:vAlign w:val="center"/>
          </w:tcPr>
          <w:p w14:paraId="1B62ABAE">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太康县教育体育局</w:t>
            </w:r>
            <w:r>
              <w:rPr>
                <w:rFonts w:hint="eastAsia" w:ascii="宋体" w:hAnsi="宋体" w:eastAsia="宋体" w:cs="宋体"/>
                <w:i w:val="0"/>
                <w:iCs w:val="0"/>
                <w:sz w:val="24"/>
                <w:szCs w:val="24"/>
                <w:highlight w:val="none"/>
              </w:rPr>
              <w:t>　</w:t>
            </w:r>
          </w:p>
        </w:tc>
      </w:tr>
      <w:tr w14:paraId="5489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jc w:val="center"/>
        </w:trPr>
        <w:tc>
          <w:tcPr>
            <w:tcW w:w="788" w:type="dxa"/>
            <w:noWrap w:val="0"/>
            <w:vAlign w:val="center"/>
          </w:tcPr>
          <w:p w14:paraId="0CA6938C">
            <w:pP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833" w:type="dxa"/>
            <w:noWrap w:val="0"/>
            <w:vAlign w:val="center"/>
          </w:tcPr>
          <w:p w14:paraId="143B5334">
            <w:pPr>
              <w:rPr>
                <w:rFonts w:hint="eastAsia" w:ascii="宋体" w:hAnsi="宋体" w:eastAsia="宋体" w:cs="宋体"/>
                <w:sz w:val="24"/>
                <w:szCs w:val="24"/>
                <w:highlight w:val="none"/>
              </w:rPr>
            </w:pPr>
            <w:r>
              <w:rPr>
                <w:rFonts w:hint="eastAsia" w:ascii="宋体" w:hAnsi="宋体" w:eastAsia="宋体" w:cs="宋体"/>
                <w:sz w:val="24"/>
                <w:szCs w:val="24"/>
                <w:highlight w:val="none"/>
              </w:rPr>
              <w:t>委托人</w:t>
            </w:r>
          </w:p>
        </w:tc>
        <w:tc>
          <w:tcPr>
            <w:tcW w:w="6519" w:type="dxa"/>
            <w:noWrap w:val="0"/>
            <w:vAlign w:val="center"/>
          </w:tcPr>
          <w:p w14:paraId="4F7D48D0">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太康县教育体育局</w:t>
            </w:r>
            <w:r>
              <w:rPr>
                <w:rFonts w:hint="eastAsia" w:ascii="宋体" w:hAnsi="宋体" w:eastAsia="宋体" w:cs="宋体"/>
                <w:i w:val="0"/>
                <w:iCs w:val="0"/>
                <w:sz w:val="24"/>
                <w:szCs w:val="24"/>
                <w:highlight w:val="none"/>
              </w:rPr>
              <w:t>　</w:t>
            </w:r>
          </w:p>
        </w:tc>
      </w:tr>
      <w:tr w14:paraId="4EA9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88" w:type="dxa"/>
            <w:noWrap w:val="0"/>
            <w:vAlign w:val="center"/>
          </w:tcPr>
          <w:p w14:paraId="3B67E00C">
            <w:pP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833" w:type="dxa"/>
            <w:noWrap w:val="0"/>
            <w:vAlign w:val="center"/>
          </w:tcPr>
          <w:p w14:paraId="24E9DEE2">
            <w:pPr>
              <w:rPr>
                <w:rFonts w:hint="eastAsia" w:ascii="宋体" w:hAnsi="宋体" w:eastAsia="宋体" w:cs="宋体"/>
                <w:sz w:val="24"/>
                <w:szCs w:val="24"/>
                <w:highlight w:val="none"/>
              </w:rPr>
            </w:pPr>
            <w:r>
              <w:rPr>
                <w:rFonts w:hint="eastAsia" w:ascii="宋体" w:hAnsi="宋体" w:eastAsia="宋体" w:cs="宋体"/>
                <w:sz w:val="24"/>
                <w:szCs w:val="24"/>
                <w:highlight w:val="none"/>
              </w:rPr>
              <w:t>采购代理机构</w:t>
            </w:r>
          </w:p>
        </w:tc>
        <w:tc>
          <w:tcPr>
            <w:tcW w:w="6519" w:type="dxa"/>
            <w:noWrap w:val="0"/>
            <w:vAlign w:val="center"/>
          </w:tcPr>
          <w:p w14:paraId="079B73A6">
            <w:pPr>
              <w:rPr>
                <w:rFonts w:hint="eastAsia" w:ascii="宋体" w:hAnsi="宋体" w:eastAsia="宋体" w:cs="宋体"/>
                <w:sz w:val="24"/>
                <w:szCs w:val="24"/>
                <w:highlight w:val="none"/>
              </w:rPr>
            </w:pPr>
            <w:r>
              <w:rPr>
                <w:rFonts w:hint="eastAsia" w:ascii="宋体" w:hAnsi="宋体" w:eastAsia="宋体" w:cs="宋体"/>
                <w:sz w:val="24"/>
                <w:szCs w:val="24"/>
                <w:highlight w:val="none"/>
              </w:rPr>
              <w:t>名  称：周口市公共资源交易中心政府采购中心</w:t>
            </w:r>
          </w:p>
          <w:p w14:paraId="6FC3EEDB">
            <w:pPr>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74B3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88" w:type="dxa"/>
            <w:noWrap w:val="0"/>
            <w:vAlign w:val="center"/>
          </w:tcPr>
          <w:p w14:paraId="362C530D">
            <w:pP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833" w:type="dxa"/>
            <w:noWrap w:val="0"/>
            <w:vAlign w:val="center"/>
          </w:tcPr>
          <w:p w14:paraId="4546148A">
            <w:pP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519" w:type="dxa"/>
            <w:noWrap w:val="0"/>
            <w:vAlign w:val="center"/>
          </w:tcPr>
          <w:p w14:paraId="32D7366B">
            <w:pPr>
              <w:rPr>
                <w:rFonts w:hint="eastAsia" w:ascii="宋体" w:hAnsi="宋体" w:eastAsia="宋体" w:cs="宋体"/>
                <w:sz w:val="24"/>
                <w:szCs w:val="24"/>
                <w:highlight w:val="none"/>
              </w:rPr>
            </w:pPr>
            <w:r>
              <w:rPr>
                <w:rFonts w:hint="eastAsia" w:ascii="宋体" w:hAnsi="宋体" w:cs="宋体"/>
                <w:i w:val="0"/>
                <w:iCs w:val="0"/>
                <w:sz w:val="24"/>
                <w:szCs w:val="24"/>
                <w:highlight w:val="none"/>
                <w:lang w:val="en-US" w:eastAsia="zh-CN"/>
              </w:rPr>
              <w:t>太康县教育体育局2026---2027学年度校园餐、营养餐大宗食材采购项目</w:t>
            </w:r>
          </w:p>
        </w:tc>
      </w:tr>
      <w:tr w14:paraId="3D00B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88" w:type="dxa"/>
            <w:noWrap w:val="0"/>
            <w:vAlign w:val="center"/>
          </w:tcPr>
          <w:p w14:paraId="1A7C2771">
            <w:pP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833" w:type="dxa"/>
            <w:noWrap w:val="0"/>
            <w:vAlign w:val="center"/>
          </w:tcPr>
          <w:p w14:paraId="651D44D6">
            <w:pPr>
              <w:rPr>
                <w:rFonts w:hint="eastAsia" w:ascii="宋体" w:hAnsi="宋体" w:eastAsia="宋体" w:cs="宋体"/>
                <w:sz w:val="24"/>
                <w:szCs w:val="24"/>
                <w:highlight w:val="none"/>
              </w:rPr>
            </w:pPr>
            <w:r>
              <w:rPr>
                <w:rFonts w:hint="eastAsia" w:ascii="宋体" w:hAnsi="宋体" w:eastAsia="宋体" w:cs="宋体"/>
                <w:sz w:val="24"/>
                <w:szCs w:val="24"/>
                <w:highlight w:val="none"/>
              </w:rPr>
              <w:t>项目编号</w:t>
            </w:r>
          </w:p>
        </w:tc>
        <w:tc>
          <w:tcPr>
            <w:tcW w:w="6519" w:type="dxa"/>
            <w:noWrap w:val="0"/>
            <w:vAlign w:val="center"/>
          </w:tcPr>
          <w:p w14:paraId="3E64A777">
            <w:pP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太财招标采购-2026-23</w:t>
            </w:r>
          </w:p>
        </w:tc>
      </w:tr>
      <w:tr w14:paraId="5E97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88" w:type="dxa"/>
            <w:noWrap w:val="0"/>
            <w:vAlign w:val="center"/>
          </w:tcPr>
          <w:p w14:paraId="202E2328">
            <w:pP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833" w:type="dxa"/>
            <w:noWrap w:val="0"/>
            <w:vAlign w:val="center"/>
          </w:tcPr>
          <w:p w14:paraId="3502A735">
            <w:pPr>
              <w:rPr>
                <w:rFonts w:hint="eastAsia" w:ascii="宋体" w:hAnsi="宋体" w:eastAsia="宋体" w:cs="宋体"/>
                <w:sz w:val="24"/>
                <w:szCs w:val="24"/>
                <w:highlight w:val="none"/>
              </w:rPr>
            </w:pPr>
            <w:r>
              <w:rPr>
                <w:rFonts w:hint="eastAsia" w:ascii="宋体" w:hAnsi="宋体" w:eastAsia="宋体" w:cs="宋体"/>
                <w:sz w:val="24"/>
                <w:szCs w:val="24"/>
                <w:highlight w:val="none"/>
              </w:rPr>
              <w:t>项目性质</w:t>
            </w:r>
          </w:p>
        </w:tc>
        <w:tc>
          <w:tcPr>
            <w:tcW w:w="6519" w:type="dxa"/>
            <w:noWrap w:val="0"/>
            <w:vAlign w:val="center"/>
          </w:tcPr>
          <w:p w14:paraId="5A11F8B1">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类</w:t>
            </w:r>
          </w:p>
        </w:tc>
      </w:tr>
      <w:tr w14:paraId="3FAE9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88" w:type="dxa"/>
            <w:noWrap w:val="0"/>
            <w:vAlign w:val="center"/>
          </w:tcPr>
          <w:p w14:paraId="03C04680">
            <w:pP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833" w:type="dxa"/>
            <w:noWrap w:val="0"/>
            <w:vAlign w:val="center"/>
          </w:tcPr>
          <w:p w14:paraId="30A73E7E">
            <w:pPr>
              <w:rPr>
                <w:rFonts w:hint="eastAsia" w:ascii="宋体" w:hAnsi="宋体" w:eastAsia="宋体" w:cs="宋体"/>
                <w:sz w:val="24"/>
                <w:szCs w:val="24"/>
                <w:highlight w:val="none"/>
              </w:rPr>
            </w:pPr>
            <w:r>
              <w:rPr>
                <w:rFonts w:hint="eastAsia" w:ascii="宋体" w:hAnsi="宋体" w:eastAsia="宋体" w:cs="宋体"/>
                <w:sz w:val="24"/>
                <w:szCs w:val="24"/>
                <w:highlight w:val="none"/>
              </w:rPr>
              <w:t>资金来源</w:t>
            </w:r>
          </w:p>
        </w:tc>
        <w:tc>
          <w:tcPr>
            <w:tcW w:w="6519" w:type="dxa"/>
            <w:noWrap w:val="0"/>
            <w:vAlign w:val="center"/>
          </w:tcPr>
          <w:p w14:paraId="5FC9ADBC">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自筹</w:t>
            </w:r>
            <w:r>
              <w:rPr>
                <w:rFonts w:hint="eastAsia" w:ascii="宋体" w:hAnsi="宋体" w:eastAsia="宋体" w:cs="宋体"/>
                <w:sz w:val="24"/>
                <w:szCs w:val="24"/>
                <w:highlight w:val="none"/>
              </w:rPr>
              <w:t>资金</w:t>
            </w:r>
          </w:p>
        </w:tc>
      </w:tr>
      <w:tr w14:paraId="68BFE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788" w:type="dxa"/>
            <w:noWrap w:val="0"/>
            <w:vAlign w:val="center"/>
          </w:tcPr>
          <w:p w14:paraId="328864C8">
            <w:pP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833" w:type="dxa"/>
            <w:noWrap w:val="0"/>
            <w:vAlign w:val="top"/>
          </w:tcPr>
          <w:p w14:paraId="619B4572">
            <w:pPr>
              <w:rPr>
                <w:rFonts w:hint="eastAsia" w:ascii="宋体" w:hAnsi="宋体" w:eastAsia="宋体" w:cs="宋体"/>
                <w:sz w:val="24"/>
                <w:szCs w:val="24"/>
                <w:highlight w:val="none"/>
              </w:rPr>
            </w:pPr>
            <w:r>
              <w:rPr>
                <w:rFonts w:hint="eastAsia" w:ascii="宋体" w:hAnsi="宋体" w:eastAsia="宋体" w:cs="宋体"/>
                <w:sz w:val="24"/>
                <w:szCs w:val="24"/>
                <w:highlight w:val="none"/>
              </w:rPr>
              <w:t>包别划分</w:t>
            </w:r>
          </w:p>
        </w:tc>
        <w:tc>
          <w:tcPr>
            <w:tcW w:w="6519" w:type="dxa"/>
            <w:noWrap w:val="0"/>
            <w:vAlign w:val="center"/>
          </w:tcPr>
          <w:p w14:paraId="580E6D43">
            <w:pPr>
              <w:rPr>
                <w:rFonts w:hint="eastAsia" w:ascii="宋体" w:hAnsi="宋体" w:eastAsia="宋体" w:cs="宋体"/>
                <w:sz w:val="24"/>
                <w:szCs w:val="24"/>
                <w:highlight w:val="none"/>
              </w:rPr>
            </w:pPr>
            <w:r>
              <w:rPr>
                <w:rFonts w:hint="eastAsia" w:ascii="宋体" w:hAnsi="宋体" w:eastAsia="宋体" w:cs="宋体"/>
                <w:sz w:val="24"/>
                <w:szCs w:val="24"/>
                <w:highlight w:val="none"/>
              </w:rPr>
              <w:t>本次招标为</w:t>
            </w:r>
            <w:r>
              <w:rPr>
                <w:rFonts w:hint="eastAsia" w:ascii="宋体" w:hAnsi="宋体" w:cs="宋体"/>
                <w:color w:val="000000"/>
                <w:sz w:val="24"/>
                <w:szCs w:val="24"/>
                <w:highlight w:val="none"/>
                <w:lang w:val="en-US" w:eastAsia="zh-CN"/>
              </w:rPr>
              <w:t>3</w:t>
            </w:r>
            <w:r>
              <w:rPr>
                <w:rFonts w:hint="eastAsia" w:ascii="宋体" w:hAnsi="宋体" w:eastAsia="宋体" w:cs="宋体"/>
                <w:sz w:val="24"/>
                <w:szCs w:val="24"/>
                <w:highlight w:val="none"/>
              </w:rPr>
              <w:t>个包</w:t>
            </w:r>
          </w:p>
        </w:tc>
      </w:tr>
      <w:tr w14:paraId="19BE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88" w:type="dxa"/>
            <w:noWrap w:val="0"/>
            <w:vAlign w:val="center"/>
          </w:tcPr>
          <w:p w14:paraId="1AD19989">
            <w:pP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833" w:type="dxa"/>
            <w:noWrap w:val="0"/>
            <w:vAlign w:val="center"/>
          </w:tcPr>
          <w:p w14:paraId="2974619A">
            <w:pPr>
              <w:rPr>
                <w:rFonts w:hint="eastAsia" w:ascii="宋体" w:hAnsi="宋体" w:eastAsia="宋体" w:cs="宋体"/>
                <w:sz w:val="24"/>
                <w:szCs w:val="24"/>
                <w:highlight w:val="none"/>
              </w:rPr>
            </w:pPr>
            <w:r>
              <w:rPr>
                <w:rFonts w:hint="eastAsia" w:ascii="宋体" w:hAnsi="宋体" w:eastAsia="宋体" w:cs="宋体"/>
                <w:sz w:val="24"/>
                <w:szCs w:val="24"/>
                <w:highlight w:val="none"/>
              </w:rPr>
              <w:t>付款方式</w:t>
            </w:r>
          </w:p>
        </w:tc>
        <w:tc>
          <w:tcPr>
            <w:tcW w:w="6519" w:type="dxa"/>
            <w:noWrap w:val="0"/>
            <w:vAlign w:val="center"/>
          </w:tcPr>
          <w:p w14:paraId="21D17D8B">
            <w:pPr>
              <w:pStyle w:val="19"/>
              <w:spacing w:line="240" w:lineRule="auto"/>
              <w:ind w:left="0" w:leftChars="0" w:right="-21" w:firstLine="0" w:firstLineChars="0"/>
              <w:rPr>
                <w:rFonts w:hint="default" w:ascii="宋体" w:hAnsi="宋体" w:eastAsia="宋体" w:cs="宋体"/>
                <w:highlight w:val="none"/>
                <w:lang w:val="en-US" w:eastAsia="zh-CN"/>
              </w:rPr>
            </w:pPr>
            <w:r>
              <w:rPr>
                <w:rFonts w:hint="default" w:ascii="宋体" w:hAnsi="宋体" w:eastAsia="宋体" w:cs="宋体"/>
                <w:highlight w:val="none"/>
                <w:lang w:val="en-US" w:eastAsia="zh-CN"/>
              </w:rPr>
              <w:t>1、农村义务教育学生营养改善计划午餐，按市教育体育局及六局委制定的带量食谱及实际供餐天数、人数，由学校统计每月供货数量及金额，乡镇中心校审核，教体局汇总报财政局后按相关程序据实结算。</w:t>
            </w:r>
          </w:p>
          <w:p w14:paraId="3EE1A8C7">
            <w:pPr>
              <w:pStyle w:val="19"/>
              <w:spacing w:line="240" w:lineRule="auto"/>
              <w:ind w:left="0" w:leftChars="0" w:right="-21" w:firstLine="0" w:firstLineChars="0"/>
              <w:rPr>
                <w:rFonts w:hint="default" w:ascii="宋体" w:hAnsi="宋体" w:eastAsia="宋体" w:cs="宋体"/>
                <w:highlight w:val="none"/>
                <w:lang w:val="en-US" w:eastAsia="zh-CN"/>
              </w:rPr>
            </w:pPr>
            <w:r>
              <w:rPr>
                <w:rFonts w:hint="default" w:ascii="宋体" w:hAnsi="宋体" w:eastAsia="宋体" w:cs="宋体"/>
                <w:highlight w:val="none"/>
                <w:lang w:val="en-US" w:eastAsia="zh-CN"/>
              </w:rPr>
              <w:t>2、非农村义务教育学生营养改善计划早、中、晚餐，按市县有关要求及带量食谱比例及实际供餐天数、人数，由学校统计每月供货数量及金额，按相关程序据实结算。</w:t>
            </w:r>
          </w:p>
        </w:tc>
      </w:tr>
      <w:tr w14:paraId="6945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788" w:type="dxa"/>
            <w:noWrap w:val="0"/>
            <w:vAlign w:val="center"/>
          </w:tcPr>
          <w:p w14:paraId="4D556A15">
            <w:pP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833" w:type="dxa"/>
            <w:noWrap w:val="0"/>
            <w:vAlign w:val="center"/>
          </w:tcPr>
          <w:p w14:paraId="7FA89015">
            <w:pPr>
              <w:rPr>
                <w:rFonts w:hint="eastAsia" w:ascii="宋体" w:hAnsi="宋体" w:eastAsia="宋体" w:cs="宋体"/>
                <w:sz w:val="24"/>
                <w:szCs w:val="24"/>
                <w:highlight w:val="none"/>
              </w:rPr>
            </w:pPr>
            <w:r>
              <w:rPr>
                <w:rFonts w:hint="eastAsia" w:ascii="宋体" w:hAnsi="宋体" w:eastAsia="宋体" w:cs="宋体"/>
                <w:sz w:val="24"/>
                <w:szCs w:val="24"/>
                <w:highlight w:val="none"/>
              </w:rPr>
              <w:t>联合体投标</w:t>
            </w:r>
          </w:p>
        </w:tc>
        <w:tc>
          <w:tcPr>
            <w:tcW w:w="6519" w:type="dxa"/>
            <w:noWrap w:val="0"/>
            <w:vAlign w:val="center"/>
          </w:tcPr>
          <w:p w14:paraId="7DC35602">
            <w:pPr>
              <w:rPr>
                <w:rFonts w:hint="eastAsia" w:ascii="宋体" w:hAnsi="宋体" w:eastAsia="宋体" w:cs="宋体"/>
                <w:sz w:val="24"/>
                <w:szCs w:val="24"/>
                <w:highlight w:val="none"/>
              </w:rPr>
            </w:pPr>
            <w:r>
              <w:rPr>
                <w:rFonts w:hint="eastAsia" w:ascii="宋体" w:hAnsi="宋体" w:eastAsia="宋体" w:cs="宋体"/>
                <w:sz w:val="24"/>
                <w:szCs w:val="24"/>
                <w:highlight w:val="none"/>
              </w:rPr>
              <w:t>不允许</w:t>
            </w:r>
          </w:p>
        </w:tc>
      </w:tr>
      <w:tr w14:paraId="5B83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788" w:type="dxa"/>
            <w:noWrap w:val="0"/>
            <w:vAlign w:val="center"/>
          </w:tcPr>
          <w:p w14:paraId="2E6C75F4">
            <w:pP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2833" w:type="dxa"/>
            <w:noWrap w:val="0"/>
            <w:vAlign w:val="center"/>
          </w:tcPr>
          <w:p w14:paraId="24F3AF8D">
            <w:pP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519" w:type="dxa"/>
            <w:noWrap w:val="0"/>
            <w:vAlign w:val="center"/>
          </w:tcPr>
          <w:p w14:paraId="1B7FF3FC">
            <w:pPr>
              <w:rPr>
                <w:rFonts w:hint="eastAsia" w:ascii="宋体" w:hAnsi="宋体" w:eastAsia="宋体" w:cs="宋体"/>
                <w:sz w:val="24"/>
                <w:szCs w:val="24"/>
                <w:highlight w:val="none"/>
              </w:rPr>
            </w:pPr>
            <w:r>
              <w:rPr>
                <w:rFonts w:hint="eastAsia" w:ascii="宋体" w:hAnsi="宋体" w:eastAsia="宋体" w:cs="宋体"/>
                <w:sz w:val="24"/>
                <w:szCs w:val="24"/>
                <w:highlight w:val="none"/>
              </w:rPr>
              <w:t>开标后60天</w:t>
            </w:r>
          </w:p>
        </w:tc>
      </w:tr>
      <w:tr w14:paraId="35FD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788" w:type="dxa"/>
            <w:noWrap w:val="0"/>
            <w:vAlign w:val="center"/>
          </w:tcPr>
          <w:p w14:paraId="4A221B87">
            <w:pP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2833" w:type="dxa"/>
            <w:noWrap w:val="0"/>
            <w:vAlign w:val="center"/>
          </w:tcPr>
          <w:p w14:paraId="307DF87B">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地点</w:t>
            </w:r>
          </w:p>
        </w:tc>
        <w:tc>
          <w:tcPr>
            <w:tcW w:w="6519" w:type="dxa"/>
            <w:noWrap w:val="0"/>
            <w:vAlign w:val="center"/>
          </w:tcPr>
          <w:p w14:paraId="50E127A9">
            <w:pPr>
              <w:rPr>
                <w:rFonts w:hint="eastAsia" w:ascii="宋体" w:hAnsi="宋体" w:eastAsia="宋体" w:cs="宋体"/>
                <w:sz w:val="24"/>
                <w:szCs w:val="24"/>
                <w:highlight w:val="none"/>
              </w:rPr>
            </w:pPr>
            <w:r>
              <w:rPr>
                <w:rFonts w:hint="eastAsia" w:ascii="宋体" w:hAnsi="宋体" w:eastAsia="宋体" w:cs="宋体"/>
                <w:sz w:val="24"/>
                <w:szCs w:val="24"/>
                <w:highlight w:val="none"/>
              </w:rPr>
              <w:t>采购人指定地点</w:t>
            </w:r>
          </w:p>
        </w:tc>
      </w:tr>
      <w:tr w14:paraId="564B9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788" w:type="dxa"/>
            <w:noWrap w:val="0"/>
            <w:vAlign w:val="center"/>
          </w:tcPr>
          <w:p w14:paraId="1B22E1A3">
            <w:pP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2833" w:type="dxa"/>
            <w:noWrap w:val="0"/>
            <w:vAlign w:val="center"/>
          </w:tcPr>
          <w:p w14:paraId="403B0F2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期限</w:t>
            </w:r>
          </w:p>
        </w:tc>
        <w:tc>
          <w:tcPr>
            <w:tcW w:w="6519" w:type="dxa"/>
            <w:noWrap w:val="0"/>
            <w:vAlign w:val="center"/>
          </w:tcPr>
          <w:p w14:paraId="0FB66574">
            <w:pPr>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1年（以教体局确定的日期和以在校在籍学生实际供餐天数和人数为准）。</w:t>
            </w:r>
          </w:p>
        </w:tc>
      </w:tr>
      <w:tr w14:paraId="0EA2D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88" w:type="dxa"/>
            <w:noWrap w:val="0"/>
            <w:vAlign w:val="center"/>
          </w:tcPr>
          <w:p w14:paraId="171223E1">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4</w:t>
            </w:r>
          </w:p>
        </w:tc>
        <w:tc>
          <w:tcPr>
            <w:tcW w:w="2833" w:type="dxa"/>
            <w:noWrap w:val="0"/>
            <w:vAlign w:val="center"/>
          </w:tcPr>
          <w:p w14:paraId="4BCD408A">
            <w:pP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投标保证金金额</w:t>
            </w:r>
          </w:p>
        </w:tc>
        <w:tc>
          <w:tcPr>
            <w:tcW w:w="6519" w:type="dxa"/>
            <w:noWrap w:val="0"/>
            <w:vAlign w:val="center"/>
          </w:tcPr>
          <w:p w14:paraId="666B8768">
            <w:pPr>
              <w:rPr>
                <w:rFonts w:hint="eastAsia" w:ascii="宋体" w:hAnsi="宋体" w:eastAsia="宋体" w:cs="宋体"/>
                <w:sz w:val="24"/>
                <w:szCs w:val="24"/>
                <w:highlight w:val="none"/>
              </w:rPr>
            </w:pPr>
            <w:r>
              <w:rPr>
                <w:rFonts w:hint="eastAsia" w:ascii="宋体" w:hAnsi="宋体" w:eastAsia="宋体" w:cs="宋体"/>
                <w:sz w:val="24"/>
                <w:szCs w:val="24"/>
                <w:highlight w:val="none"/>
              </w:rPr>
              <w:t>不需要缴纳投标保证金</w:t>
            </w:r>
          </w:p>
        </w:tc>
      </w:tr>
      <w:tr w14:paraId="335E4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788" w:type="dxa"/>
            <w:noWrap w:val="0"/>
            <w:vAlign w:val="center"/>
          </w:tcPr>
          <w:p w14:paraId="396CC522">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5</w:t>
            </w:r>
          </w:p>
        </w:tc>
        <w:tc>
          <w:tcPr>
            <w:tcW w:w="2833" w:type="dxa"/>
            <w:noWrap w:val="0"/>
            <w:vAlign w:val="center"/>
          </w:tcPr>
          <w:p w14:paraId="55A5E535">
            <w:pPr>
              <w:rPr>
                <w:rFonts w:hint="eastAsia" w:ascii="宋体" w:hAnsi="宋体" w:eastAsia="宋体" w:cs="宋体"/>
                <w:sz w:val="24"/>
                <w:szCs w:val="24"/>
                <w:highlight w:val="none"/>
              </w:rPr>
            </w:pPr>
            <w:r>
              <w:rPr>
                <w:rFonts w:hint="eastAsia" w:ascii="宋体" w:hAnsi="宋体" w:eastAsia="宋体" w:cs="宋体"/>
                <w:sz w:val="24"/>
                <w:szCs w:val="24"/>
                <w:highlight w:val="none"/>
              </w:rPr>
              <w:t>答疑</w:t>
            </w:r>
          </w:p>
        </w:tc>
        <w:tc>
          <w:tcPr>
            <w:tcW w:w="6519" w:type="dxa"/>
            <w:noWrap w:val="0"/>
            <w:vAlign w:val="center"/>
          </w:tcPr>
          <w:p w14:paraId="771117F6">
            <w:pPr>
              <w:rPr>
                <w:rFonts w:hint="eastAsia" w:ascii="宋体" w:hAnsi="宋体" w:eastAsia="宋体" w:cs="宋体"/>
                <w:sz w:val="24"/>
                <w:szCs w:val="24"/>
                <w:highlight w:val="none"/>
              </w:rPr>
            </w:pPr>
            <w:r>
              <w:rPr>
                <w:rFonts w:hint="eastAsia" w:ascii="宋体" w:hAnsi="宋体" w:eastAsia="宋体" w:cs="宋体"/>
                <w:sz w:val="24"/>
                <w:szCs w:val="24"/>
                <w:highlight w:val="none"/>
              </w:rPr>
              <w:t>疑问的提出与答疑获取详见招标文件第二部分第五章</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须知第36条。</w:t>
            </w:r>
          </w:p>
          <w:p w14:paraId="0F1E4018">
            <w:pPr>
              <w:rPr>
                <w:rFonts w:hint="eastAsia" w:ascii="宋体" w:hAnsi="宋体" w:eastAsia="宋体" w:cs="宋体"/>
                <w:sz w:val="24"/>
                <w:szCs w:val="24"/>
                <w:highlight w:val="none"/>
              </w:rPr>
            </w:pPr>
            <w:r>
              <w:rPr>
                <w:rFonts w:hint="eastAsia" w:ascii="宋体" w:hAnsi="宋体" w:eastAsia="宋体" w:cs="宋体"/>
                <w:sz w:val="24"/>
                <w:szCs w:val="24"/>
                <w:highlight w:val="none"/>
              </w:rPr>
              <w:t>周口市公共资源交易中心政府采购中心对招标文件进行的澄清、更正或更改，将在网站上及时发布，该公告内容为招标文件的组成部分，对</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具有同样约束力效力。</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应主动上网查询。周口市公共资源交易中心政府采购中心不承担</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未及时关注相关信息引发的相关责任。</w:t>
            </w:r>
          </w:p>
        </w:tc>
      </w:tr>
      <w:tr w14:paraId="73583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788" w:type="dxa"/>
            <w:noWrap w:val="0"/>
            <w:vAlign w:val="center"/>
          </w:tcPr>
          <w:p w14:paraId="13FB206F">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6</w:t>
            </w:r>
          </w:p>
        </w:tc>
        <w:tc>
          <w:tcPr>
            <w:tcW w:w="2833" w:type="dxa"/>
            <w:noWrap w:val="0"/>
            <w:vAlign w:val="center"/>
          </w:tcPr>
          <w:p w14:paraId="4842302B">
            <w:pPr>
              <w:rPr>
                <w:rFonts w:hint="eastAsia" w:ascii="宋体" w:hAnsi="宋体" w:eastAsia="宋体" w:cs="宋体"/>
                <w:sz w:val="24"/>
                <w:szCs w:val="24"/>
                <w:highlight w:val="none"/>
              </w:rPr>
            </w:pPr>
            <w:r>
              <w:rPr>
                <w:rFonts w:hint="eastAsia" w:ascii="宋体" w:hAnsi="宋体" w:eastAsia="宋体" w:cs="宋体"/>
                <w:sz w:val="24"/>
                <w:szCs w:val="24"/>
                <w:highlight w:val="none"/>
              </w:rPr>
              <w:t>勘察现场</w:t>
            </w:r>
          </w:p>
        </w:tc>
        <w:tc>
          <w:tcPr>
            <w:tcW w:w="6519" w:type="dxa"/>
            <w:noWrap w:val="0"/>
            <w:vAlign w:val="center"/>
          </w:tcPr>
          <w:p w14:paraId="3088784C">
            <w:pPr>
              <w:rPr>
                <w:rFonts w:hint="eastAsia" w:ascii="宋体" w:hAnsi="宋体" w:eastAsia="宋体" w:cs="宋体"/>
                <w:sz w:val="24"/>
                <w:szCs w:val="24"/>
                <w:highlight w:val="none"/>
              </w:rPr>
            </w:pPr>
            <w:r>
              <w:rPr>
                <w:rFonts w:hint="eastAsia"/>
                <w:sz w:val="24"/>
                <w:szCs w:val="24"/>
                <w:highlight w:val="none"/>
                <w:lang w:val="en-US" w:eastAsia="zh-CN"/>
              </w:rPr>
              <w:t>不组织</w:t>
            </w:r>
          </w:p>
        </w:tc>
      </w:tr>
      <w:tr w14:paraId="502F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jc w:val="center"/>
        </w:trPr>
        <w:tc>
          <w:tcPr>
            <w:tcW w:w="788" w:type="dxa"/>
            <w:noWrap w:val="0"/>
            <w:vAlign w:val="center"/>
          </w:tcPr>
          <w:p w14:paraId="10EDEB60">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7</w:t>
            </w:r>
          </w:p>
        </w:tc>
        <w:tc>
          <w:tcPr>
            <w:tcW w:w="2833" w:type="dxa"/>
            <w:noWrap w:val="0"/>
            <w:vAlign w:val="center"/>
          </w:tcPr>
          <w:p w14:paraId="1F33D754">
            <w:pP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w:t>
            </w:r>
          </w:p>
        </w:tc>
        <w:tc>
          <w:tcPr>
            <w:tcW w:w="6519" w:type="dxa"/>
            <w:noWrap w:val="0"/>
            <w:vAlign w:val="center"/>
          </w:tcPr>
          <w:p w14:paraId="70BEF66D">
            <w:pPr>
              <w:rPr>
                <w:rFonts w:hint="eastAsia" w:ascii="宋体" w:hAnsi="宋体" w:eastAsia="宋体" w:cs="宋体"/>
                <w:sz w:val="24"/>
                <w:szCs w:val="24"/>
                <w:highlight w:val="none"/>
              </w:rPr>
            </w:pPr>
            <w:r>
              <w:rPr>
                <w:rFonts w:hint="eastAsia" w:ascii="宋体" w:hAnsi="宋体" w:eastAsia="宋体" w:cs="宋体"/>
                <w:sz w:val="24"/>
                <w:szCs w:val="24"/>
                <w:highlight w:val="none"/>
              </w:rPr>
              <w:t>1、投标文件为使用周口市公共资源交易中心提供的电子标书制作工具软件（</w:t>
            </w:r>
            <w:r>
              <w:rPr>
                <w:rFonts w:hint="eastAsia" w:ascii="宋体" w:hAnsi="宋体" w:eastAsia="宋体" w:cs="宋体"/>
                <w:color w:val="000000"/>
                <w:highlight w:val="none"/>
              </w:rPr>
              <w:t>http://jyzx.zhoukou.gov.cn</w:t>
            </w:r>
            <w:r>
              <w:rPr>
                <w:rFonts w:hint="eastAsia" w:ascii="宋体" w:hAnsi="宋体" w:eastAsia="宋体" w:cs="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13387AF">
            <w:pPr>
              <w:pStyle w:val="15"/>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2、本项目实行网上远程开标无须到现场提交响应文件，未加密的电子投标文件和纸质文件不再提交。</w:t>
            </w:r>
          </w:p>
        </w:tc>
      </w:tr>
      <w:tr w14:paraId="6F70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788" w:type="dxa"/>
            <w:noWrap w:val="0"/>
            <w:vAlign w:val="center"/>
          </w:tcPr>
          <w:p w14:paraId="18595A53">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8</w:t>
            </w:r>
          </w:p>
        </w:tc>
        <w:tc>
          <w:tcPr>
            <w:tcW w:w="2833" w:type="dxa"/>
            <w:noWrap w:val="0"/>
            <w:vAlign w:val="center"/>
          </w:tcPr>
          <w:p w14:paraId="4D632E9A">
            <w:pPr>
              <w:rPr>
                <w:rFonts w:hint="eastAsia" w:ascii="宋体" w:hAnsi="宋体" w:eastAsia="宋体" w:cs="宋体"/>
                <w:sz w:val="24"/>
                <w:szCs w:val="24"/>
                <w:highlight w:val="none"/>
              </w:rPr>
            </w:pPr>
            <w:r>
              <w:rPr>
                <w:rFonts w:hint="eastAsia" w:ascii="宋体" w:hAnsi="宋体" w:eastAsia="宋体" w:cs="宋体"/>
                <w:sz w:val="24"/>
                <w:szCs w:val="24"/>
                <w:highlight w:val="none"/>
              </w:rPr>
              <w:t>投标时间及地点</w:t>
            </w:r>
          </w:p>
        </w:tc>
        <w:tc>
          <w:tcPr>
            <w:tcW w:w="6519" w:type="dxa"/>
            <w:noWrap w:val="0"/>
            <w:vAlign w:val="center"/>
          </w:tcPr>
          <w:p w14:paraId="5B799F9F">
            <w:pP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投标截止时间：***年***月  日***（见招标公告）      </w:t>
            </w:r>
          </w:p>
          <w:p w14:paraId="6D9FDCF5">
            <w:pPr>
              <w:rPr>
                <w:rFonts w:hint="eastAsia" w:ascii="宋体" w:hAnsi="宋体" w:eastAsia="宋体"/>
                <w:sz w:val="24"/>
                <w:highlight w:val="none"/>
                <w:lang w:val="en-US" w:eastAsia="zh-CN"/>
              </w:rPr>
            </w:pPr>
            <w:r>
              <w:rPr>
                <w:rFonts w:hint="eastAsia" w:ascii="宋体" w:hAnsi="宋体" w:eastAsia="宋体" w:cs="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2A873026">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2E636B62">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（本项目实行网上远程开标无须到现场提交响应文件）</w:t>
            </w:r>
          </w:p>
        </w:tc>
      </w:tr>
      <w:tr w14:paraId="1A15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jc w:val="center"/>
        </w:trPr>
        <w:tc>
          <w:tcPr>
            <w:tcW w:w="788" w:type="dxa"/>
            <w:noWrap w:val="0"/>
            <w:vAlign w:val="center"/>
          </w:tcPr>
          <w:p w14:paraId="780632D3">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w:t>
            </w:r>
          </w:p>
        </w:tc>
        <w:tc>
          <w:tcPr>
            <w:tcW w:w="2833" w:type="dxa"/>
            <w:noWrap w:val="0"/>
            <w:vAlign w:val="center"/>
          </w:tcPr>
          <w:p w14:paraId="7BCADBBA">
            <w:pP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开标时间及地点</w:t>
            </w:r>
          </w:p>
        </w:tc>
        <w:tc>
          <w:tcPr>
            <w:tcW w:w="6519" w:type="dxa"/>
            <w:noWrap w:val="0"/>
            <w:vAlign w:val="center"/>
          </w:tcPr>
          <w:p w14:paraId="34578155">
            <w:pP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月   日</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 xml:space="preserve">（见招标公告）      </w:t>
            </w:r>
          </w:p>
          <w:p w14:paraId="2B85C41D">
            <w:pPr>
              <w:ind w:left="360" w:hanging="360" w:hangingChars="150"/>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开标地点：</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r>
              <w:rPr>
                <w:rFonts w:hint="eastAsia" w:ascii="宋体" w:hAnsi="宋体" w:eastAsia="宋体" w:cs="宋体"/>
                <w:sz w:val="24"/>
                <w:szCs w:val="24"/>
                <w:highlight w:val="none"/>
              </w:rPr>
              <w:t>周口市公共资源交易中心</w:t>
            </w:r>
            <w:r>
              <w:rPr>
                <w:rFonts w:hint="eastAsia" w:ascii="宋体" w:hAnsi="宋体" w:eastAsia="宋体" w:cs="宋体"/>
                <w:i w:val="0"/>
                <w:iCs w:val="0"/>
                <w:sz w:val="24"/>
                <w:szCs w:val="24"/>
                <w:highlight w:val="none"/>
                <w:lang w:val="en-US" w:eastAsia="zh-CN"/>
              </w:rPr>
              <w:t>四楼开标室)</w:t>
            </w:r>
          </w:p>
        </w:tc>
      </w:tr>
      <w:tr w14:paraId="774B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8" w:type="dxa"/>
            <w:noWrap w:val="0"/>
            <w:vAlign w:val="center"/>
          </w:tcPr>
          <w:p w14:paraId="22F943C4">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w:t>
            </w:r>
          </w:p>
        </w:tc>
        <w:tc>
          <w:tcPr>
            <w:tcW w:w="2833" w:type="dxa"/>
            <w:noWrap w:val="0"/>
            <w:vAlign w:val="center"/>
          </w:tcPr>
          <w:p w14:paraId="73571F34">
            <w:pPr>
              <w:rPr>
                <w:rFonts w:hint="eastAsia" w:ascii="宋体" w:hAnsi="宋体" w:eastAsia="宋体" w:cs="宋体"/>
                <w:sz w:val="24"/>
                <w:szCs w:val="24"/>
                <w:highlight w:val="none"/>
              </w:rPr>
            </w:pPr>
            <w:r>
              <w:rPr>
                <w:rFonts w:hint="eastAsia" w:ascii="宋体" w:hAnsi="宋体" w:eastAsia="宋体" w:cs="宋体"/>
                <w:sz w:val="24"/>
                <w:szCs w:val="24"/>
                <w:highlight w:val="none"/>
              </w:rPr>
              <w:t>评标办法</w:t>
            </w:r>
          </w:p>
        </w:tc>
        <w:tc>
          <w:tcPr>
            <w:tcW w:w="6519" w:type="dxa"/>
            <w:noWrap w:val="0"/>
            <w:vAlign w:val="center"/>
          </w:tcPr>
          <w:p w14:paraId="4CDB4D01">
            <w:pPr>
              <w:rPr>
                <w:rFonts w:hint="eastAsia" w:ascii="宋体" w:hAnsi="宋体" w:eastAsia="宋体" w:cs="宋体"/>
                <w:sz w:val="24"/>
                <w:szCs w:val="24"/>
                <w:highlight w:val="none"/>
              </w:rPr>
            </w:pPr>
            <w:r>
              <w:rPr>
                <w:rFonts w:hint="eastAsia" w:ascii="宋体" w:hAnsi="宋体" w:eastAsia="宋体" w:cs="宋体"/>
                <w:sz w:val="24"/>
                <w:szCs w:val="24"/>
                <w:highlight w:val="none"/>
              </w:rPr>
              <w:t>综合评分法 详见招标文件第一部分第四章评标办法</w:t>
            </w:r>
          </w:p>
        </w:tc>
      </w:tr>
      <w:tr w14:paraId="17EF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788" w:type="dxa"/>
            <w:noWrap w:val="0"/>
            <w:vAlign w:val="center"/>
          </w:tcPr>
          <w:p w14:paraId="7736295F">
            <w:pPr>
              <w:rPr>
                <w:rFonts w:hint="default" w:ascii="宋体" w:hAnsi="宋体" w:eastAsia="宋体" w:cs="宋体"/>
                <w:color w:val="FF0000"/>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2833" w:type="dxa"/>
            <w:noWrap w:val="0"/>
            <w:vAlign w:val="center"/>
          </w:tcPr>
          <w:p w14:paraId="6E01C8F7">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其它</w:t>
            </w:r>
          </w:p>
        </w:tc>
        <w:tc>
          <w:tcPr>
            <w:tcW w:w="6519" w:type="dxa"/>
            <w:noWrap w:val="0"/>
            <w:vAlign w:val="center"/>
          </w:tcPr>
          <w:p w14:paraId="3748563D">
            <w:pPr>
              <w:numPr>
                <w:ilvl w:val="0"/>
                <w:numId w:val="2"/>
              </w:num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采购人验收如需第三方质检部门介入，第三方质检验收所需费用由中标人负担。</w:t>
            </w:r>
          </w:p>
          <w:p w14:paraId="4FFBD0DD">
            <w:pPr>
              <w:numPr>
                <w:ilvl w:val="0"/>
                <w:numId w:val="2"/>
              </w:numPr>
              <w:rPr>
                <w:rFonts w:hint="eastAsia" w:ascii="宋体" w:hAnsi="宋体" w:eastAsia="宋体" w:cs="宋体"/>
                <w:color w:val="auto"/>
                <w:kern w:val="2"/>
                <w:sz w:val="24"/>
                <w:szCs w:val="24"/>
                <w:highlight w:val="none"/>
                <w:lang w:val="en-US" w:eastAsia="zh-CN" w:bidi="ar-SA"/>
              </w:rPr>
            </w:pPr>
            <w:r>
              <w:rPr>
                <w:rFonts w:hint="default" w:ascii="宋体" w:hAnsi="宋体" w:cs="宋体"/>
                <w:color w:val="auto"/>
                <w:sz w:val="24"/>
                <w:szCs w:val="24"/>
                <w:highlight w:val="none"/>
                <w:lang w:val="en-US" w:eastAsia="zh-CN"/>
              </w:rPr>
              <w:t>评标结束后，7个工作日内采购人</w:t>
            </w:r>
            <w:r>
              <w:rPr>
                <w:rFonts w:hint="eastAsia" w:ascii="宋体" w:hAnsi="宋体" w:cs="宋体"/>
                <w:color w:val="auto"/>
                <w:sz w:val="24"/>
                <w:szCs w:val="24"/>
                <w:highlight w:val="none"/>
                <w:lang w:val="en-US" w:eastAsia="zh-CN"/>
              </w:rPr>
              <w:t>成立专班</w:t>
            </w:r>
            <w:r>
              <w:rPr>
                <w:rFonts w:hint="default" w:ascii="宋体" w:hAnsi="宋体" w:cs="宋体"/>
                <w:color w:val="auto"/>
                <w:sz w:val="24"/>
                <w:szCs w:val="24"/>
                <w:highlight w:val="none"/>
                <w:lang w:val="en-US" w:eastAsia="zh-CN"/>
              </w:rPr>
              <w:t>对中标（成交）候选人进行据实核查。核查内容包括信用信息、有无行受贿行为、企业履约能力情况等内容，以及采购人认为需要核查的其他事项。核查内容不得设置不合理限制和隐性壁垒。经核查发现中标（成交）候选人确有弄虚作假、串通投标等情形的，应否决相应中标（成交）候选人中标资格，重新招投标或按高低分递补的方式再次据实核查和认定中标（成交）候选人资格，核查结果要及时向行政监督部门报告。</w:t>
            </w:r>
          </w:p>
        </w:tc>
      </w:tr>
      <w:tr w14:paraId="28B6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788" w:type="dxa"/>
            <w:noWrap w:val="0"/>
            <w:vAlign w:val="center"/>
          </w:tcPr>
          <w:p w14:paraId="26A8C690">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w:t>
            </w:r>
          </w:p>
        </w:tc>
        <w:tc>
          <w:tcPr>
            <w:tcW w:w="2833" w:type="dxa"/>
            <w:noWrap w:val="0"/>
            <w:vAlign w:val="center"/>
          </w:tcPr>
          <w:p w14:paraId="176D6198">
            <w:pPr>
              <w:rPr>
                <w:rFonts w:hint="eastAsia" w:ascii="宋体" w:hAnsi="宋体" w:eastAsia="宋体" w:cs="宋体"/>
                <w:sz w:val="24"/>
                <w:szCs w:val="24"/>
                <w:highlight w:val="none"/>
              </w:rPr>
            </w:pPr>
            <w:r>
              <w:rPr>
                <w:rFonts w:hint="eastAsia" w:ascii="宋体" w:hAnsi="宋体"/>
                <w:b w:val="0"/>
                <w:bCs w:val="0"/>
                <w:color w:val="000000"/>
                <w:sz w:val="24"/>
                <w:szCs w:val="24"/>
                <w:highlight w:val="none"/>
              </w:rPr>
              <w:t>所属行业</w:t>
            </w:r>
          </w:p>
        </w:tc>
        <w:tc>
          <w:tcPr>
            <w:tcW w:w="6519" w:type="dxa"/>
            <w:noWrap w:val="0"/>
            <w:vAlign w:val="center"/>
          </w:tcPr>
          <w:p w14:paraId="20781D20">
            <w:pP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餐饮业</w:t>
            </w:r>
            <w:r>
              <w:rPr>
                <w:rFonts w:hint="eastAsia" w:ascii="宋体" w:hAnsi="宋体" w:eastAsia="宋体" w:cs="宋体"/>
                <w:sz w:val="24"/>
                <w:szCs w:val="24"/>
                <w:highlight w:val="none"/>
                <w:lang w:val="en-US" w:eastAsia="zh-CN"/>
              </w:rPr>
              <w:t xml:space="preserve">        </w:t>
            </w:r>
          </w:p>
        </w:tc>
      </w:tr>
      <w:tr w14:paraId="5254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788" w:type="dxa"/>
            <w:noWrap w:val="0"/>
            <w:vAlign w:val="center"/>
          </w:tcPr>
          <w:p w14:paraId="307B48A1">
            <w:pPr>
              <w:rPr>
                <w:rFonts w:hint="eastAsia" w:ascii="宋体" w:hAnsi="宋体" w:eastAsia="宋体" w:cs="宋体"/>
                <w:sz w:val="24"/>
                <w:szCs w:val="24"/>
                <w:highlight w:val="none"/>
                <w:lang w:val="en-US" w:eastAsia="zh-CN"/>
              </w:rPr>
            </w:pPr>
            <w:r>
              <w:rPr>
                <w:rFonts w:hint="eastAsia" w:ascii="宋体" w:hAnsi="宋体" w:cs="宋体"/>
                <w:color w:val="auto"/>
                <w:sz w:val="24"/>
                <w:szCs w:val="24"/>
                <w:highlight w:val="none"/>
                <w:lang w:val="en-US" w:eastAsia="zh-CN"/>
              </w:rPr>
              <w:t>23</w:t>
            </w:r>
          </w:p>
        </w:tc>
        <w:tc>
          <w:tcPr>
            <w:tcW w:w="2833" w:type="dxa"/>
            <w:noWrap w:val="0"/>
            <w:vAlign w:val="center"/>
          </w:tcPr>
          <w:p w14:paraId="1F8771FC">
            <w:pPr>
              <w:rPr>
                <w:rFonts w:hint="eastAsia" w:ascii="宋体" w:hAnsi="宋体"/>
                <w:b w:val="0"/>
                <w:bCs w:val="0"/>
                <w:color w:val="000000"/>
                <w:sz w:val="24"/>
                <w:szCs w:val="24"/>
                <w:highlight w:val="none"/>
              </w:rPr>
            </w:pPr>
            <w:r>
              <w:rPr>
                <w:rFonts w:hint="eastAsia" w:ascii="宋体" w:hAnsi="宋体"/>
                <w:color w:val="auto"/>
                <w:sz w:val="24"/>
                <w:szCs w:val="24"/>
                <w:highlight w:val="none"/>
              </w:rPr>
              <w:t>履约保证金</w:t>
            </w:r>
          </w:p>
        </w:tc>
        <w:tc>
          <w:tcPr>
            <w:tcW w:w="6519" w:type="dxa"/>
            <w:noWrap w:val="0"/>
            <w:vAlign w:val="center"/>
          </w:tcPr>
          <w:p w14:paraId="1F40C220">
            <w:pPr>
              <w:rPr>
                <w:rFonts w:hint="eastAsia" w:ascii="宋体" w:hAnsi="宋体" w:cs="宋体"/>
                <w:sz w:val="24"/>
                <w:szCs w:val="24"/>
                <w:highlight w:val="none"/>
                <w:lang w:val="en-US" w:eastAsia="zh-CN"/>
              </w:rPr>
            </w:pPr>
            <w:r>
              <w:rPr>
                <w:rFonts w:hint="eastAsia" w:ascii="宋体" w:hAnsi="宋体"/>
                <w:color w:val="auto"/>
                <w:sz w:val="24"/>
                <w:szCs w:val="24"/>
                <w:highlight w:val="none"/>
              </w:rPr>
              <w:t>履约保证金具体金额以签订合同时双方商定的金额为准</w:t>
            </w:r>
          </w:p>
        </w:tc>
      </w:tr>
    </w:tbl>
    <w:p w14:paraId="71BB6D08">
      <w:pPr>
        <w:bidi w:val="0"/>
        <w:rPr>
          <w:rFonts w:hint="eastAsia"/>
          <w:highlight w:val="none"/>
        </w:rPr>
      </w:pPr>
      <w:bookmarkStart w:id="40" w:name="_Hlt509650351"/>
      <w:bookmarkEnd w:id="40"/>
      <w:bookmarkStart w:id="41" w:name="_Hlt519045778"/>
      <w:bookmarkEnd w:id="41"/>
      <w:bookmarkStart w:id="42" w:name="_Hlt509650027"/>
      <w:bookmarkEnd w:id="42"/>
      <w:bookmarkStart w:id="43" w:name="_Hlt516969057"/>
      <w:bookmarkEnd w:id="43"/>
      <w:bookmarkStart w:id="44" w:name="_Toc22493"/>
      <w:bookmarkStart w:id="45" w:name="_Toc220232390"/>
      <w:bookmarkStart w:id="46" w:name="_Toc450_WPSOffice_Level1"/>
    </w:p>
    <w:p w14:paraId="1CC64C31">
      <w:pPr>
        <w:bidi w:val="0"/>
        <w:rPr>
          <w:rFonts w:hint="eastAsia"/>
          <w:highlight w:val="none"/>
        </w:rPr>
      </w:pPr>
    </w:p>
    <w:p w14:paraId="363BE6D9">
      <w:pPr>
        <w:pStyle w:val="3"/>
        <w:numPr>
          <w:ilvl w:val="0"/>
          <w:numId w:val="0"/>
        </w:numPr>
        <w:ind w:leftChars="0"/>
        <w:jc w:val="center"/>
        <w:rPr>
          <w:rFonts w:hint="eastAsia" w:ascii="宋体" w:hAnsi="宋体" w:eastAsia="宋体" w:cs="宋体"/>
          <w:highlight w:val="none"/>
        </w:rPr>
      </w:pPr>
      <w:r>
        <w:rPr>
          <w:rFonts w:hint="eastAsia" w:ascii="宋体" w:hAnsi="宋体" w:eastAsia="宋体" w:cs="宋体"/>
          <w:highlight w:val="none"/>
          <w:lang w:val="en-US" w:eastAsia="zh-CN"/>
        </w:rPr>
        <w:t>第三章</w:t>
      </w:r>
      <w:r>
        <w:rPr>
          <w:rFonts w:hint="eastAsia" w:ascii="宋体" w:hAnsi="宋体" w:eastAsia="宋体" w:cs="宋体"/>
          <w:highlight w:val="none"/>
          <w:lang w:eastAsia="zh-CN"/>
        </w:rPr>
        <w:t xml:space="preserve"> </w:t>
      </w:r>
      <w:r>
        <w:rPr>
          <w:rFonts w:hint="eastAsia" w:ascii="宋体" w:hAnsi="宋体" w:eastAsia="宋体" w:cs="宋体"/>
          <w:highlight w:val="none"/>
        </w:rPr>
        <w:t>需求一览表</w:t>
      </w:r>
      <w:bookmarkEnd w:id="44"/>
      <w:bookmarkEnd w:id="45"/>
      <w:bookmarkEnd w:id="46"/>
      <w:bookmarkStart w:id="47" w:name="_Hlt509716920"/>
      <w:bookmarkEnd w:id="47"/>
    </w:p>
    <w:p w14:paraId="3EF73EDD">
      <w:pPr>
        <w:pStyle w:val="27"/>
        <w:keepNext w:val="0"/>
        <w:keepLines w:val="0"/>
        <w:pageBreakBefore w:val="0"/>
        <w:kinsoku/>
        <w:wordWrap/>
        <w:overflowPunct/>
        <w:topLinePunct w:val="0"/>
        <w:autoSpaceDE/>
        <w:autoSpaceDN/>
        <w:bidi w:val="0"/>
        <w:adjustRightInd/>
        <w:snapToGrid/>
        <w:spacing w:line="720" w:lineRule="auto"/>
        <w:ind w:left="0" w:leftChars="0" w:right="0" w:firstLine="0" w:firstLineChars="0"/>
        <w:jc w:val="center"/>
        <w:rPr>
          <w:rFonts w:hint="eastAsia" w:ascii="宋体" w:hAnsi="宋体" w:eastAsia="宋体" w:cs="宋体"/>
          <w:b/>
          <w:bCs/>
          <w:sz w:val="24"/>
          <w:szCs w:val="24"/>
          <w:highlight w:val="none"/>
          <w:lang w:val="en-US" w:eastAsia="zh-CN"/>
        </w:rPr>
      </w:pPr>
      <w:bookmarkStart w:id="48" w:name="_Toc11739_WPSOffice_Level1"/>
      <w:bookmarkStart w:id="49" w:name="_Toc14806_WPSOffice_Level2"/>
      <w:r>
        <w:rPr>
          <w:rFonts w:hint="eastAsia" w:ascii="宋体" w:hAnsi="宋体" w:eastAsia="宋体" w:cs="宋体"/>
          <w:b/>
          <w:bCs/>
          <w:sz w:val="24"/>
          <w:szCs w:val="24"/>
          <w:highlight w:val="none"/>
          <w:lang w:val="en-US" w:eastAsia="zh-CN"/>
        </w:rPr>
        <w:t>（一）项目概况</w:t>
      </w:r>
    </w:p>
    <w:p w14:paraId="5D271C04">
      <w:pPr>
        <w:pStyle w:val="27"/>
        <w:keepNext w:val="0"/>
        <w:keepLines w:val="0"/>
        <w:pageBreakBefore w:val="0"/>
        <w:kinsoku/>
        <w:wordWrap/>
        <w:overflowPunct/>
        <w:topLinePunct w:val="0"/>
        <w:autoSpaceDE/>
        <w:autoSpaceDN/>
        <w:bidi w:val="0"/>
        <w:adjustRightInd/>
        <w:snapToGrid/>
        <w:spacing w:line="440" w:lineRule="exact"/>
        <w:ind w:left="0" w:leftChars="0" w:right="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1、项目名称：</w:t>
      </w:r>
      <w:r>
        <w:rPr>
          <w:rFonts w:hint="eastAsia" w:ascii="宋体" w:hAnsi="宋体" w:eastAsia="宋体" w:cs="宋体"/>
          <w:color w:val="auto"/>
          <w:kern w:val="2"/>
          <w:sz w:val="24"/>
          <w:szCs w:val="24"/>
          <w:highlight w:val="none"/>
          <w:lang w:val="en-US" w:eastAsia="zh-CN" w:bidi="ar-SA"/>
        </w:rPr>
        <w:t>太康县教育体育局2026---2027学年度校园餐、营养餐大宗食材采购项目</w:t>
      </w:r>
    </w:p>
    <w:p w14:paraId="003ADEB7">
      <w:pPr>
        <w:keepNext w:val="0"/>
        <w:keepLines w:val="0"/>
        <w:pageBreakBefore w:val="0"/>
        <w:widowControl w:val="0"/>
        <w:kinsoku/>
        <w:wordWrap/>
        <w:overflowPunct/>
        <w:topLinePunct w:val="0"/>
        <w:autoSpaceDE/>
        <w:autoSpaceDN/>
        <w:bidi w:val="0"/>
        <w:adjustRightInd/>
        <w:snapToGrid/>
        <w:spacing w:line="440" w:lineRule="exact"/>
        <w:ind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2、项目规模：</w:t>
      </w:r>
      <w:r>
        <w:rPr>
          <w:rFonts w:hint="eastAsia" w:ascii="宋体" w:hAnsi="宋体" w:eastAsia="宋体" w:cs="宋体"/>
          <w:color w:val="auto"/>
          <w:sz w:val="24"/>
          <w:szCs w:val="24"/>
          <w:highlight w:val="none"/>
          <w:lang w:val="en-US" w:eastAsia="zh-CN"/>
        </w:rPr>
        <w:t>太康县全县所有学校食堂食材采购配送(含校园餐、营养餐食材采购)，主要供应各学校早餐、中餐和晚餐，学生人数约17.48万人，包含米面油豆、肉蛋禽奶、蔬菜、豆制品、奶制品、水果、干菜、调味品等食材。</w:t>
      </w:r>
    </w:p>
    <w:p w14:paraId="36F2766F">
      <w:pPr>
        <w:pStyle w:val="27"/>
        <w:keepNext w:val="0"/>
        <w:keepLines w:val="0"/>
        <w:pageBreakBefore w:val="0"/>
        <w:kinsoku/>
        <w:wordWrap/>
        <w:overflowPunct/>
        <w:topLinePunct w:val="0"/>
        <w:autoSpaceDE/>
        <w:autoSpaceDN/>
        <w:bidi w:val="0"/>
        <w:adjustRightInd/>
        <w:snapToGrid/>
        <w:spacing w:line="440" w:lineRule="exact"/>
        <w:ind w:left="0" w:leftChars="0" w:right="0" w:firstLine="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3、采购内容：</w:t>
      </w:r>
      <w:r>
        <w:rPr>
          <w:rFonts w:hint="eastAsia" w:ascii="宋体" w:hAnsi="宋体" w:eastAsia="宋体" w:cs="宋体"/>
          <w:color w:val="auto"/>
          <w:sz w:val="24"/>
          <w:szCs w:val="24"/>
          <w:highlight w:val="none"/>
          <w:lang w:val="en-US" w:eastAsia="zh-CN"/>
        </w:rPr>
        <w:t>太康县</w:t>
      </w:r>
      <w:r>
        <w:rPr>
          <w:rFonts w:hint="eastAsia" w:ascii="宋体" w:hAnsi="宋体" w:eastAsia="宋体" w:cs="宋体"/>
          <w:sz w:val="24"/>
          <w:szCs w:val="24"/>
          <w:highlight w:val="none"/>
          <w:lang w:val="en-US" w:eastAsia="zh-CN"/>
        </w:rPr>
        <w:t>2026－2027学年度全县农村义务教育学生营养改善计划（</w:t>
      </w:r>
      <w:r>
        <w:rPr>
          <w:rFonts w:hint="eastAsia" w:ascii="宋体" w:hAnsi="宋体" w:eastAsia="宋体" w:cs="宋体"/>
          <w:spacing w:val="-1"/>
          <w:sz w:val="24"/>
          <w:szCs w:val="24"/>
          <w:highlight w:val="none"/>
          <w:lang w:val="en-US" w:eastAsia="zh-CN"/>
        </w:rPr>
        <w:t>中央财政专项资金</w:t>
      </w:r>
      <w:r>
        <w:rPr>
          <w:rFonts w:hint="eastAsia" w:ascii="宋体" w:hAnsi="宋体" w:eastAsia="宋体" w:cs="宋体"/>
          <w:sz w:val="24"/>
          <w:szCs w:val="24"/>
          <w:highlight w:val="none"/>
          <w:lang w:val="en-US" w:eastAsia="zh-CN"/>
        </w:rPr>
        <w:t>）、非农村义务教育学生营养改善计划</w:t>
      </w:r>
      <w:r>
        <w:rPr>
          <w:rFonts w:hint="eastAsia" w:ascii="宋体" w:hAnsi="宋体" w:eastAsia="宋体" w:cs="宋体"/>
          <w:color w:val="auto"/>
          <w:sz w:val="24"/>
          <w:szCs w:val="24"/>
          <w:highlight w:val="none"/>
          <w:lang w:val="en-US" w:eastAsia="zh-CN"/>
        </w:rPr>
        <w:t>（自筹资金）的大宗食材供应、配送及相关管理服务，包括：①新鲜肉类(冷鲜肉）；② 蔬菜水果类；③豆制品类；④鸡蛋；⑤调味品；⑥粮油类；⑦米、面 ⑧其它原辅材料等。</w:t>
      </w:r>
    </w:p>
    <w:p w14:paraId="1DCA0EAF">
      <w:pPr>
        <w:keepNext w:val="0"/>
        <w:keepLines w:val="0"/>
        <w:pageBreakBefore w:val="0"/>
        <w:kinsoku/>
        <w:wordWrap/>
        <w:overflowPunct/>
        <w:topLinePunct w:val="0"/>
        <w:autoSpaceDE/>
        <w:autoSpaceDN/>
        <w:bidi w:val="0"/>
        <w:adjustRightInd/>
        <w:snapToGrid/>
        <w:spacing w:line="440" w:lineRule="exact"/>
        <w:ind w:left="0" w:right="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4、资金来源：</w:t>
      </w:r>
    </w:p>
    <w:p w14:paraId="255F8A6A">
      <w:pPr>
        <w:keepNext w:val="0"/>
        <w:keepLines w:val="0"/>
        <w:pageBreakBefore w:val="0"/>
        <w:widowControl w:val="0"/>
        <w:kinsoku/>
        <w:wordWrap/>
        <w:overflowPunct/>
        <w:topLinePunct w:val="0"/>
        <w:autoSpaceDE/>
        <w:autoSpaceDN/>
        <w:bidi w:val="0"/>
        <w:adjustRightInd/>
        <w:snapToGrid/>
        <w:spacing w:line="440" w:lineRule="exact"/>
        <w:ind w:left="0" w:right="0" w:firstLine="476" w:firstLineChars="200"/>
        <w:textAlignment w:val="auto"/>
        <w:rPr>
          <w:rFonts w:hint="default"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1</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农村</w:t>
      </w:r>
      <w:r>
        <w:rPr>
          <w:rFonts w:hint="eastAsia" w:ascii="宋体" w:hAnsi="宋体" w:eastAsia="宋体" w:cs="宋体"/>
          <w:sz w:val="24"/>
          <w:szCs w:val="24"/>
          <w:highlight w:val="none"/>
          <w:lang w:val="en-US" w:eastAsia="zh-CN"/>
        </w:rPr>
        <w:t>义务教育学生营养改善计划</w:t>
      </w:r>
      <w:r>
        <w:rPr>
          <w:rFonts w:hint="eastAsia" w:ascii="宋体" w:hAnsi="宋体" w:eastAsia="宋体" w:cs="宋体"/>
          <w:spacing w:val="-1"/>
          <w:sz w:val="24"/>
          <w:szCs w:val="24"/>
          <w:highlight w:val="none"/>
          <w:lang w:val="en-US" w:eastAsia="zh-CN"/>
        </w:rPr>
        <w:t>：资金来源为中央财政专项资金约1.2亿。</w:t>
      </w:r>
    </w:p>
    <w:p w14:paraId="6420F978">
      <w:pPr>
        <w:keepNext w:val="0"/>
        <w:keepLines w:val="0"/>
        <w:pageBreakBefore w:val="0"/>
        <w:widowControl w:val="0"/>
        <w:kinsoku/>
        <w:wordWrap/>
        <w:overflowPunct/>
        <w:topLinePunct w:val="0"/>
        <w:autoSpaceDE/>
        <w:autoSpaceDN/>
        <w:bidi w:val="0"/>
        <w:adjustRightInd/>
        <w:snapToGrid/>
        <w:spacing w:line="440" w:lineRule="exact"/>
        <w:ind w:left="0" w:right="0" w:firstLine="476" w:firstLineChars="20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eastAsia="zh-CN"/>
        </w:rPr>
        <w:t>）</w:t>
      </w:r>
      <w:r>
        <w:rPr>
          <w:rFonts w:hint="eastAsia" w:ascii="宋体" w:hAnsi="宋体" w:eastAsia="宋体" w:cs="宋体"/>
          <w:sz w:val="24"/>
          <w:szCs w:val="24"/>
          <w:highlight w:val="none"/>
          <w:lang w:val="en-US" w:eastAsia="zh-CN"/>
        </w:rPr>
        <w:t>非农村义务教育学生营养改善计划</w:t>
      </w:r>
      <w:r>
        <w:rPr>
          <w:rFonts w:hint="eastAsia" w:ascii="宋体" w:hAnsi="宋体" w:eastAsia="宋体" w:cs="宋体"/>
          <w:spacing w:val="-1"/>
          <w:sz w:val="24"/>
          <w:szCs w:val="24"/>
          <w:highlight w:val="none"/>
          <w:lang w:val="en-US" w:eastAsia="zh-CN"/>
        </w:rPr>
        <w:t>：资金来源为自筹资金约2.4亿。</w:t>
      </w:r>
    </w:p>
    <w:p w14:paraId="4ADB7A6C">
      <w:pPr>
        <w:keepNext w:val="0"/>
        <w:keepLines w:val="0"/>
        <w:pageBreakBefore w:val="0"/>
        <w:kinsoku/>
        <w:wordWrap/>
        <w:overflowPunct/>
        <w:topLinePunct w:val="0"/>
        <w:autoSpaceDE/>
        <w:autoSpaceDN/>
        <w:bidi w:val="0"/>
        <w:adjustRightInd/>
        <w:snapToGrid/>
        <w:spacing w:line="440" w:lineRule="exact"/>
        <w:ind w:left="0" w:right="0"/>
        <w:rPr>
          <w:rFonts w:hint="eastAsia" w:ascii="宋体" w:hAnsi="宋体" w:eastAsia="宋体" w:cs="宋体"/>
          <w:sz w:val="24"/>
          <w:szCs w:val="24"/>
          <w:highlight w:val="none"/>
        </w:rPr>
      </w:pPr>
      <w:r>
        <w:rPr>
          <w:rFonts w:hint="eastAsia" w:ascii="宋体" w:hAnsi="宋体" w:eastAsia="宋体" w:cs="宋体"/>
          <w:b/>
          <w:bCs/>
          <w:color w:val="auto"/>
          <w:kern w:val="2"/>
          <w:sz w:val="24"/>
          <w:szCs w:val="24"/>
          <w:highlight w:val="none"/>
          <w:lang w:val="en-US" w:eastAsia="zh-CN" w:bidi="ar-SA"/>
        </w:rPr>
        <w:t>5、配送地点：</w:t>
      </w:r>
      <w:r>
        <w:rPr>
          <w:rFonts w:hint="eastAsia" w:ascii="宋体" w:hAnsi="宋体" w:eastAsia="宋体" w:cs="宋体"/>
          <w:spacing w:val="-3"/>
          <w:sz w:val="24"/>
          <w:szCs w:val="24"/>
          <w:highlight w:val="none"/>
        </w:rPr>
        <w:t>采</w:t>
      </w:r>
      <w:r>
        <w:rPr>
          <w:rFonts w:hint="eastAsia" w:ascii="宋体" w:hAnsi="宋体" w:eastAsia="宋体" w:cs="宋体"/>
          <w:spacing w:val="-3"/>
          <w:sz w:val="24"/>
          <w:szCs w:val="24"/>
          <w:highlight w:val="none"/>
          <w:lang w:val="en-US" w:eastAsia="zh-CN"/>
        </w:rPr>
        <w:t>.</w:t>
      </w:r>
      <w:r>
        <w:rPr>
          <w:rFonts w:hint="eastAsia" w:ascii="宋体" w:hAnsi="宋体" w:eastAsia="宋体" w:cs="宋体"/>
          <w:spacing w:val="-3"/>
          <w:sz w:val="24"/>
          <w:szCs w:val="24"/>
          <w:highlight w:val="none"/>
        </w:rPr>
        <w:t>购人指定的学校食堂。</w:t>
      </w:r>
    </w:p>
    <w:p w14:paraId="495065D9">
      <w:pPr>
        <w:keepNext w:val="0"/>
        <w:keepLines w:val="0"/>
        <w:pageBreakBefore w:val="0"/>
        <w:kinsoku/>
        <w:wordWrap/>
        <w:overflowPunct/>
        <w:topLinePunct w:val="0"/>
        <w:autoSpaceDE/>
        <w:autoSpaceDN/>
        <w:bidi w:val="0"/>
        <w:adjustRightInd/>
        <w:snapToGrid/>
        <w:spacing w:line="440" w:lineRule="exact"/>
        <w:ind w:left="0" w:right="0"/>
        <w:rPr>
          <w:rFonts w:hint="eastAsia" w:ascii="宋体" w:hAnsi="宋体" w:eastAsia="宋体" w:cs="宋体"/>
          <w:spacing w:val="-1"/>
          <w:sz w:val="24"/>
          <w:szCs w:val="24"/>
          <w:highlight w:val="none"/>
        </w:rPr>
      </w:pPr>
      <w:r>
        <w:rPr>
          <w:rFonts w:hint="eastAsia" w:ascii="宋体" w:hAnsi="宋体" w:eastAsia="宋体" w:cs="宋体"/>
          <w:b/>
          <w:bCs/>
          <w:color w:val="auto"/>
          <w:kern w:val="2"/>
          <w:sz w:val="24"/>
          <w:szCs w:val="24"/>
          <w:highlight w:val="none"/>
          <w:lang w:val="en-US" w:eastAsia="zh-CN" w:bidi="ar-SA"/>
        </w:rPr>
        <w:t>6、服务周期：</w:t>
      </w:r>
      <w:r>
        <w:rPr>
          <w:rFonts w:hint="eastAsia" w:ascii="宋体" w:hAnsi="宋体" w:eastAsia="宋体" w:cs="宋体"/>
          <w:spacing w:val="-1"/>
          <w:sz w:val="24"/>
          <w:szCs w:val="24"/>
          <w:highlight w:val="none"/>
          <w:lang w:val="en-US" w:eastAsia="zh-CN"/>
        </w:rPr>
        <w:t>1</w:t>
      </w:r>
      <w:r>
        <w:rPr>
          <w:rFonts w:hint="eastAsia" w:ascii="宋体" w:hAnsi="宋体" w:eastAsia="宋体" w:cs="宋体"/>
          <w:spacing w:val="-1"/>
          <w:sz w:val="24"/>
          <w:szCs w:val="24"/>
          <w:highlight w:val="none"/>
        </w:rPr>
        <w:t>年，202</w:t>
      </w:r>
      <w:r>
        <w:rPr>
          <w:rFonts w:hint="eastAsia" w:ascii="宋体" w:hAnsi="宋体" w:eastAsia="宋体" w:cs="宋体"/>
          <w:spacing w:val="-1"/>
          <w:sz w:val="24"/>
          <w:szCs w:val="24"/>
          <w:highlight w:val="none"/>
          <w:lang w:val="en-US" w:eastAsia="zh-CN"/>
        </w:rPr>
        <w:t>6</w:t>
      </w:r>
      <w:r>
        <w:rPr>
          <w:rFonts w:hint="eastAsia" w:ascii="宋体" w:hAnsi="宋体" w:eastAsia="宋体" w:cs="宋体"/>
          <w:spacing w:val="-1"/>
          <w:sz w:val="24"/>
          <w:szCs w:val="24"/>
          <w:highlight w:val="none"/>
        </w:rPr>
        <w:t>-</w:t>
      </w:r>
      <w:r>
        <w:rPr>
          <w:rFonts w:hint="eastAsia" w:ascii="宋体" w:hAnsi="宋体" w:eastAsia="宋体" w:cs="宋体"/>
          <w:spacing w:val="-1"/>
          <w:sz w:val="24"/>
          <w:szCs w:val="24"/>
          <w:highlight w:val="none"/>
          <w:lang w:eastAsia="zh-CN"/>
        </w:rPr>
        <w:t>202</w:t>
      </w:r>
      <w:r>
        <w:rPr>
          <w:rFonts w:hint="eastAsia" w:ascii="宋体" w:hAnsi="宋体" w:eastAsia="宋体" w:cs="宋体"/>
          <w:spacing w:val="-1"/>
          <w:sz w:val="24"/>
          <w:szCs w:val="24"/>
          <w:highlight w:val="none"/>
          <w:lang w:val="en-US" w:eastAsia="zh-CN"/>
        </w:rPr>
        <w:t>7</w:t>
      </w:r>
      <w:r>
        <w:rPr>
          <w:rFonts w:hint="eastAsia" w:ascii="宋体" w:hAnsi="宋体" w:eastAsia="宋体" w:cs="宋体"/>
          <w:spacing w:val="-1"/>
          <w:sz w:val="24"/>
          <w:szCs w:val="24"/>
          <w:highlight w:val="none"/>
        </w:rPr>
        <w:t>学年度春秋两学期（以教体局确定的日期和以在校在籍学生实际供餐天数和人数为准）。</w:t>
      </w:r>
    </w:p>
    <w:p w14:paraId="3342CA80">
      <w:pPr>
        <w:keepNext w:val="0"/>
        <w:keepLines w:val="0"/>
        <w:pageBreakBefore w:val="0"/>
        <w:kinsoku/>
        <w:wordWrap/>
        <w:overflowPunct/>
        <w:topLinePunct w:val="0"/>
        <w:autoSpaceDE/>
        <w:autoSpaceDN/>
        <w:bidi w:val="0"/>
        <w:adjustRightInd/>
        <w:snapToGrid/>
        <w:spacing w:line="440" w:lineRule="exact"/>
        <w:ind w:left="0" w:right="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7、支付方式：</w:t>
      </w:r>
    </w:p>
    <w:p w14:paraId="6763CE30">
      <w:pPr>
        <w:keepNext w:val="0"/>
        <w:keepLines w:val="0"/>
        <w:pageBreakBefore w:val="0"/>
        <w:kinsoku/>
        <w:wordWrap/>
        <w:overflowPunct/>
        <w:topLinePunct w:val="0"/>
        <w:autoSpaceDE/>
        <w:autoSpaceDN/>
        <w:bidi w:val="0"/>
        <w:adjustRightInd/>
        <w:snapToGrid/>
        <w:spacing w:line="440" w:lineRule="exact"/>
        <w:ind w:left="0" w:right="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val="en-US" w:eastAsia="zh-CN"/>
        </w:rPr>
        <w:t>（1）农村义务教育学生营养改善计划午餐，按市教育体育局及六局委制定的带量食谱及实际供餐天数、人数，由学校统计每月供货数量及金额，乡镇中心校审核，教体局汇总报财政局后按相关程序据实结算</w:t>
      </w:r>
      <w:r>
        <w:rPr>
          <w:rFonts w:hint="eastAsia" w:ascii="宋体" w:hAnsi="宋体" w:eastAsia="宋体" w:cs="宋体"/>
          <w:spacing w:val="-1"/>
          <w:sz w:val="24"/>
          <w:szCs w:val="24"/>
          <w:highlight w:val="none"/>
          <w:lang w:eastAsia="zh-CN"/>
        </w:rPr>
        <w:t>。</w:t>
      </w:r>
    </w:p>
    <w:p w14:paraId="1AEB2EC2">
      <w:pPr>
        <w:keepNext w:val="0"/>
        <w:keepLines w:val="0"/>
        <w:pageBreakBefore w:val="0"/>
        <w:kinsoku/>
        <w:wordWrap/>
        <w:overflowPunct/>
        <w:topLinePunct w:val="0"/>
        <w:autoSpaceDE/>
        <w:autoSpaceDN/>
        <w:bidi w:val="0"/>
        <w:adjustRightInd/>
        <w:snapToGrid/>
        <w:spacing w:line="440" w:lineRule="exact"/>
        <w:ind w:left="0" w:right="0"/>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2</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非农村义务教育学生营养改善计划早、中、晚餐，按市县有关要求及带量食谱比例及实际供餐天数、人数，由学校统计每月供货数量及金额，按相关程序据实结算</w:t>
      </w:r>
      <w:r>
        <w:rPr>
          <w:rFonts w:hint="eastAsia" w:ascii="宋体" w:hAnsi="宋体" w:eastAsia="宋体" w:cs="宋体"/>
          <w:spacing w:val="-1"/>
          <w:sz w:val="24"/>
          <w:szCs w:val="24"/>
          <w:highlight w:val="none"/>
          <w:lang w:eastAsia="zh-CN"/>
        </w:rPr>
        <w:t>。</w:t>
      </w:r>
    </w:p>
    <w:p w14:paraId="68A2345A">
      <w:pPr>
        <w:keepNext w:val="0"/>
        <w:keepLines w:val="0"/>
        <w:pageBreakBefore w:val="0"/>
        <w:kinsoku/>
        <w:wordWrap/>
        <w:overflowPunct/>
        <w:topLinePunct w:val="0"/>
        <w:autoSpaceDE/>
        <w:autoSpaceDN/>
        <w:bidi w:val="0"/>
        <w:adjustRightInd/>
        <w:snapToGrid/>
        <w:spacing w:line="440" w:lineRule="exact"/>
        <w:ind w:left="0" w:right="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8、标段划分情况：</w:t>
      </w:r>
    </w:p>
    <w:p w14:paraId="3C087245">
      <w:pPr>
        <w:keepNext w:val="0"/>
        <w:keepLines w:val="0"/>
        <w:pageBreakBefore w:val="0"/>
        <w:widowControl w:val="0"/>
        <w:kinsoku/>
        <w:wordWrap/>
        <w:overflowPunct/>
        <w:topLinePunct w:val="0"/>
        <w:autoSpaceDE/>
        <w:autoSpaceDN/>
        <w:bidi w:val="0"/>
        <w:adjustRightInd/>
        <w:snapToGrid/>
        <w:spacing w:line="440" w:lineRule="exact"/>
        <w:ind w:left="0" w:right="0" w:firstLine="476" w:firstLineChars="200"/>
        <w:textAlignment w:val="auto"/>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一标：王集乡、龙曲镇、高贤乡、杨庙乡、转楼镇、城郊乡、</w:t>
      </w:r>
      <w:r>
        <w:rPr>
          <w:rFonts w:hint="eastAsia" w:ascii="宋体" w:hAnsi="宋体" w:eastAsia="宋体" w:cs="宋体"/>
          <w:spacing w:val="-1"/>
          <w:sz w:val="24"/>
          <w:szCs w:val="24"/>
          <w:highlight w:val="none"/>
          <w:lang w:val="en-US" w:eastAsia="zh-CN"/>
        </w:rPr>
        <w:t>高朗乡</w:t>
      </w:r>
      <w:r>
        <w:rPr>
          <w:rFonts w:hint="eastAsia" w:ascii="宋体" w:hAnsi="宋体" w:eastAsia="宋体" w:cs="宋体"/>
          <w:spacing w:val="-1"/>
          <w:sz w:val="24"/>
          <w:szCs w:val="24"/>
          <w:highlight w:val="none"/>
          <w:lang w:eastAsia="zh-CN"/>
        </w:rPr>
        <w:t>。共</w:t>
      </w:r>
      <w:r>
        <w:rPr>
          <w:rFonts w:hint="eastAsia" w:ascii="宋体" w:hAnsi="宋体" w:eastAsia="宋体" w:cs="宋体"/>
          <w:spacing w:val="-1"/>
          <w:sz w:val="24"/>
          <w:szCs w:val="24"/>
          <w:highlight w:val="none"/>
          <w:lang w:val="en-US" w:eastAsia="zh-CN"/>
        </w:rPr>
        <w:t>7</w:t>
      </w:r>
      <w:r>
        <w:rPr>
          <w:rFonts w:hint="eastAsia" w:ascii="宋体" w:hAnsi="宋体" w:eastAsia="宋体" w:cs="宋体"/>
          <w:spacing w:val="-1"/>
          <w:sz w:val="24"/>
          <w:szCs w:val="24"/>
          <w:highlight w:val="none"/>
          <w:lang w:eastAsia="zh-CN"/>
        </w:rPr>
        <w:t>个乡镇，</w:t>
      </w:r>
      <w:r>
        <w:rPr>
          <w:rFonts w:hint="eastAsia" w:ascii="宋体" w:hAnsi="宋体" w:eastAsia="宋体" w:cs="宋体"/>
          <w:spacing w:val="-1"/>
          <w:sz w:val="24"/>
          <w:szCs w:val="24"/>
          <w:highlight w:val="none"/>
          <w:lang w:val="en-US" w:eastAsia="zh-CN"/>
        </w:rPr>
        <w:t>约3.68</w:t>
      </w:r>
      <w:r>
        <w:rPr>
          <w:rFonts w:hint="eastAsia" w:ascii="宋体" w:hAnsi="宋体" w:eastAsia="宋体" w:cs="宋体"/>
          <w:spacing w:val="-1"/>
          <w:sz w:val="24"/>
          <w:szCs w:val="24"/>
          <w:highlight w:val="none"/>
          <w:lang w:eastAsia="zh-CN"/>
        </w:rPr>
        <w:t>万人。</w:t>
      </w:r>
    </w:p>
    <w:p w14:paraId="1C47C627">
      <w:pPr>
        <w:keepNext w:val="0"/>
        <w:keepLines w:val="0"/>
        <w:pageBreakBefore w:val="0"/>
        <w:widowControl w:val="0"/>
        <w:kinsoku/>
        <w:wordWrap/>
        <w:overflowPunct/>
        <w:topLinePunct w:val="0"/>
        <w:autoSpaceDE/>
        <w:autoSpaceDN/>
        <w:bidi w:val="0"/>
        <w:adjustRightInd/>
        <w:snapToGrid/>
        <w:spacing w:line="440" w:lineRule="exact"/>
        <w:ind w:left="0" w:right="0" w:firstLine="476" w:firstLineChars="200"/>
        <w:textAlignment w:val="auto"/>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二标：朱口镇、大许寨镇、五里口乡、老冢镇、张集镇、马厂镇、马头镇、符草楼镇、太康县第</w:t>
      </w:r>
      <w:r>
        <w:rPr>
          <w:rFonts w:hint="eastAsia" w:ascii="宋体" w:hAnsi="宋体" w:eastAsia="宋体" w:cs="宋体"/>
          <w:spacing w:val="-1"/>
          <w:sz w:val="24"/>
          <w:szCs w:val="24"/>
          <w:highlight w:val="none"/>
          <w:lang w:val="en-US" w:eastAsia="zh-CN"/>
        </w:rPr>
        <w:t>二</w:t>
      </w:r>
      <w:r>
        <w:rPr>
          <w:rFonts w:hint="eastAsia" w:ascii="宋体" w:hAnsi="宋体" w:eastAsia="宋体" w:cs="宋体"/>
          <w:spacing w:val="-1"/>
          <w:sz w:val="24"/>
          <w:szCs w:val="24"/>
          <w:highlight w:val="none"/>
          <w:lang w:eastAsia="zh-CN"/>
        </w:rPr>
        <w:t>高级中学、太康县职业中等专业学校、太康县第二职业中等专业学校、太康县新时代高级中学有限公司、太康县特殊教育学校。共</w:t>
      </w:r>
      <w:r>
        <w:rPr>
          <w:rFonts w:hint="eastAsia" w:ascii="宋体" w:hAnsi="宋体" w:eastAsia="宋体" w:cs="宋体"/>
          <w:spacing w:val="-1"/>
          <w:sz w:val="24"/>
          <w:szCs w:val="24"/>
          <w:highlight w:val="none"/>
          <w:lang w:val="en-US" w:eastAsia="zh-CN"/>
        </w:rPr>
        <w:t>8</w:t>
      </w:r>
      <w:r>
        <w:rPr>
          <w:rFonts w:hint="eastAsia" w:ascii="宋体" w:hAnsi="宋体" w:eastAsia="宋体" w:cs="宋体"/>
          <w:spacing w:val="-1"/>
          <w:sz w:val="24"/>
          <w:szCs w:val="24"/>
          <w:highlight w:val="none"/>
          <w:lang w:eastAsia="zh-CN"/>
        </w:rPr>
        <w:t>个乡镇、</w:t>
      </w:r>
      <w:r>
        <w:rPr>
          <w:rFonts w:hint="eastAsia" w:ascii="宋体" w:hAnsi="宋体" w:eastAsia="宋体" w:cs="宋体"/>
          <w:spacing w:val="-1"/>
          <w:sz w:val="24"/>
          <w:szCs w:val="24"/>
          <w:highlight w:val="none"/>
          <w:lang w:val="en-US" w:eastAsia="zh-CN"/>
        </w:rPr>
        <w:t>5</w:t>
      </w:r>
      <w:r>
        <w:rPr>
          <w:rFonts w:hint="eastAsia" w:ascii="宋体" w:hAnsi="宋体" w:eastAsia="宋体" w:cs="宋体"/>
          <w:spacing w:val="-1"/>
          <w:sz w:val="24"/>
          <w:szCs w:val="24"/>
          <w:highlight w:val="none"/>
          <w:lang w:eastAsia="zh-CN"/>
        </w:rPr>
        <w:t>个局直学校，</w:t>
      </w:r>
      <w:r>
        <w:rPr>
          <w:rFonts w:hint="eastAsia" w:ascii="宋体" w:hAnsi="宋体" w:eastAsia="宋体" w:cs="宋体"/>
          <w:spacing w:val="-1"/>
          <w:sz w:val="24"/>
          <w:szCs w:val="24"/>
          <w:highlight w:val="none"/>
          <w:lang w:val="en-US" w:eastAsia="zh-CN"/>
        </w:rPr>
        <w:t>约5.43</w:t>
      </w:r>
      <w:r>
        <w:rPr>
          <w:rFonts w:hint="eastAsia" w:ascii="宋体" w:hAnsi="宋体" w:eastAsia="宋体" w:cs="宋体"/>
          <w:spacing w:val="-1"/>
          <w:sz w:val="24"/>
          <w:szCs w:val="24"/>
          <w:highlight w:val="none"/>
          <w:lang w:eastAsia="zh-CN"/>
        </w:rPr>
        <w:t>万人。</w:t>
      </w:r>
    </w:p>
    <w:p w14:paraId="1FBF00DA">
      <w:pPr>
        <w:keepNext w:val="0"/>
        <w:keepLines w:val="0"/>
        <w:pageBreakBefore w:val="0"/>
        <w:widowControl w:val="0"/>
        <w:kinsoku/>
        <w:wordWrap/>
        <w:overflowPunct/>
        <w:topLinePunct w:val="0"/>
        <w:autoSpaceDE/>
        <w:autoSpaceDN/>
        <w:bidi w:val="0"/>
        <w:adjustRightInd/>
        <w:snapToGrid/>
        <w:spacing w:line="440" w:lineRule="exact"/>
        <w:ind w:left="0" w:right="0" w:firstLine="476" w:firstLineChars="200"/>
        <w:textAlignment w:val="auto"/>
        <w:rPr>
          <w:rFonts w:hint="eastAsia"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三标：芝麻洼乡、清集镇、常营镇、板桥镇、逊母口镇、独塘乡、毛庄街道、阳夏街道、太康县第一高级中学、</w:t>
      </w:r>
      <w:r>
        <w:rPr>
          <w:rFonts w:hint="eastAsia" w:ascii="宋体" w:hAnsi="宋体" w:eastAsia="宋体" w:cs="宋体"/>
          <w:spacing w:val="-1"/>
          <w:sz w:val="24"/>
          <w:szCs w:val="24"/>
          <w:highlight w:val="none"/>
          <w:lang w:val="en-US" w:eastAsia="zh-CN"/>
        </w:rPr>
        <w:t>太康县高贤高中、</w:t>
      </w:r>
      <w:r>
        <w:rPr>
          <w:rFonts w:hint="eastAsia" w:ascii="宋体" w:hAnsi="宋体" w:eastAsia="宋体" w:cs="宋体"/>
          <w:spacing w:val="-1"/>
          <w:sz w:val="24"/>
          <w:szCs w:val="24"/>
          <w:highlight w:val="none"/>
          <w:lang w:eastAsia="zh-CN"/>
        </w:rPr>
        <w:t>河南华夏外国语高级中学、太康县第</w:t>
      </w:r>
      <w:r>
        <w:rPr>
          <w:rFonts w:hint="eastAsia" w:ascii="宋体" w:hAnsi="宋体" w:eastAsia="宋体" w:cs="宋体"/>
          <w:spacing w:val="-1"/>
          <w:sz w:val="24"/>
          <w:szCs w:val="24"/>
          <w:highlight w:val="none"/>
          <w:lang w:val="en-US" w:eastAsia="zh-CN"/>
        </w:rPr>
        <w:t>三</w:t>
      </w:r>
      <w:r>
        <w:rPr>
          <w:rFonts w:hint="eastAsia" w:ascii="宋体" w:hAnsi="宋体" w:eastAsia="宋体" w:cs="宋体"/>
          <w:spacing w:val="-1"/>
          <w:sz w:val="24"/>
          <w:szCs w:val="24"/>
          <w:highlight w:val="none"/>
          <w:lang w:eastAsia="zh-CN"/>
        </w:rPr>
        <w:t>高级中学、太康县弘源中等职业学校、太康县第一初级中学、华夏学校、太康县实验幼儿园、太康县第二实验幼儿园。共计8个乡镇、</w:t>
      </w:r>
      <w:r>
        <w:rPr>
          <w:rFonts w:hint="eastAsia" w:ascii="宋体" w:hAnsi="宋体" w:eastAsia="宋体" w:cs="宋体"/>
          <w:spacing w:val="-1"/>
          <w:sz w:val="24"/>
          <w:szCs w:val="24"/>
          <w:highlight w:val="none"/>
          <w:lang w:val="en-US" w:eastAsia="zh-CN"/>
        </w:rPr>
        <w:t>9</w:t>
      </w:r>
      <w:r>
        <w:rPr>
          <w:rFonts w:hint="eastAsia" w:ascii="宋体" w:hAnsi="宋体" w:eastAsia="宋体" w:cs="宋体"/>
          <w:spacing w:val="-1"/>
          <w:sz w:val="24"/>
          <w:szCs w:val="24"/>
          <w:highlight w:val="none"/>
          <w:lang w:eastAsia="zh-CN"/>
        </w:rPr>
        <w:t>个局直学校，</w:t>
      </w:r>
      <w:r>
        <w:rPr>
          <w:rFonts w:hint="eastAsia" w:ascii="宋体" w:hAnsi="宋体" w:eastAsia="宋体" w:cs="宋体"/>
          <w:spacing w:val="-1"/>
          <w:sz w:val="24"/>
          <w:szCs w:val="24"/>
          <w:highlight w:val="none"/>
          <w:lang w:val="en-US" w:eastAsia="zh-CN"/>
        </w:rPr>
        <w:t>约</w:t>
      </w:r>
      <w:r>
        <w:rPr>
          <w:rFonts w:hint="eastAsia" w:ascii="宋体" w:hAnsi="宋体" w:eastAsia="宋体" w:cs="宋体"/>
          <w:spacing w:val="-1"/>
          <w:sz w:val="24"/>
          <w:szCs w:val="24"/>
          <w:highlight w:val="none"/>
          <w:lang w:eastAsia="zh-CN"/>
        </w:rPr>
        <w:t>8</w:t>
      </w:r>
      <w:r>
        <w:rPr>
          <w:rFonts w:hint="eastAsia" w:ascii="宋体" w:hAnsi="宋体" w:eastAsia="宋体" w:cs="宋体"/>
          <w:spacing w:val="-1"/>
          <w:sz w:val="24"/>
          <w:szCs w:val="24"/>
          <w:highlight w:val="none"/>
          <w:lang w:val="en-US" w:eastAsia="zh-CN"/>
        </w:rPr>
        <w:t>.36</w:t>
      </w:r>
      <w:r>
        <w:rPr>
          <w:rFonts w:hint="eastAsia" w:ascii="宋体" w:hAnsi="宋体" w:eastAsia="宋体" w:cs="宋体"/>
          <w:spacing w:val="-1"/>
          <w:sz w:val="24"/>
          <w:szCs w:val="24"/>
          <w:highlight w:val="none"/>
          <w:lang w:eastAsia="zh-CN"/>
        </w:rPr>
        <w:t>万人。</w:t>
      </w:r>
    </w:p>
    <w:p w14:paraId="4B5F9181">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both"/>
        <w:textAlignment w:val="auto"/>
        <w:rPr>
          <w:rFonts w:hint="eastAsia" w:ascii="宋体" w:hAnsi="宋体" w:eastAsia="宋体" w:cs="宋体"/>
          <w:spacing w:val="-4"/>
          <w:sz w:val="24"/>
          <w:szCs w:val="24"/>
          <w:highlight w:val="none"/>
        </w:rPr>
      </w:pPr>
      <w:r>
        <w:rPr>
          <w:rFonts w:hint="eastAsia" w:ascii="宋体" w:hAnsi="宋体" w:eastAsia="宋体" w:cs="宋体"/>
          <w:b/>
          <w:bCs/>
          <w:color w:val="auto"/>
          <w:kern w:val="2"/>
          <w:sz w:val="24"/>
          <w:szCs w:val="24"/>
          <w:highlight w:val="none"/>
          <w:lang w:val="en-US" w:eastAsia="zh-CN" w:bidi="ar-SA"/>
        </w:rPr>
        <w:t>9、标包划分：</w:t>
      </w:r>
      <w:r>
        <w:rPr>
          <w:rFonts w:hint="eastAsia" w:ascii="宋体" w:hAnsi="宋体" w:eastAsia="宋体" w:cs="宋体"/>
          <w:spacing w:val="-4"/>
          <w:sz w:val="24"/>
          <w:szCs w:val="24"/>
          <w:highlight w:val="none"/>
        </w:rPr>
        <w:t>本次招标共划分为</w:t>
      </w:r>
      <w:r>
        <w:rPr>
          <w:rFonts w:hint="eastAsia" w:ascii="宋体" w:hAnsi="宋体" w:eastAsia="宋体" w:cs="宋体"/>
          <w:spacing w:val="-25"/>
          <w:sz w:val="24"/>
          <w:szCs w:val="24"/>
          <w:highlight w:val="none"/>
        </w:rPr>
        <w:t xml:space="preserve"> </w:t>
      </w:r>
      <w:r>
        <w:rPr>
          <w:rFonts w:hint="eastAsia" w:ascii="宋体" w:hAnsi="宋体" w:eastAsia="宋体" w:cs="宋体"/>
          <w:spacing w:val="-4"/>
          <w:sz w:val="24"/>
          <w:szCs w:val="24"/>
          <w:highlight w:val="none"/>
        </w:rPr>
        <w:t>3个包。</w:t>
      </w:r>
      <w:r>
        <w:rPr>
          <w:rFonts w:hint="eastAsia" w:ascii="宋体" w:hAnsi="宋体" w:eastAsia="宋体" w:cs="宋体"/>
          <w:spacing w:val="-4"/>
          <w:sz w:val="24"/>
          <w:szCs w:val="24"/>
          <w:highlight w:val="none"/>
          <w:lang w:val="en-US" w:eastAsia="zh-CN"/>
        </w:rPr>
        <w:t>以下人数为参考数，</w:t>
      </w:r>
      <w:r>
        <w:rPr>
          <w:rFonts w:hint="eastAsia" w:ascii="宋体" w:hAnsi="宋体" w:eastAsia="宋体" w:cs="宋体"/>
          <w:spacing w:val="-1"/>
          <w:sz w:val="24"/>
          <w:szCs w:val="24"/>
          <w:highlight w:val="none"/>
        </w:rPr>
        <w:t>以在校在籍学生实际供餐天数和人数为准</w:t>
      </w:r>
      <w:r>
        <w:rPr>
          <w:rFonts w:hint="eastAsia" w:ascii="宋体" w:hAnsi="宋体" w:eastAsia="宋体" w:cs="宋体"/>
          <w:spacing w:val="-1"/>
          <w:sz w:val="24"/>
          <w:szCs w:val="24"/>
          <w:highlight w:val="none"/>
          <w:lang w:eastAsia="zh-CN"/>
        </w:rPr>
        <w:t>。</w:t>
      </w:r>
    </w:p>
    <w:tbl>
      <w:tblPr>
        <w:tblStyle w:val="21"/>
        <w:tblW w:w="50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4027"/>
        <w:gridCol w:w="2362"/>
        <w:gridCol w:w="2355"/>
      </w:tblGrid>
      <w:tr w14:paraId="39F54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5000" w:type="pct"/>
            <w:gridSpan w:val="4"/>
            <w:noWrap/>
            <w:vAlign w:val="center"/>
          </w:tcPr>
          <w:p w14:paraId="0FB27118">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2026-2027学年度太康县学校食材采购学生人数和标段划分</w:t>
            </w:r>
          </w:p>
        </w:tc>
      </w:tr>
      <w:tr w14:paraId="0851A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noWrap/>
            <w:vAlign w:val="center"/>
          </w:tcPr>
          <w:p w14:paraId="590F6D36">
            <w:pPr>
              <w:keepNext w:val="0"/>
              <w:keepLines w:val="0"/>
              <w:widowControl/>
              <w:suppressLineNumbers w:val="0"/>
              <w:jc w:val="center"/>
              <w:textAlignment w:val="center"/>
              <w:rPr>
                <w:rFonts w:hint="eastAsia" w:ascii="宋体" w:hAnsi="宋体" w:eastAsia="宋体" w:cs="宋体"/>
                <w:b/>
                <w:bCs/>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标段</w:t>
            </w:r>
          </w:p>
        </w:tc>
        <w:tc>
          <w:tcPr>
            <w:tcW w:w="2100" w:type="pct"/>
            <w:noWrap/>
            <w:vAlign w:val="center"/>
          </w:tcPr>
          <w:p w14:paraId="69A9D4F0">
            <w:pPr>
              <w:keepNext w:val="0"/>
              <w:keepLines w:val="0"/>
              <w:widowControl/>
              <w:suppressLineNumbers w:val="0"/>
              <w:jc w:val="center"/>
              <w:textAlignment w:val="center"/>
              <w:rPr>
                <w:rFonts w:hint="eastAsia" w:ascii="宋体" w:hAnsi="宋体" w:eastAsia="宋体" w:cs="宋体"/>
                <w:b/>
                <w:bCs/>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乡镇</w:t>
            </w:r>
          </w:p>
        </w:tc>
        <w:tc>
          <w:tcPr>
            <w:tcW w:w="1232" w:type="pct"/>
            <w:noWrap/>
            <w:vAlign w:val="center"/>
          </w:tcPr>
          <w:p w14:paraId="1243E6F7">
            <w:pPr>
              <w:keepNext w:val="0"/>
              <w:keepLines w:val="0"/>
              <w:widowControl/>
              <w:suppressLineNumbers w:val="0"/>
              <w:jc w:val="center"/>
              <w:textAlignment w:val="center"/>
              <w:rPr>
                <w:rFonts w:hint="eastAsia" w:ascii="宋体" w:hAnsi="宋体" w:eastAsia="宋体" w:cs="宋体"/>
                <w:b/>
                <w:bCs/>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学生人数（人）</w:t>
            </w:r>
          </w:p>
        </w:tc>
        <w:tc>
          <w:tcPr>
            <w:tcW w:w="1226" w:type="pct"/>
            <w:noWrap/>
            <w:vAlign w:val="center"/>
          </w:tcPr>
          <w:p w14:paraId="02FCF7E4">
            <w:pPr>
              <w:keepNext w:val="0"/>
              <w:keepLines w:val="0"/>
              <w:widowControl/>
              <w:suppressLineNumbers w:val="0"/>
              <w:jc w:val="center"/>
              <w:textAlignment w:val="center"/>
              <w:rPr>
                <w:rFonts w:hint="eastAsia" w:ascii="宋体" w:hAnsi="宋体" w:eastAsia="宋体" w:cs="宋体"/>
                <w:b/>
                <w:bCs/>
                <w:i w:val="0"/>
                <w:iCs w:val="0"/>
                <w:color w:val="000000"/>
                <w:kern w:val="2"/>
                <w:sz w:val="24"/>
                <w:szCs w:val="24"/>
                <w:highlight w:val="none"/>
                <w:u w:val="none"/>
                <w:lang w:val="en-US" w:eastAsia="zh-CN" w:bidi="ar-SA"/>
              </w:rPr>
            </w:pPr>
            <w:r>
              <w:rPr>
                <w:rFonts w:hint="eastAsia" w:ascii="宋体" w:hAnsi="宋体" w:eastAsia="宋体" w:cs="宋体"/>
                <w:b/>
                <w:bCs/>
                <w:i w:val="0"/>
                <w:iCs w:val="0"/>
                <w:color w:val="000000"/>
                <w:kern w:val="0"/>
                <w:sz w:val="24"/>
                <w:szCs w:val="24"/>
                <w:highlight w:val="none"/>
                <w:u w:val="none"/>
                <w:lang w:val="en-US" w:eastAsia="zh-CN" w:bidi="ar"/>
              </w:rPr>
              <w:t>备注</w:t>
            </w:r>
          </w:p>
        </w:tc>
      </w:tr>
      <w:tr w14:paraId="514EC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restart"/>
            <w:noWrap/>
            <w:vAlign w:val="center"/>
          </w:tcPr>
          <w:p w14:paraId="7CA43D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100" w:type="pct"/>
            <w:noWrap/>
            <w:vAlign w:val="center"/>
          </w:tcPr>
          <w:p w14:paraId="423A13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王集乡</w:t>
            </w:r>
          </w:p>
        </w:tc>
        <w:tc>
          <w:tcPr>
            <w:tcW w:w="1232" w:type="pct"/>
            <w:noWrap w:val="0"/>
            <w:vAlign w:val="center"/>
          </w:tcPr>
          <w:p w14:paraId="29016E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4846</w:t>
            </w:r>
          </w:p>
        </w:tc>
        <w:tc>
          <w:tcPr>
            <w:tcW w:w="1226" w:type="pct"/>
            <w:vMerge w:val="restart"/>
            <w:noWrap w:val="0"/>
            <w:vAlign w:val="center"/>
          </w:tcPr>
          <w:p w14:paraId="1171FE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7个乡镇，</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共计3.68万人</w:t>
            </w:r>
          </w:p>
        </w:tc>
      </w:tr>
      <w:tr w14:paraId="6814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2D73FB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0EF394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龙曲镇</w:t>
            </w:r>
          </w:p>
        </w:tc>
        <w:tc>
          <w:tcPr>
            <w:tcW w:w="1232" w:type="pct"/>
            <w:noWrap w:val="0"/>
            <w:vAlign w:val="center"/>
          </w:tcPr>
          <w:p w14:paraId="625260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2153</w:t>
            </w:r>
          </w:p>
        </w:tc>
        <w:tc>
          <w:tcPr>
            <w:tcW w:w="1226" w:type="pct"/>
            <w:vMerge w:val="continue"/>
            <w:noWrap w:val="0"/>
            <w:vAlign w:val="center"/>
          </w:tcPr>
          <w:p w14:paraId="06334065">
            <w:pPr>
              <w:jc w:val="center"/>
              <w:rPr>
                <w:rFonts w:hint="eastAsia" w:ascii="宋体" w:hAnsi="宋体" w:eastAsia="宋体" w:cs="宋体"/>
                <w:i w:val="0"/>
                <w:iCs w:val="0"/>
                <w:color w:val="000000"/>
                <w:sz w:val="24"/>
                <w:szCs w:val="24"/>
                <w:highlight w:val="none"/>
                <w:u w:val="none"/>
              </w:rPr>
            </w:pPr>
          </w:p>
        </w:tc>
      </w:tr>
      <w:tr w14:paraId="628E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506FF2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5DE40A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高贤镇</w:t>
            </w:r>
          </w:p>
        </w:tc>
        <w:tc>
          <w:tcPr>
            <w:tcW w:w="1232" w:type="pct"/>
            <w:noWrap w:val="0"/>
            <w:vAlign w:val="center"/>
          </w:tcPr>
          <w:p w14:paraId="0D83C2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5020</w:t>
            </w:r>
          </w:p>
        </w:tc>
        <w:tc>
          <w:tcPr>
            <w:tcW w:w="1226" w:type="pct"/>
            <w:vMerge w:val="continue"/>
            <w:noWrap w:val="0"/>
            <w:vAlign w:val="center"/>
          </w:tcPr>
          <w:p w14:paraId="592E4A2F">
            <w:pPr>
              <w:jc w:val="center"/>
              <w:rPr>
                <w:rFonts w:hint="eastAsia" w:ascii="宋体" w:hAnsi="宋体" w:eastAsia="宋体" w:cs="宋体"/>
                <w:i w:val="0"/>
                <w:iCs w:val="0"/>
                <w:color w:val="000000"/>
                <w:sz w:val="24"/>
                <w:szCs w:val="24"/>
                <w:highlight w:val="none"/>
                <w:u w:val="none"/>
              </w:rPr>
            </w:pPr>
          </w:p>
        </w:tc>
      </w:tr>
      <w:tr w14:paraId="7C63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3A0FF3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0DFFB6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杨庙乡</w:t>
            </w:r>
          </w:p>
        </w:tc>
        <w:tc>
          <w:tcPr>
            <w:tcW w:w="1232" w:type="pct"/>
            <w:noWrap w:val="0"/>
            <w:vAlign w:val="center"/>
          </w:tcPr>
          <w:p w14:paraId="356CD3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4008</w:t>
            </w:r>
          </w:p>
        </w:tc>
        <w:tc>
          <w:tcPr>
            <w:tcW w:w="1226" w:type="pct"/>
            <w:vMerge w:val="continue"/>
            <w:noWrap w:val="0"/>
            <w:vAlign w:val="center"/>
          </w:tcPr>
          <w:p w14:paraId="63787AD3">
            <w:pPr>
              <w:jc w:val="center"/>
              <w:rPr>
                <w:rFonts w:hint="eastAsia" w:ascii="宋体" w:hAnsi="宋体" w:eastAsia="宋体" w:cs="宋体"/>
                <w:i w:val="0"/>
                <w:iCs w:val="0"/>
                <w:color w:val="000000"/>
                <w:sz w:val="24"/>
                <w:szCs w:val="24"/>
                <w:highlight w:val="none"/>
                <w:u w:val="none"/>
              </w:rPr>
            </w:pPr>
          </w:p>
        </w:tc>
      </w:tr>
      <w:tr w14:paraId="4D493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7E9D60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42983D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高朗乡</w:t>
            </w:r>
          </w:p>
        </w:tc>
        <w:tc>
          <w:tcPr>
            <w:tcW w:w="1232" w:type="pct"/>
            <w:noWrap w:val="0"/>
            <w:vAlign w:val="center"/>
          </w:tcPr>
          <w:p w14:paraId="1E0F41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5126</w:t>
            </w:r>
          </w:p>
        </w:tc>
        <w:tc>
          <w:tcPr>
            <w:tcW w:w="1226" w:type="pct"/>
            <w:vMerge w:val="continue"/>
            <w:noWrap w:val="0"/>
            <w:vAlign w:val="center"/>
          </w:tcPr>
          <w:p w14:paraId="493FFBFE">
            <w:pPr>
              <w:jc w:val="center"/>
              <w:rPr>
                <w:rFonts w:hint="eastAsia" w:ascii="宋体" w:hAnsi="宋体" w:eastAsia="宋体" w:cs="宋体"/>
                <w:i w:val="0"/>
                <w:iCs w:val="0"/>
                <w:color w:val="000000"/>
                <w:sz w:val="24"/>
                <w:szCs w:val="24"/>
                <w:highlight w:val="none"/>
                <w:u w:val="none"/>
              </w:rPr>
            </w:pPr>
          </w:p>
        </w:tc>
      </w:tr>
      <w:tr w14:paraId="0952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041308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2DC601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转楼镇</w:t>
            </w:r>
          </w:p>
        </w:tc>
        <w:tc>
          <w:tcPr>
            <w:tcW w:w="1232" w:type="pct"/>
            <w:noWrap w:val="0"/>
            <w:vAlign w:val="center"/>
          </w:tcPr>
          <w:p w14:paraId="3E6844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3107</w:t>
            </w:r>
          </w:p>
        </w:tc>
        <w:tc>
          <w:tcPr>
            <w:tcW w:w="1226" w:type="pct"/>
            <w:vMerge w:val="continue"/>
            <w:noWrap w:val="0"/>
            <w:vAlign w:val="center"/>
          </w:tcPr>
          <w:p w14:paraId="46BDB8D8">
            <w:pPr>
              <w:jc w:val="center"/>
              <w:rPr>
                <w:rFonts w:hint="eastAsia" w:ascii="宋体" w:hAnsi="宋体" w:eastAsia="宋体" w:cs="宋体"/>
                <w:i w:val="0"/>
                <w:iCs w:val="0"/>
                <w:color w:val="000000"/>
                <w:sz w:val="24"/>
                <w:szCs w:val="24"/>
                <w:highlight w:val="none"/>
                <w:u w:val="none"/>
              </w:rPr>
            </w:pPr>
          </w:p>
        </w:tc>
      </w:tr>
      <w:tr w14:paraId="0BD1E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1A83A5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72E852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城郊乡</w:t>
            </w:r>
          </w:p>
        </w:tc>
        <w:tc>
          <w:tcPr>
            <w:tcW w:w="1232" w:type="pct"/>
            <w:noWrap w:val="0"/>
            <w:vAlign w:val="center"/>
          </w:tcPr>
          <w:p w14:paraId="5E7E50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12558</w:t>
            </w:r>
          </w:p>
        </w:tc>
        <w:tc>
          <w:tcPr>
            <w:tcW w:w="1226" w:type="pct"/>
            <w:vMerge w:val="continue"/>
            <w:noWrap w:val="0"/>
            <w:vAlign w:val="center"/>
          </w:tcPr>
          <w:p w14:paraId="59916D74">
            <w:pPr>
              <w:jc w:val="center"/>
              <w:rPr>
                <w:rFonts w:hint="eastAsia" w:ascii="宋体" w:hAnsi="宋体" w:eastAsia="宋体" w:cs="宋体"/>
                <w:i w:val="0"/>
                <w:iCs w:val="0"/>
                <w:color w:val="000000"/>
                <w:sz w:val="24"/>
                <w:szCs w:val="24"/>
                <w:highlight w:val="none"/>
                <w:u w:val="none"/>
              </w:rPr>
            </w:pPr>
          </w:p>
        </w:tc>
      </w:tr>
      <w:tr w14:paraId="5B8D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restart"/>
            <w:noWrap/>
            <w:vAlign w:val="center"/>
          </w:tcPr>
          <w:p w14:paraId="7C0E4C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p w14:paraId="600059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1BE321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朱口镇</w:t>
            </w:r>
          </w:p>
        </w:tc>
        <w:tc>
          <w:tcPr>
            <w:tcW w:w="1232" w:type="pct"/>
            <w:noWrap w:val="0"/>
            <w:vAlign w:val="center"/>
          </w:tcPr>
          <w:p w14:paraId="6C8807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10893</w:t>
            </w:r>
          </w:p>
        </w:tc>
        <w:tc>
          <w:tcPr>
            <w:tcW w:w="1226" w:type="pct"/>
            <w:vMerge w:val="restart"/>
            <w:noWrap w:val="0"/>
            <w:vAlign w:val="center"/>
          </w:tcPr>
          <w:p w14:paraId="46E32E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8个乡镇、5个局直学校，共计5.43万人</w:t>
            </w:r>
          </w:p>
        </w:tc>
      </w:tr>
      <w:tr w14:paraId="4AC2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6B2B55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3AFF31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大许寨镇</w:t>
            </w:r>
          </w:p>
        </w:tc>
        <w:tc>
          <w:tcPr>
            <w:tcW w:w="1232" w:type="pct"/>
            <w:noWrap w:val="0"/>
            <w:vAlign w:val="center"/>
          </w:tcPr>
          <w:p w14:paraId="56D27D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5981</w:t>
            </w:r>
          </w:p>
        </w:tc>
        <w:tc>
          <w:tcPr>
            <w:tcW w:w="1226" w:type="pct"/>
            <w:vMerge w:val="continue"/>
            <w:noWrap w:val="0"/>
            <w:vAlign w:val="center"/>
          </w:tcPr>
          <w:p w14:paraId="43FCF6FE">
            <w:pPr>
              <w:jc w:val="center"/>
              <w:rPr>
                <w:rFonts w:hint="eastAsia" w:ascii="宋体" w:hAnsi="宋体" w:eastAsia="宋体" w:cs="宋体"/>
                <w:i w:val="0"/>
                <w:iCs w:val="0"/>
                <w:color w:val="000000"/>
                <w:sz w:val="24"/>
                <w:szCs w:val="24"/>
                <w:highlight w:val="none"/>
                <w:u w:val="none"/>
              </w:rPr>
            </w:pPr>
          </w:p>
        </w:tc>
      </w:tr>
      <w:tr w14:paraId="14226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2C4453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425AFA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五里口乡</w:t>
            </w:r>
          </w:p>
        </w:tc>
        <w:tc>
          <w:tcPr>
            <w:tcW w:w="1232" w:type="pct"/>
            <w:noWrap w:val="0"/>
            <w:vAlign w:val="center"/>
          </w:tcPr>
          <w:p w14:paraId="435BBC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3368</w:t>
            </w:r>
          </w:p>
        </w:tc>
        <w:tc>
          <w:tcPr>
            <w:tcW w:w="1226" w:type="pct"/>
            <w:vMerge w:val="continue"/>
            <w:noWrap w:val="0"/>
            <w:vAlign w:val="center"/>
          </w:tcPr>
          <w:p w14:paraId="4064F733">
            <w:pPr>
              <w:jc w:val="center"/>
              <w:rPr>
                <w:rFonts w:hint="eastAsia" w:ascii="宋体" w:hAnsi="宋体" w:eastAsia="宋体" w:cs="宋体"/>
                <w:i w:val="0"/>
                <w:iCs w:val="0"/>
                <w:color w:val="000000"/>
                <w:sz w:val="24"/>
                <w:szCs w:val="24"/>
                <w:highlight w:val="none"/>
                <w:u w:val="none"/>
              </w:rPr>
            </w:pPr>
          </w:p>
        </w:tc>
      </w:tr>
      <w:tr w14:paraId="288C1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020109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2A125F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老冢镇</w:t>
            </w:r>
          </w:p>
        </w:tc>
        <w:tc>
          <w:tcPr>
            <w:tcW w:w="1232" w:type="pct"/>
            <w:noWrap w:val="0"/>
            <w:vAlign w:val="center"/>
          </w:tcPr>
          <w:p w14:paraId="054A42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4350</w:t>
            </w:r>
          </w:p>
        </w:tc>
        <w:tc>
          <w:tcPr>
            <w:tcW w:w="1226" w:type="pct"/>
            <w:vMerge w:val="continue"/>
            <w:noWrap w:val="0"/>
            <w:vAlign w:val="center"/>
          </w:tcPr>
          <w:p w14:paraId="1FDE16CF">
            <w:pPr>
              <w:jc w:val="center"/>
              <w:rPr>
                <w:rFonts w:hint="eastAsia" w:ascii="宋体" w:hAnsi="宋体" w:eastAsia="宋体" w:cs="宋体"/>
                <w:i w:val="0"/>
                <w:iCs w:val="0"/>
                <w:color w:val="000000"/>
                <w:sz w:val="24"/>
                <w:szCs w:val="24"/>
                <w:highlight w:val="none"/>
                <w:u w:val="none"/>
              </w:rPr>
            </w:pPr>
          </w:p>
        </w:tc>
      </w:tr>
      <w:tr w14:paraId="2CFF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1455D3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372F3E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张集镇</w:t>
            </w:r>
          </w:p>
        </w:tc>
        <w:tc>
          <w:tcPr>
            <w:tcW w:w="1232" w:type="pct"/>
            <w:noWrap w:val="0"/>
            <w:vAlign w:val="center"/>
          </w:tcPr>
          <w:p w14:paraId="14FC80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3856</w:t>
            </w:r>
          </w:p>
        </w:tc>
        <w:tc>
          <w:tcPr>
            <w:tcW w:w="1226" w:type="pct"/>
            <w:vMerge w:val="continue"/>
            <w:noWrap w:val="0"/>
            <w:vAlign w:val="center"/>
          </w:tcPr>
          <w:p w14:paraId="15A4484D">
            <w:pPr>
              <w:jc w:val="center"/>
              <w:rPr>
                <w:rFonts w:hint="eastAsia" w:ascii="宋体" w:hAnsi="宋体" w:eastAsia="宋体" w:cs="宋体"/>
                <w:i w:val="0"/>
                <w:iCs w:val="0"/>
                <w:color w:val="000000"/>
                <w:sz w:val="24"/>
                <w:szCs w:val="24"/>
                <w:highlight w:val="none"/>
                <w:u w:val="none"/>
              </w:rPr>
            </w:pPr>
          </w:p>
        </w:tc>
      </w:tr>
      <w:tr w14:paraId="7EF4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3FCA82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5387E7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马厂镇</w:t>
            </w:r>
          </w:p>
        </w:tc>
        <w:tc>
          <w:tcPr>
            <w:tcW w:w="1232" w:type="pct"/>
            <w:noWrap w:val="0"/>
            <w:vAlign w:val="center"/>
          </w:tcPr>
          <w:p w14:paraId="1B4CDB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5061</w:t>
            </w:r>
          </w:p>
        </w:tc>
        <w:tc>
          <w:tcPr>
            <w:tcW w:w="1226" w:type="pct"/>
            <w:vMerge w:val="continue"/>
            <w:noWrap w:val="0"/>
            <w:vAlign w:val="center"/>
          </w:tcPr>
          <w:p w14:paraId="45DAD09A">
            <w:pPr>
              <w:jc w:val="center"/>
              <w:rPr>
                <w:rFonts w:hint="eastAsia" w:ascii="宋体" w:hAnsi="宋体" w:eastAsia="宋体" w:cs="宋体"/>
                <w:i w:val="0"/>
                <w:iCs w:val="0"/>
                <w:color w:val="000000"/>
                <w:sz w:val="24"/>
                <w:szCs w:val="24"/>
                <w:highlight w:val="none"/>
                <w:u w:val="none"/>
              </w:rPr>
            </w:pPr>
          </w:p>
        </w:tc>
      </w:tr>
      <w:tr w14:paraId="4FD4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17AC6E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60E1E6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马头镇</w:t>
            </w:r>
          </w:p>
        </w:tc>
        <w:tc>
          <w:tcPr>
            <w:tcW w:w="1232" w:type="pct"/>
            <w:noWrap w:val="0"/>
            <w:vAlign w:val="center"/>
          </w:tcPr>
          <w:p w14:paraId="70E948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5083</w:t>
            </w:r>
          </w:p>
        </w:tc>
        <w:tc>
          <w:tcPr>
            <w:tcW w:w="1226" w:type="pct"/>
            <w:vMerge w:val="continue"/>
            <w:noWrap w:val="0"/>
            <w:vAlign w:val="center"/>
          </w:tcPr>
          <w:p w14:paraId="2D269C49">
            <w:pPr>
              <w:jc w:val="center"/>
              <w:rPr>
                <w:rFonts w:hint="eastAsia" w:ascii="宋体" w:hAnsi="宋体" w:eastAsia="宋体" w:cs="宋体"/>
                <w:i w:val="0"/>
                <w:iCs w:val="0"/>
                <w:color w:val="000000"/>
                <w:sz w:val="24"/>
                <w:szCs w:val="24"/>
                <w:highlight w:val="none"/>
                <w:u w:val="none"/>
              </w:rPr>
            </w:pPr>
          </w:p>
        </w:tc>
      </w:tr>
      <w:tr w14:paraId="7F54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6EE828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62BB93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符草楼镇</w:t>
            </w:r>
          </w:p>
        </w:tc>
        <w:tc>
          <w:tcPr>
            <w:tcW w:w="1232" w:type="pct"/>
            <w:noWrap w:val="0"/>
            <w:vAlign w:val="center"/>
          </w:tcPr>
          <w:p w14:paraId="4F8C0E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4022</w:t>
            </w:r>
          </w:p>
        </w:tc>
        <w:tc>
          <w:tcPr>
            <w:tcW w:w="1226" w:type="pct"/>
            <w:vMerge w:val="continue"/>
            <w:noWrap w:val="0"/>
            <w:vAlign w:val="center"/>
          </w:tcPr>
          <w:p w14:paraId="673FB43A">
            <w:pPr>
              <w:jc w:val="center"/>
              <w:rPr>
                <w:rFonts w:hint="eastAsia" w:ascii="宋体" w:hAnsi="宋体" w:eastAsia="宋体" w:cs="宋体"/>
                <w:i w:val="0"/>
                <w:iCs w:val="0"/>
                <w:color w:val="000000"/>
                <w:sz w:val="24"/>
                <w:szCs w:val="24"/>
                <w:highlight w:val="none"/>
                <w:u w:val="none"/>
              </w:rPr>
            </w:pPr>
          </w:p>
        </w:tc>
      </w:tr>
      <w:tr w14:paraId="386D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315C78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5710DB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太康县第二高级中学</w:t>
            </w:r>
          </w:p>
        </w:tc>
        <w:tc>
          <w:tcPr>
            <w:tcW w:w="1232" w:type="pct"/>
            <w:noWrap w:val="0"/>
            <w:vAlign w:val="center"/>
          </w:tcPr>
          <w:p w14:paraId="3C456E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7500</w:t>
            </w:r>
          </w:p>
        </w:tc>
        <w:tc>
          <w:tcPr>
            <w:tcW w:w="1226" w:type="pct"/>
            <w:vMerge w:val="continue"/>
            <w:noWrap w:val="0"/>
            <w:vAlign w:val="center"/>
          </w:tcPr>
          <w:p w14:paraId="7410408F">
            <w:pPr>
              <w:jc w:val="center"/>
              <w:rPr>
                <w:rFonts w:hint="eastAsia" w:ascii="宋体" w:hAnsi="宋体" w:eastAsia="宋体" w:cs="宋体"/>
                <w:i w:val="0"/>
                <w:iCs w:val="0"/>
                <w:color w:val="000000"/>
                <w:sz w:val="24"/>
                <w:szCs w:val="24"/>
                <w:highlight w:val="none"/>
                <w:u w:val="none"/>
              </w:rPr>
            </w:pPr>
          </w:p>
        </w:tc>
      </w:tr>
      <w:tr w14:paraId="2463E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5E85F5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6F86BE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太康县职业中等专业学校</w:t>
            </w:r>
          </w:p>
        </w:tc>
        <w:tc>
          <w:tcPr>
            <w:tcW w:w="1232" w:type="pct"/>
            <w:noWrap w:val="0"/>
            <w:vAlign w:val="center"/>
          </w:tcPr>
          <w:p w14:paraId="5311B6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979</w:t>
            </w:r>
          </w:p>
        </w:tc>
        <w:tc>
          <w:tcPr>
            <w:tcW w:w="1226" w:type="pct"/>
            <w:vMerge w:val="continue"/>
            <w:noWrap w:val="0"/>
            <w:vAlign w:val="center"/>
          </w:tcPr>
          <w:p w14:paraId="6E622288">
            <w:pPr>
              <w:jc w:val="center"/>
              <w:rPr>
                <w:rFonts w:hint="eastAsia" w:ascii="宋体" w:hAnsi="宋体" w:eastAsia="宋体" w:cs="宋体"/>
                <w:i w:val="0"/>
                <w:iCs w:val="0"/>
                <w:color w:val="000000"/>
                <w:sz w:val="24"/>
                <w:szCs w:val="24"/>
                <w:highlight w:val="none"/>
                <w:u w:val="none"/>
              </w:rPr>
            </w:pPr>
          </w:p>
        </w:tc>
      </w:tr>
      <w:tr w14:paraId="5C3C9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4C5002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3E1841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太康县第二职业中等专业学校</w:t>
            </w:r>
          </w:p>
        </w:tc>
        <w:tc>
          <w:tcPr>
            <w:tcW w:w="1232" w:type="pct"/>
            <w:noWrap w:val="0"/>
            <w:vAlign w:val="center"/>
          </w:tcPr>
          <w:p w14:paraId="724726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308</w:t>
            </w:r>
          </w:p>
        </w:tc>
        <w:tc>
          <w:tcPr>
            <w:tcW w:w="1226" w:type="pct"/>
            <w:vMerge w:val="continue"/>
            <w:noWrap w:val="0"/>
            <w:vAlign w:val="center"/>
          </w:tcPr>
          <w:p w14:paraId="63192ABC">
            <w:pPr>
              <w:jc w:val="center"/>
              <w:rPr>
                <w:rFonts w:hint="eastAsia" w:ascii="宋体" w:hAnsi="宋体" w:eastAsia="宋体" w:cs="宋体"/>
                <w:i w:val="0"/>
                <w:iCs w:val="0"/>
                <w:color w:val="000000"/>
                <w:sz w:val="24"/>
                <w:szCs w:val="24"/>
                <w:highlight w:val="none"/>
                <w:u w:val="none"/>
              </w:rPr>
            </w:pPr>
          </w:p>
        </w:tc>
      </w:tr>
      <w:tr w14:paraId="368DD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6E44BD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1FFE7E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太康县新时代高级中学有限公司</w:t>
            </w:r>
          </w:p>
        </w:tc>
        <w:tc>
          <w:tcPr>
            <w:tcW w:w="1232" w:type="pct"/>
            <w:noWrap w:val="0"/>
            <w:vAlign w:val="center"/>
          </w:tcPr>
          <w:p w14:paraId="6D9638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2850</w:t>
            </w:r>
          </w:p>
        </w:tc>
        <w:tc>
          <w:tcPr>
            <w:tcW w:w="1226" w:type="pct"/>
            <w:vMerge w:val="continue"/>
            <w:noWrap w:val="0"/>
            <w:vAlign w:val="center"/>
          </w:tcPr>
          <w:p w14:paraId="7E0EBB52">
            <w:pPr>
              <w:jc w:val="center"/>
              <w:rPr>
                <w:rFonts w:hint="eastAsia" w:ascii="宋体" w:hAnsi="宋体" w:eastAsia="宋体" w:cs="宋体"/>
                <w:i w:val="0"/>
                <w:iCs w:val="0"/>
                <w:color w:val="000000"/>
                <w:sz w:val="24"/>
                <w:szCs w:val="24"/>
                <w:highlight w:val="none"/>
                <w:u w:val="none"/>
              </w:rPr>
            </w:pPr>
          </w:p>
        </w:tc>
      </w:tr>
      <w:tr w14:paraId="1E06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341C08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2BF7BC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太康县特殊教育学校</w:t>
            </w:r>
          </w:p>
        </w:tc>
        <w:tc>
          <w:tcPr>
            <w:tcW w:w="1232" w:type="pct"/>
            <w:noWrap w:val="0"/>
            <w:vAlign w:val="center"/>
          </w:tcPr>
          <w:p w14:paraId="68AE3A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147</w:t>
            </w:r>
          </w:p>
        </w:tc>
        <w:tc>
          <w:tcPr>
            <w:tcW w:w="1226" w:type="pct"/>
            <w:vMerge w:val="continue"/>
            <w:noWrap w:val="0"/>
            <w:vAlign w:val="center"/>
          </w:tcPr>
          <w:p w14:paraId="213B55A7">
            <w:pPr>
              <w:jc w:val="center"/>
              <w:rPr>
                <w:rFonts w:hint="eastAsia" w:ascii="宋体" w:hAnsi="宋体" w:eastAsia="宋体" w:cs="宋体"/>
                <w:i w:val="0"/>
                <w:iCs w:val="0"/>
                <w:color w:val="000000"/>
                <w:sz w:val="24"/>
                <w:szCs w:val="24"/>
                <w:highlight w:val="none"/>
                <w:u w:val="none"/>
              </w:rPr>
            </w:pPr>
          </w:p>
        </w:tc>
      </w:tr>
      <w:tr w14:paraId="0BCD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restart"/>
            <w:noWrap/>
            <w:vAlign w:val="center"/>
          </w:tcPr>
          <w:p w14:paraId="435D73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p w14:paraId="1DAEEC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49D002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芝麻洼乡</w:t>
            </w:r>
          </w:p>
        </w:tc>
        <w:tc>
          <w:tcPr>
            <w:tcW w:w="1232" w:type="pct"/>
            <w:noWrap w:val="0"/>
            <w:vAlign w:val="center"/>
          </w:tcPr>
          <w:p w14:paraId="7B6D4C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5702</w:t>
            </w:r>
          </w:p>
        </w:tc>
        <w:tc>
          <w:tcPr>
            <w:tcW w:w="1226" w:type="pct"/>
            <w:vMerge w:val="restart"/>
            <w:noWrap w:val="0"/>
            <w:vAlign w:val="center"/>
          </w:tcPr>
          <w:p w14:paraId="588262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8个乡镇、9个局直学校，共计8.36万人</w:t>
            </w:r>
          </w:p>
        </w:tc>
      </w:tr>
      <w:tr w14:paraId="1FC4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26FE6C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7370E7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清集镇</w:t>
            </w:r>
          </w:p>
        </w:tc>
        <w:tc>
          <w:tcPr>
            <w:tcW w:w="1232" w:type="pct"/>
            <w:noWrap w:val="0"/>
            <w:vAlign w:val="center"/>
          </w:tcPr>
          <w:p w14:paraId="22FB1F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4967</w:t>
            </w:r>
          </w:p>
        </w:tc>
        <w:tc>
          <w:tcPr>
            <w:tcW w:w="1226" w:type="pct"/>
            <w:vMerge w:val="continue"/>
            <w:noWrap w:val="0"/>
            <w:vAlign w:val="center"/>
          </w:tcPr>
          <w:p w14:paraId="32CC1107">
            <w:pPr>
              <w:jc w:val="center"/>
              <w:rPr>
                <w:rFonts w:hint="eastAsia" w:ascii="宋体" w:hAnsi="宋体" w:eastAsia="宋体" w:cs="宋体"/>
                <w:i w:val="0"/>
                <w:iCs w:val="0"/>
                <w:color w:val="000000"/>
                <w:sz w:val="24"/>
                <w:szCs w:val="24"/>
                <w:highlight w:val="none"/>
                <w:u w:val="none"/>
              </w:rPr>
            </w:pPr>
          </w:p>
        </w:tc>
      </w:tr>
      <w:tr w14:paraId="474E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250289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2D9CD2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常营镇</w:t>
            </w:r>
          </w:p>
        </w:tc>
        <w:tc>
          <w:tcPr>
            <w:tcW w:w="1232" w:type="pct"/>
            <w:noWrap w:val="0"/>
            <w:vAlign w:val="center"/>
          </w:tcPr>
          <w:p w14:paraId="351A09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5445</w:t>
            </w:r>
          </w:p>
        </w:tc>
        <w:tc>
          <w:tcPr>
            <w:tcW w:w="1226" w:type="pct"/>
            <w:vMerge w:val="continue"/>
            <w:noWrap w:val="0"/>
            <w:vAlign w:val="center"/>
          </w:tcPr>
          <w:p w14:paraId="35C5A89D">
            <w:pPr>
              <w:jc w:val="center"/>
              <w:rPr>
                <w:rFonts w:hint="eastAsia" w:ascii="宋体" w:hAnsi="宋体" w:eastAsia="宋体" w:cs="宋体"/>
                <w:i w:val="0"/>
                <w:iCs w:val="0"/>
                <w:color w:val="000000"/>
                <w:sz w:val="24"/>
                <w:szCs w:val="24"/>
                <w:highlight w:val="none"/>
                <w:u w:val="none"/>
              </w:rPr>
            </w:pPr>
          </w:p>
        </w:tc>
      </w:tr>
      <w:tr w14:paraId="21D9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784C66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0F1C93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板桥镇</w:t>
            </w:r>
          </w:p>
        </w:tc>
        <w:tc>
          <w:tcPr>
            <w:tcW w:w="1232" w:type="pct"/>
            <w:noWrap w:val="0"/>
            <w:vAlign w:val="center"/>
          </w:tcPr>
          <w:p w14:paraId="7B13E6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4972</w:t>
            </w:r>
          </w:p>
        </w:tc>
        <w:tc>
          <w:tcPr>
            <w:tcW w:w="1226" w:type="pct"/>
            <w:vMerge w:val="continue"/>
            <w:noWrap w:val="0"/>
            <w:vAlign w:val="center"/>
          </w:tcPr>
          <w:p w14:paraId="65B56722">
            <w:pPr>
              <w:jc w:val="center"/>
              <w:rPr>
                <w:rFonts w:hint="eastAsia" w:ascii="宋体" w:hAnsi="宋体" w:eastAsia="宋体" w:cs="宋体"/>
                <w:i w:val="0"/>
                <w:iCs w:val="0"/>
                <w:color w:val="000000"/>
                <w:sz w:val="24"/>
                <w:szCs w:val="24"/>
                <w:highlight w:val="none"/>
                <w:u w:val="none"/>
              </w:rPr>
            </w:pPr>
          </w:p>
        </w:tc>
      </w:tr>
      <w:tr w14:paraId="3CBC1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7EAC34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415408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逊母口镇</w:t>
            </w:r>
          </w:p>
        </w:tc>
        <w:tc>
          <w:tcPr>
            <w:tcW w:w="1232" w:type="pct"/>
            <w:noWrap w:val="0"/>
            <w:vAlign w:val="center"/>
          </w:tcPr>
          <w:p w14:paraId="13AB47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4695</w:t>
            </w:r>
          </w:p>
        </w:tc>
        <w:tc>
          <w:tcPr>
            <w:tcW w:w="1226" w:type="pct"/>
            <w:vMerge w:val="continue"/>
            <w:noWrap w:val="0"/>
            <w:vAlign w:val="center"/>
          </w:tcPr>
          <w:p w14:paraId="4C87D549">
            <w:pPr>
              <w:jc w:val="center"/>
              <w:rPr>
                <w:rFonts w:hint="eastAsia" w:ascii="宋体" w:hAnsi="宋体" w:eastAsia="宋体" w:cs="宋体"/>
                <w:i w:val="0"/>
                <w:iCs w:val="0"/>
                <w:color w:val="000000"/>
                <w:sz w:val="24"/>
                <w:szCs w:val="24"/>
                <w:highlight w:val="none"/>
                <w:u w:val="none"/>
              </w:rPr>
            </w:pPr>
          </w:p>
        </w:tc>
      </w:tr>
      <w:tr w14:paraId="49DC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208C03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2EA512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独塘乡</w:t>
            </w:r>
          </w:p>
        </w:tc>
        <w:tc>
          <w:tcPr>
            <w:tcW w:w="1232" w:type="pct"/>
            <w:noWrap w:val="0"/>
            <w:vAlign w:val="center"/>
          </w:tcPr>
          <w:p w14:paraId="06022C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2719</w:t>
            </w:r>
          </w:p>
        </w:tc>
        <w:tc>
          <w:tcPr>
            <w:tcW w:w="1226" w:type="pct"/>
            <w:vMerge w:val="continue"/>
            <w:noWrap w:val="0"/>
            <w:vAlign w:val="center"/>
          </w:tcPr>
          <w:p w14:paraId="44BD8E92">
            <w:pPr>
              <w:jc w:val="center"/>
              <w:rPr>
                <w:rFonts w:hint="eastAsia" w:ascii="宋体" w:hAnsi="宋体" w:eastAsia="宋体" w:cs="宋体"/>
                <w:i w:val="0"/>
                <w:iCs w:val="0"/>
                <w:color w:val="000000"/>
                <w:sz w:val="24"/>
                <w:szCs w:val="24"/>
                <w:highlight w:val="none"/>
                <w:u w:val="none"/>
              </w:rPr>
            </w:pPr>
          </w:p>
        </w:tc>
      </w:tr>
      <w:tr w14:paraId="5E8B6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293035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50076B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毛庄街道</w:t>
            </w:r>
          </w:p>
        </w:tc>
        <w:tc>
          <w:tcPr>
            <w:tcW w:w="1232" w:type="pct"/>
            <w:noWrap w:val="0"/>
            <w:vAlign w:val="center"/>
          </w:tcPr>
          <w:p w14:paraId="394C48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12445</w:t>
            </w:r>
          </w:p>
        </w:tc>
        <w:tc>
          <w:tcPr>
            <w:tcW w:w="1226" w:type="pct"/>
            <w:vMerge w:val="continue"/>
            <w:noWrap w:val="0"/>
            <w:vAlign w:val="center"/>
          </w:tcPr>
          <w:p w14:paraId="16C110AF">
            <w:pPr>
              <w:jc w:val="center"/>
              <w:rPr>
                <w:rFonts w:hint="eastAsia" w:ascii="宋体" w:hAnsi="宋体" w:eastAsia="宋体" w:cs="宋体"/>
                <w:i w:val="0"/>
                <w:iCs w:val="0"/>
                <w:color w:val="000000"/>
                <w:sz w:val="24"/>
                <w:szCs w:val="24"/>
                <w:highlight w:val="none"/>
                <w:u w:val="none"/>
              </w:rPr>
            </w:pPr>
          </w:p>
        </w:tc>
      </w:tr>
      <w:tr w14:paraId="257A7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1D849C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24F99E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阳夏街道</w:t>
            </w:r>
          </w:p>
        </w:tc>
        <w:tc>
          <w:tcPr>
            <w:tcW w:w="1232" w:type="pct"/>
            <w:noWrap w:val="0"/>
            <w:vAlign w:val="center"/>
          </w:tcPr>
          <w:p w14:paraId="06B1BE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1349</w:t>
            </w:r>
          </w:p>
        </w:tc>
        <w:tc>
          <w:tcPr>
            <w:tcW w:w="1226" w:type="pct"/>
            <w:vMerge w:val="continue"/>
            <w:noWrap w:val="0"/>
            <w:vAlign w:val="center"/>
          </w:tcPr>
          <w:p w14:paraId="045BBF26">
            <w:pPr>
              <w:jc w:val="center"/>
              <w:rPr>
                <w:rFonts w:hint="eastAsia" w:ascii="宋体" w:hAnsi="宋体" w:eastAsia="宋体" w:cs="宋体"/>
                <w:i w:val="0"/>
                <w:iCs w:val="0"/>
                <w:color w:val="000000"/>
                <w:sz w:val="24"/>
                <w:szCs w:val="24"/>
                <w:highlight w:val="none"/>
                <w:u w:val="none"/>
              </w:rPr>
            </w:pPr>
          </w:p>
        </w:tc>
      </w:tr>
      <w:tr w14:paraId="1306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5C2AA7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414BD3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太康县第一高级中学</w:t>
            </w:r>
          </w:p>
        </w:tc>
        <w:tc>
          <w:tcPr>
            <w:tcW w:w="1232" w:type="pct"/>
            <w:noWrap w:val="0"/>
            <w:vAlign w:val="center"/>
          </w:tcPr>
          <w:p w14:paraId="4C59AB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10500</w:t>
            </w:r>
          </w:p>
        </w:tc>
        <w:tc>
          <w:tcPr>
            <w:tcW w:w="1226" w:type="pct"/>
            <w:vMerge w:val="continue"/>
            <w:noWrap w:val="0"/>
            <w:vAlign w:val="center"/>
          </w:tcPr>
          <w:p w14:paraId="36513F48">
            <w:pPr>
              <w:jc w:val="center"/>
              <w:rPr>
                <w:rFonts w:hint="eastAsia" w:ascii="宋体" w:hAnsi="宋体" w:eastAsia="宋体" w:cs="宋体"/>
                <w:i w:val="0"/>
                <w:iCs w:val="0"/>
                <w:color w:val="000000"/>
                <w:sz w:val="24"/>
                <w:szCs w:val="24"/>
                <w:highlight w:val="none"/>
                <w:u w:val="none"/>
              </w:rPr>
            </w:pPr>
          </w:p>
        </w:tc>
      </w:tr>
      <w:tr w14:paraId="3B1B6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2CB2D0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7AC8BA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太康县高贤高中</w:t>
            </w:r>
          </w:p>
        </w:tc>
        <w:tc>
          <w:tcPr>
            <w:tcW w:w="1232" w:type="pct"/>
            <w:noWrap w:val="0"/>
            <w:vAlign w:val="center"/>
          </w:tcPr>
          <w:p w14:paraId="40B9BA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3120</w:t>
            </w:r>
          </w:p>
        </w:tc>
        <w:tc>
          <w:tcPr>
            <w:tcW w:w="1226" w:type="pct"/>
            <w:vMerge w:val="continue"/>
            <w:noWrap w:val="0"/>
            <w:vAlign w:val="center"/>
          </w:tcPr>
          <w:p w14:paraId="53B247F2">
            <w:pPr>
              <w:jc w:val="center"/>
              <w:rPr>
                <w:rFonts w:hint="eastAsia" w:ascii="宋体" w:hAnsi="宋体" w:eastAsia="宋体" w:cs="宋体"/>
                <w:i w:val="0"/>
                <w:iCs w:val="0"/>
                <w:color w:val="000000"/>
                <w:sz w:val="24"/>
                <w:szCs w:val="24"/>
                <w:highlight w:val="none"/>
                <w:u w:val="none"/>
              </w:rPr>
            </w:pPr>
          </w:p>
        </w:tc>
      </w:tr>
      <w:tr w14:paraId="5E19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595DE1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50236E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河南华夏外国语高级中学</w:t>
            </w:r>
          </w:p>
        </w:tc>
        <w:tc>
          <w:tcPr>
            <w:tcW w:w="1232" w:type="pct"/>
            <w:noWrap w:val="0"/>
            <w:vAlign w:val="center"/>
          </w:tcPr>
          <w:p w14:paraId="325585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5500</w:t>
            </w:r>
          </w:p>
        </w:tc>
        <w:tc>
          <w:tcPr>
            <w:tcW w:w="1226" w:type="pct"/>
            <w:vMerge w:val="continue"/>
            <w:noWrap w:val="0"/>
            <w:vAlign w:val="center"/>
          </w:tcPr>
          <w:p w14:paraId="149ED6FF">
            <w:pPr>
              <w:jc w:val="center"/>
              <w:rPr>
                <w:rFonts w:hint="eastAsia" w:ascii="宋体" w:hAnsi="宋体" w:eastAsia="宋体" w:cs="宋体"/>
                <w:i w:val="0"/>
                <w:iCs w:val="0"/>
                <w:color w:val="000000"/>
                <w:sz w:val="24"/>
                <w:szCs w:val="24"/>
                <w:highlight w:val="none"/>
                <w:u w:val="none"/>
              </w:rPr>
            </w:pPr>
          </w:p>
        </w:tc>
      </w:tr>
      <w:tr w14:paraId="6340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592F7B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3446F1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太康县第三高级中学</w:t>
            </w:r>
          </w:p>
        </w:tc>
        <w:tc>
          <w:tcPr>
            <w:tcW w:w="1232" w:type="pct"/>
            <w:noWrap w:val="0"/>
            <w:vAlign w:val="center"/>
          </w:tcPr>
          <w:p w14:paraId="1E3251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5086</w:t>
            </w:r>
          </w:p>
        </w:tc>
        <w:tc>
          <w:tcPr>
            <w:tcW w:w="1226" w:type="pct"/>
            <w:vMerge w:val="continue"/>
            <w:noWrap w:val="0"/>
            <w:vAlign w:val="center"/>
          </w:tcPr>
          <w:p w14:paraId="758CFCA7">
            <w:pPr>
              <w:jc w:val="center"/>
              <w:rPr>
                <w:rFonts w:hint="eastAsia" w:ascii="宋体" w:hAnsi="宋体" w:eastAsia="宋体" w:cs="宋体"/>
                <w:i w:val="0"/>
                <w:iCs w:val="0"/>
                <w:color w:val="000000"/>
                <w:sz w:val="24"/>
                <w:szCs w:val="24"/>
                <w:highlight w:val="none"/>
                <w:u w:val="none"/>
              </w:rPr>
            </w:pPr>
          </w:p>
        </w:tc>
      </w:tr>
      <w:tr w14:paraId="2BDE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3115B5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70F453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太康县弘源中等职业学校</w:t>
            </w:r>
          </w:p>
        </w:tc>
        <w:tc>
          <w:tcPr>
            <w:tcW w:w="1232" w:type="pct"/>
            <w:noWrap w:val="0"/>
            <w:vAlign w:val="center"/>
          </w:tcPr>
          <w:p w14:paraId="007D16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1800</w:t>
            </w:r>
          </w:p>
        </w:tc>
        <w:tc>
          <w:tcPr>
            <w:tcW w:w="1226" w:type="pct"/>
            <w:vMerge w:val="continue"/>
            <w:noWrap w:val="0"/>
            <w:vAlign w:val="center"/>
          </w:tcPr>
          <w:p w14:paraId="47B718EF">
            <w:pPr>
              <w:jc w:val="center"/>
              <w:rPr>
                <w:rFonts w:hint="eastAsia" w:ascii="宋体" w:hAnsi="宋体" w:eastAsia="宋体" w:cs="宋体"/>
                <w:i w:val="0"/>
                <w:iCs w:val="0"/>
                <w:color w:val="000000"/>
                <w:sz w:val="24"/>
                <w:szCs w:val="24"/>
                <w:highlight w:val="none"/>
                <w:u w:val="none"/>
              </w:rPr>
            </w:pPr>
          </w:p>
        </w:tc>
      </w:tr>
      <w:tr w14:paraId="5EFC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3FCCBA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2C0405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太康县第一初级中学</w:t>
            </w:r>
          </w:p>
        </w:tc>
        <w:tc>
          <w:tcPr>
            <w:tcW w:w="1232" w:type="pct"/>
            <w:noWrap w:val="0"/>
            <w:vAlign w:val="center"/>
          </w:tcPr>
          <w:p w14:paraId="22F237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7895</w:t>
            </w:r>
          </w:p>
        </w:tc>
        <w:tc>
          <w:tcPr>
            <w:tcW w:w="1226" w:type="pct"/>
            <w:vMerge w:val="continue"/>
            <w:noWrap w:val="0"/>
            <w:vAlign w:val="center"/>
          </w:tcPr>
          <w:p w14:paraId="31CCCB0E">
            <w:pPr>
              <w:jc w:val="center"/>
              <w:rPr>
                <w:rFonts w:hint="eastAsia" w:ascii="宋体" w:hAnsi="宋体" w:eastAsia="宋体" w:cs="宋体"/>
                <w:i w:val="0"/>
                <w:iCs w:val="0"/>
                <w:color w:val="000000"/>
                <w:sz w:val="24"/>
                <w:szCs w:val="24"/>
                <w:highlight w:val="none"/>
                <w:u w:val="none"/>
              </w:rPr>
            </w:pPr>
          </w:p>
        </w:tc>
      </w:tr>
      <w:tr w14:paraId="36F0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3939CD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5E3445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华夏学校</w:t>
            </w:r>
          </w:p>
        </w:tc>
        <w:tc>
          <w:tcPr>
            <w:tcW w:w="1232" w:type="pct"/>
            <w:noWrap w:val="0"/>
            <w:vAlign w:val="center"/>
          </w:tcPr>
          <w:p w14:paraId="3BE913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5380</w:t>
            </w:r>
          </w:p>
        </w:tc>
        <w:tc>
          <w:tcPr>
            <w:tcW w:w="1226" w:type="pct"/>
            <w:vMerge w:val="continue"/>
            <w:noWrap w:val="0"/>
            <w:vAlign w:val="center"/>
          </w:tcPr>
          <w:p w14:paraId="11B9BDBD">
            <w:pPr>
              <w:jc w:val="center"/>
              <w:rPr>
                <w:rFonts w:hint="eastAsia" w:ascii="宋体" w:hAnsi="宋体" w:eastAsia="宋体" w:cs="宋体"/>
                <w:i w:val="0"/>
                <w:iCs w:val="0"/>
                <w:color w:val="000000"/>
                <w:sz w:val="24"/>
                <w:szCs w:val="24"/>
                <w:highlight w:val="none"/>
                <w:u w:val="none"/>
              </w:rPr>
            </w:pPr>
          </w:p>
        </w:tc>
      </w:tr>
      <w:tr w14:paraId="1C64F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1EBDE8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255746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太康县实验幼儿园</w:t>
            </w:r>
          </w:p>
        </w:tc>
        <w:tc>
          <w:tcPr>
            <w:tcW w:w="1232" w:type="pct"/>
            <w:noWrap w:val="0"/>
            <w:vAlign w:val="center"/>
          </w:tcPr>
          <w:p w14:paraId="50C661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1126</w:t>
            </w:r>
          </w:p>
        </w:tc>
        <w:tc>
          <w:tcPr>
            <w:tcW w:w="1226" w:type="pct"/>
            <w:vMerge w:val="continue"/>
            <w:noWrap w:val="0"/>
            <w:vAlign w:val="center"/>
          </w:tcPr>
          <w:p w14:paraId="165FB108">
            <w:pPr>
              <w:jc w:val="center"/>
              <w:rPr>
                <w:rFonts w:hint="eastAsia" w:ascii="宋体" w:hAnsi="宋体" w:eastAsia="宋体" w:cs="宋体"/>
                <w:i w:val="0"/>
                <w:iCs w:val="0"/>
                <w:color w:val="000000"/>
                <w:sz w:val="24"/>
                <w:szCs w:val="24"/>
                <w:highlight w:val="none"/>
                <w:u w:val="none"/>
              </w:rPr>
            </w:pPr>
          </w:p>
        </w:tc>
      </w:tr>
      <w:tr w14:paraId="7A3C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0" w:type="pct"/>
            <w:vMerge w:val="continue"/>
            <w:noWrap/>
            <w:vAlign w:val="center"/>
          </w:tcPr>
          <w:p w14:paraId="2A5808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100" w:type="pct"/>
            <w:noWrap/>
            <w:vAlign w:val="center"/>
          </w:tcPr>
          <w:p w14:paraId="16901F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太康县第二实验幼儿园</w:t>
            </w:r>
          </w:p>
        </w:tc>
        <w:tc>
          <w:tcPr>
            <w:tcW w:w="1232" w:type="pct"/>
            <w:noWrap w:val="0"/>
            <w:vAlign w:val="center"/>
          </w:tcPr>
          <w:p w14:paraId="6B371E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902</w:t>
            </w:r>
          </w:p>
        </w:tc>
        <w:tc>
          <w:tcPr>
            <w:tcW w:w="1226" w:type="pct"/>
            <w:vMerge w:val="continue"/>
            <w:noWrap w:val="0"/>
            <w:vAlign w:val="center"/>
          </w:tcPr>
          <w:p w14:paraId="2ADA252E">
            <w:pPr>
              <w:jc w:val="center"/>
              <w:rPr>
                <w:rFonts w:hint="eastAsia" w:ascii="宋体" w:hAnsi="宋体" w:eastAsia="宋体" w:cs="宋体"/>
                <w:i w:val="0"/>
                <w:iCs w:val="0"/>
                <w:color w:val="000000"/>
                <w:sz w:val="24"/>
                <w:szCs w:val="24"/>
                <w:highlight w:val="none"/>
                <w:u w:val="none"/>
              </w:rPr>
            </w:pPr>
          </w:p>
        </w:tc>
      </w:tr>
      <w:tr w14:paraId="082F2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5000" w:type="pct"/>
            <w:gridSpan w:val="4"/>
            <w:noWrap/>
            <w:vAlign w:val="center"/>
          </w:tcPr>
          <w:p w14:paraId="0FD40806">
            <w:pPr>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合计：约17.48万人</w:t>
            </w:r>
          </w:p>
        </w:tc>
      </w:tr>
    </w:tbl>
    <w:p w14:paraId="3ADFB92B">
      <w:pPr>
        <w:pStyle w:val="27"/>
        <w:keepNext w:val="0"/>
        <w:keepLines w:val="0"/>
        <w:pageBreakBefore w:val="0"/>
        <w:kinsoku/>
        <w:wordWrap/>
        <w:overflowPunct/>
        <w:topLinePunct w:val="0"/>
        <w:autoSpaceDE/>
        <w:autoSpaceDN/>
        <w:bidi w:val="0"/>
        <w:adjustRightInd/>
        <w:snapToGrid/>
        <w:spacing w:line="720" w:lineRule="auto"/>
        <w:ind w:left="0" w:leftChars="0" w:right="0" w:firstLine="0" w:firstLineChars="0"/>
        <w:jc w:val="center"/>
        <w:rPr>
          <w:rFonts w:hint="eastAsia" w:ascii="宋体" w:hAnsi="宋体" w:eastAsia="宋体" w:cs="宋体"/>
          <w:b/>
          <w:bCs/>
          <w:sz w:val="24"/>
          <w:szCs w:val="24"/>
          <w:highlight w:val="none"/>
          <w:lang w:val="en-US" w:eastAsia="zh-CN"/>
        </w:rPr>
      </w:pPr>
      <w:r>
        <w:rPr>
          <w:rFonts w:hint="eastAsia" w:ascii="宋体" w:hAnsi="宋体" w:eastAsia="宋体" w:cs="宋体"/>
          <w:b/>
          <w:bCs/>
          <w:color w:val="auto"/>
          <w:sz w:val="24"/>
          <w:szCs w:val="24"/>
          <w:highlight w:val="none"/>
          <w:lang w:val="en-US" w:eastAsia="zh-CN"/>
        </w:rPr>
        <w:t>（二）技术要求</w:t>
      </w:r>
    </w:p>
    <w:p w14:paraId="48B22354">
      <w:pPr>
        <w:keepNext w:val="0"/>
        <w:keepLines w:val="0"/>
        <w:pageBreakBefore w:val="0"/>
        <w:kinsoku/>
        <w:wordWrap/>
        <w:overflowPunct/>
        <w:topLinePunct w:val="0"/>
        <w:autoSpaceDE/>
        <w:autoSpaceDN/>
        <w:bidi w:val="0"/>
        <w:adjustRightInd/>
        <w:snapToGrid/>
        <w:spacing w:line="440" w:lineRule="exact"/>
        <w:ind w:right="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1、餐费使用范围</w:t>
      </w:r>
    </w:p>
    <w:p w14:paraId="12A7ADE8">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（1）农村义务教育学生营养改善计划（中央财政专项资金）餐费使用范围：供应标准为每生每天 5 元营养午餐食材。</w:t>
      </w:r>
    </w:p>
    <w:p w14:paraId="5F0423D8">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非农村义务教育学生营养改善计划（自筹资金）餐费使用范围：采购食材占比不低于餐费的65%,厨师工资水电等不超过餐费的30%，设备、设施的维修维护不超过餐费的5%。如费用周期内未产生维护费用或工人工资、水电费及维护费用结余，该部分资金仍用于采购食材。</w:t>
      </w:r>
    </w:p>
    <w:p w14:paraId="5360E85A">
      <w:pPr>
        <w:keepNext w:val="0"/>
        <w:keepLines w:val="0"/>
        <w:pageBreakBefore w:val="0"/>
        <w:kinsoku/>
        <w:wordWrap/>
        <w:overflowPunct/>
        <w:topLinePunct w:val="0"/>
        <w:autoSpaceDE/>
        <w:autoSpaceDN/>
        <w:bidi w:val="0"/>
        <w:adjustRightInd/>
        <w:snapToGrid/>
        <w:spacing w:line="440" w:lineRule="exact"/>
        <w:ind w:right="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2、配送食材的技术要求：</w:t>
      </w:r>
    </w:p>
    <w:tbl>
      <w:tblPr>
        <w:tblStyle w:val="21"/>
        <w:tblW w:w="52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76"/>
        <w:gridCol w:w="1703"/>
        <w:gridCol w:w="2147"/>
        <w:gridCol w:w="5339"/>
      </w:tblGrid>
      <w:tr w14:paraId="6DB4B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noWrap w:val="0"/>
            <w:vAlign w:val="center"/>
          </w:tcPr>
          <w:p w14:paraId="7C03B28D">
            <w:pPr>
              <w:keepNext w:val="0"/>
              <w:keepLines w:val="0"/>
              <w:pageBreakBefore w:val="0"/>
              <w:kinsoku/>
              <w:wordWrap/>
              <w:overflowPunct/>
              <w:topLinePunct w:val="0"/>
              <w:autoSpaceDE/>
              <w:autoSpaceDN/>
              <w:bidi w:val="0"/>
              <w:adjustRightInd/>
              <w:snapToGrid/>
              <w:spacing w:line="440" w:lineRule="exact"/>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 号</w:t>
            </w:r>
          </w:p>
        </w:tc>
        <w:tc>
          <w:tcPr>
            <w:tcW w:w="863" w:type="pct"/>
            <w:noWrap w:val="0"/>
            <w:vAlign w:val="center"/>
          </w:tcPr>
          <w:p w14:paraId="0BC52515">
            <w:pPr>
              <w:keepNext w:val="0"/>
              <w:keepLines w:val="0"/>
              <w:pageBreakBefore w:val="0"/>
              <w:kinsoku/>
              <w:wordWrap/>
              <w:overflowPunct/>
              <w:topLinePunct w:val="0"/>
              <w:autoSpaceDE/>
              <w:autoSpaceDN/>
              <w:bidi w:val="0"/>
              <w:adjustRightInd/>
              <w:snapToGrid/>
              <w:spacing w:line="440" w:lineRule="exact"/>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产品名称</w:t>
            </w:r>
          </w:p>
        </w:tc>
        <w:tc>
          <w:tcPr>
            <w:tcW w:w="1088" w:type="pct"/>
            <w:noWrap w:val="0"/>
            <w:vAlign w:val="center"/>
          </w:tcPr>
          <w:p w14:paraId="4C0E9454">
            <w:pPr>
              <w:keepNext w:val="0"/>
              <w:keepLines w:val="0"/>
              <w:pageBreakBefore w:val="0"/>
              <w:kinsoku/>
              <w:wordWrap/>
              <w:overflowPunct/>
              <w:topLinePunct w:val="0"/>
              <w:autoSpaceDE/>
              <w:autoSpaceDN/>
              <w:bidi w:val="0"/>
              <w:adjustRightInd/>
              <w:snapToGrid/>
              <w:spacing w:line="440" w:lineRule="exact"/>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分类</w:t>
            </w:r>
          </w:p>
        </w:tc>
        <w:tc>
          <w:tcPr>
            <w:tcW w:w="2704" w:type="pct"/>
            <w:noWrap w:val="0"/>
            <w:vAlign w:val="center"/>
          </w:tcPr>
          <w:p w14:paraId="4467F0F1">
            <w:pPr>
              <w:keepNext w:val="0"/>
              <w:keepLines w:val="0"/>
              <w:pageBreakBefore w:val="0"/>
              <w:kinsoku/>
              <w:wordWrap/>
              <w:overflowPunct/>
              <w:topLinePunct w:val="0"/>
              <w:autoSpaceDE/>
              <w:autoSpaceDN/>
              <w:bidi w:val="0"/>
              <w:adjustRightInd/>
              <w:snapToGrid/>
              <w:spacing w:line="440" w:lineRule="exact"/>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质量标准</w:t>
            </w:r>
          </w:p>
        </w:tc>
      </w:tr>
      <w:tr w14:paraId="6E30D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restart"/>
            <w:noWrap w:val="0"/>
            <w:vAlign w:val="center"/>
          </w:tcPr>
          <w:p w14:paraId="0ACE9476">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863" w:type="pct"/>
            <w:vMerge w:val="restart"/>
            <w:noWrap w:val="0"/>
            <w:vAlign w:val="center"/>
          </w:tcPr>
          <w:p w14:paraId="1E4187D8">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新鲜肉类</w:t>
            </w:r>
          </w:p>
          <w:p w14:paraId="7488BA2A">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（冷鲜肉 )</w:t>
            </w:r>
          </w:p>
        </w:tc>
        <w:tc>
          <w:tcPr>
            <w:tcW w:w="1088" w:type="pct"/>
            <w:noWrap w:val="0"/>
            <w:vAlign w:val="center"/>
          </w:tcPr>
          <w:p w14:paraId="6F070AA5">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鸡肉</w:t>
            </w:r>
          </w:p>
        </w:tc>
        <w:tc>
          <w:tcPr>
            <w:tcW w:w="2704" w:type="pct"/>
            <w:noWrap w:val="0"/>
            <w:vAlign w:val="center"/>
          </w:tcPr>
          <w:p w14:paraId="31AB886C">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品名：①光鸡（三黄鸡）②鸡大腿③鸡琵琶腿；</w:t>
            </w:r>
          </w:p>
          <w:p w14:paraId="16BADF7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原料：屠宰前的活鸡来自非疫区，并经动物卫生监督机构检疫、检验合格。</w:t>
            </w:r>
          </w:p>
          <w:p w14:paraId="25B46525">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加工：屠宰后的活鸡经动物卫生监督机构检疫、检验合格后再加工。在加工过程中不适用任何化学合成的防腐剂、添加剂及人工色素。</w:t>
            </w:r>
          </w:p>
          <w:p w14:paraId="29E2E86C">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感官要求：</w:t>
            </w:r>
          </w:p>
          <w:p w14:paraId="4D2DEBD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色泽：表皮和肌肉切面有光泽，具有鸡肉固有的色泽。</w:t>
            </w:r>
          </w:p>
          <w:p w14:paraId="5D2BF17D">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气味：具有鸡肉固有的气味、无异味。</w:t>
            </w:r>
          </w:p>
          <w:p w14:paraId="30A409FA">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煮沸后肉汤：透明澄清，脂肪团聚于液面，具有鸡肉汤固有的香味。状态：具有鸡肉固有的状态，无正常视力可见外来异物。</w:t>
            </w:r>
          </w:p>
          <w:p w14:paraId="24AAB602">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★鸡肉的技术要求、检验方法、检验规则、标签、标志、包装、贮存和运输等要求按 GB/2707-2016、GB/16869-2005和国家有关标准、规定执行。</w:t>
            </w:r>
          </w:p>
          <w:p w14:paraId="07FDFD51">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规格：鸡肉（鸡大腿或鸡胸脯肉），配送包装的冷鲜肉，每包5kg~20kg。</w:t>
            </w:r>
          </w:p>
          <w:p w14:paraId="23CD65AD">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供货时提供动物产品检疫合格证明和肉品品质检验合格证明，随货同行，不能是冰冻肉。</w:t>
            </w:r>
          </w:p>
        </w:tc>
      </w:tr>
      <w:tr w14:paraId="32684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2471F0ED">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7B0B6669">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3D0C2240">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猪肉</w:t>
            </w:r>
          </w:p>
        </w:tc>
        <w:tc>
          <w:tcPr>
            <w:tcW w:w="2704" w:type="pct"/>
            <w:noWrap w:val="0"/>
            <w:vAlign w:val="center"/>
          </w:tcPr>
          <w:p w14:paraId="0DBEB85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品名：④去骨腿肉（前夹肉，座板肉）⑤肋条肉⑥五花肉（带皮）⑦肋排;</w:t>
            </w:r>
          </w:p>
          <w:p w14:paraId="5EBF89F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（1）原料要求：屠宰前的活猪来自非疫区，并经动物卫生监督机构检疫、检验合格。</w:t>
            </w:r>
          </w:p>
          <w:p w14:paraId="7FC8DADA">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（2）感官要求：</w:t>
            </w:r>
          </w:p>
          <w:p w14:paraId="707538F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色泽：肌肉呈均匀红色、有光泽，脂肪洁白，具有猪肉固有的色泽。</w:t>
            </w:r>
          </w:p>
          <w:p w14:paraId="0ECCB97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气味：具有猪肉固有的气味、无异味。</w:t>
            </w:r>
          </w:p>
          <w:p w14:paraId="242F3AAB">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状态：肉质紧密、弹性好，表面微干或微湿润，不粘手，具有猪肉固有的状态，无正常视力可见外来异物</w:t>
            </w:r>
            <w:r>
              <w:rPr>
                <w:rFonts w:hint="eastAsia" w:ascii="宋体" w:hAnsi="宋体" w:eastAsia="宋体" w:cs="宋体"/>
                <w:sz w:val="24"/>
                <w:szCs w:val="24"/>
                <w:highlight w:val="none"/>
                <w:lang w:eastAsia="zh-CN"/>
              </w:rPr>
              <w:t>。</w:t>
            </w:r>
          </w:p>
          <w:p w14:paraId="4ACD8D3C">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（3）★猪肉的技术要求、卫生指标、检验方法、生产加工过程、标识、包装、贮存和运输的卫生要求等按GB/2707-2016和国家有关标准、规定执行。</w:t>
            </w:r>
          </w:p>
          <w:p w14:paraId="3F452400">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（4）规格：猪肉（猪肉修除皮、筋、血管、骨头、淋巴等后，剩下部分的瘦肉比例不少于65%），配送包装的冷鲜肉，每包5kg～20kg。</w:t>
            </w:r>
          </w:p>
          <w:p w14:paraId="4FF256F6">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（5）供货时提供动物检疫合格证明和</w:t>
            </w:r>
            <w:r>
              <w:rPr>
                <w:rFonts w:hint="eastAsia" w:ascii="宋体" w:hAnsi="宋体" w:eastAsia="宋体" w:cs="宋体"/>
                <w:sz w:val="24"/>
                <w:szCs w:val="24"/>
                <w:highlight w:val="none"/>
                <w:shd w:val="clear" w:color="auto" w:fill="auto"/>
              </w:rPr>
              <w:t>肉</w:t>
            </w:r>
            <w:r>
              <w:rPr>
                <w:rFonts w:hint="eastAsia" w:ascii="宋体" w:hAnsi="宋体" w:eastAsia="宋体" w:cs="宋体"/>
                <w:sz w:val="24"/>
                <w:szCs w:val="24"/>
                <w:highlight w:val="none"/>
                <w:shd w:val="clear" w:color="auto" w:fill="auto"/>
                <w:lang w:eastAsia="zh-CN"/>
              </w:rPr>
              <w:t>品</w:t>
            </w:r>
            <w:r>
              <w:rPr>
                <w:rFonts w:hint="eastAsia" w:ascii="宋体" w:hAnsi="宋体" w:eastAsia="宋体" w:cs="宋体"/>
                <w:sz w:val="24"/>
                <w:szCs w:val="24"/>
                <w:highlight w:val="none"/>
                <w:shd w:val="clear" w:color="auto" w:fill="auto"/>
              </w:rPr>
              <w:t>品</w:t>
            </w:r>
            <w:r>
              <w:rPr>
                <w:rFonts w:hint="eastAsia" w:ascii="宋体" w:hAnsi="宋体" w:eastAsia="宋体" w:cs="宋体"/>
                <w:sz w:val="24"/>
                <w:szCs w:val="24"/>
                <w:highlight w:val="none"/>
              </w:rPr>
              <w:t>质合格证明，随货同行，不能是冰冻肉。</w:t>
            </w:r>
          </w:p>
        </w:tc>
      </w:tr>
      <w:tr w14:paraId="66151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4908B4D5">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137CF64B">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6DC3124F">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牛、羊肉</w:t>
            </w:r>
          </w:p>
        </w:tc>
        <w:tc>
          <w:tcPr>
            <w:tcW w:w="2704" w:type="pct"/>
            <w:noWrap w:val="0"/>
            <w:vAlign w:val="center"/>
          </w:tcPr>
          <w:p w14:paraId="7EC8895A">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品名：⑧牛肋条肉⑨牛腩肉⑩羊肉；</w:t>
            </w:r>
          </w:p>
          <w:p w14:paraId="1C41310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（1）原料要求：屠宰前的活牛来自非疫区，并经动物卫生监督机构检疫、检验合格。</w:t>
            </w:r>
          </w:p>
          <w:p w14:paraId="470319C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（2）感官要求：</w:t>
            </w:r>
          </w:p>
          <w:p w14:paraId="4B8D43A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色泽：肌肉有光泽，红色均匀，脂肪洁白，具有牛肉固有的色泽。气味：具有牛肉固有的气味、无异味。</w:t>
            </w:r>
          </w:p>
          <w:p w14:paraId="5A1ADE71">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状态：肉质紧密、有弹性，表面微干或微湿润，不粘手,具有牛肉固有的状态，无正常视力可见外来异物。</w:t>
            </w:r>
          </w:p>
          <w:p w14:paraId="07840C73">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（3）★牛肉的技术要求、卫生指标、检验方法、生产加工过程、标识、包装、贮存和运输的卫生要求等按 GB/2707-2016和国家有关标准、规定执行。</w:t>
            </w:r>
          </w:p>
          <w:p w14:paraId="719158E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（4）规格：牛肉（牛肉修除血管、骨头、淋巴等后，剩下部分的瘦肉比例不少于 65%），配送包装的冷鲜肉，每包5kg~20kg。</w:t>
            </w:r>
          </w:p>
          <w:p w14:paraId="529270A6">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（5）供货时提供动物产品检疫合格证明和肉品品质检验合格证明，随货同行，不能是冰冻肉。</w:t>
            </w:r>
          </w:p>
        </w:tc>
      </w:tr>
      <w:tr w14:paraId="0E144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 w:hRule="atLeast"/>
          <w:jc w:val="center"/>
        </w:trPr>
        <w:tc>
          <w:tcPr>
            <w:tcW w:w="343" w:type="pct"/>
            <w:noWrap w:val="0"/>
            <w:vAlign w:val="center"/>
          </w:tcPr>
          <w:p w14:paraId="4EC3664B">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863" w:type="pct"/>
            <w:noWrap w:val="0"/>
            <w:vAlign w:val="center"/>
          </w:tcPr>
          <w:p w14:paraId="774E2862">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蔬果类</w:t>
            </w:r>
          </w:p>
        </w:tc>
        <w:tc>
          <w:tcPr>
            <w:tcW w:w="1088" w:type="pct"/>
            <w:noWrap w:val="0"/>
            <w:vAlign w:val="center"/>
          </w:tcPr>
          <w:p w14:paraId="7390EE3B">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蔬菜、水果</w:t>
            </w:r>
          </w:p>
        </w:tc>
        <w:tc>
          <w:tcPr>
            <w:tcW w:w="2704" w:type="pct"/>
            <w:noWrap w:val="0"/>
            <w:vAlign w:val="center"/>
          </w:tcPr>
          <w:p w14:paraId="7383AD56">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★所供应蔬菜</w:t>
            </w:r>
            <w:r>
              <w:rPr>
                <w:rFonts w:hint="eastAsia" w:ascii="宋体" w:hAnsi="宋体" w:eastAsia="宋体" w:cs="宋体"/>
                <w:sz w:val="24"/>
                <w:szCs w:val="24"/>
                <w:highlight w:val="none"/>
                <w:lang w:eastAsia="zh-CN"/>
              </w:rPr>
              <w:t>、水果</w:t>
            </w:r>
            <w:r>
              <w:rPr>
                <w:rFonts w:hint="eastAsia" w:ascii="宋体" w:hAnsi="宋体" w:eastAsia="宋体" w:cs="宋体"/>
                <w:sz w:val="24"/>
                <w:szCs w:val="24"/>
                <w:highlight w:val="none"/>
              </w:rPr>
              <w:t>必须是新鲜</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农药残留</w:t>
            </w:r>
            <w:r>
              <w:rPr>
                <w:rFonts w:hint="eastAsia" w:ascii="宋体" w:hAnsi="宋体" w:eastAsia="宋体" w:cs="宋体"/>
                <w:sz w:val="24"/>
                <w:szCs w:val="24"/>
                <w:highlight w:val="none"/>
                <w:lang w:eastAsia="zh-CN"/>
              </w:rPr>
              <w:t>符合</w:t>
            </w:r>
            <w:r>
              <w:rPr>
                <w:rFonts w:hint="eastAsia" w:ascii="宋体" w:hAnsi="宋体" w:eastAsia="宋体" w:cs="宋体"/>
                <w:sz w:val="24"/>
                <w:szCs w:val="24"/>
                <w:highlight w:val="none"/>
              </w:rPr>
              <w:t>国家规定</w:t>
            </w:r>
            <w:r>
              <w:rPr>
                <w:rFonts w:hint="eastAsia" w:ascii="宋体" w:hAnsi="宋体" w:eastAsia="宋体" w:cs="宋体"/>
                <w:sz w:val="24"/>
                <w:szCs w:val="24"/>
                <w:highlight w:val="none"/>
                <w:lang w:eastAsia="zh-CN"/>
              </w:rPr>
              <w:t>限量</w:t>
            </w:r>
            <w:r>
              <w:rPr>
                <w:rFonts w:hint="eastAsia" w:ascii="宋体" w:hAnsi="宋体" w:eastAsia="宋体" w:cs="宋体"/>
                <w:sz w:val="24"/>
                <w:szCs w:val="24"/>
                <w:highlight w:val="none"/>
                <w:lang w:val="en-US" w:eastAsia="zh-CN"/>
              </w:rPr>
              <w:t>的标准</w:t>
            </w:r>
            <w:r>
              <w:rPr>
                <w:rFonts w:hint="eastAsia" w:ascii="宋体" w:hAnsi="宋体" w:eastAsia="宋体" w:cs="宋体"/>
                <w:sz w:val="24"/>
                <w:szCs w:val="24"/>
                <w:highlight w:val="none"/>
                <w:lang w:eastAsia="zh-CN"/>
              </w:rPr>
              <w:t>，供货商需提供农产品承诺达标合格证（可附检验合格证明），随货同行</w:t>
            </w:r>
            <w:r>
              <w:rPr>
                <w:rFonts w:hint="eastAsia" w:ascii="宋体" w:hAnsi="宋体" w:eastAsia="宋体" w:cs="宋体"/>
                <w:sz w:val="24"/>
                <w:szCs w:val="24"/>
                <w:highlight w:val="none"/>
              </w:rPr>
              <w:t>；</w:t>
            </w:r>
          </w:p>
          <w:p w14:paraId="66120698">
            <w:pPr>
              <w:keepNext w:val="0"/>
              <w:keepLines w:val="0"/>
              <w:pageBreakBefore w:val="0"/>
              <w:numPr>
                <w:ilvl w:val="0"/>
                <w:numId w:val="3"/>
              </w:numPr>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叶菜类（包括青菜、小白菜、芹菜、苞菜、花菜、大白菜、生菜、黄心菜、上海青、西兰花、西芹、香菜、菜心）属同一品种规格，肉  质鲜 嫩，形态好，色泽正常；茎基部削平，无枯黄叶、病叶、泥土、明显机械伤和病虫害伤；无烧心焦边、腐烂等现象，无抽薹（菜心除外）；结球的叶菜应结球紧实；菠菜和本地芹菜可带根。花椰菜、青花菜属于同一品种规格，形状正常，肉质致密、新鲜，不带叶柄，茎基部  削平，无腐烂、病虫害、机械伤；花椰菜、花球洁白，无毛花、青花菜无托。叶，可带主茎,花球青绿色、无紫花、无枯蕾现象。</w:t>
            </w:r>
          </w:p>
          <w:p w14:paraId="1A571589">
            <w:pPr>
              <w:keepNext w:val="0"/>
              <w:keepLines w:val="0"/>
              <w:pageBreakBefore w:val="0"/>
              <w:numPr>
                <w:ilvl w:val="0"/>
                <w:numId w:val="0"/>
              </w:numPr>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（2）茄果（包括西红柿、青椒、茄子、尖椒、红鲜椒）属于同一品种规格，色鲜，果实圆整、光洁，成熟度适中，整齐，无烂果、异味、病虫和明显机械损伤。</w:t>
            </w:r>
          </w:p>
          <w:p w14:paraId="6BF9CA1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（3）瓜类（包括黄瓜、冬瓜、南瓜、瓠子、西葫芦、苹果（红富士）、丝瓜）属于同一品种规格，形状、色泽一致，瓜条均匀，无疤点，无断裂，不带泥土，无畸形瓜、病虫害瓜，烂瓜、无明显机械伤。</w:t>
            </w:r>
          </w:p>
          <w:p w14:paraId="1909827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（4）根菜类（包括白萝卜、胡萝卜、莴笋、青萝卜）属于同一品种规格，皮细光滑，色泽良好，大小均匀，肉质脆嫩致密。新鲜，无畸形、裂痕 、糠心、病虫害斑，不带泥沙，不带茎叶、须根。</w:t>
            </w:r>
          </w:p>
          <w:p w14:paraId="7DEC320D">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（5）薯芋类（包括土豆、山药、生姜）属同一品种规格，色泽一致，不带泥沙，不带茎叶、须根，无机械和病虫害斑，无腐烂、干瘪。马铃薯皮不能变绿色。</w:t>
            </w:r>
          </w:p>
          <w:p w14:paraId="1EF40D2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6）葱蒜类（包括洋葱、蒜台、蒜苗、大葱、大蒜、光蒜、韭菜）属同一品种规格，允许葱和大蒜的青蒜保留干净须根，去老叶，韭菜去根去老叶，蒜头、洋葱去根去枯叶；可食部分质地幼嫩，不带泥沙杂质，无病虫 害斑。</w:t>
            </w:r>
          </w:p>
          <w:p w14:paraId="7BA5605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（7）豆类（包括长豆角）属同一品种规格形态完整，成熟度适中，无病虫害斑。食荚类：豆荚新鲜幼嫩，均匀。食豆仁类：籽粒饱满较均匀，无发芽。不带泥土、杂质。</w:t>
            </w:r>
          </w:p>
          <w:p w14:paraId="4D5FA40C">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（8）水生类（包括藕）属同一品种规格，肉质嫩，成熟度适中，无泥 土、杂质、机械伤，不干瘪，不腐烂霉变。</w:t>
            </w:r>
          </w:p>
          <w:p w14:paraId="7DE722E5">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（9）芽苗类（包括黄豆芽、绿豆芽）芽苗幼嫩，不带豆壳杂质，新鲜，不浸水。</w:t>
            </w:r>
          </w:p>
          <w:p w14:paraId="44BF7B57">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（10）菌菇类（包括金针菇、平菇、鲜香菇、银耳）属同一品种规格，新鲜，不浸水、不带泥沙杂质。</w:t>
            </w:r>
          </w:p>
          <w:p w14:paraId="354073C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（11）再加工类（包括干木耳、干香菇、干红枣、紫菜、干海带、海带丝、蛋白肉丝、馓子、银耳）属同一品种规格。</w:t>
            </w:r>
          </w:p>
          <w:p w14:paraId="281EA51A">
            <w:pPr>
              <w:pStyle w:val="8"/>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橘子、香蕉、苹果、橙子、葡萄、西瓜等水果应季供应。（果实完整，无明显损伤、腐烂、霉变或病虫害斑点；色泽自然，符合该品种成熟后的正常颜色，符合品种特性，无异味、涩味，果肉饱满、农残、重金属等指标需符合国家食品安全标准。禁止转基因水果、来源不明或过期的水果）。</w:t>
            </w:r>
          </w:p>
        </w:tc>
      </w:tr>
      <w:tr w14:paraId="3ABA2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restart"/>
            <w:noWrap w:val="0"/>
            <w:vAlign w:val="center"/>
          </w:tcPr>
          <w:p w14:paraId="61F4485C">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863" w:type="pct"/>
            <w:vMerge w:val="restart"/>
            <w:noWrap w:val="0"/>
            <w:vAlign w:val="center"/>
          </w:tcPr>
          <w:p w14:paraId="06E816E2">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豆制品类</w:t>
            </w:r>
          </w:p>
        </w:tc>
        <w:tc>
          <w:tcPr>
            <w:tcW w:w="1088" w:type="pct"/>
            <w:noWrap w:val="0"/>
            <w:vAlign w:val="center"/>
          </w:tcPr>
          <w:p w14:paraId="7263E941">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水豆腐</w:t>
            </w:r>
          </w:p>
        </w:tc>
        <w:tc>
          <w:tcPr>
            <w:tcW w:w="2704" w:type="pct"/>
            <w:noWrap w:val="0"/>
            <w:vAlign w:val="center"/>
          </w:tcPr>
          <w:p w14:paraId="0BA84D73">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呈均匀的白色或浅黄色，有光泽，块型完整，软硬适度，有一定的弹性，质地细嫩，有豆腐特有的香味，无酸、涩等不良气味。</w:t>
            </w:r>
          </w:p>
        </w:tc>
      </w:tr>
      <w:tr w14:paraId="3E93F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0A85FF4C">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1ADB9CA8">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74C8ACF6">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白豆腐干</w:t>
            </w:r>
          </w:p>
        </w:tc>
        <w:tc>
          <w:tcPr>
            <w:tcW w:w="2704" w:type="pct"/>
            <w:noWrap w:val="0"/>
            <w:vAlign w:val="center"/>
          </w:tcPr>
          <w:p w14:paraId="359ECF79">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呈均匀的黄色，有光泽，块型完整，质地细腻，边角整齐，有一定的弹性，切开处挤压不出水、无杂质，有豆腐干特有的香味，无酸、涩等不良气味。</w:t>
            </w:r>
          </w:p>
        </w:tc>
      </w:tr>
      <w:tr w14:paraId="735E7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09516BB3">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387568C0">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0E67DF45">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五香豆腐干</w:t>
            </w:r>
          </w:p>
        </w:tc>
        <w:tc>
          <w:tcPr>
            <w:tcW w:w="2704" w:type="pct"/>
            <w:noWrap w:val="0"/>
            <w:vAlign w:val="center"/>
          </w:tcPr>
          <w:p w14:paraId="2956414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呈均匀的黄色，有光泽，块型完整，质地细腻，边角整齐，有一定的弹性，切开处挤压不出水、无杂质，有豆腐干特有的香味，无酸、涩等不良气味。</w:t>
            </w:r>
          </w:p>
        </w:tc>
      </w:tr>
      <w:tr w14:paraId="70464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1201B133">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1D0733B6">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7AAC263D">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千张</w:t>
            </w:r>
          </w:p>
        </w:tc>
        <w:tc>
          <w:tcPr>
            <w:tcW w:w="2704" w:type="pct"/>
            <w:noWrap w:val="0"/>
            <w:vAlign w:val="center"/>
          </w:tcPr>
          <w:p w14:paraId="5787B01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呈均匀的白色或浅黄色，有光泽，组织结构紧密细致，富有韧性，软硬适度,薄厚均一致，不粘手，无杂质，有豆腐皮特有香味，无酸、涩等不良气味。</w:t>
            </w:r>
          </w:p>
        </w:tc>
      </w:tr>
      <w:tr w14:paraId="5D2F2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265EA429">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430B2B58">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4C07E7B4">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散粉丝</w:t>
            </w:r>
          </w:p>
        </w:tc>
        <w:tc>
          <w:tcPr>
            <w:tcW w:w="2704" w:type="pct"/>
            <w:noWrap w:val="0"/>
            <w:vAlign w:val="center"/>
          </w:tcPr>
          <w:p w14:paraId="3FF79B9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呈均匀的黄色，有光泽，为枝条叶状，质脆易折，条状折断实心，无霉斑、杂质、虫蛀，有粉丝特有香味，无酸、涩等不良气味。</w:t>
            </w:r>
          </w:p>
        </w:tc>
      </w:tr>
      <w:tr w14:paraId="68BCF0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noWrap w:val="0"/>
            <w:vAlign w:val="center"/>
          </w:tcPr>
          <w:p w14:paraId="3F1728ED">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863" w:type="pct"/>
            <w:noWrap w:val="0"/>
            <w:vAlign w:val="center"/>
          </w:tcPr>
          <w:p w14:paraId="73B7FB1F">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禽蛋</w:t>
            </w:r>
          </w:p>
        </w:tc>
        <w:tc>
          <w:tcPr>
            <w:tcW w:w="1088" w:type="pct"/>
            <w:noWrap w:val="0"/>
            <w:vAlign w:val="center"/>
          </w:tcPr>
          <w:p w14:paraId="295E2E4B">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鲜鸡蛋</w:t>
            </w:r>
          </w:p>
        </w:tc>
        <w:tc>
          <w:tcPr>
            <w:tcW w:w="2704" w:type="pct"/>
            <w:noWrap w:val="0"/>
            <w:vAlign w:val="center"/>
          </w:tcPr>
          <w:p w14:paraId="111BF2A7">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禽蛋，要求外壳完好、新鲜，有动物检验检疫合格证</w:t>
            </w:r>
            <w:r>
              <w:rPr>
                <w:rFonts w:hint="eastAsia" w:ascii="宋体" w:hAnsi="宋体" w:eastAsia="宋体" w:cs="宋体"/>
                <w:sz w:val="24"/>
                <w:szCs w:val="24"/>
                <w:highlight w:val="none"/>
                <w:lang w:eastAsia="zh-CN"/>
              </w:rPr>
              <w:t>，兽药残留符合国家规定的限量标准。</w:t>
            </w:r>
          </w:p>
          <w:p w14:paraId="72AFF3B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蛋壳表面光泽、完整、坚实、光滑、干净无破损，壳外膜色白呈霜状；  </w:t>
            </w:r>
          </w:p>
          <w:p w14:paraId="33E4B28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蛋白浓厚、透明、无杂质异味；</w:t>
            </w:r>
          </w:p>
          <w:p w14:paraId="1E86F5B9">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蛋黄完整，呈半球形，位居蛋的中央；</w:t>
            </w:r>
          </w:p>
          <w:p w14:paraId="4A7805E3">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整个蛋微生物污染少，无细菌、霉菌生长发育。 </w:t>
            </w:r>
          </w:p>
          <w:p w14:paraId="4E1C87DC">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需提供农产品承诺达标合格证（可附质量检验合格证明）</w:t>
            </w:r>
            <w:r>
              <w:rPr>
                <w:rFonts w:hint="eastAsia" w:ascii="宋体" w:hAnsi="宋体" w:eastAsia="宋体" w:cs="宋体"/>
                <w:sz w:val="24"/>
                <w:szCs w:val="24"/>
                <w:highlight w:val="none"/>
              </w:rPr>
              <w:t>，随货同行。</w:t>
            </w:r>
          </w:p>
        </w:tc>
      </w:tr>
      <w:tr w14:paraId="72F72D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restart"/>
            <w:noWrap w:val="0"/>
            <w:vAlign w:val="center"/>
          </w:tcPr>
          <w:p w14:paraId="23D591E2">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5</w:t>
            </w:r>
          </w:p>
        </w:tc>
        <w:tc>
          <w:tcPr>
            <w:tcW w:w="863" w:type="pct"/>
            <w:vMerge w:val="restart"/>
            <w:noWrap w:val="0"/>
            <w:vAlign w:val="center"/>
          </w:tcPr>
          <w:p w14:paraId="0EFF17C8">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调味品类(★备注：凡进场的各类辅料符合国家质量标准、外包装必须统一且注明生产厂家及合格标志、生 产日期</w:t>
            </w:r>
            <w:r>
              <w:rPr>
                <w:rFonts w:hint="eastAsia" w:ascii="宋体" w:hAnsi="宋体" w:eastAsia="宋体" w:cs="宋体"/>
                <w:sz w:val="24"/>
                <w:szCs w:val="24"/>
                <w:highlight w:val="none"/>
                <w:lang w:eastAsia="zh-CN"/>
              </w:rPr>
              <w:t>和保质</w:t>
            </w:r>
            <w:r>
              <w:rPr>
                <w:rFonts w:hint="eastAsia" w:ascii="宋体" w:hAnsi="宋体" w:eastAsia="宋体" w:cs="宋体"/>
                <w:sz w:val="24"/>
                <w:szCs w:val="24"/>
                <w:highlight w:val="none"/>
              </w:rPr>
              <w:t>日期以及规格,不得提供散装食品，交货时提供相关证明）</w:t>
            </w:r>
          </w:p>
        </w:tc>
        <w:tc>
          <w:tcPr>
            <w:tcW w:w="1088" w:type="pct"/>
            <w:noWrap w:val="0"/>
            <w:vAlign w:val="center"/>
          </w:tcPr>
          <w:p w14:paraId="6D538DAA">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食用盐</w:t>
            </w:r>
          </w:p>
        </w:tc>
        <w:tc>
          <w:tcPr>
            <w:tcW w:w="2704" w:type="pct"/>
            <w:noWrap w:val="0"/>
            <w:vAlign w:val="center"/>
          </w:tcPr>
          <w:p w14:paraId="6FD6C6CF">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★按 GB/T 5461-2016 和国家有关标准、规定执行；</w:t>
            </w:r>
          </w:p>
          <w:p w14:paraId="58EBDFB3">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品质要求：白色味咸，无可见外来杂质，无苦味、涩味、无异臭；水溶后无沉淀物；</w:t>
            </w:r>
          </w:p>
          <w:p w14:paraId="4F8C3B79">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重量要求：标明重量的±2%；</w:t>
            </w:r>
          </w:p>
          <w:p w14:paraId="1A3C9BC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包装要求：内塑料袋，外编织袋或牛皮纸，字迹清晰，外袋清洁无破损, 无污染。</w:t>
            </w:r>
          </w:p>
        </w:tc>
      </w:tr>
      <w:tr w14:paraId="64378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50DC6082">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493D7123">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6079A4FB">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陈醋、香醋</w:t>
            </w:r>
          </w:p>
        </w:tc>
        <w:tc>
          <w:tcPr>
            <w:tcW w:w="2704" w:type="pct"/>
            <w:noWrap w:val="0"/>
            <w:vAlign w:val="center"/>
          </w:tcPr>
          <w:p w14:paraId="727223C9">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★按GB 18187-2000和国家有关标准、规定执行；</w:t>
            </w:r>
          </w:p>
          <w:p w14:paraId="298A631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品质要求：具有正常酿造醋的色泽，气味和滋味无不良气味，不得有苦涩等异味和霉味，不浑浊，无沉淀，必须带有生产厂家名称、具体的生产日期及赏味日期；</w:t>
            </w:r>
          </w:p>
          <w:p w14:paraId="7032840D">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包装要求：桶装或瓶装；</w:t>
            </w:r>
          </w:p>
          <w:p w14:paraId="4DA143A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重量要求：标准重量的±2%。</w:t>
            </w:r>
          </w:p>
        </w:tc>
      </w:tr>
      <w:tr w14:paraId="48E93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047832CE">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09115E09">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29042D59">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老抽酱油、 生抽酱油</w:t>
            </w:r>
          </w:p>
        </w:tc>
        <w:tc>
          <w:tcPr>
            <w:tcW w:w="2704" w:type="pct"/>
            <w:noWrap w:val="0"/>
            <w:vAlign w:val="center"/>
          </w:tcPr>
          <w:p w14:paraId="64BE598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★按 GB/T 18186-2000 和国家有关标准、规定执行；</w:t>
            </w:r>
          </w:p>
          <w:p w14:paraId="1C9874A5">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品质要求；具有正常酿造酱油的色泽，气味和滋味无不良气味，不得有酸、苦涩等异味和霉味，不浑浊，无沉淀；</w:t>
            </w:r>
          </w:p>
          <w:p w14:paraId="652C9A00">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包装要求：桶装或瓶装；</w:t>
            </w:r>
          </w:p>
          <w:p w14:paraId="1E42A723">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重量要求：标准重量的±2%。</w:t>
            </w:r>
          </w:p>
        </w:tc>
      </w:tr>
      <w:tr w14:paraId="30510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53511CA2">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26AB08F0">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4BC9BDB9">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淀粉、食用 碱、酵母</w:t>
            </w:r>
          </w:p>
        </w:tc>
        <w:tc>
          <w:tcPr>
            <w:tcW w:w="2704" w:type="pct"/>
            <w:noWrap w:val="0"/>
            <w:vAlign w:val="center"/>
          </w:tcPr>
          <w:p w14:paraId="7A2BD33F">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品质要求：白色粉末，无杂质，无异物； 包装要求：袋装；</w:t>
            </w:r>
          </w:p>
          <w:p w14:paraId="70AA8DE7">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重量要求：标准重量的±2%。</w:t>
            </w:r>
          </w:p>
        </w:tc>
      </w:tr>
      <w:tr w14:paraId="709BA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2B55B5D9">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45778DB4">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76F68A29">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鸡精、味精</w:t>
            </w:r>
          </w:p>
        </w:tc>
        <w:tc>
          <w:tcPr>
            <w:tcW w:w="2704" w:type="pct"/>
            <w:noWrap w:val="0"/>
            <w:vAlign w:val="center"/>
          </w:tcPr>
          <w:p w14:paraId="72C3B94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品质要求：具有正常鸡精、味精滋味，不得有异味。水溶后无沉淀物；  </w:t>
            </w:r>
          </w:p>
          <w:p w14:paraId="79F98C39">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重量要求：标明重量的±2%；</w:t>
            </w:r>
          </w:p>
          <w:p w14:paraId="255D66A0">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包装要求：内塑料袋，外编织袋或牛皮纸，字迹清晰，外袋清洁无破损，无污染。</w:t>
            </w:r>
          </w:p>
        </w:tc>
      </w:tr>
      <w:tr w14:paraId="2F167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35290A6E">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0D5D9F9D">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1DA20D3D">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八角面、排骨王</w:t>
            </w:r>
          </w:p>
        </w:tc>
        <w:tc>
          <w:tcPr>
            <w:tcW w:w="2704" w:type="pct"/>
            <w:noWrap w:val="0"/>
            <w:vAlign w:val="center"/>
          </w:tcPr>
          <w:p w14:paraId="22ACCB6D">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品质要求：色泽正常，颗粒均匀无杂质，干燥松散无结块，具有本品固有的气味；</w:t>
            </w:r>
          </w:p>
          <w:p w14:paraId="54841213">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包装要求：外包装牛皮纸箱，包装完整无破损；</w:t>
            </w:r>
          </w:p>
          <w:p w14:paraId="6ED80F3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重量要求：标准重量的±2%。</w:t>
            </w:r>
          </w:p>
        </w:tc>
      </w:tr>
      <w:tr w14:paraId="24E5E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5FE3C922">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42B47901">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00F1D11A">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白糖、冰糖</w:t>
            </w:r>
          </w:p>
        </w:tc>
        <w:tc>
          <w:tcPr>
            <w:tcW w:w="2704" w:type="pct"/>
            <w:noWrap w:val="0"/>
            <w:vAlign w:val="center"/>
          </w:tcPr>
          <w:p w14:paraId="357D21ED">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等级：优级；</w:t>
            </w:r>
          </w:p>
          <w:p w14:paraId="3FCDA1D3">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品质要求：晶粒均匀，干燥松散，颜色洁白，无色糖粒、糖块、绵白糖质地柔软，糖的晶体或水溶液味甜纯正，无异臭、异味、异物； </w:t>
            </w:r>
          </w:p>
          <w:p w14:paraId="69F5022D">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重量要求：标明重量±2%；</w:t>
            </w:r>
          </w:p>
          <w:p w14:paraId="47ED0401">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包装要求：内塑料袋，外编织袋或牛皮纸袋，字迹清晰，外袋清洁无批、破损，无污染。</w:t>
            </w:r>
          </w:p>
        </w:tc>
      </w:tr>
      <w:tr w14:paraId="209101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1CD8B4E5">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546DE5CF">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368EA785">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豆瓣酱、辣椒酱</w:t>
            </w:r>
          </w:p>
        </w:tc>
        <w:tc>
          <w:tcPr>
            <w:tcW w:w="2704" w:type="pct"/>
            <w:noWrap w:val="0"/>
            <w:vAlign w:val="center"/>
          </w:tcPr>
          <w:p w14:paraId="21EDB48A">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等级：优级；</w:t>
            </w:r>
          </w:p>
          <w:p w14:paraId="04EA380B">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包装要求：桶装或瓶装；</w:t>
            </w:r>
          </w:p>
          <w:p w14:paraId="007EF2F5">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重量要求：标准重量的±2%。</w:t>
            </w:r>
          </w:p>
        </w:tc>
      </w:tr>
      <w:tr w14:paraId="40789A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734A2EC4">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109DFE0B">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7F679952">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八角、香叶、花椒、桂皮、辣椒面、干辣椒</w:t>
            </w:r>
          </w:p>
        </w:tc>
        <w:tc>
          <w:tcPr>
            <w:tcW w:w="2704" w:type="pct"/>
            <w:noWrap w:val="0"/>
            <w:vAlign w:val="center"/>
          </w:tcPr>
          <w:p w14:paraId="2ADD3E2B">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等级：优级；</w:t>
            </w:r>
          </w:p>
          <w:p w14:paraId="238CDE0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重量要求：标准重量的±2%。</w:t>
            </w:r>
          </w:p>
        </w:tc>
      </w:tr>
      <w:tr w14:paraId="42E4F1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0123F51B">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59808933">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5C2FC697">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料酒、黄酒、耗油、白醋、味极鲜 、芝麻酱</w:t>
            </w:r>
          </w:p>
        </w:tc>
        <w:tc>
          <w:tcPr>
            <w:tcW w:w="2704" w:type="pct"/>
            <w:noWrap w:val="0"/>
            <w:vAlign w:val="center"/>
          </w:tcPr>
          <w:p w14:paraId="2079BFEA">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等级：优级；</w:t>
            </w:r>
          </w:p>
          <w:p w14:paraId="3D400FC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包装要求：桶装或瓶装；</w:t>
            </w:r>
          </w:p>
          <w:p w14:paraId="5CA873B5">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重量要求：标准重量的±2%。</w:t>
            </w:r>
          </w:p>
        </w:tc>
      </w:tr>
      <w:tr w14:paraId="76FAE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0746C949">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591454FF">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052007D2">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十三香、麻辣鲜、白胡椒、胡椒面（白）、卤料包</w:t>
            </w:r>
          </w:p>
        </w:tc>
        <w:tc>
          <w:tcPr>
            <w:tcW w:w="2704" w:type="pct"/>
            <w:noWrap w:val="0"/>
            <w:vAlign w:val="center"/>
          </w:tcPr>
          <w:p w14:paraId="310AED82">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品质要求：固体粉状，具有本品固有的气味，无异味，无杂质； 包装要求：内为塑料袋外包装为牛皮纸箱；</w:t>
            </w:r>
          </w:p>
          <w:p w14:paraId="13C17E9D">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重量要求：标准重量的±2%。</w:t>
            </w:r>
          </w:p>
        </w:tc>
      </w:tr>
      <w:tr w14:paraId="4D58F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restart"/>
            <w:noWrap w:val="0"/>
            <w:vAlign w:val="center"/>
          </w:tcPr>
          <w:p w14:paraId="747064F4">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6</w:t>
            </w:r>
          </w:p>
        </w:tc>
        <w:tc>
          <w:tcPr>
            <w:tcW w:w="863" w:type="pct"/>
            <w:vMerge w:val="restart"/>
            <w:noWrap w:val="0"/>
            <w:vAlign w:val="center"/>
          </w:tcPr>
          <w:p w14:paraId="78D0789E">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米、面、油类</w:t>
            </w:r>
          </w:p>
        </w:tc>
        <w:tc>
          <w:tcPr>
            <w:tcW w:w="1088" w:type="pct"/>
            <w:noWrap w:val="0"/>
            <w:vAlign w:val="center"/>
          </w:tcPr>
          <w:p w14:paraId="70E8E13E">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大米</w:t>
            </w:r>
          </w:p>
        </w:tc>
        <w:tc>
          <w:tcPr>
            <w:tcW w:w="2704" w:type="pct"/>
            <w:noWrap w:val="0"/>
            <w:vAlign w:val="center"/>
          </w:tcPr>
          <w:p w14:paraId="6547899C">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★符合 GB/T 1354-2018 标准；</w:t>
            </w:r>
          </w:p>
          <w:p w14:paraId="566CF27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含水量等于低于规定标准，无杂质、杂米、无霉变、无黄芽，黄粒米＜2% , 含碎＜15%，水份＜15.5%；</w:t>
            </w:r>
          </w:p>
          <w:p w14:paraId="5298C6C1">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供货时提供</w:t>
            </w:r>
            <w:r>
              <w:rPr>
                <w:rFonts w:hint="eastAsia" w:ascii="宋体" w:hAnsi="宋体" w:eastAsia="宋体" w:cs="宋体"/>
                <w:color w:val="auto"/>
                <w:sz w:val="24"/>
                <w:szCs w:val="24"/>
                <w:highlight w:val="none"/>
              </w:rPr>
              <w:t>食品经营许可证、食品生产许可证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产品质量检验报告且质量合格（应具备镉、黄曲霉毒素等指标）。大米的包装、运输和储存，符合保质、保量、运输安全的要求， 严防污染。产品新鲜安全到校时必须在保质期内。</w:t>
            </w:r>
          </w:p>
          <w:p w14:paraId="5EF0B231">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包装袋上标有食品名称、配料表、净含量和规格、生产者名称、生产者地址、生产日期、保质期、执行标准、质量等级等。</w:t>
            </w:r>
          </w:p>
        </w:tc>
      </w:tr>
      <w:tr w14:paraId="4EDF7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51F54132">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0AACE810">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56C67094">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小麦粉</w:t>
            </w:r>
          </w:p>
        </w:tc>
        <w:tc>
          <w:tcPr>
            <w:tcW w:w="2704" w:type="pct"/>
            <w:noWrap w:val="0"/>
            <w:vAlign w:val="center"/>
          </w:tcPr>
          <w:p w14:paraId="0F400293">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★符合GB/T 1355-2021 标准。</w:t>
            </w:r>
          </w:p>
          <w:p w14:paraId="60C4A89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供货时提供</w:t>
            </w:r>
            <w:r>
              <w:rPr>
                <w:rFonts w:hint="eastAsia" w:ascii="宋体" w:hAnsi="宋体" w:eastAsia="宋体" w:cs="宋体"/>
                <w:color w:val="auto"/>
                <w:sz w:val="24"/>
                <w:szCs w:val="24"/>
                <w:highlight w:val="none"/>
              </w:rPr>
              <w:t>食品经营许可证、食品生产许可证</w:t>
            </w:r>
            <w:r>
              <w:rPr>
                <w:rFonts w:hint="eastAsia" w:ascii="宋体" w:hAnsi="宋体" w:eastAsia="宋体" w:cs="宋体"/>
                <w:color w:val="auto"/>
                <w:sz w:val="24"/>
                <w:szCs w:val="24"/>
                <w:highlight w:val="none"/>
                <w:lang w:eastAsia="zh-CN"/>
              </w:rPr>
              <w:t>、</w:t>
            </w:r>
            <w:r>
              <w:rPr>
                <w:rFonts w:hint="eastAsia" w:ascii="宋体" w:hAnsi="宋体" w:eastAsia="宋体" w:cs="宋体"/>
                <w:sz w:val="24"/>
                <w:szCs w:val="24"/>
                <w:highlight w:val="none"/>
              </w:rPr>
              <w:t>产品质量检验报告且质量合格、无霉变。小麦粉的包装、运输和储存，符合保质、保量、运输安全的要求，严防污染。产品新鲜安全到校时必须在保质期内。</w:t>
            </w:r>
          </w:p>
          <w:p w14:paraId="3C4824DB">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包装袋上标有食品名称、配料表、净含量和规格、生产者名称、生产者地址、生产日期、保质期、执行标准、质量等级等。</w:t>
            </w:r>
          </w:p>
        </w:tc>
      </w:tr>
      <w:tr w14:paraId="1C828F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3BE9EA41">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0761F25E">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7AC1A948">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非转基因菜籽油</w:t>
            </w:r>
          </w:p>
        </w:tc>
        <w:tc>
          <w:tcPr>
            <w:tcW w:w="2704" w:type="pct"/>
            <w:noWrap w:val="0"/>
            <w:vAlign w:val="center"/>
          </w:tcPr>
          <w:p w14:paraId="40320F1D">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★符合GB/T 1536-2021标准；</w:t>
            </w:r>
          </w:p>
          <w:p w14:paraId="2D516CDD">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澄清透明；气味、口感较好；溶剂残留不得检出；酸值小于 1；过氧化值小于6；密封良好，无渗漏，规格：5L~20L/桶。产品新鲜安全到校时必须在保质期内。</w:t>
            </w:r>
          </w:p>
        </w:tc>
      </w:tr>
      <w:tr w14:paraId="3B10D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57FF3B1E">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77FA5177">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27B4789C">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非转基因</w:t>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级大豆油</w:t>
            </w:r>
          </w:p>
        </w:tc>
        <w:tc>
          <w:tcPr>
            <w:tcW w:w="2704" w:type="pct"/>
            <w:noWrap w:val="0"/>
            <w:vAlign w:val="center"/>
          </w:tcPr>
          <w:p w14:paraId="77D173E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★符合 GB/T 1535-2017标准；</w:t>
            </w:r>
          </w:p>
          <w:p w14:paraId="4FD063F1">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澄清透明；气味、口感较好；溶剂残留不得检出；酸值小于1；过氧化值小于6；密封良好，无渗漏，规格：5L~20L/桶。产品新鲜安全到校时必须在保质期内。</w:t>
            </w:r>
          </w:p>
        </w:tc>
      </w:tr>
      <w:tr w14:paraId="27B5BD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5861704D">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2CF7576C">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59BC76DF">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其他食用油</w:t>
            </w:r>
          </w:p>
        </w:tc>
        <w:tc>
          <w:tcPr>
            <w:tcW w:w="2704" w:type="pct"/>
            <w:noWrap w:val="0"/>
            <w:vAlign w:val="center"/>
          </w:tcPr>
          <w:p w14:paraId="569D4EF5">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①符合国家最新标准要求；</w:t>
            </w:r>
          </w:p>
          <w:p w14:paraId="20BB7EFE">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②在保质期以内，且为截止到交货期前近三个月内新出厂产品；</w:t>
            </w:r>
          </w:p>
          <w:p w14:paraId="2F6E03FC">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③供货时提供产品质量检验合格证明；</w:t>
            </w:r>
          </w:p>
          <w:p w14:paraId="08A6A4E6">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④包装桶上标有食品名称、配料表、净含量和规格、生产者名称、生产者地址、生产日期、保质期、执行标准、质量等级等。</w:t>
            </w:r>
          </w:p>
          <w:p w14:paraId="064048B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⑤非转基因。</w:t>
            </w:r>
          </w:p>
        </w:tc>
      </w:tr>
      <w:tr w14:paraId="0748B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5292494D">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11C20D05">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70160ADE">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香油</w:t>
            </w:r>
          </w:p>
        </w:tc>
        <w:tc>
          <w:tcPr>
            <w:tcW w:w="2704" w:type="pct"/>
            <w:noWrap w:val="0"/>
            <w:vAlign w:val="center"/>
          </w:tcPr>
          <w:p w14:paraId="7482E572">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★符合 GB/T 8233-2018标准；</w:t>
            </w:r>
          </w:p>
          <w:p w14:paraId="7F21FD83">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溶剂残留不得检出；密封良好，无渗漏。产品新鲜安全到校时必须在保质期内。</w:t>
            </w:r>
          </w:p>
        </w:tc>
      </w:tr>
      <w:tr w14:paraId="39C68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vMerge w:val="continue"/>
            <w:noWrap w:val="0"/>
            <w:vAlign w:val="center"/>
          </w:tcPr>
          <w:p w14:paraId="3935DB9C">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863" w:type="pct"/>
            <w:vMerge w:val="continue"/>
            <w:noWrap w:val="0"/>
            <w:vAlign w:val="center"/>
          </w:tcPr>
          <w:p w14:paraId="0CE5355C">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rPr>
            </w:pPr>
          </w:p>
        </w:tc>
        <w:tc>
          <w:tcPr>
            <w:tcW w:w="1088" w:type="pct"/>
            <w:noWrap w:val="0"/>
            <w:vAlign w:val="center"/>
          </w:tcPr>
          <w:p w14:paraId="2B3FC808">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干面条、花生米、绿豆、红豆、玉米糁子、小米、玉米粒、干黄豆、胡辣汤面、豆粥面、八宝粥混合粮、江米、黑米</w:t>
            </w:r>
          </w:p>
        </w:tc>
        <w:tc>
          <w:tcPr>
            <w:tcW w:w="2704" w:type="pct"/>
            <w:noWrap w:val="0"/>
            <w:vAlign w:val="center"/>
          </w:tcPr>
          <w:p w14:paraId="0EF78DD8">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等级：优级；</w:t>
            </w:r>
          </w:p>
          <w:p w14:paraId="2F3F49E4">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含水量等于低于规定标准，无杂质、杂米，供货时提供产品质量检验报告。包装、运输和储存，符合保质、保量、运输安全的要求，严防污染。产品新鲜安全到校时必须在保质期内。按国家有关标准、规定执行。</w:t>
            </w:r>
          </w:p>
        </w:tc>
      </w:tr>
      <w:tr w14:paraId="29FB38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noWrap w:val="0"/>
            <w:vAlign w:val="center"/>
          </w:tcPr>
          <w:p w14:paraId="08836DFB">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7</w:t>
            </w:r>
          </w:p>
        </w:tc>
        <w:tc>
          <w:tcPr>
            <w:tcW w:w="863" w:type="pct"/>
            <w:noWrap w:val="0"/>
            <w:vAlign w:val="center"/>
          </w:tcPr>
          <w:p w14:paraId="4C890A52">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其它种类</w:t>
            </w:r>
          </w:p>
        </w:tc>
        <w:tc>
          <w:tcPr>
            <w:tcW w:w="1088" w:type="pct"/>
            <w:noWrap w:val="0"/>
            <w:vAlign w:val="center"/>
          </w:tcPr>
          <w:p w14:paraId="6C4C22DA">
            <w:pPr>
              <w:keepNext w:val="0"/>
              <w:keepLines w:val="0"/>
              <w:pageBreakBefore w:val="0"/>
              <w:kinsoku/>
              <w:wordWrap/>
              <w:overflowPunct/>
              <w:topLinePunct w:val="0"/>
              <w:autoSpaceDE/>
              <w:autoSpaceDN/>
              <w:bidi w:val="0"/>
              <w:adjustRightInd/>
              <w:snapToGrid/>
              <w:spacing w:line="240" w:lineRule="auto"/>
              <w:ind w:left="0" w:right="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其它</w:t>
            </w:r>
          </w:p>
        </w:tc>
        <w:tc>
          <w:tcPr>
            <w:tcW w:w="2704" w:type="pct"/>
            <w:noWrap w:val="0"/>
            <w:vAlign w:val="center"/>
          </w:tcPr>
          <w:p w14:paraId="090E0596">
            <w:pPr>
              <w:keepNext w:val="0"/>
              <w:keepLines w:val="0"/>
              <w:pageBreakBefore w:val="0"/>
              <w:kinsoku/>
              <w:wordWrap/>
              <w:overflowPunct/>
              <w:topLinePunct w:val="0"/>
              <w:autoSpaceDE/>
              <w:autoSpaceDN/>
              <w:bidi w:val="0"/>
              <w:adjustRightInd/>
              <w:snapToGrid/>
              <w:spacing w:line="240" w:lineRule="auto"/>
              <w:ind w:left="0" w:right="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必须是正规厂家生产，符合国家质量标准。外包装有生产厂商的信息及合格标志，不提供散装食品。（供货时提供相关证明）</w:t>
            </w:r>
          </w:p>
        </w:tc>
      </w:tr>
      <w:tr w14:paraId="1C45E3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5000" w:type="pct"/>
            <w:gridSpan w:val="4"/>
            <w:noWrap w:val="0"/>
            <w:vAlign w:val="center"/>
          </w:tcPr>
          <w:p w14:paraId="16BD0342">
            <w:pPr>
              <w:keepNext w:val="0"/>
              <w:keepLines w:val="0"/>
              <w:pageBreakBefore w:val="0"/>
              <w:kinsoku/>
              <w:wordWrap/>
              <w:overflowPunct/>
              <w:topLinePunct w:val="0"/>
              <w:autoSpaceDE/>
              <w:autoSpaceDN/>
              <w:bidi w:val="0"/>
              <w:adjustRightInd/>
              <w:snapToGrid/>
              <w:spacing w:line="440" w:lineRule="exact"/>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注：1、★产品质量标准的响应及其服务方案的响应，以国家及相关部门现行的标准规定为准。</w:t>
            </w:r>
          </w:p>
          <w:p w14:paraId="3D3E83B3">
            <w:pPr>
              <w:keepNext w:val="0"/>
              <w:keepLines w:val="0"/>
              <w:pageBreakBefore w:val="0"/>
              <w:numPr>
                <w:ilvl w:val="0"/>
                <w:numId w:val="4"/>
              </w:numPr>
              <w:kinsoku/>
              <w:wordWrap/>
              <w:overflowPunct/>
              <w:topLinePunct w:val="0"/>
              <w:autoSpaceDE/>
              <w:autoSpaceDN/>
              <w:bidi w:val="0"/>
              <w:adjustRightInd/>
              <w:snapToGrid/>
              <w:spacing w:line="440" w:lineRule="exact"/>
              <w:ind w:left="0" w:right="0"/>
              <w:jc w:val="both"/>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★配送食材质量：米、面、油、调味品等保质期较长的食材均为截止到提供日期前近三个月内新出厂产品，肉类为优质合格肉类，带叶蔬菜为新鲜优质蔬菜；所供食材必须经过采购人及</w:t>
            </w:r>
            <w:r>
              <w:rPr>
                <w:rFonts w:hint="eastAsia" w:ascii="宋体" w:hAnsi="宋体" w:eastAsia="宋体" w:cs="宋体"/>
                <w:color w:val="auto"/>
                <w:sz w:val="24"/>
                <w:szCs w:val="24"/>
                <w:highlight w:val="none"/>
              </w:rPr>
              <w:t xml:space="preserve">使用单位验收并合格； </w:t>
            </w:r>
          </w:p>
          <w:p w14:paraId="3D24D708">
            <w:pPr>
              <w:keepNext w:val="0"/>
              <w:keepLines w:val="0"/>
              <w:pageBreakBefore w:val="0"/>
              <w:numPr>
                <w:ilvl w:val="0"/>
                <w:numId w:val="0"/>
              </w:numPr>
              <w:kinsoku/>
              <w:wordWrap/>
              <w:overflowPunct/>
              <w:topLinePunct w:val="0"/>
              <w:autoSpaceDE/>
              <w:autoSpaceDN/>
              <w:bidi w:val="0"/>
              <w:adjustRightInd/>
              <w:snapToGrid/>
              <w:spacing w:line="440" w:lineRule="exact"/>
              <w:ind w:left="0" w:right="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★前期阶段（试运营期）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本项目前期试运营阶段，采购范围以大宗食材为主，具体品类包括[面粉、大米、食用油</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]，供应商需按照招标文件要求完成该阶段的食材配送服务。★正式运营阶段</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试运营期结束并通过采购人考核验收后，本项目采购范围调整为全品类食材，包括但不限于以上种类，如采购单位需要以上所列以外食材，</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应积极配合采购相应食材并准时配送。</w:t>
            </w:r>
            <w:r>
              <w:rPr>
                <w:rFonts w:hint="eastAsia" w:ascii="宋体" w:hAnsi="宋体" w:eastAsia="宋体" w:cs="宋体"/>
                <w:color w:val="auto"/>
                <w:sz w:val="24"/>
                <w:szCs w:val="24"/>
                <w:highlight w:val="none"/>
                <w:lang w:val="en-US" w:eastAsia="zh-CN"/>
              </w:rPr>
              <w:t>试运营期限中标后以合同约定为准。</w:t>
            </w:r>
          </w:p>
          <w:p w14:paraId="386A7510">
            <w:pPr>
              <w:keepNext w:val="0"/>
              <w:keepLines w:val="0"/>
              <w:pageBreakBefore w:val="0"/>
              <w:kinsoku/>
              <w:wordWrap/>
              <w:overflowPunct/>
              <w:topLinePunct w:val="0"/>
              <w:autoSpaceDE/>
              <w:autoSpaceDN/>
              <w:bidi w:val="0"/>
              <w:adjustRightInd/>
              <w:snapToGrid/>
              <w:spacing w:line="440" w:lineRule="exact"/>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4、★肉类产品必须为大型屠宰场宰杀的36小时内鲜肉，有两章两证，即：有动物检疫验讫印章和动物检验验讫印章、有动物检验检疫合格证明和品质检验合格证明。</w:t>
            </w:r>
          </w:p>
          <w:p w14:paraId="658ADA48">
            <w:pPr>
              <w:keepNext w:val="0"/>
              <w:keepLines w:val="0"/>
              <w:pageBreakBefore w:val="0"/>
              <w:kinsoku/>
              <w:wordWrap/>
              <w:overflowPunct/>
              <w:topLinePunct w:val="0"/>
              <w:autoSpaceDE/>
              <w:autoSpaceDN/>
              <w:bidi w:val="0"/>
              <w:adjustRightInd/>
              <w:snapToGrid/>
              <w:spacing w:line="440" w:lineRule="exact"/>
              <w:ind w:left="0" w:right="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5、★面粉、大米、食用油的生产企业必须具备有效的《食品生产许可证》。（供货时提供以上相关证明）。</w:t>
            </w:r>
          </w:p>
        </w:tc>
      </w:tr>
      <w:tr w14:paraId="4DFD2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tcBorders>
              <w:right w:val="single" w:color="auto" w:sz="4" w:space="0"/>
            </w:tcBorders>
            <w:noWrap w:val="0"/>
            <w:vAlign w:val="center"/>
          </w:tcPr>
          <w:p w14:paraId="76488A28">
            <w:pPr>
              <w:keepNext w:val="0"/>
              <w:keepLines w:val="0"/>
              <w:pageBreakBefore w:val="0"/>
              <w:kinsoku/>
              <w:wordWrap/>
              <w:overflowPunct/>
              <w:topLinePunct w:val="0"/>
              <w:autoSpaceDE/>
              <w:autoSpaceDN/>
              <w:bidi w:val="0"/>
              <w:adjustRightInd/>
              <w:snapToGrid/>
              <w:spacing w:line="440" w:lineRule="exact"/>
              <w:ind w:left="0" w:right="0"/>
              <w:jc w:val="center"/>
              <w:rPr>
                <w:rFonts w:hint="default" w:ascii="宋体" w:hAnsi="宋体" w:eastAsia="宋体" w:cs="宋体"/>
                <w:sz w:val="24"/>
                <w:szCs w:val="24"/>
                <w:highlight w:val="none"/>
                <w:lang w:val="en-US" w:eastAsia="zh-CN"/>
              </w:rPr>
            </w:pPr>
            <w:r>
              <w:rPr>
                <w:rFonts w:hint="eastAsia" w:ascii="宋体" w:hAnsi="宋体" w:cs="宋体"/>
                <w:b/>
                <w:bCs/>
                <w:sz w:val="24"/>
                <w:szCs w:val="24"/>
                <w:highlight w:val="none"/>
                <w:lang w:val="en-US" w:eastAsia="zh-CN"/>
              </w:rPr>
              <w:t>服务要求</w:t>
            </w:r>
          </w:p>
        </w:tc>
        <w:tc>
          <w:tcPr>
            <w:tcW w:w="4656" w:type="pct"/>
            <w:gridSpan w:val="3"/>
            <w:tcBorders>
              <w:left w:val="single" w:color="auto" w:sz="4" w:space="0"/>
            </w:tcBorders>
            <w:noWrap w:val="0"/>
            <w:vAlign w:val="center"/>
          </w:tcPr>
          <w:p w14:paraId="18618267">
            <w:pPr>
              <w:keepNext w:val="0"/>
              <w:keepLines w:val="0"/>
              <w:pageBreakBefore w:val="0"/>
              <w:kinsoku/>
              <w:wordWrap/>
              <w:overflowPunct/>
              <w:topLinePunct w:val="0"/>
              <w:autoSpaceDE/>
              <w:autoSpaceDN/>
              <w:bidi w:val="0"/>
              <w:adjustRightInd/>
              <w:snapToGrid/>
              <w:spacing w:line="440" w:lineRule="exact"/>
              <w:ind w:right="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★1、产品质量要求</w:t>
            </w:r>
          </w:p>
          <w:p w14:paraId="6FD56E69">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为保证食品安全，</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sz w:val="24"/>
                <w:szCs w:val="24"/>
                <w:highlight w:val="none"/>
                <w:lang w:val="en-US" w:eastAsia="zh-CN"/>
              </w:rPr>
              <w:t>对所有产品的质量要求为同类产品中综合质量中等及中等偏上的产品。</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sz w:val="24"/>
                <w:szCs w:val="24"/>
                <w:highlight w:val="none"/>
                <w:lang w:val="en-US" w:eastAsia="zh-CN"/>
              </w:rPr>
              <w:t>应严格遵守《食品安全法》和《动物检疫法》等相关规定，严格保证食品质量符合国家相关产品质量标准，符合国家各级强制性规范的要求。在中标后如出现因食用其提供的食品导致食物中毒事故发生或配送服务中出现责任事件、事故，中标人应对此承担一切法律责任。</w:t>
            </w:r>
          </w:p>
          <w:p w14:paraId="0BA6AAF5">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一经发现供应以下食品，采购单位除全部退货外，将立即取消供货单位的供货资格，中标单位并承担由此造成的一切经济责任和法律责任。</w:t>
            </w:r>
          </w:p>
          <w:p w14:paraId="04F95FAA">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（1）腐败变质、油脂酸败、霉变、生虫、污秽不洁、混有异物或者其他感官性状异常，对人体健康有害的；</w:t>
            </w:r>
          </w:p>
          <w:p w14:paraId="495250CA">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（2）含有毒、有害物质或者被有害物质污染，对人体健康有害的；</w:t>
            </w:r>
          </w:p>
          <w:p w14:paraId="67447EAC">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（3）含有致病性寄生虫、微生物或者微生物含量超过国家限定标准的；</w:t>
            </w:r>
          </w:p>
          <w:p w14:paraId="0F843707">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（4）未经动物检疫部门检疫、检验或者检疫、检验不合格的肉类及其制品；</w:t>
            </w:r>
          </w:p>
          <w:p w14:paraId="1B8BAB71">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（5）病死、毒死或者死因不明的禽、畜、兽、水产动物等及其制品；</w:t>
            </w:r>
          </w:p>
          <w:p w14:paraId="426A98A2">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（6）掺假、掺杂、伪造，影响营养、卫生的；</w:t>
            </w:r>
          </w:p>
          <w:p w14:paraId="1C07D4D7">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（7）用非食品原料加工的，加入非食品用化学物质或者将非食品当作食品的；</w:t>
            </w:r>
          </w:p>
          <w:p w14:paraId="52FBA102">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（8）超过保质期限的；</w:t>
            </w:r>
          </w:p>
          <w:p w14:paraId="2DDF14E2">
            <w:pPr>
              <w:keepNext w:val="0"/>
              <w:keepLines w:val="0"/>
              <w:pageBreakBefore w:val="0"/>
              <w:kinsoku/>
              <w:wordWrap/>
              <w:overflowPunct/>
              <w:topLinePunct w:val="0"/>
              <w:autoSpaceDE/>
              <w:autoSpaceDN/>
              <w:bidi w:val="0"/>
              <w:adjustRightInd/>
              <w:snapToGrid/>
              <w:spacing w:line="440" w:lineRule="exact"/>
              <w:ind w:left="0"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（9）使用有害、有毒塑料制品包装食材的。</w:t>
            </w:r>
          </w:p>
          <w:p w14:paraId="27F157AF">
            <w:pPr>
              <w:keepNext w:val="0"/>
              <w:keepLines w:val="0"/>
              <w:pageBreakBefore w:val="0"/>
              <w:kinsoku/>
              <w:wordWrap/>
              <w:overflowPunct/>
              <w:topLinePunct w:val="0"/>
              <w:autoSpaceDE/>
              <w:autoSpaceDN/>
              <w:bidi w:val="0"/>
              <w:adjustRightInd/>
              <w:snapToGrid/>
              <w:spacing w:line="440" w:lineRule="exact"/>
              <w:ind w:left="0" w:right="0"/>
              <w:jc w:val="both"/>
              <w:rPr>
                <w:rFonts w:hint="eastAsia" w:ascii="宋体" w:hAnsi="宋体" w:cs="宋体"/>
                <w:sz w:val="24"/>
                <w:szCs w:val="24"/>
                <w:highlight w:val="none"/>
                <w:lang w:val="en-US" w:eastAsia="zh-CN"/>
              </w:rPr>
            </w:pPr>
            <w:r>
              <w:rPr>
                <w:rFonts w:hint="eastAsia" w:ascii="宋体" w:hAnsi="宋体" w:eastAsia="宋体" w:cs="宋体"/>
                <w:b/>
                <w:bCs/>
                <w:sz w:val="24"/>
                <w:szCs w:val="24"/>
                <w:highlight w:val="none"/>
                <w:lang w:val="en-US" w:eastAsia="zh-CN"/>
              </w:rPr>
              <w:t>★2、</w:t>
            </w:r>
            <w:r>
              <w:rPr>
                <w:rFonts w:hint="eastAsia" w:ascii="宋体" w:hAnsi="宋体" w:eastAsia="宋体" w:cs="宋体"/>
                <w:b/>
                <w:bCs/>
                <w:color w:val="auto"/>
                <w:sz w:val="24"/>
                <w:szCs w:val="24"/>
                <w:highlight w:val="none"/>
                <w:lang w:val="en-US" w:eastAsia="zh-CN"/>
              </w:rPr>
              <w:t>供应商须承诺中标后能正常运营，确保食材正常配送。</w:t>
            </w:r>
          </w:p>
        </w:tc>
      </w:tr>
      <w:tr w14:paraId="390F6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tcBorders>
              <w:right w:val="single" w:color="auto" w:sz="4" w:space="0"/>
            </w:tcBorders>
            <w:noWrap w:val="0"/>
            <w:vAlign w:val="center"/>
          </w:tcPr>
          <w:p w14:paraId="11EECF5E">
            <w:pPr>
              <w:keepNext w:val="0"/>
              <w:keepLines w:val="0"/>
              <w:pageBreakBefore w:val="0"/>
              <w:kinsoku/>
              <w:wordWrap/>
              <w:overflowPunct/>
              <w:topLinePunct w:val="0"/>
              <w:autoSpaceDE/>
              <w:autoSpaceDN/>
              <w:bidi w:val="0"/>
              <w:adjustRightInd/>
              <w:snapToGrid/>
              <w:spacing w:line="440" w:lineRule="exact"/>
              <w:ind w:left="0" w:right="0"/>
              <w:jc w:val="center"/>
              <w:rPr>
                <w:rFonts w:hint="eastAsia" w:ascii="宋体" w:hAnsi="宋体" w:cs="宋体"/>
                <w:sz w:val="24"/>
                <w:szCs w:val="24"/>
                <w:highlight w:val="none"/>
                <w:lang w:val="en-US" w:eastAsia="zh-CN"/>
              </w:rPr>
            </w:pPr>
            <w:r>
              <w:rPr>
                <w:rFonts w:hint="eastAsia" w:ascii="宋体" w:hAnsi="宋体" w:eastAsia="宋体" w:cs="宋体"/>
                <w:b/>
                <w:bCs/>
                <w:sz w:val="24"/>
                <w:szCs w:val="24"/>
                <w:highlight w:val="none"/>
                <w:lang w:val="en-US" w:eastAsia="zh-CN"/>
              </w:rPr>
              <w:t>交货配送管理</w:t>
            </w:r>
          </w:p>
        </w:tc>
        <w:tc>
          <w:tcPr>
            <w:tcW w:w="4656" w:type="pct"/>
            <w:gridSpan w:val="3"/>
            <w:tcBorders>
              <w:left w:val="single" w:color="auto" w:sz="4" w:space="0"/>
            </w:tcBorders>
            <w:noWrap w:val="0"/>
            <w:vAlign w:val="center"/>
          </w:tcPr>
          <w:p w14:paraId="793657BE">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rPr>
                <w:rFonts w:hint="default"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1.供应商需具有不低于2000㎡的仓储场地，需提供自有场地产权证明或租赁合同复印件及租赁费用转账凭证。供应商需保证所提供证明资料的真实性，如提供虚假资料，将取消其投标资格。投标结束后采购人对所提供材料的真实性逐项核查，如发现供应商提供虚假材料谋取中标、成交的，处以采购金额千分之五的罚款，列入不良行为记录名单，在三年内禁止参加政府采购活动。</w:t>
            </w:r>
          </w:p>
          <w:p w14:paraId="5368A45F">
            <w:pPr>
              <w:keepNext w:val="0"/>
              <w:keepLines w:val="0"/>
              <w:pageBreakBefore w:val="0"/>
              <w:numPr>
                <w:ilvl w:val="0"/>
                <w:numId w:val="0"/>
              </w:numPr>
              <w:kinsoku/>
              <w:wordWrap/>
              <w:overflowPunct/>
              <w:topLinePunct w:val="0"/>
              <w:autoSpaceDE/>
              <w:autoSpaceDN/>
              <w:bidi w:val="0"/>
              <w:adjustRightInd/>
              <w:snapToGrid/>
              <w:spacing w:line="440" w:lineRule="exact"/>
              <w:ind w:leftChars="0" w:right="0" w:right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2.提供配送管理制度(人员、车辆、安全、卫生、考勤、奖惩)合理、具体、详细 并切合实际；</w:t>
            </w:r>
          </w:p>
          <w:p w14:paraId="2D7CDE9B">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3.交货方式为定时定量精准供货配送，提供不低于六辆有效合格的食材配送专用冷链车辆需提供车辆照片、车辆购置发票或车辆租赁协议及租赁费用转账凭证、车辆行驶证、司机需提供驾驶证、车辆需加装有GPS 定位系统。供应商需保证所提供证明资料的真实性，如提供虚假资料，将取消其投标资格。投标结束后采购人对所提供材料的真实性逐项核查，如发现供应商提供虚假材料谋取中标、成交的，处以采购金额千分之五的罚款，列入不良行为记录名单，在三年内禁止参加政府采购活动。</w:t>
            </w:r>
          </w:p>
          <w:p w14:paraId="7A566F1F">
            <w:pPr>
              <w:keepNext w:val="0"/>
              <w:keepLines w:val="0"/>
              <w:pageBreakBefore w:val="0"/>
              <w:numPr>
                <w:ilvl w:val="0"/>
                <w:numId w:val="0"/>
              </w:numPr>
              <w:kinsoku/>
              <w:wordWrap/>
              <w:overflowPunct/>
              <w:topLinePunct w:val="0"/>
              <w:autoSpaceDE/>
              <w:autoSpaceDN/>
              <w:bidi w:val="0"/>
              <w:adjustRightInd/>
              <w:snapToGrid/>
              <w:spacing w:line="440" w:lineRule="exact"/>
              <w:ind w:right="0" w:rightChars="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4.对于需要冷藏或冷冻的食材，确保食材在储存、运输及配送过程中温度适宜，避免品质下降。供应商需提供食品安全检验检测室场地证明材料及场地图片，检测仪器照片，检测设备购买发票。供应商需保证所提供证明资料的真实性，如提供虚假资料，将取消其投标资格。投标结束后采购人对所提供材料的真实性逐项核查，如发现供应商提供虚假材料谋取中标、成交的，处以采购金额千分之五的罚款，列入不良行为记录名单，在三年内禁止参加政府采购活动。</w:t>
            </w:r>
          </w:p>
          <w:p w14:paraId="2272A49B">
            <w:pPr>
              <w:keepNext w:val="0"/>
              <w:keepLines w:val="0"/>
              <w:pageBreakBefore w:val="0"/>
              <w:numPr>
                <w:ilvl w:val="0"/>
                <w:numId w:val="0"/>
              </w:numPr>
              <w:kinsoku/>
              <w:wordWrap/>
              <w:overflowPunct/>
              <w:topLinePunct w:val="0"/>
              <w:autoSpaceDE/>
              <w:autoSpaceDN/>
              <w:bidi w:val="0"/>
              <w:adjustRightInd/>
              <w:snapToGrid/>
              <w:spacing w:line="440" w:lineRule="exact"/>
              <w:ind w:leftChars="0" w:right="0" w:right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5.保证食材按时免费送到所有供餐加工学校；</w:t>
            </w:r>
          </w:p>
          <w:p w14:paraId="7CB6D0C9">
            <w:pPr>
              <w:keepNext w:val="0"/>
              <w:keepLines w:val="0"/>
              <w:pageBreakBefore w:val="0"/>
              <w:numPr>
                <w:ilvl w:val="0"/>
                <w:numId w:val="0"/>
              </w:numPr>
              <w:kinsoku/>
              <w:wordWrap/>
              <w:overflowPunct/>
              <w:topLinePunct w:val="0"/>
              <w:autoSpaceDE/>
              <w:autoSpaceDN/>
              <w:bidi w:val="0"/>
              <w:adjustRightInd/>
              <w:snapToGrid/>
              <w:spacing w:line="440" w:lineRule="exact"/>
              <w:ind w:leftChars="0" w:right="0" w:right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6.提供配送方案，包含线路安排和时间安排；提供对突发事件的应急配送预案。</w:t>
            </w:r>
          </w:p>
          <w:p w14:paraId="636A8668">
            <w:pPr>
              <w:keepNext w:val="0"/>
              <w:keepLines w:val="0"/>
              <w:pageBreakBefore w:val="0"/>
              <w:numPr>
                <w:ilvl w:val="0"/>
                <w:numId w:val="0"/>
              </w:numPr>
              <w:kinsoku/>
              <w:wordWrap/>
              <w:overflowPunct/>
              <w:topLinePunct w:val="0"/>
              <w:autoSpaceDE/>
              <w:autoSpaceDN/>
              <w:bidi w:val="0"/>
              <w:adjustRightInd/>
              <w:snapToGrid/>
              <w:spacing w:line="440" w:lineRule="exact"/>
              <w:ind w:leftChars="0" w:right="0" w:right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7.纳入学校食材配送数字化监管平台管理，并通过数字化平台接收学校食材订单，在学校规定的收货时间内完成食材配送。</w:t>
            </w:r>
          </w:p>
          <w:p w14:paraId="74749BF2">
            <w:pPr>
              <w:keepNext w:val="0"/>
              <w:keepLines w:val="0"/>
              <w:pageBreakBefore w:val="0"/>
              <w:numPr>
                <w:ilvl w:val="0"/>
                <w:numId w:val="0"/>
              </w:numPr>
              <w:kinsoku/>
              <w:wordWrap/>
              <w:overflowPunct/>
              <w:topLinePunct w:val="0"/>
              <w:autoSpaceDE/>
              <w:autoSpaceDN/>
              <w:bidi w:val="0"/>
              <w:adjustRightInd/>
              <w:snapToGrid/>
              <w:spacing w:line="440" w:lineRule="exact"/>
              <w:ind w:leftChars="0" w:right="0" w:right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8.所配送食材必须符合国家现行相关标准和强制性规定要求，并在平台公示。根据供应商许可或备案经营项目， 将销售商品实物照片上传到平台，并按系统制定的上架商品表单项目要求填写完整销售商品的身份信息 (商品实物照片、库存数量、以 500 克计价的单价 (含税)、预包装食品的生产供应商信息和证照图片、检验检疫(质检)报告、经销商资质证书进货发票、商品批号、商品规格、商品品质描述、销售约定等)。食材配送企业不得配送未在平台上架的食品，不得配送有问题的食品，不得配送未经平台下单的食品，不得委托其他企业 (个人)向学校配送食品。同等条件下鼓励优先采购本地品牌产品。</w:t>
            </w:r>
          </w:p>
          <w:p w14:paraId="766FCA1A">
            <w:pPr>
              <w:keepNext w:val="0"/>
              <w:keepLines w:val="0"/>
              <w:pageBreakBefore w:val="0"/>
              <w:kinsoku/>
              <w:wordWrap/>
              <w:overflowPunct/>
              <w:topLinePunct w:val="0"/>
              <w:autoSpaceDE/>
              <w:autoSpaceDN/>
              <w:bidi w:val="0"/>
              <w:adjustRightInd/>
              <w:snapToGrid/>
              <w:spacing w:line="440" w:lineRule="exact"/>
              <w:ind w:righ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9.要严格落实原料进货查验，做到源头可控，有据可查。食材进货查验记录和相关凭证保存期限不得少于产品保质期满后 6 个月；没有明确保质期的，保存期限不得少于 2 年。食用农产品的记录和凭证保存期限不得少于 6 个月。</w:t>
            </w:r>
          </w:p>
          <w:p w14:paraId="4B13B39C">
            <w:pPr>
              <w:keepNext w:val="0"/>
              <w:keepLines w:val="0"/>
              <w:pageBreakBefore w:val="0"/>
              <w:kinsoku/>
              <w:wordWrap/>
              <w:overflowPunct/>
              <w:topLinePunct w:val="0"/>
              <w:autoSpaceDE/>
              <w:autoSpaceDN/>
              <w:bidi w:val="0"/>
              <w:adjustRightInd/>
              <w:snapToGrid/>
              <w:spacing w:line="440" w:lineRule="exact"/>
              <w:ind w:righ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10.在采购食材时，必须严格主体资质核验和进货查验。从食品生产者采购时，须查验《食品生产许可证》及同批次产品合格证明， 留存加盖公章复印件 ;从食品经营者采购时，须查验《食品经营许可证》，索取同批次出厂检验报告，留存每笔送货单及购物凭证；从食用农产品生产者采购时，需核验营业执照或身份证，并按照规定收取、保存承诺达标合格证或者其他质量安全合格证明。对其收购的农产品进行混装或者分装销售的，应当按照规定开具承诺达标合格证。鼓励和支持优先采购绿色优质农产品。从集中交易市场采购的食用农产品索取的凭证需市场方盖章确认。所有索证资料加盖供货企业红印章，建立票证档案。建立供货商食品安全评价档案，定期开展现场考察评估，对存在质量问题的供应商实施退出机制。食品入库前，须查验包装完整性、标签标识 (含生产日期、保质期、贮存条件、生产者信息等)，核对食品与标签内容物一致性 ;生鲜畜禽肉类需查验检疫证明，检疫标志及肉品品质检验合格证 ;感官查验:无腐败变质、异物污染， 散装食品需标注名称、生产批号、使用期限。禁止采购亚硝酸盐、野生蘑菇发芽土豆、鲜黄花菜、四季豆等高风险食材,禁止接收超保质期、感官异常、无标签标识、运输污染及法律法规明令禁止的食品。</w:t>
            </w:r>
          </w:p>
          <w:p w14:paraId="2CD00B3E">
            <w:pPr>
              <w:keepNext w:val="0"/>
              <w:keepLines w:val="0"/>
              <w:pageBreakBefore w:val="0"/>
              <w:kinsoku/>
              <w:wordWrap/>
              <w:overflowPunct/>
              <w:topLinePunct w:val="0"/>
              <w:autoSpaceDE/>
              <w:autoSpaceDN/>
              <w:bidi w:val="0"/>
              <w:adjustRightInd/>
              <w:snapToGrid/>
              <w:spacing w:line="440" w:lineRule="exact"/>
              <w:ind w:righ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11.需每天在数字化平台公布配送食材价格、食材进货来源等信息。</w:t>
            </w:r>
          </w:p>
          <w:p w14:paraId="506A7B3E">
            <w:pPr>
              <w:keepNext w:val="0"/>
              <w:keepLines w:val="0"/>
              <w:pageBreakBefore w:val="0"/>
              <w:kinsoku/>
              <w:wordWrap/>
              <w:overflowPunct/>
              <w:topLinePunct w:val="0"/>
              <w:autoSpaceDE/>
              <w:autoSpaceDN/>
              <w:bidi w:val="0"/>
              <w:adjustRightInd/>
              <w:snapToGrid/>
              <w:spacing w:line="440" w:lineRule="exact"/>
              <w:ind w:righ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食材验收、入库、出库环节要全程在学校食材配送数字化监管平台视频监控范围，智能化称重设备将数据实时上传至平台，与采购系统数据互联互通，验收完成即刻生成电子签收单，形成采购单、配送单、收货单、出入库单、结算单等多重单据的数据闭环。</w:t>
            </w:r>
          </w:p>
          <w:p w14:paraId="743684FD">
            <w:pPr>
              <w:keepNext w:val="0"/>
              <w:keepLines w:val="0"/>
              <w:pageBreakBefore w:val="0"/>
              <w:kinsoku/>
              <w:wordWrap/>
              <w:overflowPunct/>
              <w:topLinePunct w:val="0"/>
              <w:autoSpaceDE/>
              <w:autoSpaceDN/>
              <w:bidi w:val="0"/>
              <w:adjustRightInd/>
              <w:snapToGrid/>
              <w:spacing w:line="440" w:lineRule="exact"/>
              <w:ind w:righ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从事直接接触食品的管理人员、从业人员和车辆驾驶人员均应取得健康证和相关从业资格证，企业应配备充足的口罩、体温计、消毒液和免洗手消毒剂等防控物资，并对员工开展健康教育及法治教育，做好人员卫生和健康档案管理，准确掌握其健康状况。</w:t>
            </w:r>
          </w:p>
          <w:p w14:paraId="6E48EB9C">
            <w:pPr>
              <w:keepNext w:val="0"/>
              <w:keepLines w:val="0"/>
              <w:pageBreakBefore w:val="0"/>
              <w:kinsoku/>
              <w:wordWrap/>
              <w:overflowPunct/>
              <w:topLinePunct w:val="0"/>
              <w:autoSpaceDE/>
              <w:autoSpaceDN/>
              <w:bidi w:val="0"/>
              <w:adjustRightInd/>
              <w:snapToGrid/>
              <w:spacing w:line="440" w:lineRule="exact"/>
              <w:ind w:right="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14.要严格执行食材配送各项管理制度和规定，加强对食品安全管理人员和从业人员的教育管理和业务培训，增强员工食品安全意识、法律意识和服务意识，提高员工业务水平。</w:t>
            </w:r>
          </w:p>
          <w:p w14:paraId="6984DEAE">
            <w:pPr>
              <w:keepNext w:val="0"/>
              <w:keepLines w:val="0"/>
              <w:pageBreakBefore w:val="0"/>
              <w:kinsoku/>
              <w:wordWrap/>
              <w:overflowPunct/>
              <w:topLinePunct w:val="0"/>
              <w:autoSpaceDE/>
              <w:autoSpaceDN/>
              <w:bidi w:val="0"/>
              <w:adjustRightInd/>
              <w:snapToGrid/>
              <w:spacing w:line="440" w:lineRule="exact"/>
              <w:ind w:left="0" w:right="0"/>
              <w:jc w:val="both"/>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15.不得对涉及学校食材配送工作的人员进行贿赂、宴请等任何形式的不正当利益输送。</w:t>
            </w:r>
          </w:p>
        </w:tc>
      </w:tr>
      <w:tr w14:paraId="096CE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43" w:type="pct"/>
            <w:tcBorders>
              <w:right w:val="single" w:color="auto" w:sz="4" w:space="0"/>
            </w:tcBorders>
            <w:noWrap w:val="0"/>
            <w:vAlign w:val="center"/>
          </w:tcPr>
          <w:p w14:paraId="1E582FCC">
            <w:pPr>
              <w:keepNext w:val="0"/>
              <w:keepLines w:val="0"/>
              <w:pageBreakBefore w:val="0"/>
              <w:kinsoku/>
              <w:wordWrap/>
              <w:overflowPunct/>
              <w:topLinePunct w:val="0"/>
              <w:autoSpaceDE/>
              <w:autoSpaceDN/>
              <w:bidi w:val="0"/>
              <w:adjustRightInd/>
              <w:snapToGrid/>
              <w:spacing w:line="440" w:lineRule="exact"/>
              <w:ind w:left="0" w:right="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其它要求</w:t>
            </w:r>
          </w:p>
        </w:tc>
        <w:tc>
          <w:tcPr>
            <w:tcW w:w="4656" w:type="pct"/>
            <w:gridSpan w:val="3"/>
            <w:tcBorders>
              <w:left w:val="single" w:color="auto" w:sz="4" w:space="0"/>
            </w:tcBorders>
            <w:noWrap w:val="0"/>
            <w:vAlign w:val="center"/>
          </w:tcPr>
          <w:p w14:paraId="65B97AC3">
            <w:pPr>
              <w:keepNext w:val="0"/>
              <w:keepLines w:val="0"/>
              <w:pageBreakBefore w:val="0"/>
              <w:kinsoku/>
              <w:wordWrap/>
              <w:overflowPunct/>
              <w:topLinePunct w:val="0"/>
              <w:autoSpaceDE/>
              <w:autoSpaceDN/>
              <w:bidi w:val="0"/>
              <w:adjustRightInd/>
              <w:snapToGrid/>
              <w:spacing w:line="440" w:lineRule="exact"/>
              <w:ind w:right="0"/>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1、对供应商的服务要求</w:t>
            </w:r>
          </w:p>
          <w:p w14:paraId="5BA6198D">
            <w:pPr>
              <w:keepNext w:val="0"/>
              <w:keepLines w:val="0"/>
              <w:pageBreakBefore w:val="0"/>
              <w:kinsoku/>
              <w:wordWrap/>
              <w:overflowPunct/>
              <w:topLinePunct w:val="0"/>
              <w:autoSpaceDE/>
              <w:autoSpaceDN/>
              <w:bidi w:val="0"/>
              <w:adjustRightInd/>
              <w:snapToGrid/>
              <w:spacing w:line="440" w:lineRule="exact"/>
              <w:ind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（1）食材供应管理规范。负责食材供应的管理和运营，能够有效的控制食材质量和成本，负责食材供应环节全程服务和管理。</w:t>
            </w:r>
          </w:p>
          <w:p w14:paraId="7C0AAEC9">
            <w:pPr>
              <w:keepNext w:val="0"/>
              <w:keepLines w:val="0"/>
              <w:pageBreakBefore w:val="0"/>
              <w:kinsoku/>
              <w:wordWrap/>
              <w:overflowPunct/>
              <w:topLinePunct w:val="0"/>
              <w:autoSpaceDE/>
              <w:autoSpaceDN/>
              <w:bidi w:val="0"/>
              <w:adjustRightInd/>
              <w:snapToGrid/>
              <w:spacing w:line="440" w:lineRule="exact"/>
              <w:ind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食材全过程监管。负责食材源头供应商选择、食材供应商的采购计划、食材供应商管理、食品链安全、集中统一配送，实现各类食材可查阅、可追溯，可追溯率达到100%。建立食材的质量安全管理制度与保障措施。</w:t>
            </w:r>
          </w:p>
          <w:p w14:paraId="15BFECAA">
            <w:pPr>
              <w:keepNext w:val="0"/>
              <w:keepLines w:val="0"/>
              <w:pageBreakBefore w:val="0"/>
              <w:kinsoku/>
              <w:wordWrap/>
              <w:overflowPunct/>
              <w:topLinePunct w:val="0"/>
              <w:autoSpaceDE/>
              <w:autoSpaceDN/>
              <w:bidi w:val="0"/>
              <w:adjustRightInd/>
              <w:snapToGrid/>
              <w:spacing w:line="440" w:lineRule="exact"/>
              <w:ind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（3）食材品牌选购。建立食材选购人员职责体系和管理措施，对于米、面、粮、油、肉等食材，及调料产品优先选购符合国家标准的优质产品，常规时令蔬菜的采购标准详见配送食材的技术规格。</w:t>
            </w:r>
          </w:p>
          <w:p w14:paraId="1A5A042C">
            <w:pPr>
              <w:keepNext w:val="0"/>
              <w:keepLines w:val="0"/>
              <w:pageBreakBefore w:val="0"/>
              <w:kinsoku/>
              <w:wordWrap/>
              <w:overflowPunct/>
              <w:topLinePunct w:val="0"/>
              <w:autoSpaceDE/>
              <w:autoSpaceDN/>
              <w:bidi w:val="0"/>
              <w:adjustRightInd/>
              <w:snapToGrid/>
              <w:spacing w:line="440" w:lineRule="exact"/>
              <w:ind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（4）食材价格要求。采购和供应的蔬菜类食材价格不高于当日食材批发市场平均基准价，其他食材价格不高于当月食材批发市场平均基准价。</w:t>
            </w:r>
          </w:p>
          <w:p w14:paraId="4033E53E">
            <w:pPr>
              <w:keepNext w:val="0"/>
              <w:keepLines w:val="0"/>
              <w:pageBreakBefore w:val="0"/>
              <w:kinsoku/>
              <w:wordWrap/>
              <w:overflowPunct/>
              <w:topLinePunct w:val="0"/>
              <w:autoSpaceDE/>
              <w:autoSpaceDN/>
              <w:bidi w:val="0"/>
              <w:adjustRightInd/>
              <w:snapToGrid/>
              <w:spacing w:line="440" w:lineRule="exact"/>
              <w:ind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（5）食材采购畅通。能够及时解决食材供应过程中的突发事件，确保各食材采购学校（单位）及时采购到所需食材。</w:t>
            </w:r>
          </w:p>
          <w:p w14:paraId="7B0F9101">
            <w:pPr>
              <w:keepNext w:val="0"/>
              <w:keepLines w:val="0"/>
              <w:pageBreakBefore w:val="0"/>
              <w:kinsoku/>
              <w:wordWrap/>
              <w:overflowPunct/>
              <w:topLinePunct w:val="0"/>
              <w:autoSpaceDE/>
              <w:autoSpaceDN/>
              <w:bidi w:val="0"/>
              <w:adjustRightInd/>
              <w:snapToGrid/>
              <w:spacing w:line="440" w:lineRule="exact"/>
              <w:ind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（6）配合教体部门、卫健部门、市场监督部门、防疫部门及监察审计部门的督导、检查、评估、考核、审计等工作。</w:t>
            </w:r>
          </w:p>
          <w:p w14:paraId="11A5D9F0">
            <w:pPr>
              <w:keepNext w:val="0"/>
              <w:keepLines w:val="0"/>
              <w:pageBreakBefore w:val="0"/>
              <w:kinsoku/>
              <w:wordWrap/>
              <w:overflowPunct/>
              <w:topLinePunct w:val="0"/>
              <w:autoSpaceDE/>
              <w:autoSpaceDN/>
              <w:bidi w:val="0"/>
              <w:adjustRightInd/>
              <w:snapToGrid/>
              <w:spacing w:line="440" w:lineRule="exact"/>
              <w:ind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（7）担当社会责任。负责各部门协调沟通，及时妥善处置因食材引发的事件及次生事件。</w:t>
            </w:r>
          </w:p>
          <w:p w14:paraId="7645D332">
            <w:pPr>
              <w:keepNext w:val="0"/>
              <w:keepLines w:val="0"/>
              <w:pageBreakBefore w:val="0"/>
              <w:kinsoku/>
              <w:wordWrap/>
              <w:overflowPunct/>
              <w:topLinePunct w:val="0"/>
              <w:autoSpaceDE/>
              <w:autoSpaceDN/>
              <w:bidi w:val="0"/>
              <w:adjustRightInd/>
              <w:snapToGrid/>
              <w:spacing w:line="440" w:lineRule="exact"/>
              <w:ind w:right="0"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（8）严格履行标准。供应商在开展以上工作过程中，必须严格按照批准的项目规模、采购内容和采购标准实施组织管理，严格控制食材价格，确保食材质量及安全，并按时交付使用。</w:t>
            </w:r>
          </w:p>
          <w:p w14:paraId="4449854E">
            <w:pPr>
              <w:keepNext w:val="0"/>
              <w:keepLines w:val="0"/>
              <w:pageBreakBefore w:val="0"/>
              <w:kinsoku/>
              <w:wordWrap/>
              <w:overflowPunct/>
              <w:topLinePunct w:val="0"/>
              <w:autoSpaceDE/>
              <w:autoSpaceDN/>
              <w:bidi w:val="0"/>
              <w:adjustRightInd/>
              <w:snapToGrid/>
              <w:spacing w:line="440" w:lineRule="exact"/>
              <w:ind w:right="0"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(9)提供有效期内食品安全</w:t>
            </w:r>
            <w:r>
              <w:rPr>
                <w:rFonts w:hint="eastAsia" w:ascii="宋体" w:hAnsi="宋体" w:cs="宋体"/>
                <w:sz w:val="24"/>
                <w:szCs w:val="24"/>
                <w:highlight w:val="none"/>
                <w:lang w:val="en-US" w:eastAsia="zh-CN"/>
              </w:rPr>
              <w:t>责任</w:t>
            </w:r>
            <w:r>
              <w:rPr>
                <w:rFonts w:hint="eastAsia" w:ascii="宋体" w:hAnsi="宋体" w:eastAsia="宋体" w:cs="宋体"/>
                <w:sz w:val="24"/>
                <w:szCs w:val="24"/>
                <w:highlight w:val="none"/>
                <w:lang w:val="en-US" w:eastAsia="zh-CN"/>
              </w:rPr>
              <w:t>险保单及缴费凭证。年度累计保额≥1000万元。</w:t>
            </w:r>
          </w:p>
          <w:p w14:paraId="4D233D9D">
            <w:pPr>
              <w:keepNext w:val="0"/>
              <w:keepLines w:val="0"/>
              <w:pageBreakBefore w:val="0"/>
              <w:kinsoku/>
              <w:wordWrap/>
              <w:overflowPunct/>
              <w:topLinePunct w:val="0"/>
              <w:autoSpaceDE/>
              <w:autoSpaceDN/>
              <w:bidi w:val="0"/>
              <w:adjustRightInd/>
              <w:snapToGrid/>
              <w:spacing w:line="440" w:lineRule="exact"/>
              <w:ind w:right="0" w:firstLine="482" w:firstLineChars="200"/>
              <w:rPr>
                <w:rFonts w:hint="default"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(10)投标人应具</w:t>
            </w:r>
            <w:r>
              <w:rPr>
                <w:rFonts w:hint="eastAsia" w:ascii="宋体" w:hAnsi="宋体" w:cs="宋体"/>
                <w:sz w:val="24"/>
                <w:szCs w:val="24"/>
                <w:highlight w:val="none"/>
                <w:lang w:val="en-US" w:eastAsia="zh-CN"/>
              </w:rPr>
              <w:t>备</w:t>
            </w:r>
            <w:r>
              <w:rPr>
                <w:rFonts w:hint="eastAsia" w:ascii="宋体" w:hAnsi="宋体" w:eastAsia="宋体" w:cs="宋体"/>
                <w:sz w:val="24"/>
                <w:szCs w:val="24"/>
                <w:highlight w:val="none"/>
                <w:lang w:val="en-US" w:eastAsia="zh-CN"/>
              </w:rPr>
              <w:t>独立的智能化供应链进销存系统，系统能实现单批次食材“</w:t>
            </w:r>
            <w:r>
              <w:rPr>
                <w:rFonts w:hint="eastAsia" w:ascii="宋体" w:hAnsi="宋体" w:cs="宋体"/>
                <w:sz w:val="24"/>
                <w:szCs w:val="24"/>
                <w:highlight w:val="none"/>
                <w:lang w:val="en-US" w:eastAsia="zh-CN"/>
              </w:rPr>
              <w:t>一</w:t>
            </w:r>
            <w:r>
              <w:rPr>
                <w:rFonts w:hint="eastAsia" w:ascii="宋体" w:hAnsi="宋体" w:eastAsia="宋体" w:cs="宋体"/>
                <w:sz w:val="24"/>
                <w:szCs w:val="24"/>
                <w:highlight w:val="none"/>
                <w:lang w:val="en-US" w:eastAsia="zh-CN"/>
              </w:rPr>
              <w:t>物一码”溯源，包含产地、生产批号、质检报告、物流轨迹。</w:t>
            </w:r>
          </w:p>
          <w:p w14:paraId="5D07BF68">
            <w:pPr>
              <w:keepNext w:val="0"/>
              <w:keepLines w:val="0"/>
              <w:pageBreakBefore w:val="0"/>
              <w:kinsoku/>
              <w:wordWrap/>
              <w:overflowPunct/>
              <w:topLinePunct w:val="0"/>
              <w:autoSpaceDE/>
              <w:autoSpaceDN/>
              <w:bidi w:val="0"/>
              <w:adjustRightInd/>
              <w:snapToGrid/>
              <w:spacing w:line="440" w:lineRule="exact"/>
              <w:ind w:right="0" w:firstLine="482" w:firstLineChars="200"/>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w:t>
            </w: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)投标人拥有大宗食材</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米、面、油</w:t>
            </w:r>
            <w:r>
              <w:rPr>
                <w:rFonts w:hint="eastAsia" w:ascii="宋体" w:hAnsi="宋体" w:cs="宋体"/>
                <w:sz w:val="24"/>
                <w:szCs w:val="24"/>
                <w:highlight w:val="none"/>
                <w:lang w:val="en-US" w:eastAsia="zh-CN"/>
              </w:rPr>
              <w:t>）全国行业内知名品牌厂家</w:t>
            </w:r>
            <w:r>
              <w:rPr>
                <w:rFonts w:hint="eastAsia" w:ascii="宋体" w:hAnsi="宋体" w:eastAsia="宋体" w:cs="宋体"/>
                <w:sz w:val="24"/>
                <w:szCs w:val="24"/>
                <w:highlight w:val="none"/>
                <w:lang w:val="en-US" w:eastAsia="zh-CN"/>
              </w:rPr>
              <w:t>直采渠道优势，以保证食材品质及价格优势。(投标人如为代理商，须提供所投产品制造商针对本项目的授权书，投标人如为所投产品制造商，则无需提供)。</w:t>
            </w:r>
          </w:p>
          <w:p w14:paraId="526E8C12">
            <w:pPr>
              <w:widowControl/>
              <w:spacing w:line="360" w:lineRule="auto"/>
              <w:jc w:val="left"/>
              <w:rPr>
                <w:rFonts w:hint="eastAsia" w:ascii="宋体" w:hAnsi="宋体" w:eastAsia="宋体" w:cs="宋体"/>
                <w:b/>
                <w:bCs/>
                <w:kern w:val="0"/>
                <w:sz w:val="24"/>
                <w:szCs w:val="24"/>
                <w:highlight w:val="none"/>
                <w:lang w:val="en-US" w:eastAsia="zh-CN" w:bidi="ar"/>
              </w:rPr>
            </w:pPr>
            <w:r>
              <w:rPr>
                <w:rFonts w:hint="eastAsia" w:ascii="宋体" w:hAnsi="宋体" w:eastAsia="宋体" w:cs="宋体"/>
                <w:b/>
                <w:bCs/>
                <w:kern w:val="0"/>
                <w:sz w:val="24"/>
                <w:szCs w:val="24"/>
                <w:highlight w:val="none"/>
                <w:lang w:val="en-US" w:eastAsia="zh-CN" w:bidi="ar"/>
              </w:rPr>
              <w:t>2、本项目售后服务要求</w:t>
            </w:r>
          </w:p>
          <w:p w14:paraId="2D913D5C">
            <w:pPr>
              <w:widowControl/>
              <w:spacing w:line="360" w:lineRule="auto"/>
              <w:ind w:firstLine="480" w:firstLineChars="20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 xml:space="preserve">（1）中标人对供货范围内的产品质量负责本项目在服务期内要求所供货物严格按照接收单位需求，不得随意更换种类、不得缺斤短两，保证货物的卫生、新鲜、安全。凡所供货物的质量、数量、品种与要求不符时，采购人有权拒收，并由中标人承担由此造成的直接经济损失。 </w:t>
            </w:r>
          </w:p>
          <w:p w14:paraId="46DFFA1F">
            <w:pPr>
              <w:widowControl/>
              <w:spacing w:line="360" w:lineRule="auto"/>
              <w:ind w:firstLine="480" w:firstLineChars="20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（2）中标人对供货范围内的产品供货效率负责本项目在服务期内要求所供货物应在规定时间内完成供货，出现意外状况需要在1小时内提供解决方案，应在2小时内给予解决到位。</w:t>
            </w:r>
          </w:p>
          <w:p w14:paraId="298E47F9">
            <w:pPr>
              <w:widowControl/>
              <w:spacing w:line="360" w:lineRule="auto"/>
              <w:ind w:firstLine="480" w:firstLineChars="20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 xml:space="preserve">（3）中标人对本次采购所有产品应长期进行咨询等服务与支持。 </w:t>
            </w:r>
          </w:p>
          <w:p w14:paraId="56F1A540">
            <w:pPr>
              <w:widowControl/>
              <w:spacing w:line="360" w:lineRule="auto"/>
              <w:ind w:firstLine="480" w:firstLineChars="20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 xml:space="preserve">（4）在供货期间所有的安全风险和事故由中标人负责。 </w:t>
            </w:r>
          </w:p>
          <w:p w14:paraId="031C9BAB">
            <w:pPr>
              <w:widowControl/>
              <w:spacing w:line="360" w:lineRule="auto"/>
              <w:ind w:firstLine="480" w:firstLineChars="20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 xml:space="preserve">（5）其他要求：配送人员应严格遵守各学校工作区内的管理规定。 </w:t>
            </w:r>
          </w:p>
          <w:p w14:paraId="7E3F0FC7">
            <w:pPr>
              <w:widowControl/>
              <w:spacing w:line="360" w:lineRule="auto"/>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 xml:space="preserve">注：此款为暂定方案，后期如有变动，采购人另行通知 </w:t>
            </w:r>
          </w:p>
          <w:p w14:paraId="67288C9D">
            <w:pPr>
              <w:widowControl/>
              <w:spacing w:line="360" w:lineRule="auto"/>
              <w:jc w:val="left"/>
              <w:rPr>
                <w:rFonts w:hint="eastAsia" w:ascii="宋体" w:hAnsi="宋体" w:eastAsia="宋体" w:cs="宋体"/>
                <w:b/>
                <w:bCs/>
                <w:kern w:val="0"/>
                <w:sz w:val="24"/>
                <w:szCs w:val="24"/>
                <w:highlight w:val="none"/>
                <w:lang w:val="en-US" w:eastAsia="zh-CN" w:bidi="ar"/>
              </w:rPr>
            </w:pPr>
            <w:r>
              <w:rPr>
                <w:rFonts w:hint="eastAsia" w:ascii="宋体" w:hAnsi="宋体" w:eastAsia="宋体" w:cs="宋体"/>
                <w:b/>
                <w:bCs/>
                <w:kern w:val="0"/>
                <w:sz w:val="24"/>
                <w:szCs w:val="24"/>
                <w:highlight w:val="none"/>
                <w:lang w:val="en-US" w:eastAsia="zh-CN" w:bidi="ar"/>
              </w:rPr>
              <w:t xml:space="preserve">3、服务承诺 </w:t>
            </w:r>
          </w:p>
          <w:p w14:paraId="53D455F6">
            <w:pPr>
              <w:widowControl/>
              <w:spacing w:line="360" w:lineRule="auto"/>
              <w:ind w:firstLine="480" w:firstLineChars="20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 xml:space="preserve">（1）中标人应制定专门的项目负责人与采购人保持联系，随时解决各类问题； </w:t>
            </w:r>
          </w:p>
          <w:p w14:paraId="486AE7A3">
            <w:pPr>
              <w:widowControl/>
              <w:spacing w:line="360" w:lineRule="auto"/>
              <w:ind w:firstLine="480" w:firstLineChars="20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 xml:space="preserve">（2）供应商须对招标文件中提出的服务内容和各项要求做出明确的承诺； </w:t>
            </w:r>
          </w:p>
          <w:p w14:paraId="1FB61F88">
            <w:pPr>
              <w:widowControl/>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lang w:val="en-US" w:eastAsia="zh-CN" w:bidi="ar"/>
              </w:rPr>
              <w:t>（3）服务方案和相关服务承诺应内容明确，范围清楚，内容真实可行，并必须真实可靠，否则一切后果供应商自负。</w:t>
            </w:r>
          </w:p>
        </w:tc>
      </w:tr>
    </w:tbl>
    <w:p w14:paraId="7B1FE4CC">
      <w:pPr>
        <w:pStyle w:val="8"/>
        <w:jc w:val="center"/>
        <w:rPr>
          <w:rFonts w:hint="default"/>
          <w:b/>
          <w:bCs/>
          <w:sz w:val="28"/>
          <w:szCs w:val="20"/>
          <w:highlight w:val="none"/>
          <w:lang w:val="en-US" w:eastAsia="zh-CN"/>
        </w:rPr>
      </w:pPr>
      <w:r>
        <w:rPr>
          <w:rFonts w:hint="eastAsia"/>
          <w:b/>
          <w:bCs/>
          <w:sz w:val="28"/>
          <w:szCs w:val="20"/>
          <w:highlight w:val="none"/>
          <w:lang w:val="en-US" w:eastAsia="zh-CN"/>
        </w:rPr>
        <w:t>（三）其他要求</w:t>
      </w:r>
    </w:p>
    <w:p w14:paraId="55381105">
      <w:pPr>
        <w:pStyle w:val="9"/>
        <w:rPr>
          <w:rFonts w:hint="eastAsia"/>
          <w:highlight w:val="none"/>
          <w:lang w:val="en-US" w:eastAsia="zh-CN"/>
        </w:rPr>
      </w:pPr>
    </w:p>
    <w:p w14:paraId="53A03B50">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1.供货期限：1 年（以教体局确定的日期和以在校在籍学生实际供餐天数和人数为准）</w:t>
      </w:r>
    </w:p>
    <w:p w14:paraId="4EBE7FDC">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交货地点：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采购人</w:t>
      </w:r>
      <w:r>
        <w:rPr>
          <w:rFonts w:hint="eastAsia" w:ascii="宋体" w:hAnsi="宋体" w:eastAsia="宋体" w:cs="宋体"/>
          <w:color w:val="000000" w:themeColor="text1"/>
          <w:sz w:val="24"/>
          <w:szCs w:val="24"/>
          <w:highlight w:val="none"/>
          <w14:textFill>
            <w14:solidFill>
              <w14:schemeClr w14:val="tx1"/>
            </w14:solidFill>
          </w14:textFill>
        </w:rPr>
        <w:t xml:space="preserve">指定地点     </w:t>
      </w:r>
    </w:p>
    <w:p w14:paraId="7B056DC2">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质量要求：</w:t>
      </w:r>
      <w:r>
        <w:rPr>
          <w:rFonts w:hint="eastAsia" w:ascii="宋体" w:hAnsi="宋体" w:eastAsia="宋体" w:cs="宋体"/>
          <w:color w:val="000000" w:themeColor="text1"/>
          <w:sz w:val="24"/>
          <w:szCs w:val="24"/>
          <w:highlight w:val="none"/>
          <w:lang w:val="en-US" w:eastAsia="zh-CN"/>
          <w14:textFill>
            <w14:solidFill>
              <w14:schemeClr w14:val="tx1"/>
            </w14:solidFill>
          </w14:textFill>
        </w:rPr>
        <w:t>达到国家规定标准或行业规定标准</w:t>
      </w:r>
      <w:r>
        <w:rPr>
          <w:rFonts w:hint="eastAsia" w:ascii="宋体" w:hAnsi="宋体" w:eastAsia="宋体" w:cs="宋体"/>
          <w:color w:val="000000" w:themeColor="text1"/>
          <w:sz w:val="24"/>
          <w:szCs w:val="24"/>
          <w:highlight w:val="none"/>
          <w14:textFill>
            <w14:solidFill>
              <w14:schemeClr w14:val="tx1"/>
            </w14:solidFill>
          </w14:textFill>
        </w:rPr>
        <w:t>。</w:t>
      </w:r>
    </w:p>
    <w:p w14:paraId="609BD3A3">
      <w:pPr>
        <w:widowControl/>
        <w:spacing w:after="200" w:line="360" w:lineRule="auto"/>
        <w:ind w:firstLine="480" w:firstLineChars="200"/>
        <w:contextualSpacing/>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4.质保期：</w:t>
      </w:r>
      <w:r>
        <w:rPr>
          <w:rFonts w:hint="eastAsia" w:ascii="宋体" w:hAnsi="宋体" w:cs="宋体"/>
          <w:color w:val="auto"/>
          <w:spacing w:val="0"/>
          <w:position w:val="0"/>
          <w:sz w:val="24"/>
          <w:szCs w:val="24"/>
          <w:highlight w:val="none"/>
          <w:shd w:val="clear" w:fill="auto"/>
          <w:lang w:val="en-US" w:eastAsia="zh-CN"/>
        </w:rPr>
        <w:t>以生鲜产品及预包装产品的实际质保期限为准</w:t>
      </w:r>
    </w:p>
    <w:p w14:paraId="4E58ACD3">
      <w:pPr>
        <w:widowControl/>
        <w:spacing w:after="200" w:line="360" w:lineRule="auto"/>
        <w:ind w:firstLine="480" w:firstLineChars="200"/>
        <w:contextualSpacing/>
        <w:rPr>
          <w:rFonts w:hint="eastAsia" w:ascii="宋体" w:hAnsi="宋体" w:eastAsia="宋体" w:cs="宋体"/>
          <w:color w:val="auto"/>
          <w:sz w:val="28"/>
          <w:szCs w:val="28"/>
          <w:highlight w:val="none"/>
          <w:lang w:val="en-US" w:eastAsia="zh-CN"/>
        </w:rPr>
      </w:pPr>
      <w:r>
        <w:rPr>
          <w:rFonts w:hint="eastAsia" w:ascii="宋体" w:hAnsi="宋体" w:eastAsia="宋体" w:cs="宋体"/>
          <w:color w:val="auto"/>
          <w:spacing w:val="0"/>
          <w:position w:val="0"/>
          <w:sz w:val="24"/>
          <w:szCs w:val="24"/>
          <w:highlight w:val="none"/>
          <w:shd w:val="clear" w:fill="auto"/>
          <w:lang w:val="en-US" w:eastAsia="zh-CN"/>
        </w:rPr>
        <w:t>5.供应商对其提供的产品请出具《关于符合本国产品标准的声明函》或财政部会同有关部门规定的有关证明文件。</w:t>
      </w:r>
    </w:p>
    <w:p w14:paraId="23C8881C">
      <w:pPr>
        <w:pStyle w:val="3"/>
        <w:bidi w:val="0"/>
        <w:rPr>
          <w:rFonts w:hint="eastAsia" w:ascii="宋体" w:hAnsi="宋体" w:eastAsia="宋体" w:cs="宋体"/>
          <w:highlight w:val="none"/>
        </w:rPr>
      </w:pPr>
      <w:r>
        <w:rPr>
          <w:rFonts w:hint="eastAsia" w:ascii="宋体" w:hAnsi="宋体" w:eastAsia="宋体" w:cs="宋体"/>
          <w:highlight w:val="none"/>
        </w:rPr>
        <w:br w:type="page"/>
      </w:r>
      <w:bookmarkStart w:id="50" w:name="_Toc2172"/>
      <w:r>
        <w:rPr>
          <w:rFonts w:hint="eastAsia" w:ascii="宋体" w:hAnsi="宋体" w:eastAsia="宋体" w:cs="宋体"/>
          <w:highlight w:val="none"/>
        </w:rPr>
        <w:t>第</w:t>
      </w:r>
      <w:bookmarkStart w:id="51" w:name="_Hlt240110027"/>
      <w:bookmarkEnd w:id="51"/>
      <w:r>
        <w:rPr>
          <w:rFonts w:hint="eastAsia" w:ascii="宋体" w:hAnsi="宋体" w:eastAsia="宋体" w:cs="宋体"/>
          <w:highlight w:val="none"/>
        </w:rPr>
        <w:t>四章 评标办法</w:t>
      </w:r>
      <w:bookmarkEnd w:id="48"/>
      <w:bookmarkEnd w:id="50"/>
    </w:p>
    <w:p w14:paraId="050D94F2">
      <w:pPr>
        <w:tabs>
          <w:tab w:val="left" w:pos="360"/>
          <w:tab w:val="left" w:pos="540"/>
          <w:tab w:val="left" w:pos="3600"/>
          <w:tab w:val="left" w:pos="3780"/>
          <w:tab w:val="left" w:pos="8460"/>
          <w:tab w:val="left" w:pos="9180"/>
        </w:tabs>
        <w:adjustRightInd w:val="0"/>
        <w:snapToGrid w:val="0"/>
        <w:spacing w:line="360" w:lineRule="auto"/>
        <w:jc w:val="center"/>
        <w:rPr>
          <w:rFonts w:hint="eastAsia" w:ascii="宋体" w:hAnsi="宋体" w:eastAsia="宋体" w:cs="宋体"/>
          <w:b/>
          <w:sz w:val="24"/>
          <w:highlight w:val="none"/>
        </w:rPr>
      </w:pPr>
      <w:bookmarkStart w:id="52" w:name="_Toc10750_WPSOffice_Level2"/>
      <w:r>
        <w:rPr>
          <w:rFonts w:hint="eastAsia" w:ascii="宋体" w:hAnsi="宋体" w:eastAsia="宋体" w:cs="宋体"/>
          <w:b/>
          <w:sz w:val="24"/>
          <w:highlight w:val="none"/>
        </w:rPr>
        <w:t>一．总  则</w:t>
      </w:r>
      <w:bookmarkEnd w:id="52"/>
    </w:p>
    <w:p w14:paraId="67F783F3">
      <w:pPr>
        <w:adjustRightInd w:val="0"/>
        <w:snapToGrid w:val="0"/>
        <w:spacing w:line="360" w:lineRule="auto"/>
        <w:ind w:right="-10" w:firstLine="422" w:firstLineChars="175"/>
        <w:rPr>
          <w:rFonts w:hint="eastAsia" w:ascii="宋体" w:hAnsi="宋体" w:eastAsia="宋体" w:cs="宋体"/>
          <w:b/>
          <w:bCs/>
          <w:sz w:val="24"/>
          <w:highlight w:val="none"/>
        </w:rPr>
      </w:pPr>
      <w:r>
        <w:rPr>
          <w:rFonts w:hint="eastAsia" w:ascii="宋体" w:hAnsi="宋体" w:eastAsia="宋体" w:cs="宋体"/>
          <w:b/>
          <w:bCs/>
          <w:sz w:val="24"/>
          <w:highlight w:val="none"/>
        </w:rPr>
        <w:t xml:space="preserve">第一条 </w:t>
      </w:r>
      <w:r>
        <w:rPr>
          <w:rFonts w:hint="eastAsia" w:ascii="宋体" w:hAnsi="宋体" w:eastAsia="宋体" w:cs="宋体"/>
          <w:sz w:val="24"/>
          <w:highlight w:val="none"/>
        </w:rPr>
        <w:t>为了做好</w:t>
      </w:r>
      <w:r>
        <w:rPr>
          <w:rFonts w:hint="eastAsia" w:ascii="宋体" w:hAnsi="宋体" w:eastAsia="宋体" w:cs="宋体"/>
          <w:b/>
          <w:bCs/>
          <w:sz w:val="24"/>
          <w:highlight w:val="none"/>
        </w:rPr>
        <w:t>本项目（</w:t>
      </w:r>
      <w:r>
        <w:rPr>
          <w:rFonts w:hint="eastAsia" w:ascii="宋体" w:hAnsi="宋体" w:eastAsia="宋体" w:cs="宋体"/>
          <w:b/>
          <w:sz w:val="24"/>
          <w:highlight w:val="none"/>
        </w:rPr>
        <w:t>项目编号:</w:t>
      </w:r>
      <w:r>
        <w:rPr>
          <w:rFonts w:hint="eastAsia" w:ascii="宋体" w:hAnsi="宋体" w:cs="宋体"/>
          <w:b/>
          <w:sz w:val="24"/>
          <w:highlight w:val="none"/>
          <w:lang w:val="en-US" w:eastAsia="zh-CN"/>
        </w:rPr>
        <w:t xml:space="preserve"> 太财招标采购-2026-23</w:t>
      </w:r>
      <w:r>
        <w:rPr>
          <w:rFonts w:hint="eastAsia" w:ascii="宋体" w:hAnsi="宋体" w:eastAsia="宋体" w:cs="宋体"/>
          <w:b/>
          <w:bCs/>
          <w:sz w:val="24"/>
          <w:highlight w:val="none"/>
        </w:rPr>
        <w:t>）</w:t>
      </w:r>
      <w:r>
        <w:rPr>
          <w:rFonts w:hint="eastAsia" w:ascii="宋体" w:hAnsi="宋体" w:eastAsia="宋体" w:cs="宋体"/>
          <w:sz w:val="24"/>
          <w:highlight w:val="none"/>
        </w:rPr>
        <w:t>的招标评标工作，保证项目评审工作的正常有序进行，维护采购人、</w:t>
      </w:r>
      <w:r>
        <w:rPr>
          <w:rFonts w:hint="eastAsia" w:ascii="宋体" w:hAnsi="宋体" w:cs="宋体"/>
          <w:sz w:val="24"/>
          <w:highlight w:val="none"/>
          <w:lang w:eastAsia="zh-CN"/>
        </w:rPr>
        <w:t>供应商</w:t>
      </w:r>
      <w:r>
        <w:rPr>
          <w:rFonts w:hint="eastAsia" w:ascii="宋体" w:hAnsi="宋体" w:eastAsia="宋体" w:cs="宋体"/>
          <w:sz w:val="24"/>
          <w:highlight w:val="none"/>
        </w:rPr>
        <w:t>的合法权益，依据《中华人民共和国政府采购法》及其它相关法律法规，本着公开、公平、公正的原则，制定评标办法。</w:t>
      </w:r>
    </w:p>
    <w:p w14:paraId="5CF78F3E">
      <w:pPr>
        <w:adjustRightInd w:val="0"/>
        <w:snapToGrid w:val="0"/>
        <w:spacing w:line="360" w:lineRule="auto"/>
        <w:ind w:right="-10" w:firstLine="422" w:firstLineChars="175"/>
        <w:rPr>
          <w:rFonts w:hint="eastAsia" w:ascii="宋体" w:hAnsi="宋体" w:eastAsia="宋体" w:cs="宋体"/>
          <w:sz w:val="24"/>
          <w:highlight w:val="none"/>
        </w:rPr>
      </w:pPr>
      <w:r>
        <w:rPr>
          <w:rFonts w:hint="eastAsia" w:ascii="宋体" w:hAnsi="宋体" w:eastAsia="宋体" w:cs="宋体"/>
          <w:b/>
          <w:bCs/>
          <w:sz w:val="24"/>
          <w:highlight w:val="none"/>
        </w:rPr>
        <w:t xml:space="preserve">第二条 </w:t>
      </w:r>
      <w:r>
        <w:rPr>
          <w:rFonts w:hint="eastAsia" w:ascii="宋体" w:hAnsi="宋体" w:eastAsia="宋体" w:cs="宋体"/>
          <w:sz w:val="24"/>
          <w:highlight w:val="none"/>
        </w:rPr>
        <w:t>本次项目评标采用</w:t>
      </w:r>
      <w:r>
        <w:rPr>
          <w:rFonts w:hint="eastAsia" w:ascii="宋体" w:hAnsi="宋体" w:eastAsia="宋体" w:cs="宋体"/>
          <w:b/>
          <w:sz w:val="24"/>
          <w:highlight w:val="none"/>
        </w:rPr>
        <w:t>综合评分法</w:t>
      </w:r>
      <w:r>
        <w:rPr>
          <w:rFonts w:hint="eastAsia" w:ascii="宋体" w:hAnsi="宋体" w:eastAsia="宋体" w:cs="宋体"/>
          <w:sz w:val="24"/>
          <w:highlight w:val="none"/>
        </w:rPr>
        <w:t>作为对</w:t>
      </w:r>
      <w:r>
        <w:rPr>
          <w:rFonts w:hint="eastAsia" w:ascii="宋体" w:hAnsi="宋体" w:cs="宋体"/>
          <w:sz w:val="24"/>
          <w:highlight w:val="none"/>
          <w:lang w:eastAsia="zh-CN"/>
        </w:rPr>
        <w:t>供应商</w:t>
      </w:r>
      <w:r>
        <w:rPr>
          <w:rFonts w:hint="eastAsia" w:ascii="宋体" w:hAnsi="宋体" w:eastAsia="宋体" w:cs="宋体"/>
          <w:sz w:val="24"/>
          <w:highlight w:val="none"/>
        </w:rPr>
        <w:t>标书的比较方法。</w:t>
      </w:r>
    </w:p>
    <w:p w14:paraId="503F3A39">
      <w:pPr>
        <w:adjustRightInd w:val="0"/>
        <w:snapToGrid w:val="0"/>
        <w:spacing w:line="360" w:lineRule="auto"/>
        <w:ind w:left="-61" w:leftChars="-29"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第三条 </w:t>
      </w:r>
      <w:r>
        <w:rPr>
          <w:rFonts w:hint="eastAsia" w:ascii="宋体" w:hAnsi="宋体" w:eastAsia="宋体" w:cs="宋体"/>
          <w:sz w:val="24"/>
          <w:highlight w:val="none"/>
        </w:rPr>
        <w:t>按照《中华人民共和国政府采购法》及其相关规定组成评标委员会负责本项目的评审工作。评标委员会</w:t>
      </w:r>
      <w:r>
        <w:rPr>
          <w:rFonts w:hint="eastAsia" w:ascii="宋体" w:hAnsi="宋体" w:eastAsia="宋体" w:cs="宋体"/>
          <w:sz w:val="24"/>
          <w:szCs w:val="22"/>
          <w:highlight w:val="none"/>
        </w:rPr>
        <w:t>在政府采购专家库中随机抽取。</w:t>
      </w:r>
    </w:p>
    <w:p w14:paraId="53A3FA53">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第四条 </w:t>
      </w:r>
      <w:r>
        <w:rPr>
          <w:rFonts w:hint="eastAsia" w:ascii="宋体" w:hAnsi="宋体" w:eastAsia="宋体" w:cs="宋体"/>
          <w:sz w:val="24"/>
          <w:highlight w:val="none"/>
        </w:rPr>
        <w:t>评委会按照“客观公正，实事求是”的原则，评价参加本次招标的</w:t>
      </w:r>
      <w:r>
        <w:rPr>
          <w:rFonts w:hint="eastAsia" w:ascii="宋体" w:hAnsi="宋体" w:cs="宋体"/>
          <w:sz w:val="24"/>
          <w:highlight w:val="none"/>
          <w:lang w:eastAsia="zh-CN"/>
        </w:rPr>
        <w:t>供应商</w:t>
      </w:r>
      <w:r>
        <w:rPr>
          <w:rFonts w:hint="eastAsia" w:ascii="宋体" w:hAnsi="宋体" w:eastAsia="宋体" w:cs="宋体"/>
          <w:sz w:val="24"/>
          <w:highlight w:val="none"/>
        </w:rPr>
        <w:t>所提供的产品价格、性能、质量、服务及对招标文件的符合性及响应性。</w:t>
      </w:r>
    </w:p>
    <w:p w14:paraId="4B8AEA64">
      <w:pPr>
        <w:adjustRightInd w:val="0"/>
        <w:snapToGrid w:val="0"/>
        <w:spacing w:line="360" w:lineRule="auto"/>
        <w:jc w:val="center"/>
        <w:rPr>
          <w:rFonts w:hint="eastAsia" w:ascii="宋体" w:hAnsi="宋体" w:eastAsia="宋体" w:cs="宋体"/>
          <w:sz w:val="24"/>
          <w:highlight w:val="none"/>
        </w:rPr>
      </w:pPr>
      <w:bookmarkStart w:id="53" w:name="_Toc31922_WPSOffice_Level2"/>
      <w:r>
        <w:rPr>
          <w:rFonts w:hint="eastAsia" w:ascii="宋体" w:hAnsi="宋体" w:eastAsia="宋体" w:cs="宋体"/>
          <w:b/>
          <w:sz w:val="24"/>
          <w:highlight w:val="none"/>
        </w:rPr>
        <w:t>二．评标程序及评审细则</w:t>
      </w:r>
      <w:bookmarkEnd w:id="53"/>
    </w:p>
    <w:p w14:paraId="729FF417">
      <w:pPr>
        <w:adjustRightInd w:val="0"/>
        <w:snapToGrid w:val="0"/>
        <w:spacing w:line="360" w:lineRule="auto"/>
        <w:ind w:right="-10" w:firstLine="422" w:firstLineChars="175"/>
        <w:rPr>
          <w:rFonts w:hint="eastAsia" w:ascii="宋体" w:hAnsi="宋体" w:eastAsia="宋体" w:cs="宋体"/>
          <w:bCs/>
          <w:sz w:val="24"/>
          <w:highlight w:val="none"/>
        </w:rPr>
      </w:pPr>
      <w:r>
        <w:rPr>
          <w:rFonts w:hint="eastAsia" w:ascii="宋体" w:hAnsi="宋体" w:eastAsia="宋体" w:cs="宋体"/>
          <w:b/>
          <w:bCs/>
          <w:sz w:val="24"/>
          <w:highlight w:val="none"/>
        </w:rPr>
        <w:t>第五条</w:t>
      </w:r>
      <w:r>
        <w:rPr>
          <w:rFonts w:hint="eastAsia" w:ascii="宋体" w:hAnsi="宋体" w:eastAsia="宋体" w:cs="宋体"/>
          <w:bCs/>
          <w:sz w:val="24"/>
          <w:highlight w:val="none"/>
        </w:rPr>
        <w:t xml:space="preserve"> 评标工作于开标后进行。评委会应认真研究招标文件，至少应了解和熟悉以下内容：</w:t>
      </w:r>
    </w:p>
    <w:p w14:paraId="06EC806D">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（一）招标的目标；</w:t>
      </w:r>
    </w:p>
    <w:p w14:paraId="1A56A023">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（二）招标项目的范围和性质；</w:t>
      </w:r>
    </w:p>
    <w:p w14:paraId="6EDC885B">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（三）招标文件中规定的主要技术要求、标准和商务条款；</w:t>
      </w:r>
    </w:p>
    <w:p w14:paraId="633E7518">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（四）招标文件规定的评标标准、评标方法和在评标过程中考虑的相关因素。</w:t>
      </w:r>
    </w:p>
    <w:p w14:paraId="4FE0D0ED">
      <w:pPr>
        <w:adjustRightInd w:val="0"/>
        <w:snapToGrid w:val="0"/>
        <w:spacing w:line="360" w:lineRule="auto"/>
        <w:ind w:right="-10" w:firstLine="422" w:firstLineChars="175"/>
        <w:rPr>
          <w:rFonts w:hint="eastAsia" w:ascii="宋体" w:hAnsi="宋体" w:eastAsia="宋体" w:cs="宋体"/>
          <w:bCs/>
          <w:sz w:val="24"/>
          <w:highlight w:val="none"/>
        </w:rPr>
      </w:pPr>
      <w:r>
        <w:rPr>
          <w:rFonts w:hint="eastAsia" w:ascii="宋体" w:hAnsi="宋体" w:eastAsia="宋体" w:cs="宋体"/>
          <w:b/>
          <w:bCs/>
          <w:sz w:val="24"/>
          <w:highlight w:val="none"/>
        </w:rPr>
        <w:t>第六条</w:t>
      </w:r>
      <w:r>
        <w:rPr>
          <w:rFonts w:hint="eastAsia" w:ascii="宋体" w:hAnsi="宋体" w:eastAsia="宋体" w:cs="宋体"/>
          <w:bCs/>
          <w:sz w:val="24"/>
          <w:highlight w:val="none"/>
        </w:rPr>
        <w:t xml:space="preserve"> 有效投标应符合以下原则：</w:t>
      </w:r>
    </w:p>
    <w:p w14:paraId="7DB58A19">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（一）满足招标文件的实质性要求；</w:t>
      </w:r>
    </w:p>
    <w:p w14:paraId="3CC78B0B">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（二）无重大偏离、保留或采购人不能接受的附加条件；</w:t>
      </w:r>
    </w:p>
    <w:p w14:paraId="6476ABC5">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（三）通过投标符合性审查；</w:t>
      </w:r>
    </w:p>
    <w:p w14:paraId="5646B1FC">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（四）评委会依据招标文件认定的其他原则；</w:t>
      </w:r>
    </w:p>
    <w:p w14:paraId="6F59CB59">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（五）商务偏差表或技术偏差表数据不存在弄虚作假现象；</w:t>
      </w:r>
    </w:p>
    <w:p w14:paraId="023DBFD3">
      <w:pPr>
        <w:adjustRightInd w:val="0"/>
        <w:snapToGrid w:val="0"/>
        <w:spacing w:line="360" w:lineRule="auto"/>
        <w:ind w:right="-10" w:firstLine="420" w:firstLineChars="175"/>
        <w:rPr>
          <w:rFonts w:hint="eastAsia" w:ascii="宋体" w:hAnsi="宋体" w:eastAsia="宋体" w:cs="宋体"/>
          <w:bCs/>
          <w:sz w:val="24"/>
          <w:highlight w:val="none"/>
        </w:rPr>
      </w:pPr>
      <w:r>
        <w:rPr>
          <w:rFonts w:hint="eastAsia" w:ascii="宋体" w:hAnsi="宋体" w:eastAsia="宋体" w:cs="宋体"/>
          <w:bCs/>
          <w:sz w:val="24"/>
          <w:highlight w:val="none"/>
        </w:rPr>
        <w:t>（六）</w:t>
      </w:r>
      <w:r>
        <w:rPr>
          <w:rFonts w:hint="eastAsia" w:ascii="宋体" w:hAnsi="宋体" w:cs="宋体"/>
          <w:bCs/>
          <w:sz w:val="24"/>
          <w:highlight w:val="none"/>
          <w:lang w:eastAsia="zh-CN"/>
        </w:rPr>
        <w:t>供应商</w:t>
      </w:r>
      <w:r>
        <w:rPr>
          <w:rFonts w:hint="eastAsia" w:ascii="宋体" w:hAnsi="宋体" w:eastAsia="宋体" w:cs="宋体"/>
          <w:bCs/>
          <w:sz w:val="24"/>
          <w:highlight w:val="none"/>
        </w:rPr>
        <w:t>报价未超过采购人的采购预算；</w:t>
      </w:r>
    </w:p>
    <w:p w14:paraId="6217AB3F">
      <w:pPr>
        <w:adjustRightInd w:val="0"/>
        <w:snapToGrid w:val="0"/>
        <w:spacing w:line="360" w:lineRule="auto"/>
        <w:ind w:right="-10" w:firstLine="482" w:firstLineChars="200"/>
        <w:rPr>
          <w:rFonts w:hint="eastAsia" w:ascii="宋体" w:hAnsi="宋体" w:eastAsia="宋体" w:cs="宋体"/>
          <w:bCs/>
          <w:sz w:val="24"/>
          <w:szCs w:val="22"/>
          <w:highlight w:val="none"/>
        </w:rPr>
      </w:pPr>
      <w:r>
        <w:rPr>
          <w:rFonts w:hint="eastAsia" w:ascii="宋体" w:hAnsi="宋体" w:eastAsia="宋体" w:cs="宋体"/>
          <w:b/>
          <w:sz w:val="24"/>
          <w:highlight w:val="none"/>
        </w:rPr>
        <w:t xml:space="preserve">第七条 </w:t>
      </w:r>
      <w:r>
        <w:rPr>
          <w:rFonts w:hint="eastAsia" w:ascii="宋体" w:hAnsi="宋体" w:eastAsia="宋体" w:cs="宋体"/>
          <w:sz w:val="24"/>
          <w:highlight w:val="none"/>
        </w:rPr>
        <w:t>评委会从每个</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的投标文件开始独立评审，对开标后</w:t>
      </w:r>
      <w:r>
        <w:rPr>
          <w:rFonts w:hint="eastAsia" w:ascii="宋体" w:hAnsi="宋体" w:cs="宋体"/>
          <w:sz w:val="24"/>
          <w:highlight w:val="none"/>
          <w:lang w:eastAsia="zh-CN"/>
        </w:rPr>
        <w:t>供应商</w:t>
      </w:r>
      <w:r>
        <w:rPr>
          <w:rFonts w:hint="eastAsia" w:ascii="宋体" w:hAnsi="宋体" w:eastAsia="宋体" w:cs="宋体"/>
          <w:sz w:val="24"/>
          <w:highlight w:val="none"/>
        </w:rPr>
        <w:t>所提出的优惠条件不予以考虑。按</w:t>
      </w:r>
      <w:r>
        <w:rPr>
          <w:rFonts w:hint="eastAsia" w:ascii="宋体" w:hAnsi="宋体" w:eastAsia="宋体" w:cs="宋体"/>
          <w:bCs/>
          <w:sz w:val="24"/>
          <w:szCs w:val="22"/>
          <w:highlight w:val="none"/>
        </w:rPr>
        <w:t>综合得分从高到低的顺序评出中标候选人。</w:t>
      </w:r>
    </w:p>
    <w:p w14:paraId="5568C12B">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第八条 </w:t>
      </w:r>
      <w:r>
        <w:rPr>
          <w:rFonts w:hint="eastAsia" w:ascii="宋体" w:hAnsi="宋体" w:eastAsia="宋体" w:cs="宋体"/>
          <w:sz w:val="24"/>
          <w:highlight w:val="none"/>
        </w:rPr>
        <w:t>评审中，评委会发现</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的投标文件中对同类问题表述不一致、前后矛盾、有明显文字和计算错误的内容、有可能不符合招标文件规定等情况需要澄清时，评委会将以询标的方式告知并要求</w:t>
      </w:r>
      <w:r>
        <w:rPr>
          <w:rFonts w:hint="eastAsia" w:ascii="宋体" w:hAnsi="宋体" w:cs="宋体"/>
          <w:sz w:val="24"/>
          <w:highlight w:val="none"/>
          <w:lang w:eastAsia="zh-CN"/>
        </w:rPr>
        <w:t>供应商</w:t>
      </w:r>
      <w:r>
        <w:rPr>
          <w:rFonts w:hint="eastAsia" w:ascii="宋体" w:hAnsi="宋体" w:eastAsia="宋体" w:cs="宋体"/>
          <w:sz w:val="24"/>
          <w:highlight w:val="none"/>
        </w:rPr>
        <w:t>以书面方式进行必要的澄清、说明或补正。对于询标后判定为不符合招标文件的投标文件，评委要提出充足的否定理由。</w:t>
      </w:r>
    </w:p>
    <w:p w14:paraId="05F07883">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sz w:val="24"/>
          <w:highlight w:val="none"/>
        </w:rPr>
        <w:t>第九条</w:t>
      </w:r>
      <w:r>
        <w:rPr>
          <w:rFonts w:hint="eastAsia" w:ascii="宋体" w:hAnsi="宋体" w:eastAsia="宋体" w:cs="宋体"/>
          <w:sz w:val="24"/>
          <w:highlight w:val="none"/>
        </w:rPr>
        <w:t xml:space="preserve"> 评委会首先对各</w:t>
      </w:r>
      <w:r>
        <w:rPr>
          <w:rFonts w:hint="eastAsia" w:ascii="宋体" w:hAnsi="宋体" w:cs="宋体"/>
          <w:sz w:val="24"/>
          <w:highlight w:val="none"/>
          <w:lang w:eastAsia="zh-CN"/>
        </w:rPr>
        <w:t>供应商</w:t>
      </w:r>
      <w:r>
        <w:rPr>
          <w:rFonts w:hint="eastAsia" w:ascii="宋体" w:hAnsi="宋体" w:eastAsia="宋体" w:cs="宋体"/>
          <w:sz w:val="24"/>
          <w:highlight w:val="none"/>
        </w:rPr>
        <w:t>进行符合性审查，通过符合性审查的</w:t>
      </w:r>
      <w:r>
        <w:rPr>
          <w:rFonts w:hint="eastAsia" w:ascii="宋体" w:hAnsi="宋体" w:cs="宋体"/>
          <w:sz w:val="24"/>
          <w:highlight w:val="none"/>
          <w:lang w:eastAsia="zh-CN"/>
        </w:rPr>
        <w:t>供应商</w:t>
      </w:r>
      <w:r>
        <w:rPr>
          <w:rFonts w:hint="eastAsia" w:ascii="宋体" w:hAnsi="宋体" w:eastAsia="宋体" w:cs="宋体"/>
          <w:sz w:val="24"/>
          <w:highlight w:val="none"/>
        </w:rPr>
        <w:t>为有效</w:t>
      </w:r>
      <w:r>
        <w:rPr>
          <w:rFonts w:hint="eastAsia" w:ascii="宋体" w:hAnsi="宋体" w:cs="宋体"/>
          <w:sz w:val="24"/>
          <w:highlight w:val="none"/>
          <w:lang w:eastAsia="zh-CN"/>
        </w:rPr>
        <w:t>供应商</w:t>
      </w:r>
      <w:r>
        <w:rPr>
          <w:rFonts w:hint="eastAsia" w:ascii="宋体" w:hAnsi="宋体" w:eastAsia="宋体" w:cs="宋体"/>
          <w:sz w:val="24"/>
          <w:highlight w:val="none"/>
        </w:rPr>
        <w:t>，有效</w:t>
      </w:r>
      <w:r>
        <w:rPr>
          <w:rFonts w:hint="eastAsia" w:ascii="宋体" w:hAnsi="宋体" w:cs="宋体"/>
          <w:sz w:val="24"/>
          <w:highlight w:val="none"/>
          <w:lang w:eastAsia="zh-CN"/>
        </w:rPr>
        <w:t>供应商</w:t>
      </w:r>
      <w:r>
        <w:rPr>
          <w:rFonts w:hint="eastAsia" w:ascii="宋体" w:hAnsi="宋体" w:eastAsia="宋体" w:cs="宋体"/>
          <w:sz w:val="24"/>
          <w:highlight w:val="none"/>
        </w:rPr>
        <w:t>进入综合评分环节，按招标文件约定由评委会推荐中标候选人；没有通过符合性审查的</w:t>
      </w:r>
      <w:r>
        <w:rPr>
          <w:rFonts w:hint="eastAsia" w:ascii="宋体" w:hAnsi="宋体" w:cs="宋体"/>
          <w:sz w:val="24"/>
          <w:highlight w:val="none"/>
          <w:lang w:eastAsia="zh-CN"/>
        </w:rPr>
        <w:t>供应商</w:t>
      </w:r>
      <w:r>
        <w:rPr>
          <w:rFonts w:hint="eastAsia" w:ascii="宋体" w:hAnsi="宋体" w:eastAsia="宋体" w:cs="宋体"/>
          <w:sz w:val="24"/>
          <w:highlight w:val="none"/>
        </w:rPr>
        <w:t>为无效投标。</w:t>
      </w:r>
    </w:p>
    <w:p w14:paraId="564501A5">
      <w:pPr>
        <w:rPr>
          <w:rFonts w:hint="eastAsia" w:ascii="宋体" w:hAnsi="宋体" w:eastAsia="宋体" w:cs="宋体"/>
          <w:sz w:val="24"/>
          <w:highlight w:val="none"/>
        </w:rPr>
      </w:pPr>
    </w:p>
    <w:p w14:paraId="4BC85E67">
      <w:pPr>
        <w:pStyle w:val="15"/>
        <w:ind w:firstLine="480" w:firstLineChars="200"/>
        <w:rPr>
          <w:rFonts w:hint="eastAsia" w:ascii="宋体" w:hAnsi="宋体" w:eastAsia="宋体" w:cs="宋体"/>
          <w:sz w:val="24"/>
          <w:szCs w:val="20"/>
          <w:highlight w:val="none"/>
        </w:rPr>
      </w:pPr>
    </w:p>
    <w:p w14:paraId="044955AA">
      <w:pPr>
        <w:pStyle w:val="15"/>
        <w:rPr>
          <w:rFonts w:hint="eastAsia" w:ascii="宋体" w:hAnsi="宋体" w:eastAsia="宋体" w:cs="宋体"/>
          <w:highlight w:val="none"/>
        </w:rPr>
      </w:pP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695A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1B6C5A9F">
            <w:pPr>
              <w:pStyle w:val="28"/>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highlight w:val="none"/>
                <w:lang w:val="en-US" w:eastAsia="zh-CN"/>
              </w:rPr>
            </w:pPr>
            <w:r>
              <w:rPr>
                <w:rFonts w:hint="eastAsia" w:ascii="宋体" w:hAnsi="宋体" w:eastAsia="宋体" w:cs="宋体"/>
                <w:b/>
                <w:kern w:val="2"/>
                <w:highlight w:val="none"/>
                <w:lang w:val="en-US" w:eastAsia="zh-CN"/>
              </w:rPr>
              <w:t>项目符合性审查表</w:t>
            </w:r>
          </w:p>
        </w:tc>
      </w:tr>
      <w:tr w14:paraId="15FB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0F12D2F0">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序号</w:t>
            </w:r>
          </w:p>
        </w:tc>
        <w:tc>
          <w:tcPr>
            <w:tcW w:w="2005" w:type="dxa"/>
            <w:tcBorders>
              <w:bottom w:val="single" w:color="auto" w:sz="4" w:space="0"/>
            </w:tcBorders>
            <w:noWrap w:val="0"/>
            <w:vAlign w:val="center"/>
          </w:tcPr>
          <w:p w14:paraId="73525BD8">
            <w:pPr>
              <w:pStyle w:val="28"/>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highlight w:val="none"/>
                <w:lang w:val="en-US" w:eastAsia="zh-CN"/>
              </w:rPr>
            </w:pPr>
            <w:r>
              <w:rPr>
                <w:rFonts w:hint="eastAsia" w:ascii="宋体" w:hAnsi="宋体" w:eastAsia="宋体" w:cs="宋体"/>
                <w:kern w:val="2"/>
                <w:szCs w:val="24"/>
                <w:highlight w:val="none"/>
                <w:lang w:val="en-US" w:eastAsia="zh-CN"/>
              </w:rPr>
              <w:t>指标名称</w:t>
            </w:r>
          </w:p>
        </w:tc>
        <w:tc>
          <w:tcPr>
            <w:tcW w:w="2353" w:type="dxa"/>
            <w:tcBorders>
              <w:bottom w:val="single" w:color="auto" w:sz="4" w:space="0"/>
            </w:tcBorders>
            <w:noWrap w:val="0"/>
            <w:vAlign w:val="center"/>
          </w:tcPr>
          <w:p w14:paraId="77BD34EF">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指标要求</w:t>
            </w:r>
          </w:p>
        </w:tc>
        <w:tc>
          <w:tcPr>
            <w:tcW w:w="725" w:type="dxa"/>
            <w:tcBorders>
              <w:bottom w:val="single" w:color="auto" w:sz="4" w:space="0"/>
            </w:tcBorders>
            <w:noWrap w:val="0"/>
            <w:vAlign w:val="center"/>
          </w:tcPr>
          <w:p w14:paraId="0792F737">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是否</w:t>
            </w:r>
          </w:p>
          <w:p w14:paraId="32B44B45">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通过</w:t>
            </w:r>
          </w:p>
        </w:tc>
        <w:tc>
          <w:tcPr>
            <w:tcW w:w="2569" w:type="dxa"/>
            <w:tcBorders>
              <w:bottom w:val="single" w:color="auto" w:sz="4" w:space="0"/>
            </w:tcBorders>
            <w:noWrap w:val="0"/>
            <w:vAlign w:val="center"/>
          </w:tcPr>
          <w:p w14:paraId="1DAEF615">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投标文件格式及</w:t>
            </w:r>
          </w:p>
          <w:p w14:paraId="33E5EBD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提交资料要求</w:t>
            </w:r>
          </w:p>
        </w:tc>
      </w:tr>
      <w:tr w14:paraId="40CA9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47D8422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2005" w:type="dxa"/>
            <w:noWrap w:val="0"/>
            <w:vAlign w:val="center"/>
          </w:tcPr>
          <w:p w14:paraId="3BC2FE68">
            <w:pPr>
              <w:spacing w:after="50" w:line="360" w:lineRule="auto"/>
              <w:ind w:right="-10"/>
              <w:jc w:val="center"/>
              <w:rPr>
                <w:rFonts w:hint="eastAsia" w:ascii="宋体" w:hAnsi="宋体" w:eastAsia="宋体" w:cs="宋体"/>
                <w:sz w:val="24"/>
                <w:szCs w:val="28"/>
                <w:highlight w:val="none"/>
              </w:rPr>
            </w:pPr>
            <w:r>
              <w:rPr>
                <w:rFonts w:hint="eastAsia" w:ascii="宋体" w:hAnsi="宋体" w:cs="宋体"/>
                <w:sz w:val="24"/>
                <w:szCs w:val="28"/>
                <w:highlight w:val="none"/>
                <w:lang w:eastAsia="zh-CN"/>
              </w:rPr>
              <w:t>供应商</w:t>
            </w:r>
            <w:r>
              <w:rPr>
                <w:rFonts w:hint="eastAsia" w:ascii="宋体" w:hAnsi="宋体" w:eastAsia="宋体" w:cs="宋体"/>
                <w:sz w:val="24"/>
                <w:szCs w:val="28"/>
                <w:highlight w:val="none"/>
              </w:rPr>
              <w:t>资格</w:t>
            </w:r>
          </w:p>
        </w:tc>
        <w:tc>
          <w:tcPr>
            <w:tcW w:w="2353" w:type="dxa"/>
            <w:noWrap w:val="0"/>
            <w:vAlign w:val="center"/>
          </w:tcPr>
          <w:p w14:paraId="4995539B">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725" w:type="dxa"/>
            <w:noWrap w:val="0"/>
            <w:vAlign w:val="center"/>
          </w:tcPr>
          <w:p w14:paraId="10B0BF1E">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73AC18B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5571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6584E04C">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2005" w:type="dxa"/>
            <w:noWrap w:val="0"/>
            <w:vAlign w:val="center"/>
          </w:tcPr>
          <w:p w14:paraId="2BF40CAC">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技术要求</w:t>
            </w:r>
          </w:p>
        </w:tc>
        <w:tc>
          <w:tcPr>
            <w:tcW w:w="2353" w:type="dxa"/>
            <w:noWrap w:val="0"/>
            <w:vAlign w:val="center"/>
          </w:tcPr>
          <w:p w14:paraId="51B820CA">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按评标办法</w:t>
            </w:r>
          </w:p>
        </w:tc>
        <w:tc>
          <w:tcPr>
            <w:tcW w:w="725" w:type="dxa"/>
            <w:noWrap w:val="0"/>
            <w:vAlign w:val="center"/>
          </w:tcPr>
          <w:p w14:paraId="46546327">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6E9C9D56">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6F93C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6D60D99E">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2005" w:type="dxa"/>
            <w:noWrap w:val="0"/>
            <w:vAlign w:val="center"/>
          </w:tcPr>
          <w:p w14:paraId="17A1524B">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质保及售后等</w:t>
            </w:r>
          </w:p>
        </w:tc>
        <w:tc>
          <w:tcPr>
            <w:tcW w:w="2353" w:type="dxa"/>
            <w:noWrap w:val="0"/>
            <w:vAlign w:val="center"/>
          </w:tcPr>
          <w:p w14:paraId="611988B0">
            <w:pPr>
              <w:spacing w:after="50" w:line="360" w:lineRule="auto"/>
              <w:ind w:right="-10"/>
              <w:jc w:val="center"/>
              <w:rPr>
                <w:rFonts w:hint="eastAsia" w:ascii="宋体" w:hAnsi="宋体" w:eastAsia="宋体" w:cs="宋体"/>
                <w:sz w:val="24"/>
                <w:szCs w:val="28"/>
                <w:highlight w:val="none"/>
              </w:rPr>
            </w:pPr>
            <w:r>
              <w:rPr>
                <w:rFonts w:hint="eastAsia" w:ascii="宋体" w:hAnsi="宋体" w:eastAsia="宋体" w:cs="宋体"/>
                <w:sz w:val="24"/>
                <w:szCs w:val="28"/>
                <w:highlight w:val="none"/>
              </w:rPr>
              <w:t>见招标文件</w:t>
            </w:r>
          </w:p>
        </w:tc>
        <w:tc>
          <w:tcPr>
            <w:tcW w:w="725" w:type="dxa"/>
            <w:noWrap w:val="0"/>
            <w:vAlign w:val="center"/>
          </w:tcPr>
          <w:p w14:paraId="137F73D8">
            <w:pPr>
              <w:adjustRightInd w:val="0"/>
              <w:snapToGrid w:val="0"/>
              <w:spacing w:line="360" w:lineRule="auto"/>
              <w:ind w:right="-10"/>
              <w:rPr>
                <w:rFonts w:hint="eastAsia" w:ascii="宋体" w:hAnsi="宋体" w:eastAsia="宋体" w:cs="宋体"/>
                <w:sz w:val="24"/>
                <w:highlight w:val="none"/>
              </w:rPr>
            </w:pPr>
          </w:p>
        </w:tc>
        <w:tc>
          <w:tcPr>
            <w:tcW w:w="2569" w:type="dxa"/>
            <w:noWrap w:val="0"/>
            <w:vAlign w:val="center"/>
          </w:tcPr>
          <w:p w14:paraId="255D825F">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bl>
    <w:p w14:paraId="759A679C">
      <w:pPr>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highlight w:val="none"/>
        </w:rPr>
        <w:t>评分标准（满分为100分）</w:t>
      </w:r>
      <w:r>
        <w:rPr>
          <w:rFonts w:hint="eastAsia" w:ascii="宋体" w:hAnsi="宋体" w:eastAsia="宋体" w:cs="宋体"/>
          <w:sz w:val="24"/>
          <w:highlight w:val="none"/>
        </w:rPr>
        <w:t>说明:</w:t>
      </w:r>
      <w:r>
        <w:rPr>
          <w:rFonts w:hint="eastAsia" w:ascii="宋体" w:hAnsi="宋体" w:eastAsia="宋体" w:cs="宋体"/>
          <w:sz w:val="24"/>
          <w:szCs w:val="24"/>
          <w:highlight w:val="none"/>
        </w:rPr>
        <w:t>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的最终得分为各评委得分的算术平均值；评分分值计算保留小数点后两位，小数点后第三位“四舍五入”。</w:t>
      </w:r>
    </w:p>
    <w:p w14:paraId="5154D546">
      <w:pPr>
        <w:pStyle w:val="17"/>
        <w:spacing w:before="0" w:beforeAutospacing="0" w:after="0" w:afterAutospacing="0"/>
        <w:contextualSpacing/>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br w:type="page"/>
      </w:r>
      <w:r>
        <w:rPr>
          <w:rFonts w:hint="eastAsia" w:ascii="宋体" w:hAnsi="宋体" w:eastAsia="宋体" w:cs="宋体"/>
          <w:sz w:val="32"/>
          <w:szCs w:val="32"/>
          <w:highlight w:val="none"/>
        </w:rPr>
        <w:t>评标办法</w:t>
      </w:r>
      <w:r>
        <w:rPr>
          <w:rFonts w:hint="eastAsia" w:cs="宋体"/>
          <w:sz w:val="32"/>
          <w:szCs w:val="32"/>
          <w:highlight w:val="none"/>
          <w:lang w:eastAsia="zh-CN"/>
        </w:rPr>
        <w:t>（</w:t>
      </w:r>
      <w:r>
        <w:rPr>
          <w:rFonts w:hint="eastAsia" w:cs="宋体"/>
          <w:sz w:val="32"/>
          <w:szCs w:val="32"/>
          <w:highlight w:val="none"/>
          <w:lang w:val="en-US" w:eastAsia="zh-CN"/>
        </w:rPr>
        <w:t>包1、包2、包3</w:t>
      </w:r>
      <w:r>
        <w:rPr>
          <w:rFonts w:hint="eastAsia" w:cs="宋体"/>
          <w:sz w:val="32"/>
          <w:szCs w:val="32"/>
          <w:highlight w:val="none"/>
          <w:lang w:eastAsia="zh-CN"/>
        </w:rPr>
        <w:t>）</w:t>
      </w:r>
    </w:p>
    <w:p w14:paraId="73DE366F">
      <w:pPr>
        <w:pStyle w:val="17"/>
        <w:spacing w:before="0" w:beforeAutospacing="0" w:after="0" w:afterAutospacing="0"/>
        <w:contextualSpacing/>
        <w:jc w:val="center"/>
        <w:rPr>
          <w:rFonts w:hint="eastAsia" w:ascii="宋体" w:hAnsi="宋体" w:eastAsia="宋体" w:cs="宋体"/>
          <w:sz w:val="32"/>
          <w:szCs w:val="32"/>
          <w:highlight w:val="none"/>
        </w:rPr>
      </w:pPr>
    </w:p>
    <w:bookmarkEnd w:id="49"/>
    <w:tbl>
      <w:tblPr>
        <w:tblStyle w:val="33"/>
        <w:tblW w:w="1002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56"/>
        <w:gridCol w:w="1459"/>
        <w:gridCol w:w="7308"/>
      </w:tblGrid>
      <w:tr w14:paraId="2A42C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69" w:hRule="atLeast"/>
          <w:jc w:val="center"/>
        </w:trPr>
        <w:tc>
          <w:tcPr>
            <w:tcW w:w="1256" w:type="dxa"/>
            <w:tcBorders>
              <w:top w:val="single" w:color="000000" w:sz="10" w:space="0"/>
              <w:left w:val="single" w:color="000000" w:sz="10" w:space="0"/>
            </w:tcBorders>
            <w:noWrap w:val="0"/>
            <w:vAlign w:val="center"/>
          </w:tcPr>
          <w:p w14:paraId="1C150926">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投标报价</w:t>
            </w:r>
          </w:p>
          <w:p w14:paraId="395BD4D0">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（0 分）</w:t>
            </w:r>
          </w:p>
        </w:tc>
        <w:tc>
          <w:tcPr>
            <w:tcW w:w="1459" w:type="dxa"/>
            <w:tcBorders>
              <w:top w:val="single" w:color="000000" w:sz="10" w:space="0"/>
            </w:tcBorders>
            <w:noWrap w:val="0"/>
            <w:vAlign w:val="center"/>
          </w:tcPr>
          <w:p w14:paraId="54424FB6">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投标报价</w:t>
            </w:r>
          </w:p>
          <w:p w14:paraId="613C97F4">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（0 分）</w:t>
            </w:r>
          </w:p>
        </w:tc>
        <w:tc>
          <w:tcPr>
            <w:tcW w:w="7308" w:type="dxa"/>
            <w:tcBorders>
              <w:top w:val="single" w:color="000000" w:sz="10" w:space="0"/>
              <w:right w:val="single" w:color="000000" w:sz="10" w:space="0"/>
            </w:tcBorders>
            <w:noWrap w:val="0"/>
            <w:vAlign w:val="top"/>
          </w:tcPr>
          <w:p w14:paraId="2ACCC1C9">
            <w:pPr>
              <w:pStyle w:val="32"/>
              <w:keepNext w:val="0"/>
              <w:keepLines w:val="0"/>
              <w:pageBreakBefore w:val="0"/>
              <w:kinsoku/>
              <w:wordWrap/>
              <w:overflowPunct/>
              <w:topLinePunct w:val="0"/>
              <w:autoSpaceDE/>
              <w:autoSpaceDN/>
              <w:bidi w:val="0"/>
              <w:adjustRightInd/>
              <w:spacing w:before="0" w:after="0" w:line="360" w:lineRule="auto"/>
              <w:ind w:left="0" w:right="0"/>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农村义务教育学生营养改善计划：根据教育部等七部门联合印发的《农村义务教育学生营养改善计划实施办法》及河南省教育厅等七部门关于印发《河南省农村义务教育学生营养改善计划实施细则》的通知【豫教体卫艺〔2024〕302号】 精神“严禁克扣和浪费，确保 5 元膳食补助全部吃进学生嘴里。及中华人民共和国财政部第 87 号令-第 55 条规定“执行国家统一定价标准和采用固定价格采购的项目，其价格不列为评审因素。”</w:t>
            </w:r>
          </w:p>
          <w:p w14:paraId="248574AD">
            <w:pPr>
              <w:pStyle w:val="32"/>
              <w:keepNext w:val="0"/>
              <w:keepLines w:val="0"/>
              <w:pageBreakBefore w:val="0"/>
              <w:kinsoku/>
              <w:wordWrap/>
              <w:overflowPunct/>
              <w:topLinePunct w:val="0"/>
              <w:autoSpaceDE/>
              <w:autoSpaceDN/>
              <w:bidi w:val="0"/>
              <w:adjustRightInd/>
              <w:spacing w:before="0" w:after="0" w:line="360" w:lineRule="auto"/>
              <w:ind w:left="0" w:right="0"/>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非农村义务教育学生营养改善计划：由于学校的实际和城乡之间的差别，学校学生餐费的定价由学校食堂管理领导小组及家委会集体研究制定，并实行价格公示制度。采购食材占比不低于餐费的65%，本项目投标报价不列为评审因素。</w:t>
            </w:r>
          </w:p>
        </w:tc>
      </w:tr>
      <w:tr w14:paraId="1B258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0" w:hRule="atLeast"/>
          <w:jc w:val="center"/>
        </w:trPr>
        <w:tc>
          <w:tcPr>
            <w:tcW w:w="1256" w:type="dxa"/>
            <w:vMerge w:val="restart"/>
            <w:tcBorders>
              <w:left w:val="single" w:color="000000" w:sz="10" w:space="0"/>
            </w:tcBorders>
            <w:noWrap w:val="0"/>
            <w:vAlign w:val="center"/>
          </w:tcPr>
          <w:p w14:paraId="1D56712C">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13C4401D">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577288F6">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53C48095">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7E05696F">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77EDE73E">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1C0644B5">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7CC7D26A">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7399775B">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07744919">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3AAE0D20">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60A66331">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68F3A57D">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4C5F029A">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4C7EBD25">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技术部分（</w:t>
            </w:r>
            <w:r>
              <w:rPr>
                <w:rFonts w:hint="eastAsia" w:ascii="宋体" w:hAnsi="宋体" w:cs="宋体"/>
                <w:color w:val="auto"/>
                <w:spacing w:val="-8"/>
                <w:kern w:val="2"/>
                <w:sz w:val="24"/>
                <w:szCs w:val="24"/>
                <w:highlight w:val="none"/>
                <w:lang w:val="en-US" w:eastAsia="zh-CN" w:bidi="ar-SA"/>
              </w:rPr>
              <w:t>79</w:t>
            </w:r>
            <w:r>
              <w:rPr>
                <w:rFonts w:hint="eastAsia" w:ascii="宋体" w:hAnsi="宋体" w:eastAsia="宋体" w:cs="宋体"/>
                <w:color w:val="auto"/>
                <w:spacing w:val="-8"/>
                <w:kern w:val="2"/>
                <w:sz w:val="24"/>
                <w:szCs w:val="24"/>
                <w:highlight w:val="none"/>
                <w:lang w:val="en-US" w:eastAsia="zh-CN" w:bidi="ar-SA"/>
              </w:rPr>
              <w:t>分）</w:t>
            </w:r>
          </w:p>
        </w:tc>
        <w:tc>
          <w:tcPr>
            <w:tcW w:w="1459" w:type="dxa"/>
            <w:noWrap w:val="0"/>
            <w:vAlign w:val="center"/>
          </w:tcPr>
          <w:p w14:paraId="56DD4652">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投标技术指标的响应程度（10分）</w:t>
            </w:r>
          </w:p>
        </w:tc>
        <w:tc>
          <w:tcPr>
            <w:tcW w:w="7308" w:type="dxa"/>
            <w:tcBorders>
              <w:right w:val="single" w:color="000000" w:sz="10" w:space="0"/>
            </w:tcBorders>
            <w:noWrap w:val="0"/>
            <w:vAlign w:val="top"/>
          </w:tcPr>
          <w:p w14:paraId="65D51F74">
            <w:pPr>
              <w:pStyle w:val="32"/>
              <w:keepNext w:val="0"/>
              <w:keepLines w:val="0"/>
              <w:pageBreakBefore w:val="0"/>
              <w:kinsoku/>
              <w:wordWrap/>
              <w:overflowPunct/>
              <w:topLinePunct w:val="0"/>
              <w:autoSpaceDE/>
              <w:autoSpaceDN/>
              <w:bidi w:val="0"/>
              <w:adjustRightInd/>
              <w:spacing w:before="0" w:after="0" w:line="360" w:lineRule="auto"/>
              <w:ind w:left="0" w:right="0"/>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评标委员会根据投标文件对招标文件第三章需求一览表响应情况，对照判断是否满足招标文件的要求；</w:t>
            </w:r>
          </w:p>
          <w:p w14:paraId="177DC14C">
            <w:pPr>
              <w:pStyle w:val="32"/>
              <w:keepNext w:val="0"/>
              <w:keepLines w:val="0"/>
              <w:pageBreakBefore w:val="0"/>
              <w:kinsoku/>
              <w:wordWrap/>
              <w:overflowPunct/>
              <w:topLinePunct w:val="0"/>
              <w:autoSpaceDE/>
              <w:autoSpaceDN/>
              <w:bidi w:val="0"/>
              <w:adjustRightInd/>
              <w:spacing w:before="0" w:after="0" w:line="360" w:lineRule="auto"/>
              <w:ind w:left="0" w:right="0" w:firstLine="18"/>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1、标注“★”符号的为本次招标项目的</w:t>
            </w:r>
            <w:r>
              <w:rPr>
                <w:rFonts w:hint="eastAsia" w:ascii="宋体" w:hAnsi="宋体" w:cs="宋体"/>
                <w:color w:val="auto"/>
                <w:spacing w:val="-8"/>
                <w:kern w:val="2"/>
                <w:sz w:val="24"/>
                <w:szCs w:val="24"/>
                <w:highlight w:val="none"/>
                <w:lang w:val="en-US" w:eastAsia="zh-CN" w:bidi="ar-SA"/>
              </w:rPr>
              <w:t>重要技术指标</w:t>
            </w:r>
            <w:r>
              <w:rPr>
                <w:rFonts w:hint="eastAsia" w:ascii="宋体" w:hAnsi="宋体" w:eastAsia="宋体" w:cs="宋体"/>
                <w:color w:val="auto"/>
                <w:spacing w:val="-8"/>
                <w:kern w:val="2"/>
                <w:sz w:val="24"/>
                <w:szCs w:val="24"/>
                <w:highlight w:val="none"/>
                <w:lang w:val="en-US" w:eastAsia="zh-CN" w:bidi="ar-SA"/>
              </w:rPr>
              <w:t>，有一项为负偏离、遗漏的，扣 1分；其他部分为一般技术指标，不满足招标文件技术参数要求的每有一项扣 0.5分，扣完为止。</w:t>
            </w:r>
          </w:p>
        </w:tc>
      </w:tr>
      <w:tr w14:paraId="468F2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6" w:hRule="atLeast"/>
          <w:jc w:val="center"/>
        </w:trPr>
        <w:tc>
          <w:tcPr>
            <w:tcW w:w="1256" w:type="dxa"/>
            <w:vMerge w:val="continue"/>
            <w:tcBorders>
              <w:left w:val="single" w:color="000000" w:sz="10" w:space="0"/>
            </w:tcBorders>
            <w:noWrap w:val="0"/>
            <w:vAlign w:val="center"/>
          </w:tcPr>
          <w:p w14:paraId="402909A3">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noWrap w:val="0"/>
            <w:vAlign w:val="center"/>
          </w:tcPr>
          <w:p w14:paraId="6DD8C8F0">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食材质量及检测（30 分）</w:t>
            </w:r>
          </w:p>
        </w:tc>
        <w:tc>
          <w:tcPr>
            <w:tcW w:w="7308" w:type="dxa"/>
            <w:tcBorders>
              <w:right w:val="single" w:color="000000" w:sz="10" w:space="0"/>
            </w:tcBorders>
            <w:noWrap w:val="0"/>
            <w:vAlign w:val="top"/>
          </w:tcPr>
          <w:p w14:paraId="54FA16AB">
            <w:pPr>
              <w:pStyle w:val="32"/>
              <w:keepNext w:val="0"/>
              <w:keepLines w:val="0"/>
              <w:pageBreakBefore w:val="0"/>
              <w:kinsoku/>
              <w:wordWrap/>
              <w:overflowPunct/>
              <w:topLinePunct w:val="0"/>
              <w:autoSpaceDE/>
              <w:autoSpaceDN/>
              <w:bidi w:val="0"/>
              <w:adjustRightInd/>
              <w:spacing w:before="0" w:after="0" w:line="360" w:lineRule="auto"/>
              <w:ind w:left="0" w:right="0" w:firstLine="2"/>
              <w:jc w:val="left"/>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1、投标人所投大米、面粉（小麦粉）、肉类（猪肉、鸡肉、牛肉、羊肉） 、蔬菜、食用油、鸡蛋和任一种调味品等 7 种食材全部满足招标文件中所有质量标准要求的，得本项满分 14 分；每有一项不满足的扣 2 分，扣完为止。</w:t>
            </w:r>
          </w:p>
          <w:p w14:paraId="45B4E159">
            <w:pPr>
              <w:pStyle w:val="32"/>
              <w:keepNext w:val="0"/>
              <w:keepLines w:val="0"/>
              <w:pageBreakBefore w:val="0"/>
              <w:kinsoku/>
              <w:wordWrap/>
              <w:overflowPunct/>
              <w:topLinePunct w:val="0"/>
              <w:autoSpaceDE/>
              <w:autoSpaceDN/>
              <w:bidi w:val="0"/>
              <w:adjustRightInd/>
              <w:spacing w:before="0" w:after="0" w:line="360" w:lineRule="auto"/>
              <w:ind w:left="0" w:right="0" w:firstLine="2"/>
              <w:jc w:val="left"/>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2、投标人提供大米、面粉（小麦粉）、肉类（猪肉、鸡肉、牛肉、羊肉） 、食用油、鸡蛋和任一种调味品等 6 种食材，提供出厂检验、监督检验或形式检验（第三方质量检测机构）有效期内质量检测合格报告的，每有一项得 2 分，最多得 12 分。（合同签订时提供质量检测报告原件，无原件的取消中标资格）</w:t>
            </w:r>
          </w:p>
          <w:p w14:paraId="27E11727">
            <w:pPr>
              <w:pStyle w:val="32"/>
              <w:keepNext w:val="0"/>
              <w:keepLines w:val="0"/>
              <w:pageBreakBefore w:val="0"/>
              <w:kinsoku/>
              <w:wordWrap/>
              <w:overflowPunct/>
              <w:topLinePunct w:val="0"/>
              <w:autoSpaceDE/>
              <w:autoSpaceDN/>
              <w:bidi w:val="0"/>
              <w:adjustRightInd/>
              <w:spacing w:before="0" w:after="0" w:line="360" w:lineRule="auto"/>
              <w:ind w:left="0" w:right="0" w:firstLine="2"/>
              <w:jc w:val="left"/>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3、投标人提供大米、面粉（小麦粉）、肉类（猪肉、鸡肉、牛肉、羊肉） 、蔬菜（常用蔬菜不少于 5 种）、 食用油、鸡蛋和任一种调味品等 7 种食材的检测标准、方法（包括自检和外检），本项满分 4 分；</w:t>
            </w:r>
          </w:p>
          <w:p w14:paraId="32D1863A">
            <w:pPr>
              <w:pStyle w:val="32"/>
              <w:keepNext w:val="0"/>
              <w:keepLines w:val="0"/>
              <w:pageBreakBefore w:val="0"/>
              <w:kinsoku/>
              <w:wordWrap/>
              <w:overflowPunct/>
              <w:topLinePunct w:val="0"/>
              <w:autoSpaceDE/>
              <w:autoSpaceDN/>
              <w:bidi w:val="0"/>
              <w:adjustRightInd/>
              <w:spacing w:before="0" w:after="0" w:line="360" w:lineRule="auto"/>
              <w:ind w:left="0" w:right="0" w:firstLine="2"/>
              <w:jc w:val="left"/>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每有一项不满足的扣 0.5 分，扣完为止。</w:t>
            </w:r>
          </w:p>
        </w:tc>
      </w:tr>
      <w:tr w14:paraId="7FE6E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7" w:hRule="atLeast"/>
          <w:jc w:val="center"/>
        </w:trPr>
        <w:tc>
          <w:tcPr>
            <w:tcW w:w="1256" w:type="dxa"/>
            <w:vMerge w:val="continue"/>
            <w:tcBorders>
              <w:left w:val="single" w:color="000000" w:sz="10" w:space="0"/>
            </w:tcBorders>
            <w:noWrap w:val="0"/>
            <w:vAlign w:val="center"/>
          </w:tcPr>
          <w:p w14:paraId="46E85E28">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noWrap w:val="0"/>
            <w:vAlign w:val="center"/>
          </w:tcPr>
          <w:p w14:paraId="146F174A">
            <w:pPr>
              <w:pStyle w:val="32"/>
              <w:keepNext w:val="0"/>
              <w:keepLines w:val="0"/>
              <w:pageBreakBefore w:val="0"/>
              <w:kinsoku/>
              <w:wordWrap/>
              <w:overflowPunct/>
              <w:topLinePunct w:val="0"/>
              <w:autoSpaceDE/>
              <w:autoSpaceDN/>
              <w:bidi w:val="0"/>
              <w:adjustRightInd/>
              <w:spacing w:before="0" w:after="0" w:line="360" w:lineRule="auto"/>
              <w:ind w:right="0"/>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实施计划书</w:t>
            </w:r>
          </w:p>
          <w:p w14:paraId="11609352">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（4 分）</w:t>
            </w:r>
          </w:p>
        </w:tc>
        <w:tc>
          <w:tcPr>
            <w:tcW w:w="7308" w:type="dxa"/>
            <w:tcBorders>
              <w:right w:val="single" w:color="000000" w:sz="10" w:space="0"/>
            </w:tcBorders>
            <w:noWrap w:val="0"/>
            <w:vAlign w:val="top"/>
          </w:tcPr>
          <w:p w14:paraId="66070E7D">
            <w:pPr>
              <w:pStyle w:val="32"/>
              <w:keepNext w:val="0"/>
              <w:keepLines w:val="0"/>
              <w:pageBreakBefore w:val="0"/>
              <w:kinsoku/>
              <w:wordWrap/>
              <w:overflowPunct/>
              <w:topLinePunct w:val="0"/>
              <w:autoSpaceDE/>
              <w:autoSpaceDN/>
              <w:bidi w:val="0"/>
              <w:adjustRightInd/>
              <w:spacing w:before="0" w:after="0" w:line="360" w:lineRule="auto"/>
              <w:ind w:left="0" w:right="0" w:firstLine="18"/>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投标人提供实施计划书，包含项目管理措施，项目实施组织架构配置，项目领导小组，针对乡镇实施负责人，项目执行，项目检查，项目控制，项目协调等内容，本项满分4 分；每有一项不满足的扣 0.5 分，扣完为止。</w:t>
            </w:r>
          </w:p>
        </w:tc>
      </w:tr>
      <w:tr w14:paraId="659020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jc w:val="center"/>
        </w:trPr>
        <w:tc>
          <w:tcPr>
            <w:tcW w:w="1256" w:type="dxa"/>
            <w:vMerge w:val="continue"/>
            <w:tcBorders>
              <w:left w:val="single" w:color="000000" w:sz="10" w:space="0"/>
            </w:tcBorders>
            <w:noWrap w:val="0"/>
            <w:vAlign w:val="center"/>
          </w:tcPr>
          <w:p w14:paraId="31CD49FC">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tcBorders>
              <w:bottom w:val="single" w:color="000000" w:sz="2" w:space="0"/>
            </w:tcBorders>
            <w:noWrap w:val="0"/>
            <w:vAlign w:val="center"/>
          </w:tcPr>
          <w:p w14:paraId="37C94B8C">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食材储存方案</w:t>
            </w:r>
          </w:p>
          <w:p w14:paraId="56A47EED">
            <w:pPr>
              <w:pStyle w:val="32"/>
              <w:keepNext w:val="0"/>
              <w:keepLines w:val="0"/>
              <w:pageBreakBefore w:val="0"/>
              <w:kinsoku/>
              <w:wordWrap/>
              <w:overflowPunct/>
              <w:topLinePunct w:val="0"/>
              <w:autoSpaceDE/>
              <w:autoSpaceDN/>
              <w:bidi w:val="0"/>
              <w:adjustRightInd/>
              <w:spacing w:before="0" w:after="0" w:line="360" w:lineRule="auto"/>
              <w:ind w:left="0" w:right="0" w:firstLine="18"/>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（4 分）</w:t>
            </w:r>
          </w:p>
        </w:tc>
        <w:tc>
          <w:tcPr>
            <w:tcW w:w="7308" w:type="dxa"/>
            <w:tcBorders>
              <w:bottom w:val="single" w:color="000000" w:sz="10" w:space="0"/>
              <w:right w:val="single" w:color="000000" w:sz="10" w:space="0"/>
            </w:tcBorders>
            <w:noWrap w:val="0"/>
            <w:vAlign w:val="top"/>
          </w:tcPr>
          <w:p w14:paraId="0C34909C">
            <w:pPr>
              <w:spacing w:line="360" w:lineRule="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人提供食材储存方案，具有与制作供给的餐食品种、数量相适应的食品原料处理、贮存的场所和设施方案、餐厨垃圾处理方案、提供建立从业人员健康管理制度、食品安全自查制度、食品进货查验记录制度方案符合本项目实际要求的得4分；有食材储存方案，但方案存在缺陷(缺陷是指内容表述前后不一致、套用其他措施或与项目需求不匹配及其他不利于项目实施的等任意一种情形)的得2分;未提供食材储存方案的不得分。</w:t>
            </w:r>
          </w:p>
        </w:tc>
      </w:tr>
      <w:tr w14:paraId="552654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7" w:hRule="atLeast"/>
          <w:jc w:val="center"/>
        </w:trPr>
        <w:tc>
          <w:tcPr>
            <w:tcW w:w="1256" w:type="dxa"/>
            <w:vMerge w:val="continue"/>
            <w:tcBorders>
              <w:left w:val="single" w:color="000000" w:sz="10" w:space="0"/>
            </w:tcBorders>
            <w:noWrap w:val="0"/>
            <w:vAlign w:val="center"/>
          </w:tcPr>
          <w:p w14:paraId="455E5A76">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noWrap w:val="0"/>
            <w:vAlign w:val="center"/>
          </w:tcPr>
          <w:p w14:paraId="30D8FCFF">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default"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配送方案(5</w:t>
            </w:r>
            <w:r>
              <w:rPr>
                <w:rFonts w:hint="eastAsia" w:ascii="宋体" w:hAnsi="宋体" w:cs="宋体"/>
                <w:color w:val="auto"/>
                <w:spacing w:val="-8"/>
                <w:kern w:val="2"/>
                <w:sz w:val="24"/>
                <w:szCs w:val="24"/>
                <w:highlight w:val="none"/>
                <w:lang w:val="en-US" w:eastAsia="zh-CN" w:bidi="ar-SA"/>
              </w:rPr>
              <w:t>分）</w:t>
            </w:r>
          </w:p>
        </w:tc>
        <w:tc>
          <w:tcPr>
            <w:tcW w:w="7308" w:type="dxa"/>
            <w:tcBorders>
              <w:right w:val="single" w:color="000000" w:sz="10" w:space="0"/>
            </w:tcBorders>
            <w:noWrap w:val="0"/>
            <w:vAlign w:val="top"/>
          </w:tcPr>
          <w:p w14:paraId="79DA816F">
            <w:pPr>
              <w:pStyle w:val="32"/>
              <w:keepNext w:val="0"/>
              <w:keepLines w:val="0"/>
              <w:pageBreakBefore w:val="0"/>
              <w:kinsoku/>
              <w:wordWrap/>
              <w:overflowPunct/>
              <w:topLinePunct w:val="0"/>
              <w:autoSpaceDE/>
              <w:autoSpaceDN/>
              <w:bidi w:val="0"/>
              <w:adjustRightInd/>
              <w:spacing w:before="0" w:after="0" w:line="360" w:lineRule="auto"/>
              <w:ind w:left="0" w:right="0" w:firstLine="18"/>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人提供配送方案，包括线路安排、配送设备及封闭式食品专用运输车辆的安排和时间安排。从业人员管理制度、供应服务能力、配送保障，方案符合本项目实际要求的得5分;有配送方案，但方案存在缺陷(缺陷是指内容表述前后不一致、套用其他措施或与项目需求不匹配及其他不利于项目实施的等任意一种情形)的得3分;未提供食材配送方案的不得分。</w:t>
            </w:r>
          </w:p>
        </w:tc>
      </w:tr>
      <w:tr w14:paraId="195745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7" w:hRule="atLeast"/>
          <w:jc w:val="center"/>
        </w:trPr>
        <w:tc>
          <w:tcPr>
            <w:tcW w:w="1256" w:type="dxa"/>
            <w:vMerge w:val="continue"/>
            <w:tcBorders>
              <w:left w:val="single" w:color="000000" w:sz="10" w:space="0"/>
            </w:tcBorders>
            <w:noWrap w:val="0"/>
            <w:vAlign w:val="center"/>
          </w:tcPr>
          <w:p w14:paraId="2C6EA785">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noWrap w:val="0"/>
            <w:vAlign w:val="center"/>
          </w:tcPr>
          <w:p w14:paraId="67496343">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配送管理</w:t>
            </w:r>
          </w:p>
          <w:p w14:paraId="4F1202CA">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（1</w:t>
            </w:r>
            <w:r>
              <w:rPr>
                <w:rFonts w:hint="eastAsia" w:ascii="宋体" w:hAnsi="宋体" w:cs="宋体"/>
                <w:color w:val="auto"/>
                <w:spacing w:val="-8"/>
                <w:kern w:val="2"/>
                <w:sz w:val="24"/>
                <w:szCs w:val="24"/>
                <w:highlight w:val="none"/>
                <w:lang w:val="en-US" w:eastAsia="zh-CN" w:bidi="ar-SA"/>
              </w:rPr>
              <w:t>0</w:t>
            </w:r>
            <w:r>
              <w:rPr>
                <w:rFonts w:hint="eastAsia" w:ascii="宋体" w:hAnsi="宋体" w:eastAsia="宋体" w:cs="宋体"/>
                <w:color w:val="auto"/>
                <w:spacing w:val="-8"/>
                <w:kern w:val="2"/>
                <w:sz w:val="24"/>
                <w:szCs w:val="24"/>
                <w:highlight w:val="none"/>
                <w:lang w:val="en-US" w:eastAsia="zh-CN" w:bidi="ar-SA"/>
              </w:rPr>
              <w:t>分）</w:t>
            </w:r>
          </w:p>
        </w:tc>
        <w:tc>
          <w:tcPr>
            <w:tcW w:w="7308" w:type="dxa"/>
            <w:tcBorders>
              <w:right w:val="single" w:color="000000" w:sz="10" w:space="0"/>
            </w:tcBorders>
            <w:noWrap w:val="0"/>
            <w:vAlign w:val="top"/>
          </w:tcPr>
          <w:p w14:paraId="78082DF0">
            <w:pPr>
              <w:pStyle w:val="32"/>
              <w:keepNext w:val="0"/>
              <w:keepLines w:val="0"/>
              <w:pageBreakBefore w:val="0"/>
              <w:kinsoku/>
              <w:wordWrap/>
              <w:overflowPunct/>
              <w:topLinePunct w:val="0"/>
              <w:autoSpaceDE/>
              <w:autoSpaceDN/>
              <w:bidi w:val="0"/>
              <w:adjustRightInd/>
              <w:spacing w:before="0" w:after="0" w:line="360" w:lineRule="auto"/>
              <w:ind w:left="0" w:right="0" w:firstLine="18"/>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1、投标人提供配送管理制度，包括人员、车辆、安全、卫生、考勤、奖惩</w:t>
            </w:r>
          </w:p>
          <w:p w14:paraId="79206E32">
            <w:pPr>
              <w:pStyle w:val="32"/>
              <w:keepNext w:val="0"/>
              <w:keepLines w:val="0"/>
              <w:pageBreakBefore w:val="0"/>
              <w:kinsoku/>
              <w:wordWrap/>
              <w:overflowPunct/>
              <w:topLinePunct w:val="0"/>
              <w:autoSpaceDE/>
              <w:autoSpaceDN/>
              <w:bidi w:val="0"/>
              <w:adjustRightInd/>
              <w:spacing w:before="0" w:after="0" w:line="360" w:lineRule="auto"/>
              <w:ind w:left="0" w:right="0" w:firstLine="18"/>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等制度，本项满分5分</w:t>
            </w:r>
            <w:r>
              <w:rPr>
                <w:rFonts w:hint="eastAsia" w:ascii="宋体" w:hAnsi="宋体" w:cs="宋体"/>
                <w:color w:val="auto"/>
                <w:spacing w:val="-8"/>
                <w:kern w:val="2"/>
                <w:sz w:val="24"/>
                <w:szCs w:val="24"/>
                <w:highlight w:val="none"/>
                <w:lang w:val="en-US" w:eastAsia="zh-CN" w:bidi="ar-SA"/>
              </w:rPr>
              <w:t>；</w:t>
            </w:r>
            <w:r>
              <w:rPr>
                <w:rFonts w:hint="eastAsia" w:ascii="宋体" w:hAnsi="宋体" w:eastAsia="宋体" w:cs="宋体"/>
                <w:color w:val="auto"/>
                <w:spacing w:val="-8"/>
                <w:kern w:val="2"/>
                <w:sz w:val="24"/>
                <w:szCs w:val="24"/>
                <w:highlight w:val="none"/>
                <w:lang w:val="en-US" w:eastAsia="zh-CN" w:bidi="ar-SA"/>
              </w:rPr>
              <w:t>每有一项不满足的扣0.5分，扣完为止。</w:t>
            </w:r>
          </w:p>
          <w:p w14:paraId="551DA7EF">
            <w:pPr>
              <w:pStyle w:val="32"/>
              <w:keepNext w:val="0"/>
              <w:keepLines w:val="0"/>
              <w:pageBreakBefore w:val="0"/>
              <w:kinsoku/>
              <w:wordWrap/>
              <w:overflowPunct/>
              <w:topLinePunct w:val="0"/>
              <w:autoSpaceDE/>
              <w:autoSpaceDN/>
              <w:bidi w:val="0"/>
              <w:adjustRightInd/>
              <w:spacing w:before="0" w:after="0" w:line="360" w:lineRule="auto"/>
              <w:ind w:left="0" w:right="0" w:firstLine="18"/>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2、投标人提供对突发事件的应急配送预案包括切合实际，包括预防机制、</w:t>
            </w:r>
          </w:p>
          <w:p w14:paraId="3BBAD7C3">
            <w:pPr>
              <w:pStyle w:val="32"/>
              <w:keepNext w:val="0"/>
              <w:keepLines w:val="0"/>
              <w:pageBreakBefore w:val="0"/>
              <w:kinsoku/>
              <w:wordWrap/>
              <w:overflowPunct/>
              <w:topLinePunct w:val="0"/>
              <w:autoSpaceDE/>
              <w:autoSpaceDN/>
              <w:bidi w:val="0"/>
              <w:adjustRightInd/>
              <w:spacing w:before="0" w:after="0" w:line="360" w:lineRule="auto"/>
              <w:ind w:left="0" w:right="0" w:firstLine="18"/>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处置措施、组织管理、情况报告、善后处理等方面，本项满分5分</w:t>
            </w:r>
            <w:r>
              <w:rPr>
                <w:rFonts w:hint="eastAsia" w:ascii="宋体" w:hAnsi="宋体" w:cs="宋体"/>
                <w:color w:val="auto"/>
                <w:spacing w:val="-8"/>
                <w:kern w:val="2"/>
                <w:sz w:val="24"/>
                <w:szCs w:val="24"/>
                <w:highlight w:val="none"/>
                <w:lang w:val="en-US" w:eastAsia="zh-CN" w:bidi="ar-SA"/>
              </w:rPr>
              <w:t>；</w:t>
            </w:r>
            <w:r>
              <w:rPr>
                <w:rFonts w:hint="eastAsia" w:ascii="宋体" w:hAnsi="宋体" w:eastAsia="宋体" w:cs="宋体"/>
                <w:color w:val="auto"/>
                <w:spacing w:val="-8"/>
                <w:kern w:val="2"/>
                <w:sz w:val="24"/>
                <w:szCs w:val="24"/>
                <w:highlight w:val="none"/>
                <w:lang w:val="en-US" w:eastAsia="zh-CN" w:bidi="ar-SA"/>
              </w:rPr>
              <w:t>每有</w:t>
            </w:r>
            <w:r>
              <w:rPr>
                <w:rFonts w:hint="eastAsia" w:ascii="宋体" w:hAnsi="宋体" w:cs="宋体"/>
                <w:color w:val="auto"/>
                <w:spacing w:val="-8"/>
                <w:kern w:val="2"/>
                <w:sz w:val="24"/>
                <w:szCs w:val="24"/>
                <w:highlight w:val="none"/>
                <w:lang w:val="en-US" w:eastAsia="zh-CN" w:bidi="ar-SA"/>
              </w:rPr>
              <w:t>一</w:t>
            </w:r>
            <w:r>
              <w:rPr>
                <w:rFonts w:hint="eastAsia" w:ascii="宋体" w:hAnsi="宋体" w:eastAsia="宋体" w:cs="宋体"/>
                <w:color w:val="auto"/>
                <w:spacing w:val="-8"/>
                <w:kern w:val="2"/>
                <w:sz w:val="24"/>
                <w:szCs w:val="24"/>
                <w:highlight w:val="none"/>
                <w:lang w:val="en-US" w:eastAsia="zh-CN" w:bidi="ar-SA"/>
              </w:rPr>
              <w:t>项不满足的扣0.5分，扣完为止。</w:t>
            </w:r>
          </w:p>
        </w:tc>
      </w:tr>
      <w:tr w14:paraId="760C17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1" w:hRule="atLeast"/>
          <w:jc w:val="center"/>
        </w:trPr>
        <w:tc>
          <w:tcPr>
            <w:tcW w:w="1256" w:type="dxa"/>
            <w:vMerge w:val="continue"/>
            <w:tcBorders>
              <w:left w:val="single" w:color="000000" w:sz="10" w:space="0"/>
            </w:tcBorders>
            <w:noWrap w:val="0"/>
            <w:vAlign w:val="center"/>
          </w:tcPr>
          <w:p w14:paraId="628BDAF8">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noWrap w:val="0"/>
            <w:vAlign w:val="center"/>
          </w:tcPr>
          <w:p w14:paraId="4C5FAB13">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安全管理</w:t>
            </w:r>
          </w:p>
          <w:p w14:paraId="0CDDA58F">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（5分）</w:t>
            </w:r>
          </w:p>
        </w:tc>
        <w:tc>
          <w:tcPr>
            <w:tcW w:w="7308" w:type="dxa"/>
            <w:tcBorders>
              <w:right w:val="single" w:color="000000" w:sz="10" w:space="0"/>
            </w:tcBorders>
            <w:noWrap w:val="0"/>
            <w:vAlign w:val="top"/>
          </w:tcPr>
          <w:p w14:paraId="255CC103">
            <w:pPr>
              <w:pStyle w:val="32"/>
              <w:keepNext w:val="0"/>
              <w:keepLines w:val="0"/>
              <w:pageBreakBefore w:val="0"/>
              <w:kinsoku/>
              <w:wordWrap/>
              <w:overflowPunct/>
              <w:topLinePunct w:val="0"/>
              <w:autoSpaceDE/>
              <w:autoSpaceDN/>
              <w:bidi w:val="0"/>
              <w:adjustRightInd/>
              <w:spacing w:before="0" w:after="0" w:line="360" w:lineRule="auto"/>
              <w:ind w:left="0" w:right="0" w:firstLine="18"/>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投标人提供在食品供应源头和过程中有安全监管措施，必须符合《食品安全法》各项规定， 本项满分 5分；每有一项不满足的扣1分，扣完为止。不提供不得分。</w:t>
            </w:r>
          </w:p>
        </w:tc>
      </w:tr>
      <w:tr w14:paraId="1C473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jc w:val="center"/>
        </w:trPr>
        <w:tc>
          <w:tcPr>
            <w:tcW w:w="1256" w:type="dxa"/>
            <w:vMerge w:val="continue"/>
            <w:tcBorders>
              <w:left w:val="single" w:color="000000" w:sz="10" w:space="0"/>
            </w:tcBorders>
            <w:noWrap w:val="0"/>
            <w:vAlign w:val="center"/>
          </w:tcPr>
          <w:p w14:paraId="2F00429D">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noWrap w:val="0"/>
            <w:vAlign w:val="center"/>
          </w:tcPr>
          <w:p w14:paraId="04BA6092">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季节性疾病防控（2 分）</w:t>
            </w:r>
          </w:p>
        </w:tc>
        <w:tc>
          <w:tcPr>
            <w:tcW w:w="7308" w:type="dxa"/>
            <w:tcBorders>
              <w:right w:val="single" w:color="000000" w:sz="10" w:space="0"/>
            </w:tcBorders>
            <w:noWrap w:val="0"/>
            <w:vAlign w:val="center"/>
          </w:tcPr>
          <w:p w14:paraId="21ACDE95">
            <w:pPr>
              <w:pStyle w:val="32"/>
              <w:keepNext w:val="0"/>
              <w:keepLines w:val="0"/>
              <w:pageBreakBefore w:val="0"/>
              <w:kinsoku/>
              <w:wordWrap/>
              <w:overflowPunct/>
              <w:topLinePunct w:val="0"/>
              <w:autoSpaceDE/>
              <w:autoSpaceDN/>
              <w:bidi w:val="0"/>
              <w:adjustRightInd/>
              <w:spacing w:before="0" w:after="0" w:line="360" w:lineRule="auto"/>
              <w:ind w:left="0" w:right="0" w:firstLine="18"/>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投标人提供季节性疾病防控实施方案，得2分，不提供不得分。</w:t>
            </w:r>
          </w:p>
        </w:tc>
      </w:tr>
      <w:tr w14:paraId="17856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jc w:val="center"/>
        </w:trPr>
        <w:tc>
          <w:tcPr>
            <w:tcW w:w="1256" w:type="dxa"/>
            <w:vMerge w:val="continue"/>
            <w:tcBorders>
              <w:left w:val="single" w:color="000000" w:sz="10" w:space="0"/>
            </w:tcBorders>
            <w:noWrap w:val="0"/>
            <w:vAlign w:val="center"/>
          </w:tcPr>
          <w:p w14:paraId="6B926B29">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noWrap w:val="0"/>
            <w:vAlign w:val="center"/>
          </w:tcPr>
          <w:p w14:paraId="361F2BD1">
            <w:pPr>
              <w:pStyle w:val="32"/>
              <w:keepNext w:val="0"/>
              <w:keepLines w:val="0"/>
              <w:pageBreakBefore w:val="0"/>
              <w:kinsoku/>
              <w:wordWrap/>
              <w:overflowPunct/>
              <w:topLinePunct w:val="0"/>
              <w:autoSpaceDE/>
              <w:autoSpaceDN/>
              <w:bidi w:val="0"/>
              <w:adjustRightInd/>
              <w:spacing w:before="0" w:after="0" w:line="360" w:lineRule="auto"/>
              <w:ind w:right="0" w:rightChars="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应急处理预案（</w:t>
            </w:r>
            <w:r>
              <w:rPr>
                <w:rFonts w:hint="eastAsia" w:ascii="宋体" w:hAnsi="宋体" w:cs="宋体"/>
                <w:color w:val="auto"/>
                <w:spacing w:val="-8"/>
                <w:kern w:val="2"/>
                <w:sz w:val="24"/>
                <w:szCs w:val="24"/>
                <w:highlight w:val="none"/>
                <w:lang w:val="en-US" w:eastAsia="zh-CN" w:bidi="ar-SA"/>
              </w:rPr>
              <w:t>4</w:t>
            </w:r>
            <w:r>
              <w:rPr>
                <w:rFonts w:hint="eastAsia" w:ascii="宋体" w:hAnsi="宋体" w:eastAsia="宋体" w:cs="宋体"/>
                <w:color w:val="auto"/>
                <w:spacing w:val="-8"/>
                <w:kern w:val="2"/>
                <w:sz w:val="24"/>
                <w:szCs w:val="24"/>
                <w:highlight w:val="none"/>
                <w:lang w:val="en-US" w:eastAsia="zh-CN" w:bidi="ar-SA"/>
              </w:rPr>
              <w:t>分）</w:t>
            </w:r>
          </w:p>
        </w:tc>
        <w:tc>
          <w:tcPr>
            <w:tcW w:w="7308" w:type="dxa"/>
            <w:tcBorders>
              <w:right w:val="single" w:color="000000" w:sz="10" w:space="0"/>
            </w:tcBorders>
            <w:noWrap w:val="0"/>
            <w:vAlign w:val="top"/>
          </w:tcPr>
          <w:p w14:paraId="5456A1D6">
            <w:pPr>
              <w:spacing w:line="360" w:lineRule="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投标人提供应急处理预案：包括对供货突发事件(天气、交通等因素)、食品安全事故、紧急任务、特殊节日、客户投诉处理、采购单位临时变更配送量、配送时间、配送地点等问题的处理预案。</w:t>
            </w:r>
            <w:r>
              <w:rPr>
                <w:rFonts w:hint="eastAsia" w:ascii="宋体" w:hAnsi="宋体" w:cs="宋体"/>
                <w:color w:val="auto"/>
                <w:spacing w:val="-8"/>
                <w:kern w:val="2"/>
                <w:sz w:val="24"/>
                <w:szCs w:val="24"/>
                <w:highlight w:val="none"/>
                <w:lang w:val="en-US" w:eastAsia="zh-CN" w:bidi="ar-SA"/>
              </w:rPr>
              <w:t>本项满分4</w:t>
            </w:r>
            <w:r>
              <w:rPr>
                <w:rFonts w:hint="eastAsia" w:ascii="宋体" w:hAnsi="宋体" w:eastAsia="宋体" w:cs="宋体"/>
                <w:color w:val="auto"/>
                <w:spacing w:val="-8"/>
                <w:kern w:val="2"/>
                <w:sz w:val="24"/>
                <w:szCs w:val="24"/>
                <w:highlight w:val="none"/>
                <w:lang w:val="en-US" w:eastAsia="zh-CN" w:bidi="ar-SA"/>
              </w:rPr>
              <w:t>分</w:t>
            </w:r>
            <w:r>
              <w:rPr>
                <w:rFonts w:hint="eastAsia" w:ascii="宋体" w:hAnsi="宋体" w:cs="宋体"/>
                <w:color w:val="auto"/>
                <w:spacing w:val="-8"/>
                <w:kern w:val="2"/>
                <w:sz w:val="24"/>
                <w:szCs w:val="24"/>
                <w:highlight w:val="none"/>
                <w:lang w:val="en-US" w:eastAsia="zh-CN" w:bidi="ar-SA"/>
              </w:rPr>
              <w:t>，</w:t>
            </w:r>
            <w:r>
              <w:rPr>
                <w:rFonts w:hint="eastAsia" w:ascii="宋体" w:hAnsi="宋体" w:eastAsia="宋体" w:cs="宋体"/>
                <w:color w:val="auto"/>
                <w:spacing w:val="-8"/>
                <w:kern w:val="2"/>
                <w:sz w:val="24"/>
                <w:szCs w:val="24"/>
                <w:highlight w:val="none"/>
                <w:lang w:val="en-US" w:eastAsia="zh-CN" w:bidi="ar-SA"/>
              </w:rPr>
              <w:t>每有一项不满足的扣</w:t>
            </w:r>
            <w:r>
              <w:rPr>
                <w:rFonts w:hint="eastAsia" w:ascii="宋体" w:hAnsi="宋体" w:cs="宋体"/>
                <w:color w:val="auto"/>
                <w:spacing w:val="-8"/>
                <w:kern w:val="2"/>
                <w:sz w:val="24"/>
                <w:szCs w:val="24"/>
                <w:highlight w:val="none"/>
                <w:lang w:val="en-US" w:eastAsia="zh-CN" w:bidi="ar-SA"/>
              </w:rPr>
              <w:t>1</w:t>
            </w:r>
            <w:r>
              <w:rPr>
                <w:rFonts w:hint="eastAsia" w:ascii="宋体" w:hAnsi="宋体" w:eastAsia="宋体" w:cs="宋体"/>
                <w:color w:val="auto"/>
                <w:spacing w:val="-8"/>
                <w:kern w:val="2"/>
                <w:sz w:val="24"/>
                <w:szCs w:val="24"/>
                <w:highlight w:val="none"/>
                <w:lang w:val="en-US" w:eastAsia="zh-CN" w:bidi="ar-SA"/>
              </w:rPr>
              <w:t>分，扣完为止。</w:t>
            </w:r>
            <w:r>
              <w:rPr>
                <w:rFonts w:hint="eastAsia" w:ascii="宋体" w:hAnsi="宋体" w:cs="宋体"/>
                <w:color w:val="auto"/>
                <w:spacing w:val="-8"/>
                <w:kern w:val="2"/>
                <w:sz w:val="24"/>
                <w:szCs w:val="24"/>
                <w:highlight w:val="none"/>
                <w:lang w:val="en-US" w:eastAsia="zh-CN" w:bidi="ar-SA"/>
              </w:rPr>
              <w:t>不提供不得分。</w:t>
            </w:r>
          </w:p>
        </w:tc>
      </w:tr>
      <w:tr w14:paraId="44BDD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 w:hRule="atLeast"/>
          <w:jc w:val="center"/>
        </w:trPr>
        <w:tc>
          <w:tcPr>
            <w:tcW w:w="1256" w:type="dxa"/>
            <w:vMerge w:val="continue"/>
            <w:tcBorders>
              <w:left w:val="single" w:color="000000" w:sz="10" w:space="0"/>
            </w:tcBorders>
            <w:noWrap w:val="0"/>
            <w:vAlign w:val="center"/>
          </w:tcPr>
          <w:p w14:paraId="3DB110D4">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noWrap w:val="0"/>
            <w:vAlign w:val="center"/>
          </w:tcPr>
          <w:p w14:paraId="52C0DA8B">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保障措施（5分）</w:t>
            </w:r>
          </w:p>
        </w:tc>
        <w:tc>
          <w:tcPr>
            <w:tcW w:w="7308" w:type="dxa"/>
            <w:tcBorders>
              <w:right w:val="single" w:color="000000" w:sz="10" w:space="0"/>
            </w:tcBorders>
            <w:noWrap w:val="0"/>
            <w:vAlign w:val="top"/>
          </w:tcPr>
          <w:p w14:paraId="2D63D62A">
            <w:pPr>
              <w:spacing w:line="360" w:lineRule="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人对所供食材实行质量三包、售后服务(落实食品安全主体责任、避免发生重大食品安全事故、接到采购人通知，能够及时保障解决问题)制定相应的保障措施。措施符合本项目实际要求的得5分;有项目保障措施，但措施存在缺陷(缺陷是指内容表述前后不一致、套用其他措施或与项目需求不匹配及其他不利于项目实施的等任意一种情形)的得3分;未提供保障措施的不得分</w:t>
            </w:r>
          </w:p>
        </w:tc>
      </w:tr>
      <w:tr w14:paraId="28DB40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jc w:val="center"/>
        </w:trPr>
        <w:tc>
          <w:tcPr>
            <w:tcW w:w="1256" w:type="dxa"/>
            <w:vMerge w:val="restart"/>
            <w:tcBorders>
              <w:left w:val="single" w:color="000000" w:sz="10" w:space="0"/>
            </w:tcBorders>
            <w:noWrap w:val="0"/>
            <w:vAlign w:val="center"/>
          </w:tcPr>
          <w:p w14:paraId="37BF6655">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p w14:paraId="32F71659">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商务部分（2</w:t>
            </w:r>
            <w:r>
              <w:rPr>
                <w:rFonts w:hint="eastAsia" w:ascii="宋体" w:hAnsi="宋体" w:cs="宋体"/>
                <w:color w:val="auto"/>
                <w:spacing w:val="-8"/>
                <w:kern w:val="2"/>
                <w:sz w:val="24"/>
                <w:szCs w:val="24"/>
                <w:highlight w:val="none"/>
                <w:lang w:val="en-US" w:eastAsia="zh-CN" w:bidi="ar-SA"/>
              </w:rPr>
              <w:t>1</w:t>
            </w:r>
            <w:r>
              <w:rPr>
                <w:rFonts w:hint="eastAsia" w:ascii="宋体" w:hAnsi="宋体" w:eastAsia="宋体" w:cs="宋体"/>
                <w:color w:val="auto"/>
                <w:spacing w:val="-8"/>
                <w:kern w:val="2"/>
                <w:sz w:val="24"/>
                <w:szCs w:val="24"/>
                <w:highlight w:val="none"/>
                <w:lang w:val="en-US" w:eastAsia="zh-CN" w:bidi="ar-SA"/>
              </w:rPr>
              <w:t xml:space="preserve"> 分)</w:t>
            </w:r>
          </w:p>
        </w:tc>
        <w:tc>
          <w:tcPr>
            <w:tcW w:w="1459" w:type="dxa"/>
            <w:tcBorders>
              <w:bottom w:val="single" w:color="000000" w:sz="2" w:space="0"/>
            </w:tcBorders>
            <w:noWrap w:val="0"/>
            <w:vAlign w:val="center"/>
          </w:tcPr>
          <w:p w14:paraId="45AC9C27">
            <w:pPr>
              <w:pStyle w:val="32"/>
              <w:keepNext w:val="0"/>
              <w:keepLines w:val="0"/>
              <w:pageBreakBefore w:val="0"/>
              <w:kinsoku/>
              <w:wordWrap/>
              <w:overflowPunct/>
              <w:topLinePunct w:val="0"/>
              <w:autoSpaceDE/>
              <w:autoSpaceDN/>
              <w:bidi w:val="0"/>
              <w:adjustRightInd/>
              <w:spacing w:before="0" w:after="0" w:line="360" w:lineRule="auto"/>
              <w:ind w:left="0" w:right="0" w:firstLine="18"/>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类似业绩</w:t>
            </w:r>
          </w:p>
          <w:p w14:paraId="18B91322">
            <w:pPr>
              <w:pStyle w:val="32"/>
              <w:keepNext w:val="0"/>
              <w:keepLines w:val="0"/>
              <w:pageBreakBefore w:val="0"/>
              <w:kinsoku/>
              <w:wordWrap/>
              <w:overflowPunct/>
              <w:topLinePunct w:val="0"/>
              <w:autoSpaceDE/>
              <w:autoSpaceDN/>
              <w:bidi w:val="0"/>
              <w:adjustRightInd/>
              <w:spacing w:before="0" w:after="0" w:line="360" w:lineRule="auto"/>
              <w:ind w:left="0" w:right="0" w:firstLine="18"/>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（5 分）</w:t>
            </w:r>
          </w:p>
        </w:tc>
        <w:tc>
          <w:tcPr>
            <w:tcW w:w="7308" w:type="dxa"/>
            <w:tcBorders>
              <w:bottom w:val="single" w:color="000000" w:sz="10" w:space="0"/>
              <w:right w:val="single" w:color="000000" w:sz="10" w:space="0"/>
            </w:tcBorders>
            <w:noWrap w:val="0"/>
            <w:vAlign w:val="top"/>
          </w:tcPr>
          <w:p w14:paraId="745A597C">
            <w:pPr>
              <w:pStyle w:val="32"/>
              <w:keepNext w:val="0"/>
              <w:keepLines w:val="0"/>
              <w:pageBreakBefore w:val="0"/>
              <w:kinsoku/>
              <w:wordWrap/>
              <w:overflowPunct/>
              <w:topLinePunct w:val="0"/>
              <w:autoSpaceDE/>
              <w:autoSpaceDN/>
              <w:bidi w:val="0"/>
              <w:adjustRightInd/>
              <w:spacing w:before="0" w:after="0" w:line="360" w:lineRule="auto"/>
              <w:ind w:left="0" w:right="0" w:firstLine="18"/>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提供 2023 年 1 月 1 日以来已完成食堂大宗食材(至少包含米面油、肉食蛋、蔬菜中的</w:t>
            </w:r>
            <w:r>
              <w:rPr>
                <w:rFonts w:hint="eastAsia" w:ascii="宋体" w:hAnsi="宋体" w:cs="宋体"/>
                <w:color w:val="auto"/>
                <w:spacing w:val="-8"/>
                <w:kern w:val="2"/>
                <w:sz w:val="24"/>
                <w:szCs w:val="24"/>
                <w:highlight w:val="none"/>
                <w:lang w:val="en-US" w:eastAsia="zh-CN" w:bidi="ar-SA"/>
              </w:rPr>
              <w:t>一</w:t>
            </w:r>
            <w:r>
              <w:rPr>
                <w:rFonts w:hint="eastAsia" w:ascii="宋体" w:hAnsi="宋体" w:eastAsia="宋体" w:cs="宋体"/>
                <w:color w:val="auto"/>
                <w:spacing w:val="-8"/>
                <w:kern w:val="2"/>
                <w:sz w:val="24"/>
                <w:szCs w:val="24"/>
                <w:highlight w:val="none"/>
                <w:lang w:val="en-US" w:eastAsia="zh-CN" w:bidi="ar-SA"/>
              </w:rPr>
              <w:t>类)配送业绩，</w:t>
            </w:r>
            <w:r>
              <w:rPr>
                <w:rFonts w:hint="eastAsia" w:ascii="宋体" w:hAnsi="宋体" w:cs="宋体"/>
                <w:color w:val="auto"/>
                <w:spacing w:val="-8"/>
                <w:kern w:val="2"/>
                <w:sz w:val="24"/>
                <w:szCs w:val="24"/>
                <w:highlight w:val="none"/>
                <w:lang w:val="en-US" w:eastAsia="zh-CN" w:bidi="ar-SA"/>
              </w:rPr>
              <w:t>提供业绩</w:t>
            </w:r>
            <w:r>
              <w:rPr>
                <w:rFonts w:hint="eastAsia" w:ascii="宋体" w:hAnsi="宋体" w:eastAsia="宋体" w:cs="宋体"/>
                <w:color w:val="auto"/>
                <w:spacing w:val="-8"/>
                <w:kern w:val="2"/>
                <w:sz w:val="24"/>
                <w:szCs w:val="24"/>
                <w:highlight w:val="none"/>
                <w:lang w:val="en-US" w:eastAsia="zh-CN" w:bidi="ar-SA"/>
              </w:rPr>
              <w:t>合同(日期以合同签订日期为准)每提供1份得2.5分，最多得5分。</w:t>
            </w:r>
          </w:p>
        </w:tc>
      </w:tr>
      <w:tr w14:paraId="78468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6" w:hRule="atLeast"/>
          <w:jc w:val="center"/>
        </w:trPr>
        <w:tc>
          <w:tcPr>
            <w:tcW w:w="1256" w:type="dxa"/>
            <w:vMerge w:val="continue"/>
            <w:tcBorders>
              <w:left w:val="single" w:color="000000" w:sz="10" w:space="0"/>
            </w:tcBorders>
            <w:noWrap w:val="0"/>
            <w:vAlign w:val="center"/>
          </w:tcPr>
          <w:p w14:paraId="3B6D9002">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tcBorders>
              <w:bottom w:val="single" w:color="000000" w:sz="2" w:space="0"/>
            </w:tcBorders>
            <w:noWrap w:val="0"/>
            <w:vAlign w:val="center"/>
          </w:tcPr>
          <w:p w14:paraId="7AB02079">
            <w:pPr>
              <w:pStyle w:val="32"/>
              <w:keepNext w:val="0"/>
              <w:keepLines w:val="0"/>
              <w:pageBreakBefore w:val="0"/>
              <w:kinsoku/>
              <w:wordWrap/>
              <w:overflowPunct/>
              <w:topLinePunct w:val="0"/>
              <w:autoSpaceDE/>
              <w:autoSpaceDN/>
              <w:bidi w:val="0"/>
              <w:adjustRightInd/>
              <w:spacing w:before="0" w:after="0" w:line="360" w:lineRule="auto"/>
              <w:ind w:left="0" w:right="0" w:firstLine="18"/>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人员证件</w:t>
            </w:r>
          </w:p>
          <w:p w14:paraId="47B9D267">
            <w:pPr>
              <w:pStyle w:val="32"/>
              <w:keepNext w:val="0"/>
              <w:keepLines w:val="0"/>
              <w:pageBreakBefore w:val="0"/>
              <w:kinsoku/>
              <w:wordWrap/>
              <w:overflowPunct/>
              <w:topLinePunct w:val="0"/>
              <w:autoSpaceDE/>
              <w:autoSpaceDN/>
              <w:bidi w:val="0"/>
              <w:adjustRightInd/>
              <w:spacing w:before="0" w:after="0" w:line="360" w:lineRule="auto"/>
              <w:ind w:left="0" w:leftChars="0" w:right="0" w:rightChars="0" w:firstLine="18" w:firstLineChars="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（4分）</w:t>
            </w:r>
          </w:p>
        </w:tc>
        <w:tc>
          <w:tcPr>
            <w:tcW w:w="7308" w:type="dxa"/>
            <w:tcBorders>
              <w:bottom w:val="single" w:color="000000" w:sz="2" w:space="0"/>
              <w:right w:val="single" w:color="000000" w:sz="10" w:space="0"/>
            </w:tcBorders>
            <w:noWrap w:val="0"/>
            <w:vAlign w:val="top"/>
          </w:tcPr>
          <w:p w14:paraId="11C7D620">
            <w:pPr>
              <w:pStyle w:val="32"/>
              <w:keepNext w:val="0"/>
              <w:keepLines w:val="0"/>
              <w:pageBreakBefore w:val="0"/>
              <w:kinsoku/>
              <w:wordWrap/>
              <w:overflowPunct/>
              <w:topLinePunct w:val="0"/>
              <w:autoSpaceDE/>
              <w:autoSpaceDN/>
              <w:bidi w:val="0"/>
              <w:adjustRightInd/>
              <w:spacing w:before="0" w:after="0" w:line="360" w:lineRule="auto"/>
              <w:ind w:left="0" w:leftChars="0" w:right="0" w:rightChars="0" w:firstLine="18" w:firstLineChars="0"/>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 xml:space="preserve">投标人本项目拟配备人员中具有营养师资格的得 2 分； </w:t>
            </w:r>
          </w:p>
          <w:p w14:paraId="1E1181B8">
            <w:pPr>
              <w:pStyle w:val="32"/>
              <w:keepNext w:val="0"/>
              <w:keepLines w:val="0"/>
              <w:pageBreakBefore w:val="0"/>
              <w:kinsoku/>
              <w:wordWrap/>
              <w:overflowPunct/>
              <w:topLinePunct w:val="0"/>
              <w:autoSpaceDE/>
              <w:autoSpaceDN/>
              <w:bidi w:val="0"/>
              <w:adjustRightInd/>
              <w:spacing w:before="0" w:after="0" w:line="360" w:lineRule="auto"/>
              <w:ind w:left="0" w:leftChars="0" w:right="0" w:rightChars="0" w:firstLine="18" w:firstLineChars="0"/>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投标人本项目拟配备人员中具有食品检测师资格的得 2 分；</w:t>
            </w:r>
          </w:p>
          <w:p w14:paraId="00755F39">
            <w:pPr>
              <w:pStyle w:val="32"/>
              <w:keepNext w:val="0"/>
              <w:keepLines w:val="0"/>
              <w:pageBreakBefore w:val="0"/>
              <w:kinsoku/>
              <w:wordWrap/>
              <w:overflowPunct/>
              <w:topLinePunct w:val="0"/>
              <w:autoSpaceDE/>
              <w:autoSpaceDN/>
              <w:bidi w:val="0"/>
              <w:adjustRightInd/>
              <w:spacing w:before="0" w:after="0" w:line="360" w:lineRule="auto"/>
              <w:ind w:left="0" w:leftChars="0" w:right="0" w:rightChars="0" w:firstLine="18" w:firstLineChars="0"/>
              <w:jc w:val="both"/>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(注：以上人员须提供证书扫描件、</w:t>
            </w:r>
            <w:r>
              <w:rPr>
                <w:rFonts w:hint="eastAsia" w:ascii="宋体" w:hAnsi="宋体" w:cs="宋体"/>
                <w:color w:val="auto"/>
                <w:spacing w:val="-8"/>
                <w:kern w:val="2"/>
                <w:sz w:val="24"/>
                <w:szCs w:val="24"/>
                <w:highlight w:val="none"/>
                <w:lang w:val="en-US" w:eastAsia="zh-CN" w:bidi="ar-SA"/>
              </w:rPr>
              <w:t>身份证扫描件、</w:t>
            </w:r>
            <w:r>
              <w:rPr>
                <w:rFonts w:hint="eastAsia" w:ascii="宋体" w:hAnsi="宋体" w:eastAsia="宋体" w:cs="宋体"/>
                <w:color w:val="auto"/>
                <w:spacing w:val="-8"/>
                <w:kern w:val="2"/>
                <w:sz w:val="24"/>
                <w:szCs w:val="24"/>
                <w:highlight w:val="none"/>
                <w:lang w:val="en-US" w:eastAsia="zh-CN" w:bidi="ar-SA"/>
              </w:rPr>
              <w:t>劳动合同，否则不得分，最高4分)</w:t>
            </w:r>
          </w:p>
        </w:tc>
      </w:tr>
      <w:tr w14:paraId="285809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6" w:hRule="atLeast"/>
          <w:jc w:val="center"/>
        </w:trPr>
        <w:tc>
          <w:tcPr>
            <w:tcW w:w="1256" w:type="dxa"/>
            <w:vMerge w:val="continue"/>
            <w:tcBorders>
              <w:left w:val="single" w:color="000000" w:sz="10" w:space="0"/>
            </w:tcBorders>
            <w:noWrap w:val="0"/>
            <w:vAlign w:val="center"/>
          </w:tcPr>
          <w:p w14:paraId="1A66B143">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tcBorders>
              <w:bottom w:val="single" w:color="000000" w:sz="2" w:space="0"/>
            </w:tcBorders>
            <w:noWrap w:val="0"/>
            <w:vAlign w:val="top"/>
          </w:tcPr>
          <w:p w14:paraId="0F1F5462">
            <w:pPr>
              <w:pStyle w:val="32"/>
              <w:keepNext w:val="0"/>
              <w:keepLines w:val="0"/>
              <w:pageBreakBefore w:val="0"/>
              <w:kinsoku/>
              <w:wordWrap/>
              <w:overflowPunct/>
              <w:topLinePunct w:val="0"/>
              <w:autoSpaceDE/>
              <w:autoSpaceDN/>
              <w:bidi w:val="0"/>
              <w:adjustRightInd/>
              <w:spacing w:before="0" w:after="0" w:line="360" w:lineRule="auto"/>
              <w:ind w:left="0" w:leftChars="0" w:right="0" w:rightChars="0" w:firstLine="18" w:firstLineChars="0"/>
              <w:jc w:val="center"/>
              <w:textAlignment w:val="auto"/>
              <w:rPr>
                <w:rFonts w:hint="eastAsia" w:ascii="宋体" w:hAnsi="宋体" w:eastAsia="宋体" w:cs="宋体"/>
                <w:color w:val="auto"/>
                <w:spacing w:val="-8"/>
                <w:kern w:val="2"/>
                <w:sz w:val="24"/>
                <w:szCs w:val="24"/>
                <w:highlight w:val="none"/>
                <w:lang w:val="en-US" w:eastAsia="zh-CN" w:bidi="ar-SA"/>
              </w:rPr>
            </w:pPr>
          </w:p>
          <w:p w14:paraId="08551812">
            <w:pPr>
              <w:pStyle w:val="32"/>
              <w:keepNext w:val="0"/>
              <w:keepLines w:val="0"/>
              <w:pageBreakBefore w:val="0"/>
              <w:kinsoku/>
              <w:wordWrap/>
              <w:overflowPunct/>
              <w:topLinePunct w:val="0"/>
              <w:autoSpaceDE/>
              <w:autoSpaceDN/>
              <w:bidi w:val="0"/>
              <w:adjustRightInd/>
              <w:spacing w:before="0" w:after="0" w:line="360" w:lineRule="auto"/>
              <w:ind w:left="0" w:leftChars="0" w:right="0" w:rightChars="0" w:firstLine="18" w:firstLineChars="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荣誉证书（2</w:t>
            </w:r>
          </w:p>
          <w:p w14:paraId="59B80550">
            <w:pPr>
              <w:pStyle w:val="32"/>
              <w:keepNext w:val="0"/>
              <w:keepLines w:val="0"/>
              <w:pageBreakBefore w:val="0"/>
              <w:kinsoku/>
              <w:wordWrap/>
              <w:overflowPunct/>
              <w:topLinePunct w:val="0"/>
              <w:autoSpaceDE/>
              <w:autoSpaceDN/>
              <w:bidi w:val="0"/>
              <w:adjustRightInd/>
              <w:spacing w:before="0" w:after="0" w:line="360" w:lineRule="auto"/>
              <w:ind w:left="0" w:leftChars="0" w:right="0" w:rightChars="0" w:firstLine="18" w:firstLineChars="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分）</w:t>
            </w:r>
          </w:p>
        </w:tc>
        <w:tc>
          <w:tcPr>
            <w:tcW w:w="7308" w:type="dxa"/>
            <w:tcBorders>
              <w:bottom w:val="single" w:color="000000" w:sz="2" w:space="0"/>
              <w:right w:val="single" w:color="000000" w:sz="10" w:space="0"/>
            </w:tcBorders>
            <w:noWrap w:val="0"/>
            <w:vAlign w:val="top"/>
          </w:tcPr>
          <w:p w14:paraId="7E3AF5D1">
            <w:pPr>
              <w:pStyle w:val="32"/>
              <w:keepNext w:val="0"/>
              <w:keepLines w:val="0"/>
              <w:pageBreakBefore w:val="0"/>
              <w:kinsoku/>
              <w:wordWrap/>
              <w:overflowPunct/>
              <w:topLinePunct w:val="0"/>
              <w:autoSpaceDE/>
              <w:autoSpaceDN/>
              <w:bidi w:val="0"/>
              <w:adjustRightInd/>
              <w:spacing w:before="0" w:after="0" w:line="360" w:lineRule="auto"/>
              <w:ind w:left="0" w:leftChars="0" w:right="0" w:rightChars="0" w:firstLine="18" w:firstLineChars="0"/>
              <w:jc w:val="left"/>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供应商具有餐饮服务食品安全示范单位证书的得 1 分。</w:t>
            </w:r>
          </w:p>
          <w:p w14:paraId="5C0D0FD9">
            <w:pPr>
              <w:pStyle w:val="32"/>
              <w:keepNext w:val="0"/>
              <w:keepLines w:val="0"/>
              <w:pageBreakBefore w:val="0"/>
              <w:kinsoku/>
              <w:wordWrap/>
              <w:overflowPunct/>
              <w:topLinePunct w:val="0"/>
              <w:autoSpaceDE/>
              <w:autoSpaceDN/>
              <w:bidi w:val="0"/>
              <w:adjustRightInd/>
              <w:spacing w:before="0" w:after="0" w:line="360" w:lineRule="auto"/>
              <w:ind w:left="0" w:leftChars="0" w:right="0" w:rightChars="0" w:firstLine="18" w:firstLineChars="0"/>
              <w:jc w:val="left"/>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供应商具有餐饮业优秀食材供应商证书的得 1 分。</w:t>
            </w:r>
          </w:p>
          <w:p w14:paraId="5AEA1670">
            <w:pPr>
              <w:pStyle w:val="32"/>
              <w:keepNext w:val="0"/>
              <w:keepLines w:val="0"/>
              <w:pageBreakBefore w:val="0"/>
              <w:kinsoku/>
              <w:wordWrap/>
              <w:overflowPunct/>
              <w:topLinePunct w:val="0"/>
              <w:autoSpaceDE/>
              <w:autoSpaceDN/>
              <w:bidi w:val="0"/>
              <w:adjustRightInd/>
              <w:spacing w:before="0" w:after="0" w:line="360" w:lineRule="auto"/>
              <w:ind w:left="0" w:leftChars="0" w:right="0" w:rightChars="0" w:firstLine="18" w:firstLineChars="0"/>
              <w:jc w:val="left"/>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注：需提供清晰扫描件并加盖供应商公章，否则不得分。</w:t>
            </w:r>
          </w:p>
        </w:tc>
      </w:tr>
      <w:tr w14:paraId="187E0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1" w:hRule="atLeast"/>
          <w:jc w:val="center"/>
        </w:trPr>
        <w:tc>
          <w:tcPr>
            <w:tcW w:w="1256" w:type="dxa"/>
            <w:vMerge w:val="continue"/>
            <w:tcBorders>
              <w:left w:val="single" w:color="000000" w:sz="10" w:space="0"/>
              <w:bottom w:val="single" w:color="000000" w:sz="10" w:space="0"/>
            </w:tcBorders>
            <w:noWrap w:val="0"/>
            <w:vAlign w:val="center"/>
          </w:tcPr>
          <w:p w14:paraId="1112529C">
            <w:pPr>
              <w:pStyle w:val="32"/>
              <w:keepNext w:val="0"/>
              <w:keepLines w:val="0"/>
              <w:pageBreakBefore w:val="0"/>
              <w:kinsoku/>
              <w:wordWrap/>
              <w:overflowPunct/>
              <w:topLinePunct w:val="0"/>
              <w:autoSpaceDE/>
              <w:autoSpaceDN/>
              <w:bidi w:val="0"/>
              <w:adjustRightInd/>
              <w:spacing w:before="0" w:after="0" w:line="360" w:lineRule="auto"/>
              <w:ind w:left="0" w:right="0" w:firstLine="2"/>
              <w:jc w:val="center"/>
              <w:textAlignment w:val="auto"/>
              <w:rPr>
                <w:rFonts w:hint="eastAsia" w:ascii="宋体" w:hAnsi="宋体" w:eastAsia="宋体" w:cs="宋体"/>
                <w:color w:val="auto"/>
                <w:spacing w:val="-8"/>
                <w:kern w:val="2"/>
                <w:sz w:val="24"/>
                <w:szCs w:val="24"/>
                <w:highlight w:val="none"/>
                <w:lang w:val="en-US" w:eastAsia="zh-CN" w:bidi="ar-SA"/>
              </w:rPr>
            </w:pPr>
          </w:p>
        </w:tc>
        <w:tc>
          <w:tcPr>
            <w:tcW w:w="1459" w:type="dxa"/>
            <w:tcBorders>
              <w:top w:val="single" w:color="000000" w:sz="2" w:space="0"/>
              <w:bottom w:val="single" w:color="000000" w:sz="2" w:space="0"/>
            </w:tcBorders>
            <w:noWrap w:val="0"/>
            <w:vAlign w:val="top"/>
          </w:tcPr>
          <w:p w14:paraId="5ECB7FEC">
            <w:pPr>
              <w:pStyle w:val="32"/>
              <w:keepNext w:val="0"/>
              <w:keepLines w:val="0"/>
              <w:pageBreakBefore w:val="0"/>
              <w:kinsoku/>
              <w:wordWrap/>
              <w:overflowPunct/>
              <w:topLinePunct w:val="0"/>
              <w:autoSpaceDE/>
              <w:autoSpaceDN/>
              <w:bidi w:val="0"/>
              <w:adjustRightInd/>
              <w:spacing w:before="0" w:after="0" w:line="360" w:lineRule="auto"/>
              <w:ind w:right="0"/>
              <w:jc w:val="center"/>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企业体系认证（10分）</w:t>
            </w:r>
          </w:p>
        </w:tc>
        <w:tc>
          <w:tcPr>
            <w:tcW w:w="7308" w:type="dxa"/>
            <w:tcBorders>
              <w:top w:val="single" w:color="000000" w:sz="2" w:space="0"/>
              <w:bottom w:val="single" w:color="000000" w:sz="10" w:space="0"/>
              <w:right w:val="single" w:color="000000" w:sz="10" w:space="0"/>
            </w:tcBorders>
            <w:noWrap w:val="0"/>
            <w:vAlign w:val="top"/>
          </w:tcPr>
          <w:p w14:paraId="16F2FA9A">
            <w:pPr>
              <w:pStyle w:val="32"/>
              <w:keepNext w:val="0"/>
              <w:keepLines w:val="0"/>
              <w:pageBreakBefore w:val="0"/>
              <w:kinsoku/>
              <w:wordWrap/>
              <w:overflowPunct/>
              <w:topLinePunct w:val="0"/>
              <w:autoSpaceDE/>
              <w:autoSpaceDN/>
              <w:bidi w:val="0"/>
              <w:adjustRightInd/>
              <w:spacing w:before="0" w:after="0" w:line="360" w:lineRule="auto"/>
              <w:ind w:right="0"/>
              <w:jc w:val="left"/>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cs="宋体"/>
                <w:color w:val="auto"/>
                <w:spacing w:val="-8"/>
                <w:kern w:val="2"/>
                <w:sz w:val="24"/>
                <w:szCs w:val="24"/>
                <w:highlight w:val="none"/>
                <w:shd w:val="clear"/>
                <w:lang w:val="en-US" w:eastAsia="zh-CN" w:bidi="ar-SA"/>
              </w:rPr>
              <w:t>为保证食材的质量及安全稳定性，</w:t>
            </w:r>
            <w:r>
              <w:rPr>
                <w:rFonts w:hint="eastAsia" w:ascii="宋体" w:hAnsi="宋体" w:eastAsia="宋体" w:cs="宋体"/>
                <w:color w:val="auto"/>
                <w:spacing w:val="-8"/>
                <w:kern w:val="2"/>
                <w:sz w:val="24"/>
                <w:szCs w:val="24"/>
                <w:highlight w:val="none"/>
                <w:shd w:val="clear"/>
                <w:lang w:val="en-US" w:eastAsia="zh-CN" w:bidi="ar-SA"/>
              </w:rPr>
              <w:t>投标人或投标人所投大米或面粉（小麦粉）食材厂家</w:t>
            </w:r>
            <w:r>
              <w:rPr>
                <w:rFonts w:hint="eastAsia" w:ascii="宋体" w:hAnsi="宋体" w:eastAsia="宋体" w:cs="宋体"/>
                <w:color w:val="auto"/>
                <w:spacing w:val="-8"/>
                <w:kern w:val="2"/>
                <w:sz w:val="24"/>
                <w:szCs w:val="24"/>
                <w:highlight w:val="none"/>
                <w:lang w:val="en-US" w:eastAsia="zh-CN" w:bidi="ar-SA"/>
              </w:rPr>
              <w:t xml:space="preserve">具备有效期内的IS0质量管理体系、IS0食品安全管理体系、HACCP危害分析与关键控制点体系、IS0环境管理体系、IS0 职业健康安全管理体系，每有一项得2分，满分10分。 </w:t>
            </w:r>
          </w:p>
          <w:p w14:paraId="69471375">
            <w:pPr>
              <w:pStyle w:val="32"/>
              <w:keepNext w:val="0"/>
              <w:keepLines w:val="0"/>
              <w:pageBreakBefore w:val="0"/>
              <w:kinsoku/>
              <w:wordWrap/>
              <w:overflowPunct/>
              <w:topLinePunct w:val="0"/>
              <w:autoSpaceDE/>
              <w:autoSpaceDN/>
              <w:bidi w:val="0"/>
              <w:adjustRightInd/>
              <w:spacing w:before="0" w:after="0" w:line="360" w:lineRule="auto"/>
              <w:ind w:right="0"/>
              <w:jc w:val="left"/>
              <w:textAlignment w:val="auto"/>
              <w:rPr>
                <w:rFonts w:hint="eastAsia" w:ascii="宋体" w:hAnsi="宋体" w:eastAsia="宋体" w:cs="宋体"/>
                <w:color w:val="auto"/>
                <w:spacing w:val="-8"/>
                <w:kern w:val="2"/>
                <w:sz w:val="24"/>
                <w:szCs w:val="24"/>
                <w:highlight w:val="none"/>
                <w:lang w:val="en-US" w:eastAsia="zh-CN" w:bidi="ar-SA"/>
              </w:rPr>
            </w:pPr>
            <w:r>
              <w:rPr>
                <w:rFonts w:hint="eastAsia" w:ascii="宋体" w:hAnsi="宋体" w:eastAsia="宋体" w:cs="宋体"/>
                <w:color w:val="auto"/>
                <w:spacing w:val="-8"/>
                <w:kern w:val="2"/>
                <w:sz w:val="24"/>
                <w:szCs w:val="24"/>
                <w:highlight w:val="none"/>
                <w:lang w:val="en-US" w:eastAsia="zh-CN" w:bidi="ar-SA"/>
              </w:rPr>
              <w:t xml:space="preserve">注:提供有效的认证证书复印件及国家市场监督管理总局全国认证认可信息公共服务平台http://cx.cnca.cn/ 查询有效的网页截图。不提供不得分。 </w:t>
            </w:r>
          </w:p>
        </w:tc>
      </w:tr>
    </w:tbl>
    <w:p w14:paraId="254A19F9">
      <w:pPr>
        <w:pStyle w:val="10"/>
        <w:spacing w:line="360" w:lineRule="auto"/>
        <w:ind w:left="0" w:leftChars="0" w:right="-10" w:firstLine="0" w:firstLineChars="0"/>
        <w:rPr>
          <w:rFonts w:hint="eastAsia" w:ascii="宋体" w:hAnsi="宋体" w:eastAsia="宋体" w:cs="宋体"/>
          <w:b/>
          <w:kern w:val="1"/>
          <w:sz w:val="24"/>
          <w:highlight w:val="none"/>
        </w:rPr>
      </w:pPr>
    </w:p>
    <w:p w14:paraId="1FDC0104">
      <w:pPr>
        <w:pStyle w:val="10"/>
        <w:spacing w:line="360" w:lineRule="auto"/>
        <w:ind w:right="-10" w:firstLine="482" w:firstLineChars="200"/>
        <w:rPr>
          <w:rFonts w:hint="eastAsia" w:ascii="宋体" w:hAnsi="宋体" w:eastAsia="宋体" w:cs="宋体"/>
          <w:b/>
          <w:kern w:val="1"/>
          <w:sz w:val="24"/>
          <w:highlight w:val="none"/>
        </w:rPr>
      </w:pPr>
      <w:r>
        <w:rPr>
          <w:rFonts w:hint="eastAsia" w:ascii="宋体" w:hAnsi="宋体" w:eastAsia="宋体" w:cs="宋体"/>
          <w:b/>
          <w:kern w:val="1"/>
          <w:sz w:val="24"/>
          <w:highlight w:val="none"/>
        </w:rPr>
        <w:t>注：评标结束后，由采购人对评审结果及响应文件等进行复核，并在法定的时间内确定中标人。</w:t>
      </w:r>
    </w:p>
    <w:p w14:paraId="5DE242D6">
      <w:pPr>
        <w:adjustRightInd w:val="0"/>
        <w:snapToGrid w:val="0"/>
        <w:spacing w:line="360" w:lineRule="auto"/>
        <w:ind w:right="-10" w:firstLine="480" w:firstLineChars="200"/>
        <w:rPr>
          <w:rFonts w:hint="eastAsia" w:ascii="宋体" w:hAnsi="宋体" w:eastAsia="宋体" w:cs="宋体"/>
          <w:bCs/>
          <w:sz w:val="24"/>
          <w:highlight w:val="none"/>
          <w:lang w:eastAsia="zh-CN"/>
        </w:rPr>
      </w:pPr>
      <w:r>
        <w:rPr>
          <w:rFonts w:hint="eastAsia" w:ascii="宋体" w:hAnsi="宋体" w:eastAsia="宋体" w:cs="宋体"/>
          <w:bCs/>
          <w:sz w:val="24"/>
          <w:highlight w:val="none"/>
        </w:rPr>
        <w:t>1、依据中华人民共和国财政部令第87号令《政府采购货物和服务招标投标管理办法》第三十一条要求，不同</w:t>
      </w:r>
      <w:r>
        <w:rPr>
          <w:rFonts w:hint="eastAsia" w:ascii="宋体" w:hAnsi="宋体" w:cs="宋体"/>
          <w:bCs/>
          <w:sz w:val="24"/>
          <w:highlight w:val="none"/>
          <w:lang w:eastAsia="zh-CN"/>
        </w:rPr>
        <w:t>供应商</w:t>
      </w:r>
      <w:r>
        <w:rPr>
          <w:rFonts w:hint="eastAsia" w:ascii="宋体" w:hAnsi="宋体" w:eastAsia="宋体" w:cs="宋体"/>
          <w:bCs/>
          <w:sz w:val="24"/>
          <w:highlight w:val="none"/>
        </w:rPr>
        <w:t>所投核心产品对应品牌完全相同且通过资格审查、符合性审查的，将按照一家</w:t>
      </w:r>
      <w:r>
        <w:rPr>
          <w:rFonts w:hint="eastAsia" w:ascii="宋体" w:hAnsi="宋体" w:cs="宋体"/>
          <w:bCs/>
          <w:sz w:val="24"/>
          <w:highlight w:val="none"/>
          <w:lang w:eastAsia="zh-CN"/>
        </w:rPr>
        <w:t>供应商</w:t>
      </w:r>
      <w:r>
        <w:rPr>
          <w:rFonts w:hint="eastAsia" w:ascii="宋体" w:hAnsi="宋体" w:eastAsia="宋体" w:cs="宋体"/>
          <w:bCs/>
          <w:sz w:val="24"/>
          <w:highlight w:val="none"/>
        </w:rPr>
        <w:t>计算。审后得分最高的同品牌</w:t>
      </w:r>
      <w:r>
        <w:rPr>
          <w:rFonts w:hint="eastAsia" w:ascii="宋体" w:hAnsi="宋体" w:cs="宋体"/>
          <w:bCs/>
          <w:sz w:val="24"/>
          <w:highlight w:val="none"/>
          <w:lang w:eastAsia="zh-CN"/>
        </w:rPr>
        <w:t>供应商</w:t>
      </w:r>
      <w:r>
        <w:rPr>
          <w:rFonts w:hint="eastAsia" w:ascii="宋体" w:hAnsi="宋体" w:eastAsia="宋体" w:cs="宋体"/>
          <w:bCs/>
          <w:sz w:val="24"/>
          <w:highlight w:val="none"/>
        </w:rPr>
        <w:t>获得中标人推荐资格；评审得分相同的，按照除价格分外得分最高（商务+技术参数）的同品牌</w:t>
      </w:r>
      <w:r>
        <w:rPr>
          <w:rFonts w:hint="eastAsia" w:ascii="宋体" w:hAnsi="宋体" w:cs="宋体"/>
          <w:bCs/>
          <w:sz w:val="24"/>
          <w:highlight w:val="none"/>
          <w:lang w:eastAsia="zh-CN"/>
        </w:rPr>
        <w:t>供应商</w:t>
      </w:r>
      <w:r>
        <w:rPr>
          <w:rFonts w:hint="eastAsia" w:ascii="宋体" w:hAnsi="宋体" w:eastAsia="宋体" w:cs="宋体"/>
          <w:bCs/>
          <w:sz w:val="24"/>
          <w:highlight w:val="none"/>
        </w:rPr>
        <w:t>获得中标人推荐资格，其他同品牌</w:t>
      </w:r>
      <w:r>
        <w:rPr>
          <w:rFonts w:hint="eastAsia" w:ascii="宋体" w:hAnsi="宋体" w:cs="宋体"/>
          <w:bCs/>
          <w:sz w:val="24"/>
          <w:highlight w:val="none"/>
          <w:lang w:eastAsia="zh-CN"/>
        </w:rPr>
        <w:t>供应商</w:t>
      </w:r>
      <w:r>
        <w:rPr>
          <w:rFonts w:hint="eastAsia" w:ascii="宋体" w:hAnsi="宋体" w:eastAsia="宋体" w:cs="宋体"/>
          <w:bCs/>
          <w:sz w:val="24"/>
          <w:highlight w:val="none"/>
        </w:rPr>
        <w:t>不作为中标候选人</w:t>
      </w:r>
      <w:r>
        <w:rPr>
          <w:rFonts w:hint="eastAsia" w:ascii="宋体" w:hAnsi="宋体" w:cs="宋体"/>
          <w:bCs/>
          <w:sz w:val="24"/>
          <w:highlight w:val="none"/>
          <w:lang w:eastAsia="zh-CN"/>
        </w:rPr>
        <w:t>。</w:t>
      </w:r>
    </w:p>
    <w:p w14:paraId="7D15D4A4">
      <w:pPr>
        <w:adjustRightInd w:val="0"/>
        <w:snapToGrid w:val="0"/>
        <w:spacing w:line="360" w:lineRule="auto"/>
        <w:ind w:right="-10"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2、按照周口市交易中心规定，本项目</w:t>
      </w:r>
      <w:r>
        <w:rPr>
          <w:rFonts w:hint="eastAsia" w:ascii="宋体" w:hAnsi="宋体" w:cs="宋体"/>
          <w:bCs/>
          <w:sz w:val="24"/>
          <w:highlight w:val="none"/>
          <w:lang w:eastAsia="zh-CN"/>
        </w:rPr>
        <w:t>供应商</w:t>
      </w:r>
      <w:r>
        <w:rPr>
          <w:rFonts w:hint="eastAsia" w:ascii="宋体" w:hAnsi="宋体" w:eastAsia="宋体" w:cs="宋体"/>
          <w:bCs/>
          <w:sz w:val="24"/>
          <w:highlight w:val="none"/>
        </w:rPr>
        <w:t>所需提供原件在评标时无需提供，仅作为采购单位核实时使用，评审委员会评审时仅以</w:t>
      </w:r>
      <w:r>
        <w:rPr>
          <w:rFonts w:hint="eastAsia" w:ascii="宋体" w:hAnsi="宋体" w:cs="宋体"/>
          <w:bCs/>
          <w:sz w:val="24"/>
          <w:highlight w:val="none"/>
          <w:lang w:eastAsia="zh-CN"/>
        </w:rPr>
        <w:t>供应商</w:t>
      </w:r>
      <w:r>
        <w:rPr>
          <w:rFonts w:hint="eastAsia" w:ascii="宋体" w:hAnsi="宋体" w:eastAsia="宋体" w:cs="宋体"/>
          <w:bCs/>
          <w:sz w:val="24"/>
          <w:highlight w:val="none"/>
        </w:rPr>
        <w:t>投标文件中扫描件为准。</w:t>
      </w:r>
    </w:p>
    <w:p w14:paraId="345E0C93">
      <w:pPr>
        <w:pStyle w:val="10"/>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w:t>
      </w:r>
      <w:r>
        <w:rPr>
          <w:rFonts w:hint="eastAsia" w:ascii="宋体" w:hAnsi="宋体" w:eastAsia="宋体" w:cs="宋体"/>
          <w:bCs/>
          <w:sz w:val="24"/>
          <w:highlight w:val="none"/>
          <w:lang w:eastAsia="zh-CN"/>
        </w:rPr>
        <w:t>供应商</w:t>
      </w:r>
      <w:r>
        <w:rPr>
          <w:rFonts w:hint="eastAsia" w:ascii="宋体" w:hAnsi="宋体" w:eastAsia="宋体" w:cs="宋体"/>
          <w:bCs/>
          <w:sz w:val="24"/>
          <w:highlight w:val="none"/>
        </w:rPr>
        <w:t>某项指标如有不同意见，按照少数服从多数的原则，确定该项指标是否通过。</w:t>
      </w:r>
    </w:p>
    <w:p w14:paraId="514FD8BD">
      <w:pPr>
        <w:spacing w:line="360" w:lineRule="auto"/>
        <w:ind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第十一条</w:t>
      </w:r>
      <w:r>
        <w:rPr>
          <w:rFonts w:hint="eastAsia" w:ascii="宋体" w:hAnsi="宋体" w:eastAsia="宋体" w:cs="宋体"/>
          <w:bCs/>
          <w:sz w:val="24"/>
          <w:highlight w:val="none"/>
        </w:rPr>
        <w:t xml:space="preserve"> 商务、技术满足招标文件要求，综合得分最高的</w:t>
      </w:r>
      <w:r>
        <w:rPr>
          <w:rFonts w:hint="eastAsia" w:ascii="宋体" w:hAnsi="宋体" w:cs="宋体"/>
          <w:bCs/>
          <w:sz w:val="24"/>
          <w:highlight w:val="none"/>
          <w:lang w:eastAsia="zh-CN"/>
        </w:rPr>
        <w:t>供应商</w:t>
      </w:r>
      <w:r>
        <w:rPr>
          <w:rFonts w:hint="eastAsia" w:ascii="宋体" w:hAnsi="宋体" w:eastAsia="宋体" w:cs="宋体"/>
          <w:bCs/>
          <w:sz w:val="24"/>
          <w:highlight w:val="none"/>
        </w:rPr>
        <w:t>将作为中标候选人。如果综合得分中出现两家或两家以上相同者，投标报价较低者优先中标，报价也相同的，由采购人自行确定。</w:t>
      </w:r>
    </w:p>
    <w:p w14:paraId="7DF8E9DA">
      <w:pPr>
        <w:pStyle w:val="10"/>
        <w:spacing w:line="360" w:lineRule="auto"/>
        <w:ind w:right="-10" w:firstLine="482"/>
        <w:rPr>
          <w:rFonts w:hint="eastAsia"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27F7E5D9">
      <w:pPr>
        <w:adjustRightInd w:val="0"/>
        <w:snapToGrid w:val="0"/>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第十三条</w:t>
      </w:r>
      <w:r>
        <w:rPr>
          <w:rFonts w:hint="eastAsia" w:ascii="宋体" w:hAnsi="宋体" w:eastAsia="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2858C3B9">
      <w:pPr>
        <w:rPr>
          <w:rFonts w:hint="eastAsia" w:ascii="宋体" w:hAnsi="宋体" w:eastAsia="宋体" w:cs="宋体"/>
          <w:highlight w:val="none"/>
        </w:rPr>
      </w:pPr>
    </w:p>
    <w:p w14:paraId="17A77E1C">
      <w:pPr>
        <w:adjustRightInd w:val="0"/>
        <w:snapToGrid w:val="0"/>
        <w:spacing w:line="360" w:lineRule="auto"/>
        <w:jc w:val="center"/>
        <w:rPr>
          <w:rFonts w:hint="eastAsia" w:ascii="宋体" w:hAnsi="宋体" w:eastAsia="宋体" w:cs="宋体"/>
          <w:b/>
          <w:bCs/>
          <w:sz w:val="24"/>
          <w:highlight w:val="none"/>
        </w:rPr>
      </w:pPr>
      <w:bookmarkStart w:id="54" w:name="_Toc40_WPSOffice_Level2"/>
      <w:r>
        <w:rPr>
          <w:rFonts w:hint="eastAsia" w:ascii="宋体" w:hAnsi="宋体" w:eastAsia="宋体" w:cs="宋体"/>
          <w:b/>
          <w:bCs/>
          <w:sz w:val="24"/>
          <w:highlight w:val="none"/>
        </w:rPr>
        <w:t>三．评标纪律</w:t>
      </w:r>
      <w:bookmarkEnd w:id="54"/>
    </w:p>
    <w:p w14:paraId="15978D50">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第十四条</w:t>
      </w:r>
      <w:r>
        <w:rPr>
          <w:rFonts w:hint="eastAsia" w:ascii="宋体" w:hAnsi="宋体" w:eastAsia="宋体" w:cs="宋体"/>
          <w:bCs/>
          <w:sz w:val="24"/>
          <w:highlight w:val="none"/>
        </w:rPr>
        <w:t xml:space="preserve"> 评委会和评标工作人员应严格遵守国家的法律、法规和规章制度；</w:t>
      </w:r>
      <w:r>
        <w:rPr>
          <w:rFonts w:hint="eastAsia" w:ascii="宋体" w:hAnsi="宋体" w:eastAsia="宋体" w:cs="宋体"/>
          <w:sz w:val="24"/>
          <w:highlight w:val="none"/>
        </w:rPr>
        <w:t>严格按照本次招标文件进行评标；公正廉洁、不徇私情，不得损害国家利益；</w:t>
      </w:r>
      <w:r>
        <w:rPr>
          <w:rFonts w:hint="eastAsia" w:ascii="宋体" w:hAnsi="宋体" w:eastAsia="宋体" w:cs="宋体"/>
          <w:color w:val="auto"/>
          <w:sz w:val="24"/>
          <w:highlight w:val="none"/>
        </w:rPr>
        <w:t>保护招、</w:t>
      </w:r>
      <w:r>
        <w:rPr>
          <w:rFonts w:hint="eastAsia" w:ascii="宋体" w:hAnsi="宋体" w:cs="宋体"/>
          <w:color w:val="auto"/>
          <w:sz w:val="24"/>
          <w:highlight w:val="none"/>
          <w:lang w:val="en-US" w:eastAsia="zh-CN"/>
        </w:rPr>
        <w:t>投标人</w:t>
      </w:r>
      <w:r>
        <w:rPr>
          <w:rFonts w:hint="eastAsia" w:ascii="宋体" w:hAnsi="宋体" w:eastAsia="宋体" w:cs="宋体"/>
          <w:sz w:val="24"/>
          <w:highlight w:val="none"/>
        </w:rPr>
        <w:t>的合法权益。</w:t>
      </w:r>
    </w:p>
    <w:p w14:paraId="1421338D">
      <w:pPr>
        <w:adjustRightInd w:val="0"/>
        <w:snapToGrid w:val="0"/>
        <w:spacing w:line="360" w:lineRule="auto"/>
        <w:ind w:right="-10"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 xml:space="preserve">第十五条 </w:t>
      </w:r>
      <w:r>
        <w:rPr>
          <w:rFonts w:hint="eastAsia" w:ascii="宋体" w:hAnsi="宋体" w:eastAsia="宋体" w:cs="宋体"/>
          <w:sz w:val="24"/>
          <w:highlight w:val="none"/>
        </w:rPr>
        <w:t>在评标过程中，评委必须对评标情况严格保密，任何人不得将评标情况透露给与</w:t>
      </w:r>
      <w:r>
        <w:rPr>
          <w:rFonts w:hint="eastAsia" w:ascii="宋体" w:hAnsi="宋体" w:cs="宋体"/>
          <w:sz w:val="24"/>
          <w:highlight w:val="none"/>
          <w:lang w:eastAsia="zh-CN"/>
        </w:rPr>
        <w:t>供应商</w:t>
      </w:r>
      <w:r>
        <w:rPr>
          <w:rFonts w:hint="eastAsia" w:ascii="宋体" w:hAnsi="宋体" w:eastAsia="宋体" w:cs="宋体"/>
          <w:sz w:val="24"/>
          <w:highlight w:val="none"/>
        </w:rPr>
        <w:t>有关的单位和个人。如有违反评标纪律的情况发生，将依据《中华人民共和国政府采购法》及其他有关法律法规的规定，追究有关当事人的责任。</w:t>
      </w:r>
    </w:p>
    <w:p w14:paraId="23186FE1">
      <w:pPr>
        <w:spacing w:line="360" w:lineRule="auto"/>
        <w:ind w:firstLine="482" w:firstLineChars="200"/>
        <w:jc w:val="left"/>
        <w:rPr>
          <w:rFonts w:hint="eastAsia" w:ascii="宋体" w:hAnsi="宋体" w:eastAsia="宋体" w:cs="宋体"/>
          <w:sz w:val="24"/>
          <w:highlight w:val="none"/>
        </w:rPr>
      </w:pPr>
      <w:r>
        <w:rPr>
          <w:rFonts w:hint="eastAsia" w:ascii="宋体" w:hAnsi="宋体" w:eastAsia="宋体" w:cs="宋体"/>
          <w:b/>
          <w:sz w:val="24"/>
          <w:highlight w:val="none"/>
        </w:rPr>
        <w:t>第十六条</w:t>
      </w:r>
      <w:r>
        <w:rPr>
          <w:rFonts w:hint="eastAsia" w:ascii="宋体" w:hAnsi="宋体" w:eastAsia="宋体" w:cs="宋体"/>
          <w:sz w:val="24"/>
          <w:highlight w:val="none"/>
        </w:rPr>
        <w:t xml:space="preserve"> 在招标采购中，出现下列情形之一的，应予废标：</w:t>
      </w:r>
    </w:p>
    <w:p w14:paraId="10D6EA7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1.出现影响采购公正的违法、违规行为的。</w:t>
      </w:r>
    </w:p>
    <w:p w14:paraId="0CF1BC2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2.投标时有弄虚作假的行为。</w:t>
      </w:r>
    </w:p>
    <w:p w14:paraId="052A1891">
      <w:pPr>
        <w:spacing w:line="360" w:lineRule="auto"/>
        <w:ind w:firstLine="475" w:firstLineChars="197"/>
        <w:rPr>
          <w:rFonts w:hint="eastAsia" w:ascii="宋体" w:hAnsi="宋体" w:eastAsia="宋体" w:cs="宋体"/>
          <w:sz w:val="24"/>
          <w:highlight w:val="none"/>
        </w:rPr>
      </w:pPr>
      <w:r>
        <w:rPr>
          <w:rFonts w:hint="eastAsia" w:ascii="宋体" w:hAnsi="宋体" w:eastAsia="宋体" w:cs="宋体"/>
          <w:b/>
          <w:sz w:val="24"/>
          <w:highlight w:val="none"/>
        </w:rPr>
        <w:t xml:space="preserve">第十七条 </w:t>
      </w:r>
      <w:r>
        <w:rPr>
          <w:rFonts w:hint="eastAsia" w:ascii="宋体" w:hAnsi="宋体" w:eastAsia="宋体" w:cs="宋体"/>
          <w:sz w:val="24"/>
          <w:highlight w:val="none"/>
        </w:rPr>
        <w:t>在投标过程中，出现下列情况之一的，按照无效投标处理：</w:t>
      </w:r>
    </w:p>
    <w:p w14:paraId="7E733E8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1.未按照招标文件规定要求签署、签章的</w:t>
      </w:r>
      <w:r>
        <w:rPr>
          <w:rFonts w:hint="eastAsia" w:ascii="宋体" w:hAnsi="宋体" w:eastAsia="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BC8BA17">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2.不具备招标文件中规定资格要求的；</w:t>
      </w:r>
    </w:p>
    <w:p w14:paraId="359C332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3.不符合法律、法规和招标文件中规定的其他实质性要求的。</w:t>
      </w:r>
    </w:p>
    <w:p w14:paraId="449568B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w:t>
      </w:r>
      <w:r>
        <w:rPr>
          <w:rFonts w:hint="eastAsia" w:ascii="宋体" w:hAnsi="宋体" w:cs="宋体"/>
          <w:sz w:val="24"/>
          <w:highlight w:val="none"/>
          <w:lang w:eastAsia="zh-CN"/>
        </w:rPr>
        <w:t>供应商</w:t>
      </w:r>
      <w:r>
        <w:rPr>
          <w:rFonts w:hint="eastAsia" w:ascii="宋体" w:hAnsi="宋体" w:eastAsia="宋体" w:cs="宋体"/>
          <w:sz w:val="24"/>
          <w:highlight w:val="none"/>
        </w:rPr>
        <w:t>的报价超过了采购预算，采购人不能支付的；</w:t>
      </w:r>
    </w:p>
    <w:p w14:paraId="7B508EA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5.投标文件附有招标人不能接受的条件；</w:t>
      </w:r>
    </w:p>
    <w:p w14:paraId="506F92E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6.投标文件中对同一服务或标段提供选择性报价的；</w:t>
      </w:r>
    </w:p>
    <w:p w14:paraId="4D18E05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7.商务偏差表或技术偏差表存在弄虚作假的；</w:t>
      </w:r>
    </w:p>
    <w:p w14:paraId="1290B9E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8.不同供应商的电子投标（响应）文件上传计算机的网卡 MAC 地址、CPU 序列号和硬盘序列号等硬件信息相同的;</w:t>
      </w:r>
    </w:p>
    <w:p w14:paraId="3D6E455E">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9.</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48D0B59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2FD1BD3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不同供应商的投标（响应）文件的内容存在两处以上细节错误一致；</w:t>
      </w:r>
    </w:p>
    <w:p w14:paraId="56E48098">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308A6A22">
      <w:pPr>
        <w:spacing w:line="360" w:lineRule="auto"/>
        <w:ind w:firstLine="480" w:firstLineChars="200"/>
        <w:rPr>
          <w:rFonts w:hint="eastAsia" w:eastAsia="宋体"/>
          <w:color w:val="000000"/>
          <w:highlight w:val="none"/>
          <w:lang w:eastAsia="zh-CN"/>
        </w:rPr>
      </w:pP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5200A6AF">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第十</w:t>
      </w:r>
      <w:r>
        <w:rPr>
          <w:rFonts w:hint="eastAsia" w:ascii="宋体" w:hAnsi="宋体" w:eastAsia="宋体" w:cs="宋体"/>
          <w:b/>
          <w:bCs/>
          <w:sz w:val="24"/>
          <w:highlight w:val="none"/>
        </w:rPr>
        <w:t>八</w:t>
      </w:r>
      <w:r>
        <w:rPr>
          <w:rFonts w:hint="eastAsia" w:ascii="宋体" w:hAnsi="宋体" w:eastAsia="宋体" w:cs="宋体"/>
          <w:b/>
          <w:sz w:val="24"/>
          <w:highlight w:val="none"/>
        </w:rPr>
        <w:t xml:space="preserve">条 </w:t>
      </w:r>
      <w:r>
        <w:rPr>
          <w:rFonts w:hint="eastAsia" w:ascii="宋体" w:hAnsi="宋体" w:eastAsia="宋体" w:cs="宋体"/>
          <w:sz w:val="24"/>
          <w:highlight w:val="none"/>
        </w:rPr>
        <w:t>在投标文件中，出现下列情形之一的，其投标有可能被拒绝：</w:t>
      </w:r>
    </w:p>
    <w:p w14:paraId="59B3EFB5">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服务</w:t>
      </w:r>
      <w:r>
        <w:rPr>
          <w:rFonts w:hint="eastAsia" w:ascii="宋体" w:hAnsi="宋体" w:eastAsia="宋体" w:cs="宋体"/>
          <w:sz w:val="24"/>
          <w:highlight w:val="none"/>
        </w:rPr>
        <w:t>工期不确切、不肯定的投标；</w:t>
      </w:r>
    </w:p>
    <w:p w14:paraId="39DC220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2.对售后服务、付款方式不满足招标文件要求的； </w:t>
      </w:r>
    </w:p>
    <w:p w14:paraId="37A9C0F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没有实质性响应招标文件的要求和条件的；</w:t>
      </w:r>
    </w:p>
    <w:p w14:paraId="28291B1E">
      <w:pPr>
        <w:tabs>
          <w:tab w:val="left" w:pos="2730"/>
        </w:tabs>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4.评标委员会认为</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的报价明显低于其他通过符合性审查</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的报价，有可能影响产品质量或者不能诚信履约的；</w:t>
      </w:r>
      <w:r>
        <w:rPr>
          <w:rFonts w:hint="eastAsia" w:ascii="宋体" w:hAnsi="宋体" w:eastAsia="宋体" w:cs="宋体"/>
          <w:color w:val="000000"/>
          <w:sz w:val="24"/>
          <w:highlight w:val="none"/>
          <w:lang w:val="en-US" w:eastAsia="zh-CN"/>
        </w:rPr>
        <w:t>且</w:t>
      </w:r>
      <w:r>
        <w:rPr>
          <w:rFonts w:hint="eastAsia" w:ascii="宋体" w:hAnsi="宋体" w:eastAsia="宋体" w:cs="宋体"/>
          <w:color w:val="000000"/>
          <w:sz w:val="24"/>
          <w:highlight w:val="none"/>
        </w:rPr>
        <w:t>提供</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书面说明</w:t>
      </w:r>
      <w:r>
        <w:rPr>
          <w:rFonts w:hint="eastAsia" w:ascii="宋体" w:hAnsi="宋体" w:eastAsia="宋体" w:cs="宋体"/>
          <w:color w:val="000000"/>
          <w:sz w:val="24"/>
          <w:highlight w:val="none"/>
          <w:lang w:val="en-US" w:eastAsia="zh-CN"/>
        </w:rPr>
        <w:t>和</w:t>
      </w:r>
      <w:r>
        <w:rPr>
          <w:rFonts w:hint="eastAsia" w:ascii="宋体" w:hAnsi="宋体" w:eastAsia="宋体" w:cs="宋体"/>
          <w:color w:val="000000"/>
          <w:sz w:val="24"/>
          <w:highlight w:val="none"/>
        </w:rPr>
        <w:t>相关证明材料；</w:t>
      </w:r>
      <w:r>
        <w:rPr>
          <w:rFonts w:hint="eastAsia" w:ascii="宋体" w:hAnsi="宋体" w:cs="宋体"/>
          <w:color w:val="000000"/>
          <w:sz w:val="24"/>
          <w:highlight w:val="none"/>
          <w:lang w:eastAsia="zh-CN"/>
        </w:rPr>
        <w:t>供应商</w:t>
      </w:r>
      <w:r>
        <w:rPr>
          <w:rFonts w:hint="eastAsia" w:ascii="宋体" w:hAnsi="宋体" w:eastAsia="宋体" w:cs="宋体"/>
          <w:color w:val="000000"/>
          <w:sz w:val="24"/>
          <w:highlight w:val="none"/>
        </w:rPr>
        <w:t>不能证明其报价合理性的，评标委员会应当将其作为无效投标处理</w:t>
      </w:r>
      <w:r>
        <w:rPr>
          <w:rFonts w:hint="eastAsia" w:ascii="宋体" w:hAnsi="宋体" w:eastAsia="宋体" w:cs="宋体"/>
          <w:color w:val="000000"/>
          <w:sz w:val="24"/>
          <w:highlight w:val="none"/>
          <w:lang w:eastAsia="zh-CN"/>
        </w:rPr>
        <w:t>。</w:t>
      </w:r>
    </w:p>
    <w:p w14:paraId="4F152A27">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第十九条</w:t>
      </w:r>
      <w:r>
        <w:rPr>
          <w:rFonts w:hint="eastAsia" w:ascii="宋体" w:hAnsi="宋体" w:eastAsia="宋体" w:cs="宋体"/>
          <w:sz w:val="24"/>
          <w:highlight w:val="none"/>
        </w:rPr>
        <w:t xml:space="preserve"> 本评标办法的解释权属于采购人。</w:t>
      </w:r>
    </w:p>
    <w:p w14:paraId="1CBD1465">
      <w:pPr>
        <w:spacing w:line="360" w:lineRule="auto"/>
        <w:rPr>
          <w:rFonts w:hint="eastAsia" w:ascii="宋体" w:hAnsi="宋体" w:eastAsia="宋体" w:cs="宋体"/>
          <w:sz w:val="24"/>
          <w:highlight w:val="none"/>
        </w:rPr>
      </w:pPr>
    </w:p>
    <w:p w14:paraId="0768BDBE">
      <w:pPr>
        <w:pStyle w:val="2"/>
        <w:spacing w:before="0" w:after="0" w:line="400" w:lineRule="exact"/>
        <w:jc w:val="center"/>
        <w:rPr>
          <w:rFonts w:hint="eastAsia" w:ascii="宋体" w:hAnsi="宋体" w:eastAsia="宋体" w:cs="宋体"/>
          <w:highlight w:val="none"/>
        </w:rPr>
      </w:pPr>
      <w:bookmarkStart w:id="55" w:name="_Toc527725920"/>
      <w:r>
        <w:rPr>
          <w:rFonts w:hint="eastAsia" w:ascii="宋体" w:hAnsi="宋体" w:eastAsia="宋体" w:cs="宋体"/>
          <w:sz w:val="32"/>
          <w:highlight w:val="none"/>
        </w:rPr>
        <w:br w:type="page"/>
      </w:r>
      <w:bookmarkStart w:id="56" w:name="_Toc28050"/>
      <w:bookmarkStart w:id="57" w:name="_Toc19468"/>
      <w:bookmarkStart w:id="58" w:name="_Toc40975440"/>
      <w:bookmarkStart w:id="59" w:name="_Toc19953"/>
      <w:r>
        <w:rPr>
          <w:rFonts w:hint="eastAsia" w:ascii="宋体" w:hAnsi="宋体" w:eastAsia="宋体" w:cs="宋体"/>
          <w:sz w:val="32"/>
          <w:highlight w:val="none"/>
        </w:rPr>
        <w:t>招标文件第二部分</w:t>
      </w:r>
      <w:bookmarkEnd w:id="55"/>
      <w:bookmarkEnd w:id="56"/>
      <w:bookmarkEnd w:id="57"/>
      <w:bookmarkEnd w:id="58"/>
      <w:bookmarkEnd w:id="59"/>
      <w:bookmarkStart w:id="60" w:name="_Toc527725921"/>
    </w:p>
    <w:p w14:paraId="41A6AD0E">
      <w:pPr>
        <w:pStyle w:val="3"/>
        <w:spacing w:line="500" w:lineRule="exact"/>
        <w:ind w:firstLine="0"/>
        <w:rPr>
          <w:rFonts w:hint="eastAsia" w:ascii="宋体" w:hAnsi="宋体" w:eastAsia="宋体" w:cs="宋体"/>
          <w:highlight w:val="none"/>
        </w:rPr>
      </w:pPr>
      <w:bookmarkStart w:id="61" w:name="_Toc20612"/>
      <w:r>
        <w:rPr>
          <w:rFonts w:hint="eastAsia" w:ascii="宋体" w:hAnsi="宋体" w:eastAsia="宋体" w:cs="宋体"/>
          <w:highlight w:val="none"/>
        </w:rPr>
        <w:t xml:space="preserve">第五章 </w:t>
      </w:r>
      <w:r>
        <w:rPr>
          <w:rFonts w:hint="eastAsia" w:ascii="宋体" w:hAnsi="宋体" w:eastAsia="宋体" w:cs="宋体"/>
          <w:highlight w:val="none"/>
          <w:lang w:eastAsia="zh-CN"/>
        </w:rPr>
        <w:t>供应商</w:t>
      </w:r>
      <w:r>
        <w:rPr>
          <w:rFonts w:hint="eastAsia" w:ascii="宋体" w:hAnsi="宋体" w:eastAsia="宋体" w:cs="宋体"/>
          <w:highlight w:val="none"/>
        </w:rPr>
        <w:t>须知</w:t>
      </w:r>
      <w:bookmarkEnd w:id="60"/>
      <w:bookmarkEnd w:id="61"/>
    </w:p>
    <w:p w14:paraId="32A6B8AD">
      <w:pPr>
        <w:pStyle w:val="4"/>
        <w:spacing w:line="500" w:lineRule="exact"/>
        <w:rPr>
          <w:rFonts w:hint="eastAsia" w:ascii="宋体" w:hAnsi="宋体" w:eastAsia="宋体" w:cs="宋体"/>
          <w:sz w:val="28"/>
          <w:highlight w:val="none"/>
        </w:rPr>
      </w:pPr>
      <w:bookmarkStart w:id="62" w:name="_Hlt509649722"/>
      <w:bookmarkEnd w:id="62"/>
      <w:bookmarkStart w:id="63" w:name="_Hlt509650686"/>
      <w:bookmarkEnd w:id="63"/>
      <w:bookmarkStart w:id="64" w:name="_Hlt509650955"/>
      <w:bookmarkEnd w:id="64"/>
      <w:bookmarkStart w:id="65" w:name="_Hlt509650126"/>
      <w:bookmarkEnd w:id="65"/>
      <w:bookmarkStart w:id="66" w:name="_Hlt509649998"/>
      <w:bookmarkEnd w:id="66"/>
      <w:bookmarkStart w:id="67" w:name="_Hlt526418143"/>
      <w:bookmarkEnd w:id="67"/>
      <w:bookmarkStart w:id="68" w:name="_Toc23614"/>
      <w:bookmarkStart w:id="69" w:name="_Toc10068"/>
      <w:bookmarkStart w:id="70" w:name="_Toc40975442"/>
      <w:bookmarkStart w:id="71" w:name="_Toc527725922"/>
      <w:bookmarkStart w:id="72" w:name="_Toc32160"/>
      <w:r>
        <w:rPr>
          <w:rFonts w:hint="eastAsia" w:ascii="宋体" w:hAnsi="宋体" w:eastAsia="宋体" w:cs="宋体"/>
          <w:sz w:val="28"/>
          <w:highlight w:val="none"/>
        </w:rPr>
        <w:t>一．总    则</w:t>
      </w:r>
      <w:bookmarkEnd w:id="68"/>
      <w:bookmarkEnd w:id="69"/>
      <w:bookmarkEnd w:id="70"/>
      <w:bookmarkEnd w:id="71"/>
      <w:bookmarkEnd w:id="72"/>
    </w:p>
    <w:p w14:paraId="74A3A91D">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1.适用范围</w:t>
      </w:r>
    </w:p>
    <w:p w14:paraId="659E6CBE">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1.1本招标文件仅适用于本次公开招标所述的服务项目采购。</w:t>
      </w:r>
    </w:p>
    <w:p w14:paraId="392DE3B7">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2.有关定义</w:t>
      </w:r>
    </w:p>
    <w:p w14:paraId="5FD87B6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2.1招标人（采购人）：</w:t>
      </w:r>
      <w:r>
        <w:rPr>
          <w:rFonts w:hint="eastAsia" w:ascii="宋体" w:hAnsi="宋体" w:cs="宋体"/>
          <w:i w:val="0"/>
          <w:iCs w:val="0"/>
          <w:sz w:val="24"/>
          <w:szCs w:val="24"/>
          <w:highlight w:val="none"/>
          <w:lang w:val="en-US" w:eastAsia="zh-CN"/>
        </w:rPr>
        <w:t>太康县教育体育局</w:t>
      </w:r>
      <w:r>
        <w:rPr>
          <w:rFonts w:hint="eastAsia" w:ascii="宋体" w:hAnsi="宋体" w:eastAsia="宋体" w:cs="宋体"/>
          <w:sz w:val="24"/>
          <w:highlight w:val="none"/>
        </w:rPr>
        <w:t>。</w:t>
      </w:r>
    </w:p>
    <w:p w14:paraId="48539F4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2.2招标代理机构（集中采购机构）：系指周口市公共资源交易中心政府采购中心，以下简称“采购中心”。</w:t>
      </w:r>
    </w:p>
    <w:p w14:paraId="59684323">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2.3政府采购监督管理部门：系指</w:t>
      </w:r>
      <w:r>
        <w:rPr>
          <w:rFonts w:hint="eastAsia" w:cs="宋体"/>
          <w:color w:val="auto"/>
          <w:sz w:val="24"/>
          <w:szCs w:val="24"/>
          <w:highlight w:val="none"/>
          <w:lang w:eastAsia="zh-CN"/>
        </w:rPr>
        <w:t>太康县财政局</w:t>
      </w:r>
      <w:r>
        <w:rPr>
          <w:rFonts w:hint="eastAsia" w:ascii="宋体" w:hAnsi="宋体" w:eastAsia="宋体" w:cs="宋体"/>
          <w:sz w:val="24"/>
          <w:highlight w:val="none"/>
        </w:rPr>
        <w:t>。</w:t>
      </w:r>
    </w:p>
    <w:p w14:paraId="3F64D8D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2.4</w:t>
      </w:r>
      <w:r>
        <w:rPr>
          <w:rFonts w:hint="eastAsia" w:ascii="宋体" w:hAnsi="宋体" w:cs="宋体"/>
          <w:sz w:val="24"/>
          <w:highlight w:val="none"/>
          <w:lang w:eastAsia="zh-CN"/>
        </w:rPr>
        <w:t>供应商</w:t>
      </w:r>
      <w:r>
        <w:rPr>
          <w:rFonts w:hint="eastAsia" w:ascii="宋体" w:hAnsi="宋体" w:eastAsia="宋体" w:cs="宋体"/>
          <w:sz w:val="24"/>
          <w:highlight w:val="none"/>
        </w:rPr>
        <w:t>：系指已经在周口市公共资源交易中心网上下载招标文件的</w:t>
      </w:r>
      <w:r>
        <w:rPr>
          <w:rFonts w:hint="eastAsia" w:ascii="宋体" w:hAnsi="宋体" w:cs="宋体"/>
          <w:sz w:val="24"/>
          <w:highlight w:val="none"/>
          <w:lang w:eastAsia="zh-CN"/>
        </w:rPr>
        <w:t>供应商</w:t>
      </w:r>
      <w:r>
        <w:rPr>
          <w:rFonts w:hint="eastAsia" w:ascii="宋体" w:hAnsi="宋体" w:eastAsia="宋体" w:cs="宋体"/>
          <w:sz w:val="24"/>
          <w:highlight w:val="none"/>
        </w:rPr>
        <w:t>，且已经提交或准备提交本次投标文件的制造商、供应商或服务商。</w:t>
      </w:r>
    </w:p>
    <w:p w14:paraId="428B031A">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2.服务：系指本项目所采购内容。</w:t>
      </w:r>
    </w:p>
    <w:p w14:paraId="26932BB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2.6业绩：系指符合本招标文件规定且已供货（安装）完毕的合同及相关证明。</w:t>
      </w:r>
    </w:p>
    <w:p w14:paraId="0EF89B94">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2.7</w:t>
      </w:r>
      <w:r>
        <w:rPr>
          <w:rFonts w:hint="eastAsia" w:ascii="宋体" w:hAnsi="宋体" w:cs="宋体"/>
          <w:sz w:val="24"/>
          <w:highlight w:val="none"/>
          <w:lang w:eastAsia="zh-CN"/>
        </w:rPr>
        <w:t>供应商</w:t>
      </w:r>
      <w:r>
        <w:rPr>
          <w:rFonts w:hint="eastAsia" w:ascii="宋体" w:hAnsi="宋体" w:eastAsia="宋体" w:cs="宋体"/>
          <w:sz w:val="24"/>
          <w:highlight w:val="none"/>
        </w:rPr>
        <w:t>公章：在电子投标文件中系指</w:t>
      </w:r>
      <w:r>
        <w:rPr>
          <w:rFonts w:hint="eastAsia" w:ascii="宋体" w:hAnsi="宋体" w:cs="宋体"/>
          <w:sz w:val="24"/>
          <w:highlight w:val="none"/>
          <w:lang w:eastAsia="zh-CN"/>
        </w:rPr>
        <w:t>供应商</w:t>
      </w:r>
      <w:r>
        <w:rPr>
          <w:rFonts w:hint="eastAsia" w:ascii="宋体" w:hAnsi="宋体" w:eastAsia="宋体" w:cs="宋体"/>
          <w:sz w:val="24"/>
          <w:highlight w:val="none"/>
        </w:rPr>
        <w:t>电子签章。</w:t>
      </w:r>
    </w:p>
    <w:p w14:paraId="0113F6F5">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3.投标费用</w:t>
      </w:r>
    </w:p>
    <w:p w14:paraId="741D247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3.1</w:t>
      </w:r>
      <w:r>
        <w:rPr>
          <w:rFonts w:hint="eastAsia" w:ascii="宋体" w:hAnsi="宋体" w:eastAsia="宋体" w:cs="宋体"/>
          <w:color w:val="auto"/>
          <w:sz w:val="24"/>
          <w:highlight w:val="none"/>
        </w:rPr>
        <w:t>无论投标结果如何，</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应自行承担其编制与递交投标文件所涉及的一切费用。</w:t>
      </w:r>
    </w:p>
    <w:p w14:paraId="2820721A">
      <w:pPr>
        <w:spacing w:line="360" w:lineRule="auto"/>
        <w:ind w:firstLine="550"/>
        <w:rPr>
          <w:rFonts w:hint="eastAsia" w:ascii="宋体" w:hAnsi="宋体" w:eastAsia="宋体" w:cs="宋体"/>
          <w:b/>
          <w:bCs/>
          <w:sz w:val="24"/>
          <w:highlight w:val="none"/>
          <w:lang w:eastAsia="zh-CN"/>
        </w:rPr>
      </w:pPr>
      <w:r>
        <w:rPr>
          <w:rFonts w:hint="eastAsia" w:ascii="宋体" w:hAnsi="宋体" w:eastAsia="宋体" w:cs="宋体"/>
          <w:b/>
          <w:bCs/>
          <w:sz w:val="24"/>
          <w:highlight w:val="none"/>
        </w:rPr>
        <w:t>4.合格的</w:t>
      </w:r>
      <w:r>
        <w:rPr>
          <w:rFonts w:hint="eastAsia" w:ascii="宋体" w:hAnsi="宋体" w:cs="宋体"/>
          <w:b/>
          <w:bCs/>
          <w:sz w:val="24"/>
          <w:highlight w:val="none"/>
          <w:lang w:eastAsia="zh-CN"/>
        </w:rPr>
        <w:t>供应商</w:t>
      </w:r>
    </w:p>
    <w:p w14:paraId="0F47C77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4.1合格的</w:t>
      </w:r>
      <w:r>
        <w:rPr>
          <w:rFonts w:hint="eastAsia" w:ascii="宋体" w:hAnsi="宋体" w:cs="宋体"/>
          <w:sz w:val="24"/>
          <w:highlight w:val="none"/>
          <w:lang w:eastAsia="zh-CN"/>
        </w:rPr>
        <w:t>供应商</w:t>
      </w:r>
      <w:r>
        <w:rPr>
          <w:rFonts w:hint="eastAsia" w:ascii="宋体" w:hAnsi="宋体" w:eastAsia="宋体" w:cs="宋体"/>
          <w:sz w:val="24"/>
          <w:highlight w:val="none"/>
        </w:rPr>
        <w:t>应符合招标文件载明的投标资格。</w:t>
      </w:r>
    </w:p>
    <w:p w14:paraId="0D4376C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4.2</w:t>
      </w:r>
      <w:r>
        <w:rPr>
          <w:rFonts w:hint="eastAsia" w:ascii="宋体" w:hAnsi="宋体" w:cs="宋体"/>
          <w:sz w:val="24"/>
          <w:highlight w:val="none"/>
          <w:lang w:eastAsia="zh-CN"/>
        </w:rPr>
        <w:t>供应商</w:t>
      </w:r>
      <w:r>
        <w:rPr>
          <w:rFonts w:hint="eastAsia" w:ascii="宋体" w:hAnsi="宋体" w:eastAsia="宋体" w:cs="宋体"/>
          <w:sz w:val="24"/>
          <w:highlight w:val="none"/>
        </w:rPr>
        <w:t>之间如果存在下列情形之一的，不得同时参加同一标段（包别）或者不分标段（包别）的同一项目投标：</w:t>
      </w:r>
    </w:p>
    <w:p w14:paraId="2BCFB510">
      <w:pPr>
        <w:spacing w:line="360" w:lineRule="auto"/>
        <w:ind w:left="420" w:leftChars="200" w:firstLine="88" w:firstLineChars="37"/>
        <w:rPr>
          <w:rFonts w:hint="eastAsia" w:ascii="宋体" w:hAnsi="宋体" w:eastAsia="宋体" w:cs="宋体"/>
          <w:sz w:val="24"/>
          <w:highlight w:val="none"/>
        </w:rPr>
      </w:pPr>
      <w:r>
        <w:rPr>
          <w:rFonts w:hint="eastAsia" w:ascii="宋体" w:hAnsi="宋体" w:eastAsia="宋体" w:cs="宋体"/>
          <w:sz w:val="24"/>
          <w:highlight w:val="none"/>
        </w:rPr>
        <w:t>4.2.1法定代表人为同一个人的两个及两个以上法人；</w:t>
      </w:r>
    </w:p>
    <w:p w14:paraId="45C585E5">
      <w:pPr>
        <w:spacing w:line="360" w:lineRule="auto"/>
        <w:ind w:left="420" w:leftChars="200" w:firstLine="88" w:firstLineChars="37"/>
        <w:rPr>
          <w:rFonts w:hint="eastAsia" w:ascii="宋体" w:hAnsi="宋体" w:eastAsia="宋体" w:cs="宋体"/>
          <w:sz w:val="24"/>
          <w:highlight w:val="none"/>
        </w:rPr>
      </w:pPr>
      <w:r>
        <w:rPr>
          <w:rFonts w:hint="eastAsia" w:ascii="宋体" w:hAnsi="宋体" w:eastAsia="宋体" w:cs="宋体"/>
          <w:sz w:val="24"/>
          <w:highlight w:val="none"/>
        </w:rPr>
        <w:t>4.2.2母公司、全资子公司及其控股公司；</w:t>
      </w:r>
    </w:p>
    <w:p w14:paraId="6027E8A2">
      <w:pPr>
        <w:pStyle w:val="6"/>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4.2.3参加投标的其他组织之间存在特殊的利害关系的；</w:t>
      </w:r>
    </w:p>
    <w:p w14:paraId="58CDF3E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4.2.4法律和行政法规规定的其他情形。</w:t>
      </w:r>
    </w:p>
    <w:p w14:paraId="072B64DF">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5.勘察现场</w:t>
      </w:r>
    </w:p>
    <w:p w14:paraId="007EB1C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5.1</w:t>
      </w:r>
      <w:r>
        <w:rPr>
          <w:rFonts w:hint="eastAsia" w:ascii="宋体" w:hAnsi="宋体" w:cs="宋体"/>
          <w:sz w:val="24"/>
          <w:highlight w:val="none"/>
          <w:lang w:eastAsia="zh-CN"/>
        </w:rPr>
        <w:t>供应商</w:t>
      </w:r>
      <w:r>
        <w:rPr>
          <w:rFonts w:hint="eastAsia" w:ascii="宋体" w:hAnsi="宋体" w:eastAsia="宋体" w:cs="宋体"/>
          <w:sz w:val="24"/>
          <w:highlight w:val="none"/>
        </w:rPr>
        <w:t>应自行对供货现场和周围环境进行勘察，以获取编制投标文件和签署合同所需的资料。勘察现场的方式、地址及联系方式见</w:t>
      </w:r>
      <w:r>
        <w:rPr>
          <w:rFonts w:hint="eastAsia" w:ascii="宋体" w:hAnsi="宋体" w:cs="宋体"/>
          <w:sz w:val="24"/>
          <w:highlight w:val="none"/>
          <w:lang w:eastAsia="zh-CN"/>
        </w:rPr>
        <w:t>供应商</w:t>
      </w:r>
      <w:r>
        <w:rPr>
          <w:rFonts w:hint="eastAsia" w:ascii="宋体" w:hAnsi="宋体" w:eastAsia="宋体" w:cs="宋体"/>
          <w:sz w:val="24"/>
          <w:highlight w:val="none"/>
        </w:rPr>
        <w:t>须知前附表。</w:t>
      </w:r>
    </w:p>
    <w:p w14:paraId="15B0484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5.2勘察现场所发生的费用由</w:t>
      </w:r>
      <w:r>
        <w:rPr>
          <w:rFonts w:hint="eastAsia" w:ascii="宋体" w:hAnsi="宋体" w:cs="宋体"/>
          <w:sz w:val="24"/>
          <w:highlight w:val="none"/>
          <w:lang w:eastAsia="zh-CN"/>
        </w:rPr>
        <w:t>供应商</w:t>
      </w:r>
      <w:r>
        <w:rPr>
          <w:rFonts w:hint="eastAsia" w:ascii="宋体" w:hAnsi="宋体" w:eastAsia="宋体" w:cs="宋体"/>
          <w:sz w:val="24"/>
          <w:highlight w:val="none"/>
        </w:rPr>
        <w:t>自行承担。采购人向</w:t>
      </w:r>
      <w:r>
        <w:rPr>
          <w:rFonts w:hint="eastAsia" w:ascii="宋体" w:hAnsi="宋体" w:cs="宋体"/>
          <w:sz w:val="24"/>
          <w:highlight w:val="none"/>
          <w:lang w:eastAsia="zh-CN"/>
        </w:rPr>
        <w:t>供应商</w:t>
      </w:r>
      <w:r>
        <w:rPr>
          <w:rFonts w:hint="eastAsia" w:ascii="宋体" w:hAnsi="宋体" w:eastAsia="宋体" w:cs="宋体"/>
          <w:sz w:val="24"/>
          <w:highlight w:val="none"/>
        </w:rPr>
        <w:t>提供的有关供货现场的资料和数据，是采购人现有的能使</w:t>
      </w:r>
      <w:r>
        <w:rPr>
          <w:rFonts w:hint="eastAsia" w:ascii="宋体" w:hAnsi="宋体" w:cs="宋体"/>
          <w:sz w:val="24"/>
          <w:highlight w:val="none"/>
          <w:lang w:eastAsia="zh-CN"/>
        </w:rPr>
        <w:t>供应商</w:t>
      </w:r>
      <w:r>
        <w:rPr>
          <w:rFonts w:hint="eastAsia" w:ascii="宋体" w:hAnsi="宋体" w:eastAsia="宋体" w:cs="宋体"/>
          <w:sz w:val="24"/>
          <w:highlight w:val="none"/>
        </w:rPr>
        <w:t>利用的资料。采购人对</w:t>
      </w:r>
      <w:r>
        <w:rPr>
          <w:rFonts w:hint="eastAsia" w:ascii="宋体" w:hAnsi="宋体" w:cs="宋体"/>
          <w:sz w:val="24"/>
          <w:highlight w:val="none"/>
          <w:lang w:eastAsia="zh-CN"/>
        </w:rPr>
        <w:t>供应商</w:t>
      </w:r>
      <w:r>
        <w:rPr>
          <w:rFonts w:hint="eastAsia" w:ascii="宋体" w:hAnsi="宋体" w:eastAsia="宋体" w:cs="宋体"/>
          <w:sz w:val="24"/>
          <w:highlight w:val="none"/>
        </w:rPr>
        <w:t>由此而做出的推论、理解和结论概不负责。</w:t>
      </w:r>
      <w:r>
        <w:rPr>
          <w:rFonts w:hint="eastAsia" w:ascii="宋体" w:hAnsi="宋体" w:cs="宋体"/>
          <w:sz w:val="24"/>
          <w:highlight w:val="none"/>
          <w:lang w:eastAsia="zh-CN"/>
        </w:rPr>
        <w:t>供应商</w:t>
      </w:r>
      <w:r>
        <w:rPr>
          <w:rFonts w:hint="eastAsia" w:ascii="宋体" w:hAnsi="宋体" w:eastAsia="宋体" w:cs="宋体"/>
          <w:sz w:val="24"/>
          <w:highlight w:val="none"/>
        </w:rPr>
        <w:t>未到供货现场实地踏勘的，中标后签订合同时和履约过程中，不得以不完全了解现场情况为由，提出任何形式的增加合同价款或索赔的要求。</w:t>
      </w:r>
    </w:p>
    <w:p w14:paraId="64221DFE">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5.3除非有特殊要求，招标文件不单独提供供货使用地的自然环境、气候条件、公用设施等情况，</w:t>
      </w:r>
      <w:r>
        <w:rPr>
          <w:rFonts w:hint="eastAsia" w:ascii="宋体" w:hAnsi="宋体" w:cs="宋体"/>
          <w:sz w:val="24"/>
          <w:highlight w:val="none"/>
          <w:lang w:eastAsia="zh-CN"/>
        </w:rPr>
        <w:t>供应商</w:t>
      </w:r>
      <w:r>
        <w:rPr>
          <w:rFonts w:hint="eastAsia" w:ascii="宋体" w:hAnsi="宋体" w:eastAsia="宋体" w:cs="宋体"/>
          <w:sz w:val="24"/>
          <w:highlight w:val="none"/>
        </w:rPr>
        <w:t>被视为熟悉上述与履行合同有关的一切情况。</w:t>
      </w:r>
    </w:p>
    <w:p w14:paraId="735D9F91">
      <w:pPr>
        <w:spacing w:line="360" w:lineRule="auto"/>
        <w:ind w:firstLine="550"/>
        <w:rPr>
          <w:rFonts w:hint="eastAsia" w:ascii="宋体" w:hAnsi="宋体" w:eastAsia="宋体" w:cs="宋体"/>
          <w:bCs/>
          <w:sz w:val="24"/>
          <w:highlight w:val="none"/>
        </w:rPr>
      </w:pPr>
      <w:r>
        <w:rPr>
          <w:rFonts w:hint="eastAsia" w:ascii="宋体" w:hAnsi="宋体" w:eastAsia="宋体" w:cs="宋体"/>
          <w:b/>
          <w:sz w:val="24"/>
          <w:highlight w:val="none"/>
        </w:rPr>
        <w:t>6.知识产权</w:t>
      </w:r>
    </w:p>
    <w:p w14:paraId="4DCC28A6">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6.1</w:t>
      </w:r>
      <w:r>
        <w:rPr>
          <w:rFonts w:hint="eastAsia" w:ascii="宋体" w:hAnsi="宋体" w:cs="宋体"/>
          <w:bCs/>
          <w:sz w:val="24"/>
          <w:highlight w:val="none"/>
          <w:lang w:eastAsia="zh-CN"/>
        </w:rPr>
        <w:t>供应商</w:t>
      </w:r>
      <w:r>
        <w:rPr>
          <w:rFonts w:hint="eastAsia" w:ascii="宋体" w:hAnsi="宋体" w:eastAsia="宋体" w:cs="宋体"/>
          <w:bCs/>
          <w:sz w:val="24"/>
          <w:highlight w:val="none"/>
        </w:rPr>
        <w:t>须</w:t>
      </w:r>
      <w:r>
        <w:rPr>
          <w:rFonts w:hint="eastAsia" w:ascii="宋体" w:hAnsi="宋体" w:cs="宋体"/>
          <w:bCs/>
          <w:sz w:val="24"/>
          <w:highlight w:val="none"/>
          <w:lang w:val="en-US" w:eastAsia="zh-CN"/>
        </w:rPr>
        <w:t>保证</w:t>
      </w:r>
      <w:r>
        <w:rPr>
          <w:rFonts w:hint="eastAsia" w:ascii="宋体" w:hAnsi="宋体" w:eastAsia="宋体" w:cs="宋体"/>
          <w:bCs/>
          <w:sz w:val="24"/>
          <w:highlight w:val="none"/>
        </w:rPr>
        <w:t>采购人在中华人民共和国境内使用投标货物、资料、技术、服务或其任何一部分时，享有不受限制的无偿使用权，不会产生因第三方提出侵犯其专利权、商标权或其它知识产权而引起的法律或经济纠纷。如</w:t>
      </w:r>
      <w:r>
        <w:rPr>
          <w:rFonts w:hint="eastAsia" w:ascii="宋体" w:hAnsi="宋体" w:cs="宋体"/>
          <w:bCs/>
          <w:sz w:val="24"/>
          <w:highlight w:val="none"/>
          <w:lang w:eastAsia="zh-CN"/>
        </w:rPr>
        <w:t>供应商</w:t>
      </w:r>
      <w:r>
        <w:rPr>
          <w:rFonts w:hint="eastAsia" w:ascii="宋体" w:hAnsi="宋体" w:eastAsia="宋体" w:cs="宋体"/>
          <w:bCs/>
          <w:sz w:val="24"/>
          <w:highlight w:val="none"/>
        </w:rPr>
        <w:t>不拥有相应的知识产权，则在投标报价中必须包括合法获取该知识产权的一切相关费用。</w:t>
      </w:r>
      <w:r>
        <w:rPr>
          <w:rFonts w:hint="eastAsia" w:ascii="宋体" w:hAnsi="宋体" w:eastAsia="宋体" w:cs="宋体"/>
          <w:sz w:val="24"/>
          <w:highlight w:val="none"/>
        </w:rPr>
        <w:t>如因此导致采购人损失的，</w:t>
      </w:r>
      <w:r>
        <w:rPr>
          <w:rFonts w:hint="eastAsia" w:ascii="宋体" w:hAnsi="宋体" w:cs="宋体"/>
          <w:sz w:val="24"/>
          <w:highlight w:val="none"/>
          <w:lang w:eastAsia="zh-CN"/>
        </w:rPr>
        <w:t>供应商</w:t>
      </w:r>
      <w:r>
        <w:rPr>
          <w:rFonts w:hint="eastAsia" w:ascii="宋体" w:hAnsi="宋体" w:eastAsia="宋体" w:cs="宋体"/>
          <w:sz w:val="24"/>
          <w:highlight w:val="none"/>
        </w:rPr>
        <w:t>须承担全部赔偿责任。</w:t>
      </w:r>
    </w:p>
    <w:p w14:paraId="6AE3C8B6">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6.2</w:t>
      </w:r>
      <w:r>
        <w:rPr>
          <w:rFonts w:hint="eastAsia" w:ascii="宋体" w:hAnsi="宋体" w:cs="宋体"/>
          <w:bCs/>
          <w:sz w:val="24"/>
          <w:highlight w:val="none"/>
          <w:lang w:eastAsia="zh-CN"/>
        </w:rPr>
        <w:t>供应商</w:t>
      </w:r>
      <w:r>
        <w:rPr>
          <w:rFonts w:hint="eastAsia" w:ascii="宋体" w:hAnsi="宋体" w:eastAsia="宋体" w:cs="宋体"/>
          <w:bCs/>
          <w:sz w:val="24"/>
          <w:highlight w:val="none"/>
        </w:rPr>
        <w:t>如欲在项目实施过程中采用自有知识成果，须在投标文件中声明，并提供相关知识产权证明文件。使用该知识成果后，</w:t>
      </w:r>
      <w:r>
        <w:rPr>
          <w:rFonts w:hint="eastAsia" w:ascii="宋体" w:hAnsi="宋体" w:cs="宋体"/>
          <w:bCs/>
          <w:sz w:val="24"/>
          <w:highlight w:val="none"/>
          <w:lang w:eastAsia="zh-CN"/>
        </w:rPr>
        <w:t>供应商</w:t>
      </w:r>
      <w:r>
        <w:rPr>
          <w:rFonts w:hint="eastAsia" w:ascii="宋体" w:hAnsi="宋体" w:eastAsia="宋体" w:cs="宋体"/>
          <w:bCs/>
          <w:sz w:val="24"/>
          <w:highlight w:val="none"/>
        </w:rPr>
        <w:t>须提供开发接口和开发手册等技术文档。</w:t>
      </w:r>
    </w:p>
    <w:p w14:paraId="31323525">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7.纪律与保密</w:t>
      </w:r>
    </w:p>
    <w:p w14:paraId="5F89381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7.1</w:t>
      </w:r>
      <w:r>
        <w:rPr>
          <w:rFonts w:hint="eastAsia" w:ascii="宋体" w:hAnsi="宋体" w:cs="宋体"/>
          <w:sz w:val="24"/>
          <w:highlight w:val="none"/>
          <w:lang w:eastAsia="zh-CN"/>
        </w:rPr>
        <w:t>供应商</w:t>
      </w:r>
      <w:r>
        <w:rPr>
          <w:rFonts w:hint="eastAsia" w:ascii="宋体" w:hAnsi="宋体" w:eastAsia="宋体" w:cs="宋体"/>
          <w:sz w:val="24"/>
          <w:highlight w:val="none"/>
        </w:rPr>
        <w:t>的投标行为应遵守中国的有关法律、法规和规章。</w:t>
      </w:r>
    </w:p>
    <w:p w14:paraId="06FB20BF">
      <w:pPr>
        <w:spacing w:line="360" w:lineRule="auto"/>
        <w:ind w:firstLine="549"/>
        <w:rPr>
          <w:rFonts w:hint="default" w:ascii="宋体" w:hAnsi="宋体" w:eastAsia="宋体" w:cs="宋体"/>
          <w:sz w:val="24"/>
          <w:highlight w:val="none"/>
          <w:lang w:val="en-US" w:eastAsia="zh-CN"/>
        </w:rPr>
      </w:pPr>
      <w:r>
        <w:rPr>
          <w:rFonts w:hint="eastAsia" w:ascii="宋体" w:hAnsi="宋体" w:eastAsia="宋体" w:cs="宋体"/>
          <w:sz w:val="24"/>
          <w:highlight w:val="none"/>
        </w:rPr>
        <w:t>7.2</w:t>
      </w:r>
      <w:r>
        <w:rPr>
          <w:rFonts w:hint="eastAsia" w:ascii="宋体" w:hAnsi="宋体" w:cs="宋体"/>
          <w:sz w:val="24"/>
          <w:highlight w:val="none"/>
          <w:lang w:eastAsia="zh-CN"/>
        </w:rPr>
        <w:t>供应商</w:t>
      </w:r>
      <w:r>
        <w:rPr>
          <w:rFonts w:hint="eastAsia" w:ascii="宋体" w:hAnsi="宋体" w:eastAsia="宋体" w:cs="宋体"/>
          <w:sz w:val="24"/>
          <w:highlight w:val="none"/>
        </w:rPr>
        <w:t>不得相互串通投标报价，不得妨碍其他</w:t>
      </w:r>
      <w:r>
        <w:rPr>
          <w:rFonts w:hint="eastAsia" w:ascii="宋体" w:hAnsi="宋体" w:cs="宋体"/>
          <w:sz w:val="24"/>
          <w:highlight w:val="none"/>
          <w:lang w:eastAsia="zh-CN"/>
        </w:rPr>
        <w:t>供应商</w:t>
      </w:r>
      <w:r>
        <w:rPr>
          <w:rFonts w:hint="eastAsia" w:ascii="宋体" w:hAnsi="宋体" w:eastAsia="宋体" w:cs="宋体"/>
          <w:sz w:val="24"/>
          <w:highlight w:val="none"/>
        </w:rPr>
        <w:t>的公平竞争，不得损害采购人或其他</w:t>
      </w:r>
      <w:r>
        <w:rPr>
          <w:rFonts w:hint="eastAsia" w:ascii="宋体" w:hAnsi="宋体" w:cs="宋体"/>
          <w:sz w:val="24"/>
          <w:highlight w:val="none"/>
          <w:lang w:eastAsia="zh-CN"/>
        </w:rPr>
        <w:t>供应商</w:t>
      </w:r>
      <w:r>
        <w:rPr>
          <w:rFonts w:hint="eastAsia" w:ascii="宋体" w:hAnsi="宋体" w:eastAsia="宋体" w:cs="宋体"/>
          <w:sz w:val="24"/>
          <w:highlight w:val="none"/>
        </w:rPr>
        <w:t>的合法权益，</w:t>
      </w:r>
      <w:r>
        <w:rPr>
          <w:rFonts w:hint="eastAsia" w:ascii="宋体" w:hAnsi="宋体" w:cs="宋体"/>
          <w:sz w:val="24"/>
          <w:highlight w:val="none"/>
          <w:lang w:eastAsia="zh-CN"/>
        </w:rPr>
        <w:t>供应商</w:t>
      </w:r>
      <w:r>
        <w:rPr>
          <w:rFonts w:hint="eastAsia" w:ascii="宋体" w:hAnsi="宋体" w:eastAsia="宋体" w:cs="宋体"/>
          <w:sz w:val="24"/>
          <w:highlight w:val="none"/>
        </w:rPr>
        <w:t>不得以向采购人、</w:t>
      </w:r>
      <w:r>
        <w:rPr>
          <w:rFonts w:hint="eastAsia" w:ascii="宋体" w:hAnsi="宋体" w:eastAsia="宋体" w:cs="宋体"/>
          <w:color w:val="auto"/>
          <w:sz w:val="24"/>
          <w:highlight w:val="none"/>
        </w:rPr>
        <w:t>评委会</w:t>
      </w:r>
      <w:r>
        <w:rPr>
          <w:rFonts w:hint="eastAsia" w:ascii="宋体" w:hAnsi="宋体" w:eastAsia="宋体" w:cs="宋体"/>
          <w:sz w:val="24"/>
          <w:highlight w:val="none"/>
        </w:rPr>
        <w:t>成员行贿或者采取其他不正当手段谋取中标。</w:t>
      </w:r>
    </w:p>
    <w:p w14:paraId="61FFF98B">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7.2.1有下列情形之一的，属于</w:t>
      </w:r>
      <w:r>
        <w:rPr>
          <w:rFonts w:hint="eastAsia" w:ascii="宋体" w:hAnsi="宋体" w:cs="宋体"/>
          <w:sz w:val="24"/>
          <w:highlight w:val="none"/>
          <w:lang w:eastAsia="zh-CN"/>
        </w:rPr>
        <w:t>供应商</w:t>
      </w:r>
      <w:r>
        <w:rPr>
          <w:rFonts w:hint="eastAsia" w:ascii="宋体" w:hAnsi="宋体" w:eastAsia="宋体" w:cs="宋体"/>
          <w:sz w:val="24"/>
          <w:highlight w:val="none"/>
        </w:rPr>
        <w:t>相互串通投标：</w:t>
      </w:r>
    </w:p>
    <w:p w14:paraId="24336102">
      <w:pPr>
        <w:spacing w:line="360" w:lineRule="auto"/>
        <w:ind w:firstLine="1024" w:firstLineChars="427"/>
        <w:rPr>
          <w:rFonts w:hint="eastAsia" w:ascii="宋体" w:hAnsi="宋体" w:eastAsia="宋体" w:cs="宋体"/>
          <w:sz w:val="24"/>
          <w:highlight w:val="none"/>
        </w:rPr>
      </w:pPr>
      <w:r>
        <w:rPr>
          <w:rFonts w:hint="eastAsia" w:ascii="宋体" w:hAnsi="宋体" w:eastAsia="宋体" w:cs="宋体"/>
          <w:sz w:val="24"/>
          <w:highlight w:val="none"/>
        </w:rPr>
        <w:t>7.2.1.1不同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的投标文件由同一单位或者个人编制；</w:t>
      </w:r>
    </w:p>
    <w:p w14:paraId="7A2CAC6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7.2.1.2不同</w:t>
      </w:r>
      <w:r>
        <w:rPr>
          <w:rFonts w:hint="eastAsia" w:ascii="宋体" w:hAnsi="宋体" w:cs="宋体"/>
          <w:sz w:val="24"/>
          <w:highlight w:val="none"/>
          <w:lang w:eastAsia="zh-CN"/>
        </w:rPr>
        <w:t>供应商</w:t>
      </w:r>
      <w:r>
        <w:rPr>
          <w:rFonts w:hint="eastAsia" w:ascii="宋体" w:hAnsi="宋体" w:eastAsia="宋体" w:cs="宋体"/>
          <w:sz w:val="24"/>
          <w:highlight w:val="none"/>
        </w:rPr>
        <w:t>委托同一单位或者个人办理投标事宜；</w:t>
      </w:r>
    </w:p>
    <w:p w14:paraId="77437F3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7.2.1.3不同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的投标文件载明的项目管理成员或者联系人员为同一人；</w:t>
      </w:r>
    </w:p>
    <w:p w14:paraId="23083AC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7.2.1.4不同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的投标文件异常一致或者投标报价呈规律性差异；</w:t>
      </w:r>
    </w:p>
    <w:p w14:paraId="7E67E892">
      <w:pPr>
        <w:spacing w:line="360" w:lineRule="auto"/>
        <w:ind w:firstLine="549"/>
        <w:rPr>
          <w:rFonts w:hint="eastAsia" w:ascii="宋体" w:hAnsi="宋体" w:eastAsia="宋体" w:cs="宋体"/>
          <w:sz w:val="24"/>
          <w:highlight w:val="none"/>
          <w:lang w:val="en-US" w:eastAsia="zh-CN"/>
        </w:rPr>
      </w:pPr>
      <w:r>
        <w:rPr>
          <w:rFonts w:hint="eastAsia" w:ascii="宋体" w:hAnsi="宋体" w:eastAsia="宋体" w:cs="宋体"/>
          <w:sz w:val="24"/>
          <w:highlight w:val="none"/>
        </w:rPr>
        <w:t>　　7.2.1.5不同</w:t>
      </w:r>
      <w:r>
        <w:rPr>
          <w:rFonts w:hint="eastAsia" w:ascii="宋体" w:hAnsi="宋体" w:cs="宋体"/>
          <w:sz w:val="24"/>
          <w:highlight w:val="none"/>
          <w:lang w:eastAsia="zh-CN"/>
        </w:rPr>
        <w:t>供应商</w:t>
      </w:r>
      <w:r>
        <w:rPr>
          <w:rFonts w:hint="eastAsia" w:ascii="宋体" w:hAnsi="宋体" w:eastAsia="宋体" w:cs="宋体"/>
          <w:sz w:val="24"/>
          <w:highlight w:val="none"/>
        </w:rPr>
        <w:t>的投标文件相互混装</w:t>
      </w:r>
      <w:r>
        <w:rPr>
          <w:rFonts w:hint="eastAsia" w:ascii="宋体" w:hAnsi="宋体" w:eastAsia="宋体" w:cs="宋体"/>
          <w:sz w:val="24"/>
          <w:highlight w:val="none"/>
          <w:lang w:eastAsia="zh-CN"/>
        </w:rPr>
        <w:t>。</w:t>
      </w:r>
    </w:p>
    <w:p w14:paraId="0297943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7.3在确定中标人之前，</w:t>
      </w:r>
      <w:r>
        <w:rPr>
          <w:rFonts w:hint="eastAsia" w:ascii="宋体" w:hAnsi="宋体" w:cs="宋体"/>
          <w:sz w:val="24"/>
          <w:highlight w:val="none"/>
          <w:lang w:eastAsia="zh-CN"/>
        </w:rPr>
        <w:t>供应商</w:t>
      </w:r>
      <w:r>
        <w:rPr>
          <w:rFonts w:hint="eastAsia" w:ascii="宋体" w:hAnsi="宋体" w:eastAsia="宋体" w:cs="宋体"/>
          <w:sz w:val="24"/>
          <w:highlight w:val="none"/>
        </w:rPr>
        <w:t>不得与采购人就投标价格、投标方案等实质性内容进行谈判，也不得私下接触评委会成员。</w:t>
      </w:r>
    </w:p>
    <w:p w14:paraId="11BBD67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7.4在确定中标人之前，</w:t>
      </w:r>
      <w:r>
        <w:rPr>
          <w:rFonts w:hint="eastAsia" w:ascii="宋体" w:hAnsi="宋体" w:cs="宋体"/>
          <w:sz w:val="24"/>
          <w:highlight w:val="none"/>
          <w:lang w:eastAsia="zh-CN"/>
        </w:rPr>
        <w:t>供应商</w:t>
      </w:r>
      <w:r>
        <w:rPr>
          <w:rFonts w:hint="eastAsia" w:ascii="宋体" w:hAnsi="宋体" w:eastAsia="宋体" w:cs="宋体"/>
          <w:sz w:val="24"/>
          <w:highlight w:val="none"/>
        </w:rPr>
        <w:t>试图在投标文件审查、澄清、比较和评价时对评委会、采购人和采购中心施加任何影响都可能导致其投标无效。</w:t>
      </w:r>
    </w:p>
    <w:p w14:paraId="77C77101">
      <w:pPr>
        <w:spacing w:line="360" w:lineRule="auto"/>
        <w:ind w:firstLine="549"/>
        <w:rPr>
          <w:rFonts w:hint="default" w:ascii="宋体" w:hAnsi="宋体" w:eastAsia="宋体" w:cs="宋体"/>
          <w:b/>
          <w:bCs/>
          <w:sz w:val="24"/>
          <w:highlight w:val="none"/>
          <w:lang w:val="en-US" w:eastAsia="zh-CN"/>
        </w:rPr>
      </w:pPr>
      <w:r>
        <w:rPr>
          <w:rFonts w:hint="eastAsia" w:ascii="宋体" w:hAnsi="宋体" w:eastAsia="宋体" w:cs="宋体"/>
          <w:sz w:val="24"/>
          <w:highlight w:val="none"/>
        </w:rPr>
        <w:t>7.5由采购人向</w:t>
      </w:r>
      <w:r>
        <w:rPr>
          <w:rFonts w:hint="eastAsia" w:ascii="宋体" w:hAnsi="宋体" w:cs="宋体"/>
          <w:sz w:val="24"/>
          <w:highlight w:val="none"/>
          <w:lang w:eastAsia="zh-CN"/>
        </w:rPr>
        <w:t>供应商</w:t>
      </w:r>
      <w:r>
        <w:rPr>
          <w:rFonts w:hint="eastAsia" w:ascii="宋体" w:hAnsi="宋体" w:eastAsia="宋体" w:cs="宋体"/>
          <w:sz w:val="24"/>
          <w:highlight w:val="none"/>
        </w:rPr>
        <w:t>提供的图纸、详细资料、样品、模型、模件和所有其它资料，被视为保密资料，仅被用于它所规定的用途。除非得到采购人的同意，不能向任何第三方透露。开标结束后，应采购人要求，</w:t>
      </w:r>
      <w:r>
        <w:rPr>
          <w:rFonts w:hint="eastAsia" w:ascii="宋体" w:hAnsi="宋体" w:cs="宋体"/>
          <w:sz w:val="24"/>
          <w:highlight w:val="none"/>
          <w:lang w:eastAsia="zh-CN"/>
        </w:rPr>
        <w:t>供应商</w:t>
      </w:r>
      <w:r>
        <w:rPr>
          <w:rFonts w:hint="eastAsia" w:ascii="宋体" w:hAnsi="宋体" w:eastAsia="宋体" w:cs="宋体"/>
          <w:sz w:val="24"/>
          <w:highlight w:val="none"/>
        </w:rPr>
        <w:t>应归还所有从采购人处获得的保密资料。</w:t>
      </w:r>
    </w:p>
    <w:p w14:paraId="4FFD3A37">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8.联合体投标</w:t>
      </w:r>
    </w:p>
    <w:p w14:paraId="4583526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不接受联合体投标</w:t>
      </w:r>
    </w:p>
    <w:p w14:paraId="335A9590">
      <w:pPr>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9.投标品牌</w:t>
      </w:r>
    </w:p>
    <w:p w14:paraId="1F903C1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9.1招标文件中提供的参考商标、品牌或标准（包括工艺、材料、设备、样本目录号码、标准等），是采购人为了方便</w:t>
      </w:r>
      <w:r>
        <w:rPr>
          <w:rFonts w:hint="eastAsia" w:ascii="宋体" w:hAnsi="宋体" w:cs="宋体"/>
          <w:sz w:val="24"/>
          <w:highlight w:val="none"/>
          <w:lang w:eastAsia="zh-CN"/>
        </w:rPr>
        <w:t>供应商</w:t>
      </w:r>
      <w:r>
        <w:rPr>
          <w:rFonts w:hint="eastAsia" w:ascii="宋体" w:hAnsi="宋体" w:eastAsia="宋体" w:cs="宋体"/>
          <w:sz w:val="24"/>
          <w:highlight w:val="none"/>
        </w:rPr>
        <w:t>更准确、更清楚说明拟采购货物、服务的技术规格和标准，并无限制性。</w:t>
      </w:r>
      <w:r>
        <w:rPr>
          <w:rFonts w:hint="eastAsia" w:ascii="宋体" w:hAnsi="宋体" w:cs="宋体"/>
          <w:sz w:val="24"/>
          <w:highlight w:val="none"/>
          <w:lang w:eastAsia="zh-CN"/>
        </w:rPr>
        <w:t>供应商</w:t>
      </w:r>
      <w:r>
        <w:rPr>
          <w:rFonts w:hint="eastAsia" w:ascii="宋体" w:hAnsi="宋体" w:eastAsia="宋体" w:cs="宋体"/>
          <w:sz w:val="24"/>
          <w:highlight w:val="none"/>
        </w:rPr>
        <w:t>在投标中若选用替代商标、品牌或标准，应优于或相当于参考商标、品牌或标准。</w:t>
      </w:r>
    </w:p>
    <w:p w14:paraId="31F651DE">
      <w:pPr>
        <w:spacing w:line="360" w:lineRule="auto"/>
        <w:ind w:firstLine="525"/>
        <w:rPr>
          <w:rFonts w:hint="eastAsia" w:ascii="宋体" w:hAnsi="宋体" w:eastAsia="宋体" w:cs="宋体"/>
          <w:b/>
          <w:bCs/>
          <w:sz w:val="24"/>
          <w:highlight w:val="none"/>
        </w:rPr>
      </w:pPr>
      <w:r>
        <w:rPr>
          <w:rFonts w:hint="eastAsia" w:ascii="宋体" w:hAnsi="宋体" w:eastAsia="宋体" w:cs="宋体"/>
          <w:b/>
          <w:bCs/>
          <w:sz w:val="24"/>
          <w:highlight w:val="none"/>
        </w:rPr>
        <w:t>10.投标专用章的效力</w:t>
      </w:r>
    </w:p>
    <w:p w14:paraId="0D13A5EB">
      <w:pPr>
        <w:spacing w:line="360" w:lineRule="auto"/>
        <w:ind w:firstLine="525"/>
        <w:rPr>
          <w:rFonts w:hint="eastAsia" w:ascii="宋体" w:hAnsi="宋体" w:eastAsia="宋体" w:cs="宋体"/>
          <w:color w:val="auto"/>
          <w:sz w:val="24"/>
          <w:highlight w:val="none"/>
        </w:rPr>
      </w:pPr>
      <w:r>
        <w:rPr>
          <w:rFonts w:hint="eastAsia" w:ascii="宋体" w:hAnsi="宋体" w:eastAsia="宋体" w:cs="宋体"/>
          <w:color w:val="auto"/>
          <w:sz w:val="24"/>
          <w:highlight w:val="none"/>
        </w:rPr>
        <w:t>10.1招标文件中明确要求加盖电子签章的，</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必须</w:t>
      </w:r>
      <w:r>
        <w:rPr>
          <w:rFonts w:hint="eastAsia" w:ascii="宋体" w:hAnsi="宋体" w:cs="宋体"/>
          <w:color w:val="auto"/>
          <w:sz w:val="24"/>
          <w:highlight w:val="none"/>
        </w:rPr>
        <w:t>加盖投标人电子签章。</w:t>
      </w:r>
    </w:p>
    <w:p w14:paraId="761A4F92">
      <w:pPr>
        <w:spacing w:line="360" w:lineRule="auto"/>
        <w:ind w:firstLine="550"/>
        <w:rPr>
          <w:rFonts w:hint="eastAsia" w:ascii="宋体" w:hAnsi="宋体" w:eastAsia="宋体" w:cs="宋体"/>
          <w:b/>
          <w:bCs/>
          <w:sz w:val="24"/>
          <w:highlight w:val="none"/>
        </w:rPr>
      </w:pPr>
      <w:r>
        <w:rPr>
          <w:rFonts w:hint="eastAsia" w:ascii="宋体" w:hAnsi="宋体" w:eastAsia="宋体" w:cs="宋体"/>
          <w:b/>
          <w:bCs/>
          <w:sz w:val="24"/>
          <w:highlight w:val="none"/>
        </w:rPr>
        <w:t>11.合同标的转让</w:t>
      </w:r>
    </w:p>
    <w:p w14:paraId="16FFDA43">
      <w:pPr>
        <w:keepNext w:val="0"/>
        <w:keepLines w:val="0"/>
        <w:pageBreakBefore w:val="0"/>
        <w:widowControl w:val="0"/>
        <w:kinsoku/>
        <w:wordWrap/>
        <w:overflowPunct/>
        <w:topLinePunct w:val="0"/>
        <w:autoSpaceDE/>
        <w:autoSpaceDN/>
        <w:bidi w:val="0"/>
        <w:adjustRightInd/>
        <w:snapToGrid/>
        <w:spacing w:line="360" w:lineRule="auto"/>
        <w:ind w:firstLine="523" w:firstLineChars="218"/>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11.1合同未约定或者未经采购人同意，中标人不得向他人转让中标项目，也不得将中标项目肢解后分别向他人转让。</w:t>
      </w:r>
      <w:r>
        <w:rPr>
          <w:rFonts w:hint="eastAsia" w:ascii="宋体" w:hAnsi="宋体" w:cs="宋体"/>
          <w:color w:val="auto"/>
          <w:sz w:val="24"/>
          <w:highlight w:val="none"/>
        </w:rPr>
        <w:t>对上述</w:t>
      </w:r>
      <w:r>
        <w:rPr>
          <w:rFonts w:hint="eastAsia" w:ascii="宋体" w:hAnsi="宋体" w:cs="宋体"/>
          <w:color w:val="auto"/>
          <w:sz w:val="24"/>
          <w:highlight w:val="none"/>
          <w:lang w:val="en-US" w:eastAsia="zh-CN"/>
        </w:rPr>
        <w:t>内容需以</w:t>
      </w:r>
      <w:r>
        <w:rPr>
          <w:rFonts w:hint="eastAsia" w:ascii="宋体" w:hAnsi="宋体" w:cs="宋体"/>
          <w:color w:val="auto"/>
          <w:spacing w:val="-62"/>
          <w:sz w:val="24"/>
          <w:highlight w:val="none"/>
          <w:lang w:val="en-US" w:eastAsia="zh-CN"/>
        </w:rPr>
        <w:t xml:space="preserve"> </w:t>
      </w:r>
      <w:r>
        <w:rPr>
          <w:rFonts w:hint="eastAsia" w:ascii="宋体" w:hAnsi="宋体" w:cs="宋体"/>
          <w:color w:val="auto"/>
          <w:sz w:val="24"/>
          <w:highlight w:val="none"/>
        </w:rPr>
        <w:t>书面</w:t>
      </w:r>
      <w:r>
        <w:rPr>
          <w:rFonts w:hint="eastAsia" w:ascii="宋体" w:hAnsi="宋体" w:cs="宋体"/>
          <w:color w:val="auto"/>
          <w:sz w:val="24"/>
          <w:highlight w:val="none"/>
          <w:lang w:val="en-US" w:eastAsia="zh-CN"/>
        </w:rPr>
        <w:t>形式在</w:t>
      </w:r>
      <w:r>
        <w:rPr>
          <w:rFonts w:hint="eastAsia" w:ascii="宋体" w:hAnsi="宋体" w:cs="宋体"/>
          <w:color w:val="auto"/>
          <w:sz w:val="24"/>
          <w:highlight w:val="none"/>
        </w:rPr>
        <w:t>投标文件中</w:t>
      </w:r>
      <w:r>
        <w:rPr>
          <w:rFonts w:hint="eastAsia" w:ascii="宋体" w:hAnsi="宋体" w:cs="宋体"/>
          <w:color w:val="auto"/>
          <w:sz w:val="24"/>
          <w:highlight w:val="none"/>
          <w:lang w:val="en-US" w:eastAsia="zh-CN"/>
        </w:rPr>
        <w:t>体现出来，作为响应招标文件实质性内容。</w:t>
      </w:r>
    </w:p>
    <w:p w14:paraId="2A5E23D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211705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11.3中标人应当就分包项目向采购人负责，接受分包的人就分包项目承担连带责任。</w:t>
      </w:r>
    </w:p>
    <w:p w14:paraId="0925FB9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11.4未经政府采购管理部门批准，进口设备不得转包。</w:t>
      </w:r>
    </w:p>
    <w:p w14:paraId="305E8A80">
      <w:pPr>
        <w:spacing w:line="360" w:lineRule="auto"/>
        <w:ind w:firstLine="525" w:firstLineChars="218"/>
        <w:rPr>
          <w:rFonts w:hint="eastAsia" w:ascii="宋体" w:hAnsi="宋体" w:eastAsia="宋体" w:cs="宋体"/>
          <w:sz w:val="24"/>
          <w:highlight w:val="none"/>
        </w:rPr>
      </w:pPr>
      <w:r>
        <w:rPr>
          <w:rFonts w:hint="eastAsia" w:ascii="宋体" w:hAnsi="宋体" w:eastAsia="宋体" w:cs="宋体"/>
          <w:b/>
          <w:bCs/>
          <w:sz w:val="24"/>
          <w:highlight w:val="none"/>
        </w:rPr>
        <w:t>12.会员信息库</w:t>
      </w:r>
    </w:p>
    <w:p w14:paraId="727E22CE">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12.1为进一步规范招投标行为，提高招投标工作效率，降低投标成本，加强对</w:t>
      </w:r>
      <w:r>
        <w:rPr>
          <w:rFonts w:hint="eastAsia" w:ascii="宋体" w:hAnsi="宋体" w:cs="宋体"/>
          <w:sz w:val="24"/>
          <w:highlight w:val="none"/>
          <w:lang w:eastAsia="zh-CN"/>
        </w:rPr>
        <w:t>供应商</w:t>
      </w:r>
      <w:r>
        <w:rPr>
          <w:rFonts w:hint="eastAsia" w:ascii="宋体" w:hAnsi="宋体" w:eastAsia="宋体" w:cs="宋体"/>
          <w:sz w:val="24"/>
          <w:highlight w:val="none"/>
        </w:rPr>
        <w:t>诚信信息的管理，加快周口市招投标工作电子化、信息化建设，为周口市公共资源交易中心实行网上招投标奠定基础，经周口市公共资源交易管理办公室研究决定，周口市公共资源交易中心实行</w:t>
      </w:r>
      <w:r>
        <w:rPr>
          <w:rFonts w:hint="eastAsia" w:ascii="宋体" w:hAnsi="宋体" w:cs="宋体"/>
          <w:sz w:val="24"/>
          <w:highlight w:val="none"/>
          <w:lang w:eastAsia="zh-CN"/>
        </w:rPr>
        <w:t>供应商</w:t>
      </w:r>
      <w:r>
        <w:rPr>
          <w:rFonts w:hint="eastAsia" w:ascii="宋体" w:hAnsi="宋体" w:eastAsia="宋体" w:cs="宋体"/>
          <w:sz w:val="24"/>
          <w:highlight w:val="none"/>
        </w:rPr>
        <w:t>会员信息库制度，并面向全国免费征集注册投标企业会员。</w:t>
      </w:r>
    </w:p>
    <w:p w14:paraId="6F8FFF2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12.2入库资料的真实性、有效性、完整性、准确性、合法性及清晰度由</w:t>
      </w:r>
      <w:r>
        <w:rPr>
          <w:rFonts w:hint="eastAsia" w:ascii="宋体" w:hAnsi="宋体" w:cs="宋体"/>
          <w:sz w:val="24"/>
          <w:highlight w:val="none"/>
          <w:lang w:eastAsia="zh-CN"/>
        </w:rPr>
        <w:t>供应商</w:t>
      </w:r>
      <w:r>
        <w:rPr>
          <w:rFonts w:hint="eastAsia" w:ascii="宋体" w:hAnsi="宋体" w:eastAsia="宋体" w:cs="宋体"/>
          <w:sz w:val="24"/>
          <w:highlight w:val="none"/>
        </w:rPr>
        <w:t>负责。周口市公共资源交易中心只负责对</w:t>
      </w:r>
      <w:r>
        <w:rPr>
          <w:rFonts w:hint="eastAsia" w:ascii="宋体" w:hAnsi="宋体" w:cs="宋体"/>
          <w:sz w:val="24"/>
          <w:highlight w:val="none"/>
          <w:lang w:eastAsia="zh-CN"/>
        </w:rPr>
        <w:t>供应商</w:t>
      </w:r>
      <w:r>
        <w:rPr>
          <w:rFonts w:hint="eastAsia" w:ascii="宋体" w:hAnsi="宋体" w:eastAsia="宋体" w:cs="宋体"/>
          <w:sz w:val="24"/>
          <w:highlight w:val="none"/>
        </w:rPr>
        <w:t>所提供的入库资料原件与上传扫描件进行比对；本项目所需会员库资料有效性由本项目评委会负责审核。</w:t>
      </w:r>
    </w:p>
    <w:p w14:paraId="05BF3BB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为确保投标文件通过评审，</w:t>
      </w:r>
      <w:r>
        <w:rPr>
          <w:rFonts w:hint="eastAsia" w:ascii="宋体" w:hAnsi="宋体" w:cs="宋体"/>
          <w:sz w:val="24"/>
          <w:highlight w:val="none"/>
          <w:lang w:eastAsia="zh-CN"/>
        </w:rPr>
        <w:t>供应商</w:t>
      </w:r>
      <w:r>
        <w:rPr>
          <w:rFonts w:hint="eastAsia" w:ascii="宋体" w:hAnsi="宋体" w:eastAsia="宋体" w:cs="宋体"/>
          <w:sz w:val="24"/>
          <w:highlight w:val="none"/>
        </w:rPr>
        <w:t>应及时对入库资料进行补充、更新。</w:t>
      </w:r>
    </w:p>
    <w:p w14:paraId="663211C0">
      <w:pPr>
        <w:spacing w:line="360" w:lineRule="auto"/>
        <w:ind w:firstLine="523" w:firstLineChars="218"/>
        <w:rPr>
          <w:rFonts w:hint="eastAsia" w:ascii="宋体" w:hAnsi="宋体" w:eastAsia="宋体" w:cs="宋体"/>
          <w:sz w:val="24"/>
          <w:highlight w:val="none"/>
        </w:rPr>
      </w:pPr>
      <w:r>
        <w:rPr>
          <w:rFonts w:hint="eastAsia" w:ascii="宋体" w:hAnsi="宋体" w:cs="宋体"/>
          <w:color w:val="auto"/>
          <w:sz w:val="24"/>
          <w:highlight w:val="none"/>
          <w:lang w:val="en-US" w:eastAsia="zh-CN"/>
        </w:rPr>
        <w:t>供应商在投标文件中要体现</w:t>
      </w:r>
      <w:r>
        <w:rPr>
          <w:rFonts w:hint="eastAsia" w:ascii="宋体" w:hAnsi="宋体" w:eastAsia="宋体" w:cs="宋体"/>
          <w:color w:val="auto"/>
          <w:sz w:val="24"/>
          <w:highlight w:val="none"/>
        </w:rPr>
        <w:t>如因前款原因未通过本项目评委会评审，由</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承担全部责任</w:t>
      </w:r>
      <w:r>
        <w:rPr>
          <w:rFonts w:hint="eastAsia" w:ascii="宋体" w:hAnsi="宋体" w:cs="宋体"/>
          <w:color w:val="auto"/>
          <w:sz w:val="24"/>
          <w:highlight w:val="none"/>
          <w:lang w:eastAsia="zh-CN"/>
        </w:rPr>
        <w:t>的</w:t>
      </w:r>
      <w:r>
        <w:rPr>
          <w:rFonts w:hint="eastAsia" w:ascii="宋体" w:hAnsi="宋体" w:cs="宋体"/>
          <w:color w:val="auto"/>
          <w:sz w:val="24"/>
          <w:highlight w:val="none"/>
          <w:lang w:val="en-US" w:eastAsia="zh-CN"/>
        </w:rPr>
        <w:t>书面说明</w:t>
      </w:r>
      <w:r>
        <w:rPr>
          <w:rFonts w:hint="eastAsia" w:ascii="宋体" w:hAnsi="宋体" w:eastAsia="宋体" w:cs="宋体"/>
          <w:sz w:val="24"/>
          <w:highlight w:val="none"/>
        </w:rPr>
        <w:t>。</w:t>
      </w:r>
    </w:p>
    <w:p w14:paraId="66AB018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12.3网上会员库中文字资料与扫描件资料不一致时，以扫描件资料为准。</w:t>
      </w:r>
    </w:p>
    <w:p w14:paraId="7AB21B8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12.4有关会员库的更多信息，请登陆周口市公共资源交易中心网查询。</w:t>
      </w:r>
    </w:p>
    <w:p w14:paraId="147B3EA5">
      <w:pPr>
        <w:spacing w:line="360" w:lineRule="auto"/>
        <w:ind w:firstLine="550"/>
        <w:rPr>
          <w:rFonts w:hint="eastAsia" w:ascii="宋体" w:hAnsi="宋体" w:eastAsia="宋体" w:cs="宋体"/>
          <w:b/>
          <w:bCs/>
          <w:sz w:val="24"/>
          <w:highlight w:val="none"/>
        </w:rPr>
      </w:pPr>
      <w:r>
        <w:rPr>
          <w:rFonts w:hint="eastAsia" w:ascii="宋体" w:hAnsi="宋体" w:eastAsia="宋体" w:cs="宋体"/>
          <w:b/>
          <w:bCs/>
          <w:sz w:val="24"/>
          <w:highlight w:val="none"/>
        </w:rPr>
        <w:t>13.采购信息的发布</w:t>
      </w:r>
    </w:p>
    <w:p w14:paraId="78E0D923">
      <w:pPr>
        <w:spacing w:line="360" w:lineRule="auto"/>
        <w:ind w:firstLine="550"/>
        <w:rPr>
          <w:rFonts w:hint="eastAsia" w:ascii="宋体" w:hAnsi="宋体" w:eastAsia="宋体" w:cs="宋体"/>
          <w:sz w:val="28"/>
          <w:highlight w:val="none"/>
        </w:rPr>
      </w:pPr>
      <w:r>
        <w:rPr>
          <w:rFonts w:hint="eastAsia" w:ascii="宋体" w:hAnsi="宋体" w:eastAsia="宋体" w:cs="宋体"/>
          <w:sz w:val="24"/>
          <w:highlight w:val="none"/>
        </w:rPr>
        <w:t>13.1与本次采购活动相关的信息，将发布在周口市公共资源交易中心网(</w:t>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"http://jyzx.zhoukou.gov.cn"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http://jyzx.zhoukou.gov.cn</w:t>
      </w:r>
      <w:r>
        <w:rPr>
          <w:rFonts w:hint="eastAsia" w:ascii="宋体" w:hAnsi="宋体" w:eastAsia="宋体" w:cs="宋体"/>
          <w:sz w:val="24"/>
          <w:highlight w:val="none"/>
        </w:rPr>
        <w:fldChar w:fldCharType="end"/>
      </w:r>
      <w:r>
        <w:rPr>
          <w:rFonts w:hint="eastAsia" w:ascii="宋体" w:hAnsi="宋体" w:eastAsia="宋体" w:cs="宋体"/>
          <w:sz w:val="24"/>
          <w:highlight w:val="none"/>
        </w:rPr>
        <w:t>)及河南省政府采购网（www.hngp.gov.cn），以下简称“网站”。</w:t>
      </w:r>
    </w:p>
    <w:p w14:paraId="44471B01">
      <w:pPr>
        <w:pStyle w:val="4"/>
        <w:spacing w:line="360" w:lineRule="auto"/>
        <w:ind w:firstLine="3418" w:firstLineChars="1216"/>
        <w:jc w:val="both"/>
        <w:rPr>
          <w:rFonts w:hint="eastAsia" w:ascii="宋体" w:hAnsi="宋体" w:eastAsia="宋体" w:cs="宋体"/>
          <w:sz w:val="28"/>
          <w:highlight w:val="none"/>
        </w:rPr>
      </w:pPr>
      <w:bookmarkStart w:id="73" w:name="_Hlt509650116"/>
      <w:bookmarkEnd w:id="73"/>
      <w:bookmarkStart w:id="74" w:name="_Hlt509650932"/>
      <w:bookmarkEnd w:id="74"/>
      <w:bookmarkStart w:id="75" w:name="_Hlt509649645"/>
      <w:bookmarkEnd w:id="75"/>
      <w:bookmarkStart w:id="76" w:name="_Hlt509650103"/>
      <w:bookmarkEnd w:id="76"/>
      <w:bookmarkStart w:id="77" w:name="_Hlt509649330"/>
      <w:bookmarkEnd w:id="77"/>
      <w:bookmarkStart w:id="78" w:name="_Hlt509650961"/>
      <w:bookmarkEnd w:id="78"/>
      <w:bookmarkStart w:id="79" w:name="_Hlt509650929"/>
      <w:bookmarkEnd w:id="79"/>
      <w:bookmarkStart w:id="80" w:name="_Hlt509650690"/>
      <w:bookmarkEnd w:id="80"/>
      <w:bookmarkStart w:id="81" w:name="_Hlt509650333"/>
      <w:bookmarkEnd w:id="81"/>
      <w:bookmarkStart w:id="82" w:name="_Hlt509649678"/>
      <w:bookmarkEnd w:id="82"/>
      <w:bookmarkStart w:id="83" w:name="_Hlt509650936"/>
      <w:bookmarkEnd w:id="83"/>
      <w:bookmarkStart w:id="84" w:name="_Hlt509649795"/>
      <w:bookmarkEnd w:id="84"/>
      <w:bookmarkStart w:id="85" w:name="_Hlt509649669"/>
      <w:bookmarkEnd w:id="85"/>
      <w:bookmarkStart w:id="86" w:name="_Hlt526418153"/>
      <w:bookmarkEnd w:id="86"/>
      <w:bookmarkStart w:id="87" w:name="_Toc7614"/>
      <w:bookmarkStart w:id="88" w:name="_Toc16689"/>
      <w:bookmarkStart w:id="89" w:name="_Toc40975443"/>
      <w:bookmarkStart w:id="90" w:name="_Toc5653"/>
      <w:bookmarkStart w:id="91" w:name="_Toc527725923"/>
      <w:r>
        <w:rPr>
          <w:rFonts w:hint="eastAsia" w:ascii="宋体" w:hAnsi="宋体" w:eastAsia="宋体" w:cs="宋体"/>
          <w:sz w:val="28"/>
          <w:highlight w:val="none"/>
        </w:rPr>
        <w:t>二．招标文件</w:t>
      </w:r>
      <w:bookmarkEnd w:id="87"/>
      <w:bookmarkEnd w:id="88"/>
      <w:bookmarkEnd w:id="89"/>
      <w:bookmarkEnd w:id="90"/>
      <w:bookmarkEnd w:id="91"/>
      <w:bookmarkStart w:id="92" w:name="_Hlt509649791"/>
      <w:bookmarkEnd w:id="92"/>
      <w:bookmarkStart w:id="93" w:name="_Hlt509649930"/>
      <w:bookmarkEnd w:id="93"/>
      <w:bookmarkStart w:id="94" w:name="_Hlt509650361"/>
      <w:bookmarkEnd w:id="94"/>
    </w:p>
    <w:p w14:paraId="7F070851">
      <w:pPr>
        <w:spacing w:line="360" w:lineRule="auto"/>
        <w:ind w:firstLine="549"/>
        <w:rPr>
          <w:rFonts w:hint="eastAsia" w:ascii="宋体" w:hAnsi="宋体" w:eastAsia="宋体" w:cs="宋体"/>
          <w:b/>
          <w:sz w:val="24"/>
          <w:highlight w:val="none"/>
        </w:rPr>
      </w:pPr>
      <w:bookmarkStart w:id="95" w:name="_Hlt509650734"/>
      <w:bookmarkEnd w:id="95"/>
      <w:r>
        <w:rPr>
          <w:rFonts w:hint="eastAsia" w:ascii="宋体" w:hAnsi="宋体" w:eastAsia="宋体" w:cs="宋体"/>
          <w:b/>
          <w:sz w:val="24"/>
          <w:highlight w:val="none"/>
        </w:rPr>
        <w:t>14.招标文件构成</w:t>
      </w:r>
    </w:p>
    <w:p w14:paraId="06F359A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14.1招标文件包括以下部分：</w:t>
      </w:r>
    </w:p>
    <w:p w14:paraId="56E83B92">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14.1.1第一章：</w:t>
      </w:r>
      <w:r>
        <w:rPr>
          <w:rFonts w:hint="eastAsia" w:ascii="宋体" w:hAnsi="宋体" w:eastAsia="宋体" w:cs="宋体"/>
          <w:bCs/>
          <w:sz w:val="24"/>
          <w:highlight w:val="none"/>
        </w:rPr>
        <w:t>投标邀请（招标公告）；</w:t>
      </w:r>
    </w:p>
    <w:p w14:paraId="2D8DE2D7">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14.1.2第二章：</w:t>
      </w:r>
      <w:bookmarkStart w:id="96" w:name="_Hlt509650925"/>
      <w:bookmarkEnd w:id="96"/>
      <w:r>
        <w:rPr>
          <w:rFonts w:hint="eastAsia" w:ascii="宋体" w:hAnsi="宋体" w:cs="宋体"/>
          <w:bCs/>
          <w:sz w:val="24"/>
          <w:highlight w:val="none"/>
          <w:lang w:eastAsia="zh-CN"/>
        </w:rPr>
        <w:t>供应商</w:t>
      </w:r>
      <w:r>
        <w:rPr>
          <w:rFonts w:hint="eastAsia" w:ascii="宋体" w:hAnsi="宋体" w:eastAsia="宋体" w:cs="宋体"/>
          <w:bCs/>
          <w:sz w:val="24"/>
          <w:highlight w:val="none"/>
        </w:rPr>
        <w:t>须知前附表；</w:t>
      </w:r>
    </w:p>
    <w:p w14:paraId="74677D3B">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14.1.3第三章：</w:t>
      </w:r>
      <w:r>
        <w:rPr>
          <w:rFonts w:hint="eastAsia" w:ascii="宋体" w:hAnsi="宋体" w:eastAsia="宋体" w:cs="宋体"/>
          <w:bCs/>
          <w:sz w:val="24"/>
          <w:highlight w:val="none"/>
        </w:rPr>
        <w:t>需求一览表；</w:t>
      </w:r>
    </w:p>
    <w:p w14:paraId="49D6635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14.1.4第四章：</w:t>
      </w:r>
      <w:r>
        <w:rPr>
          <w:rFonts w:hint="eastAsia" w:ascii="宋体" w:hAnsi="宋体" w:eastAsia="宋体" w:cs="宋体"/>
          <w:bCs/>
          <w:sz w:val="24"/>
          <w:highlight w:val="none"/>
        </w:rPr>
        <w:t>评标办法；</w:t>
      </w:r>
    </w:p>
    <w:p w14:paraId="49978F7B">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14.1.5第五章：</w:t>
      </w:r>
      <w:r>
        <w:rPr>
          <w:rFonts w:hint="eastAsia" w:ascii="宋体" w:hAnsi="宋体" w:cs="宋体"/>
          <w:bCs/>
          <w:sz w:val="24"/>
          <w:highlight w:val="none"/>
          <w:lang w:eastAsia="zh-CN"/>
        </w:rPr>
        <w:t>供应商</w:t>
      </w:r>
      <w:r>
        <w:rPr>
          <w:rFonts w:hint="eastAsia" w:ascii="宋体" w:hAnsi="宋体" w:eastAsia="宋体" w:cs="宋体"/>
          <w:bCs/>
          <w:sz w:val="24"/>
          <w:highlight w:val="none"/>
        </w:rPr>
        <w:t>须知；</w:t>
      </w:r>
    </w:p>
    <w:p w14:paraId="4554EF57">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14.1.6第六章：</w:t>
      </w:r>
      <w:r>
        <w:rPr>
          <w:rFonts w:hint="eastAsia" w:ascii="宋体" w:hAnsi="宋体" w:eastAsia="宋体" w:cs="宋体"/>
          <w:bCs/>
          <w:sz w:val="24"/>
          <w:highlight w:val="none"/>
        </w:rPr>
        <w:t>采购合同；</w:t>
      </w:r>
    </w:p>
    <w:p w14:paraId="3BE7D246">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14.1.7第七章：</w:t>
      </w:r>
      <w:r>
        <w:rPr>
          <w:rFonts w:hint="eastAsia" w:ascii="宋体" w:hAnsi="宋体" w:eastAsia="宋体" w:cs="宋体"/>
          <w:bCs/>
          <w:sz w:val="24"/>
          <w:highlight w:val="none"/>
        </w:rPr>
        <w:t>投标文件格式；</w:t>
      </w:r>
    </w:p>
    <w:p w14:paraId="3A0B3D9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bCs/>
          <w:sz w:val="24"/>
          <w:highlight w:val="none"/>
        </w:rPr>
        <w:t>14.1.8周口市公共资源交易中心政府采购中心发布的</w:t>
      </w:r>
      <w:r>
        <w:rPr>
          <w:rFonts w:hint="eastAsia" w:ascii="宋体" w:hAnsi="宋体" w:eastAsia="宋体" w:cs="宋体"/>
          <w:sz w:val="24"/>
          <w:highlight w:val="none"/>
        </w:rPr>
        <w:t>图纸、答疑、补遗、补充通知等。</w:t>
      </w:r>
    </w:p>
    <w:p w14:paraId="13AED51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 xml:space="preserve">14.2 </w:t>
      </w:r>
      <w:r>
        <w:rPr>
          <w:rFonts w:hint="eastAsia" w:ascii="宋体" w:hAnsi="宋体" w:cs="宋体"/>
          <w:sz w:val="24"/>
          <w:highlight w:val="none"/>
          <w:lang w:eastAsia="zh-CN"/>
        </w:rPr>
        <w:t>供应商</w:t>
      </w:r>
      <w:r>
        <w:rPr>
          <w:rFonts w:hint="eastAsia" w:ascii="宋体" w:hAnsi="宋体" w:eastAsia="宋体" w:cs="宋体"/>
          <w:sz w:val="24"/>
          <w:highlight w:val="none"/>
        </w:rPr>
        <w:t>应认真阅读招标文件中所有的事项、格式、条件、条款和规范等要求。</w:t>
      </w:r>
    </w:p>
    <w:p w14:paraId="50261CBB">
      <w:pPr>
        <w:spacing w:line="360" w:lineRule="auto"/>
        <w:ind w:firstLine="550"/>
        <w:rPr>
          <w:rFonts w:hint="eastAsia" w:ascii="宋体" w:hAnsi="宋体" w:eastAsia="宋体" w:cs="宋体"/>
          <w:color w:val="auto"/>
          <w:sz w:val="24"/>
          <w:highlight w:val="none"/>
        </w:rPr>
      </w:pPr>
      <w:r>
        <w:rPr>
          <w:rFonts w:hint="eastAsia" w:ascii="宋体" w:hAnsi="宋体" w:eastAsia="宋体" w:cs="宋体"/>
          <w:sz w:val="24"/>
          <w:highlight w:val="none"/>
        </w:rPr>
        <w:t>14.3</w:t>
      </w:r>
      <w:r>
        <w:rPr>
          <w:rFonts w:hint="eastAsia" w:ascii="宋体" w:hAnsi="宋体" w:cs="宋体"/>
          <w:sz w:val="24"/>
          <w:highlight w:val="none"/>
          <w:lang w:eastAsia="zh-CN"/>
        </w:rPr>
        <w:t>供应商</w:t>
      </w:r>
      <w:r>
        <w:rPr>
          <w:rFonts w:hint="eastAsia" w:ascii="宋体" w:hAnsi="宋体" w:eastAsia="宋体" w:cs="宋体"/>
          <w:sz w:val="24"/>
          <w:highlight w:val="none"/>
        </w:rPr>
        <w:t>应当按照招标文件的要求编制投标文件。投标文件应对招标文件提出的要求和条件作出实质性响应。</w:t>
      </w:r>
      <w:r>
        <w:rPr>
          <w:rFonts w:hint="eastAsia" w:ascii="宋体" w:hAnsi="宋体"/>
          <w:sz w:val="24"/>
          <w:highlight w:val="none"/>
        </w:rPr>
        <w:t>如果有异议在规定的时间内提出</w:t>
      </w:r>
      <w:r>
        <w:rPr>
          <w:rFonts w:hint="eastAsia" w:ascii="宋体" w:hAnsi="宋体"/>
          <w:color w:val="auto"/>
          <w:sz w:val="24"/>
          <w:highlight w:val="none"/>
        </w:rPr>
        <w:t>。</w:t>
      </w:r>
    </w:p>
    <w:p w14:paraId="7E130D3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14.4</w:t>
      </w:r>
      <w:r>
        <w:rPr>
          <w:rFonts w:hint="eastAsia" w:ascii="宋体" w:hAnsi="宋体" w:cs="宋体"/>
          <w:sz w:val="24"/>
          <w:highlight w:val="none"/>
          <w:lang w:eastAsia="zh-CN"/>
        </w:rPr>
        <w:t>供应商</w:t>
      </w:r>
      <w:r>
        <w:rPr>
          <w:rFonts w:hint="eastAsia" w:ascii="宋体" w:hAnsi="宋体" w:eastAsia="宋体" w:cs="宋体"/>
          <w:sz w:val="24"/>
          <w:highlight w:val="none"/>
        </w:rPr>
        <w:t>获取招标文件后，应仔细检查招标文件的所有内容，如有残缺等问题应在获得招标文件3日内向</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提出，否则，由此引起的损失由</w:t>
      </w:r>
      <w:r>
        <w:rPr>
          <w:rFonts w:hint="eastAsia" w:ascii="宋体" w:hAnsi="宋体" w:cs="宋体"/>
          <w:sz w:val="24"/>
          <w:highlight w:val="none"/>
          <w:lang w:eastAsia="zh-CN"/>
        </w:rPr>
        <w:t>供应商</w:t>
      </w:r>
      <w:r>
        <w:rPr>
          <w:rFonts w:hint="eastAsia" w:ascii="宋体" w:hAnsi="宋体" w:eastAsia="宋体" w:cs="宋体"/>
          <w:sz w:val="24"/>
          <w:highlight w:val="none"/>
        </w:rPr>
        <w:t>自行承担。</w:t>
      </w:r>
    </w:p>
    <w:p w14:paraId="79C53BF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15.招标文件的澄清与修改</w:t>
      </w:r>
    </w:p>
    <w:p w14:paraId="07EEB373">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15.1</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对招标文件进行的澄清、更正或更改，将在网站上及时发布，该公告内容为招标文件的组成部分，对</w:t>
      </w:r>
      <w:r>
        <w:rPr>
          <w:rFonts w:hint="eastAsia" w:ascii="宋体" w:hAnsi="宋体" w:cs="宋体"/>
          <w:sz w:val="24"/>
          <w:highlight w:val="none"/>
          <w:lang w:eastAsia="zh-CN"/>
        </w:rPr>
        <w:t>供应商</w:t>
      </w:r>
      <w:r>
        <w:rPr>
          <w:rFonts w:hint="eastAsia" w:ascii="宋体" w:hAnsi="宋体" w:eastAsia="宋体" w:cs="宋体"/>
          <w:sz w:val="24"/>
          <w:highlight w:val="none"/>
        </w:rPr>
        <w:t>具有同样约束力。澄清或者修改的内容可能影响投标文件编制的，采购人或者采购代理机构在投标截止时间至少15日前，将在网站上及时发布</w:t>
      </w:r>
      <w:r>
        <w:rPr>
          <w:rFonts w:hint="eastAsia" w:ascii="宋体" w:hAnsi="宋体" w:eastAsia="宋体" w:cs="宋体"/>
          <w:sz w:val="24"/>
          <w:highlight w:val="none"/>
          <w:lang w:val="en-US" w:eastAsia="zh-CN"/>
        </w:rPr>
        <w:t>通知</w:t>
      </w:r>
      <w:r>
        <w:rPr>
          <w:rFonts w:hint="eastAsia" w:ascii="宋体" w:hAnsi="宋体" w:eastAsia="宋体" w:cs="宋体"/>
          <w:sz w:val="24"/>
          <w:highlight w:val="none"/>
        </w:rPr>
        <w:t>所有获取招标文件的潜在</w:t>
      </w:r>
      <w:r>
        <w:rPr>
          <w:rFonts w:hint="eastAsia" w:ascii="宋体" w:hAnsi="宋体" w:cs="宋体"/>
          <w:sz w:val="24"/>
          <w:highlight w:val="none"/>
          <w:lang w:eastAsia="zh-CN"/>
        </w:rPr>
        <w:t>供应商</w:t>
      </w:r>
      <w:r>
        <w:rPr>
          <w:rFonts w:hint="eastAsia" w:ascii="宋体" w:hAnsi="宋体" w:eastAsia="宋体" w:cs="宋体"/>
          <w:sz w:val="24"/>
          <w:highlight w:val="none"/>
        </w:rPr>
        <w:t>；不足15日的，采购人或者采购代理机构应当顺延提交投标文件的截止时间</w:t>
      </w:r>
      <w:r>
        <w:rPr>
          <w:rFonts w:hint="eastAsia" w:ascii="宋体" w:hAnsi="宋体" w:eastAsia="宋体" w:cs="宋体"/>
          <w:sz w:val="24"/>
          <w:highlight w:val="none"/>
          <w:lang w:eastAsia="zh-CN"/>
        </w:rPr>
        <w:t>。</w:t>
      </w:r>
      <w:r>
        <w:rPr>
          <w:rFonts w:hint="eastAsia" w:ascii="宋体" w:hAnsi="宋体" w:cs="宋体"/>
          <w:sz w:val="24"/>
          <w:highlight w:val="none"/>
          <w:lang w:eastAsia="zh-CN"/>
        </w:rPr>
        <w:t>供应商</w:t>
      </w:r>
      <w:r>
        <w:rPr>
          <w:rFonts w:hint="eastAsia" w:ascii="宋体" w:hAnsi="宋体" w:eastAsia="宋体" w:cs="宋体"/>
          <w:sz w:val="24"/>
          <w:highlight w:val="none"/>
        </w:rPr>
        <w:t>应主动上网查询。</w:t>
      </w:r>
      <w:r>
        <w:rPr>
          <w:rFonts w:hint="eastAsia" w:ascii="宋体" w:hAnsi="宋体" w:eastAsia="宋体" w:cs="宋体"/>
          <w:bCs/>
          <w:sz w:val="24"/>
          <w:highlight w:val="none"/>
        </w:rPr>
        <w:t>周口市公共资源交易中心政府采购中心或采购人</w:t>
      </w:r>
      <w:r>
        <w:rPr>
          <w:rFonts w:hint="eastAsia" w:ascii="宋体" w:hAnsi="宋体" w:eastAsia="宋体" w:cs="宋体"/>
          <w:sz w:val="24"/>
          <w:highlight w:val="none"/>
        </w:rPr>
        <w:t>不承担</w:t>
      </w:r>
      <w:r>
        <w:rPr>
          <w:rFonts w:hint="eastAsia" w:ascii="宋体" w:hAnsi="宋体" w:cs="宋体"/>
          <w:sz w:val="24"/>
          <w:highlight w:val="none"/>
          <w:lang w:eastAsia="zh-CN"/>
        </w:rPr>
        <w:t>供应商</w:t>
      </w:r>
      <w:r>
        <w:rPr>
          <w:rFonts w:hint="eastAsia" w:ascii="宋体" w:hAnsi="宋体" w:eastAsia="宋体" w:cs="宋体"/>
          <w:sz w:val="24"/>
          <w:highlight w:val="none"/>
        </w:rPr>
        <w:t>未及时关注相关信息引发的相关责任。</w:t>
      </w:r>
    </w:p>
    <w:p w14:paraId="410AAE9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15.2在投标截止时间前，</w:t>
      </w:r>
      <w:r>
        <w:rPr>
          <w:rFonts w:hint="eastAsia" w:ascii="宋体" w:hAnsi="宋体" w:eastAsia="宋体" w:cs="宋体"/>
          <w:bCs/>
          <w:sz w:val="24"/>
          <w:highlight w:val="none"/>
        </w:rPr>
        <w:t>采购人</w:t>
      </w:r>
      <w:r>
        <w:rPr>
          <w:rFonts w:hint="eastAsia" w:ascii="宋体" w:hAnsi="宋体" w:eastAsia="宋体" w:cs="宋体"/>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sz w:val="24"/>
          <w:highlight w:val="none"/>
        </w:rPr>
        <w:t>采购人</w:t>
      </w:r>
      <w:r>
        <w:rPr>
          <w:rFonts w:hint="eastAsia" w:ascii="宋体" w:hAnsi="宋体" w:eastAsia="宋体" w:cs="宋体"/>
          <w:sz w:val="24"/>
          <w:highlight w:val="none"/>
        </w:rPr>
        <w:t>和</w:t>
      </w:r>
      <w:r>
        <w:rPr>
          <w:rFonts w:hint="eastAsia" w:ascii="宋体" w:hAnsi="宋体" w:cs="宋体"/>
          <w:sz w:val="24"/>
          <w:highlight w:val="none"/>
          <w:lang w:eastAsia="zh-CN"/>
        </w:rPr>
        <w:t>供应商</w:t>
      </w:r>
      <w:r>
        <w:rPr>
          <w:rFonts w:hint="eastAsia" w:ascii="宋体" w:hAnsi="宋体" w:eastAsia="宋体" w:cs="宋体"/>
          <w:sz w:val="24"/>
          <w:highlight w:val="none"/>
        </w:rPr>
        <w:t>在投标截止期方面的全部权力、责任和义务，将适用于延长后新的投标截止期。</w:t>
      </w:r>
    </w:p>
    <w:p w14:paraId="0C7532C1">
      <w:pPr>
        <w:spacing w:line="360" w:lineRule="auto"/>
        <w:ind w:firstLine="550"/>
        <w:rPr>
          <w:rFonts w:hint="eastAsia" w:ascii="宋体" w:hAnsi="宋体" w:eastAsia="宋体" w:cs="宋体"/>
          <w:sz w:val="28"/>
          <w:highlight w:val="none"/>
        </w:rPr>
      </w:pPr>
      <w:r>
        <w:rPr>
          <w:rFonts w:hint="eastAsia" w:ascii="宋体" w:hAnsi="宋体" w:eastAsia="宋体" w:cs="宋体"/>
          <w:sz w:val="24"/>
          <w:highlight w:val="none"/>
        </w:rPr>
        <w:t>15.3特殊情况下，</w:t>
      </w:r>
      <w:r>
        <w:rPr>
          <w:rFonts w:hint="eastAsia" w:ascii="宋体" w:hAnsi="宋体" w:eastAsia="宋体" w:cs="宋体"/>
          <w:bCs/>
          <w:sz w:val="24"/>
          <w:highlight w:val="none"/>
        </w:rPr>
        <w:t>采购人</w:t>
      </w:r>
      <w:r>
        <w:rPr>
          <w:rFonts w:hint="eastAsia" w:ascii="宋体" w:hAnsi="宋体" w:eastAsia="宋体" w:cs="宋体"/>
          <w:sz w:val="24"/>
          <w:highlight w:val="none"/>
        </w:rPr>
        <w:t>发布澄清、更正或更改公告后，可不改变投标截止时间和开标时间。</w:t>
      </w:r>
    </w:p>
    <w:p w14:paraId="03C9A53A">
      <w:pPr>
        <w:pStyle w:val="4"/>
        <w:spacing w:line="360" w:lineRule="auto"/>
        <w:ind w:firstLine="2715" w:firstLineChars="966"/>
        <w:jc w:val="both"/>
        <w:rPr>
          <w:rFonts w:hint="eastAsia" w:ascii="宋体" w:hAnsi="宋体" w:eastAsia="宋体" w:cs="宋体"/>
          <w:sz w:val="28"/>
          <w:highlight w:val="none"/>
        </w:rPr>
      </w:pPr>
      <w:bookmarkStart w:id="97" w:name="_Hlt510342861"/>
      <w:bookmarkEnd w:id="97"/>
      <w:bookmarkStart w:id="98" w:name="_Hlt509649724"/>
      <w:bookmarkEnd w:id="98"/>
      <w:bookmarkStart w:id="99" w:name="_Hlt509650697"/>
      <w:bookmarkEnd w:id="99"/>
      <w:bookmarkStart w:id="100" w:name="_Toc527725924"/>
      <w:bookmarkStart w:id="101" w:name="_Toc29307"/>
      <w:bookmarkStart w:id="102" w:name="_Toc40975444"/>
      <w:bookmarkStart w:id="103" w:name="_Toc30687"/>
      <w:bookmarkStart w:id="104" w:name="_Toc25639"/>
      <w:r>
        <w:rPr>
          <w:rFonts w:hint="eastAsia" w:ascii="宋体" w:hAnsi="宋体" w:eastAsia="宋体" w:cs="宋体"/>
          <w:sz w:val="28"/>
          <w:highlight w:val="none"/>
        </w:rPr>
        <w:t>三．投标文件的编制</w:t>
      </w:r>
      <w:bookmarkEnd w:id="100"/>
      <w:bookmarkEnd w:id="101"/>
      <w:bookmarkEnd w:id="102"/>
      <w:bookmarkEnd w:id="103"/>
      <w:bookmarkEnd w:id="104"/>
    </w:p>
    <w:p w14:paraId="57714E80">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16.投标文件构成与格式</w:t>
      </w:r>
    </w:p>
    <w:p w14:paraId="1CDEEC2C">
      <w:pPr>
        <w:spacing w:line="360" w:lineRule="auto"/>
        <w:ind w:firstLine="550"/>
        <w:rPr>
          <w:rFonts w:hint="eastAsia" w:ascii="宋体" w:hAnsi="宋体" w:eastAsia="宋体" w:cs="宋体"/>
          <w:sz w:val="24"/>
          <w:highlight w:val="none"/>
        </w:rPr>
      </w:pPr>
      <w:bookmarkStart w:id="105" w:name="_Hlt509650345"/>
      <w:bookmarkEnd w:id="105"/>
      <w:r>
        <w:rPr>
          <w:rFonts w:hint="eastAsia" w:ascii="宋体" w:hAnsi="宋体" w:eastAsia="宋体" w:cs="宋体"/>
          <w:sz w:val="24"/>
          <w:highlight w:val="none"/>
        </w:rPr>
        <w:t>16.1投标文件是对招标文件的实质性响应及承诺文件。</w:t>
      </w:r>
    </w:p>
    <w:p w14:paraId="76EB1014">
      <w:pPr>
        <w:spacing w:line="360" w:lineRule="auto"/>
        <w:ind w:firstLine="550"/>
        <w:jc w:val="left"/>
        <w:rPr>
          <w:rFonts w:hint="eastAsia" w:ascii="宋体" w:hAnsi="宋体" w:eastAsia="宋体" w:cs="宋体"/>
          <w:sz w:val="24"/>
          <w:highlight w:val="none"/>
        </w:rPr>
      </w:pPr>
      <w:r>
        <w:rPr>
          <w:rFonts w:hint="eastAsia" w:ascii="宋体" w:hAnsi="宋体" w:eastAsia="宋体" w:cs="宋体"/>
          <w:sz w:val="24"/>
          <w:highlight w:val="none"/>
        </w:rPr>
        <w:t>16.2</w:t>
      </w:r>
      <w:r>
        <w:rPr>
          <w:rFonts w:hint="eastAsia" w:ascii="宋体" w:hAnsi="宋体" w:eastAsia="宋体" w:cs="宋体"/>
          <w:bCs/>
          <w:sz w:val="24"/>
          <w:highlight w:val="none"/>
        </w:rPr>
        <w:t>除非注明“</w:t>
      </w:r>
      <w:r>
        <w:rPr>
          <w:rFonts w:hint="eastAsia" w:ascii="宋体" w:hAnsi="宋体" w:cs="宋体"/>
          <w:bCs/>
          <w:sz w:val="24"/>
          <w:highlight w:val="none"/>
          <w:lang w:eastAsia="zh-CN"/>
        </w:rPr>
        <w:t>供应商</w:t>
      </w:r>
      <w:r>
        <w:rPr>
          <w:rFonts w:hint="eastAsia" w:ascii="宋体" w:hAnsi="宋体" w:eastAsia="宋体" w:cs="宋体"/>
          <w:bCs/>
          <w:sz w:val="24"/>
          <w:highlight w:val="none"/>
        </w:rPr>
        <w:t>可自行制作格式”，投标文件应使用招标文件提供的格式。</w:t>
      </w:r>
    </w:p>
    <w:p w14:paraId="4C9EB229">
      <w:pPr>
        <w:spacing w:line="360" w:lineRule="auto"/>
        <w:ind w:firstLine="550"/>
        <w:rPr>
          <w:rFonts w:hint="eastAsia" w:ascii="宋体" w:hAnsi="宋体" w:eastAsia="宋体" w:cs="宋体"/>
          <w:sz w:val="24"/>
          <w:highlight w:val="none"/>
        </w:rPr>
      </w:pPr>
      <w:r>
        <w:rPr>
          <w:rFonts w:hint="eastAsia" w:ascii="宋体" w:hAnsi="宋体" w:eastAsia="宋体" w:cs="宋体"/>
          <w:bCs/>
          <w:sz w:val="24"/>
          <w:highlight w:val="none"/>
        </w:rPr>
        <w:t>16.3除专用术语外，投标文件以及</w:t>
      </w:r>
      <w:r>
        <w:rPr>
          <w:rFonts w:hint="eastAsia" w:ascii="宋体" w:hAnsi="宋体" w:cs="宋体"/>
          <w:bCs/>
          <w:sz w:val="24"/>
          <w:highlight w:val="none"/>
          <w:lang w:eastAsia="zh-CN"/>
        </w:rPr>
        <w:t>供应商</w:t>
      </w:r>
      <w:r>
        <w:rPr>
          <w:rFonts w:hint="eastAsia" w:ascii="宋体" w:hAnsi="宋体" w:eastAsia="宋体" w:cs="宋体"/>
          <w:bCs/>
          <w:sz w:val="24"/>
          <w:highlight w:val="none"/>
        </w:rPr>
        <w:t>与采购人就有关投标的往来函电均应使用中文。</w:t>
      </w:r>
      <w:r>
        <w:rPr>
          <w:rFonts w:hint="eastAsia" w:ascii="宋体" w:hAnsi="宋体" w:cs="宋体"/>
          <w:bCs/>
          <w:sz w:val="24"/>
          <w:highlight w:val="none"/>
          <w:lang w:eastAsia="zh-CN"/>
        </w:rPr>
        <w:t>供应商</w:t>
      </w:r>
      <w:r>
        <w:rPr>
          <w:rFonts w:hint="eastAsia" w:ascii="宋体" w:hAnsi="宋体" w:eastAsia="宋体" w:cs="宋体"/>
          <w:bCs/>
          <w:sz w:val="24"/>
          <w:highlight w:val="none"/>
        </w:rPr>
        <w:t>提交的支持性文件和印制的文件可以用另一种语言，但相应内容应翻译成中文，对不同文字文本投标文件的解释发生异议的，以中文文本为准。</w:t>
      </w:r>
    </w:p>
    <w:p w14:paraId="497F57F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16.4除非招标文件另有规定，投标文件应使用中华人民共和国法定计量单位。</w:t>
      </w:r>
    </w:p>
    <w:p w14:paraId="0F6034B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16.5除非招标文件另有规定，投标文件应使用人民币填报所有报价。允许以多种货币报价的，应当按照中国银行在开标日公布的汇率中间价换算成人民币。</w:t>
      </w:r>
    </w:p>
    <w:p w14:paraId="7B84548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16.6</w:t>
      </w:r>
      <w:r>
        <w:rPr>
          <w:rFonts w:hint="eastAsia" w:ascii="宋体" w:hAnsi="宋体" w:eastAsia="宋体" w:cs="宋体"/>
          <w:sz w:val="24"/>
          <w:highlight w:val="none"/>
          <w:lang w:val="en-US" w:eastAsia="zh-CN"/>
        </w:rPr>
        <w:t>投标</w:t>
      </w:r>
      <w:r>
        <w:rPr>
          <w:rFonts w:hint="eastAsia" w:ascii="宋体" w:hAnsi="宋体" w:eastAsia="宋体" w:cs="宋体"/>
          <w:sz w:val="24"/>
          <w:highlight w:val="none"/>
        </w:rPr>
        <w:t>文件应编制详细目录、连续页码，每个页面应在明显位置编制页码；除特殊规格的图纸或方案、图片资料等外，均应按A4规格制作。</w:t>
      </w:r>
    </w:p>
    <w:p w14:paraId="2225F04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16</w:t>
      </w: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投标文件须由投标人法人代表或</w:t>
      </w:r>
      <w:r>
        <w:rPr>
          <w:rFonts w:hint="eastAsia" w:ascii="宋体" w:hAnsi="宋体" w:cs="宋体"/>
          <w:color w:val="auto"/>
          <w:sz w:val="24"/>
          <w:highlight w:val="none"/>
          <w:lang w:val="en-US" w:eastAsia="zh-CN"/>
        </w:rPr>
        <w:t>经</w:t>
      </w:r>
      <w:r>
        <w:rPr>
          <w:rFonts w:hint="eastAsia" w:ascii="宋体" w:hAnsi="宋体" w:cs="宋体"/>
          <w:color w:val="auto"/>
          <w:sz w:val="24"/>
          <w:highlight w:val="none"/>
        </w:rPr>
        <w:t>法人代表正式授权的投标人代表逐页签字，按规定盖章，否则将被视为无效</w:t>
      </w:r>
      <w:r>
        <w:rPr>
          <w:rFonts w:hint="eastAsia" w:ascii="宋体" w:hAnsi="宋体" w:eastAsia="宋体" w:cs="宋体"/>
          <w:color w:val="auto"/>
          <w:sz w:val="24"/>
          <w:highlight w:val="none"/>
        </w:rPr>
        <w:t>。</w:t>
      </w:r>
    </w:p>
    <w:p w14:paraId="757A22DF">
      <w:pPr>
        <w:spacing w:line="360" w:lineRule="auto"/>
        <w:ind w:firstLine="550"/>
        <w:rPr>
          <w:rFonts w:hint="default" w:eastAsia="宋体"/>
          <w:color w:val="000000"/>
          <w:highlight w:val="none"/>
          <w:lang w:val="en-US" w:eastAsia="zh-CN"/>
        </w:rPr>
      </w:pPr>
      <w:r>
        <w:rPr>
          <w:rFonts w:hint="eastAsia" w:ascii="宋体" w:hAnsi="宋体" w:eastAsia="宋体" w:cs="宋体"/>
          <w:kern w:val="2"/>
          <w:sz w:val="24"/>
          <w:highlight w:val="none"/>
          <w:lang w:val="en-US" w:eastAsia="zh-CN" w:bidi="ar-SA"/>
        </w:rPr>
        <w:t>16.</w:t>
      </w:r>
      <w:r>
        <w:rPr>
          <w:rFonts w:hint="eastAsia" w:ascii="宋体" w:hAnsi="宋体" w:cs="宋体"/>
          <w:kern w:val="2"/>
          <w:sz w:val="24"/>
          <w:highlight w:val="none"/>
          <w:lang w:val="en-US" w:eastAsia="zh-CN" w:bidi="ar-SA"/>
        </w:rPr>
        <w:t>9</w:t>
      </w:r>
      <w:r>
        <w:rPr>
          <w:rFonts w:hint="eastAsia" w:ascii="宋体" w:hAnsi="宋体" w:eastAsia="宋体" w:cs="宋体"/>
          <w:kern w:val="2"/>
          <w:sz w:val="24"/>
          <w:highlight w:val="none"/>
          <w:lang w:val="en-US" w:eastAsia="zh-CN" w:bidi="ar-SA"/>
        </w:rPr>
        <w:t>电子投标文</w:t>
      </w:r>
      <w:r>
        <w:rPr>
          <w:rFonts w:hint="eastAsia" w:ascii="宋体" w:hAnsi="宋体" w:cs="宋体"/>
          <w:kern w:val="2"/>
          <w:sz w:val="24"/>
          <w:highlight w:val="none"/>
          <w:lang w:val="en-US" w:eastAsia="zh-CN" w:bidi="ar-SA"/>
        </w:rPr>
        <w:t>件</w:t>
      </w:r>
      <w:r>
        <w:rPr>
          <w:rFonts w:hint="eastAsia" w:ascii="宋体" w:hAnsi="宋体" w:eastAsia="宋体" w:cs="宋体"/>
          <w:kern w:val="2"/>
          <w:sz w:val="24"/>
          <w:highlight w:val="none"/>
          <w:lang w:val="en-US" w:eastAsia="zh-CN" w:bidi="ar-SA"/>
        </w:rPr>
        <w:t>制作</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w:t>
      </w:r>
      <w:r>
        <w:rPr>
          <w:rFonts w:hint="eastAsia" w:ascii="宋体" w:hAnsi="宋体" w:eastAsia="宋体" w:cs="宋体"/>
          <w:color w:val="000000"/>
          <w:sz w:val="24"/>
          <w:highlight w:val="none"/>
          <w:lang w:val="en-US" w:eastAsia="zh-CN"/>
        </w:rPr>
        <w:t>块</w:t>
      </w:r>
      <w:r>
        <w:rPr>
          <w:rFonts w:hint="eastAsia" w:ascii="宋体" w:hAnsi="宋体" w:eastAsia="宋体" w:cs="宋体"/>
          <w:color w:val="000000"/>
          <w:sz w:val="24"/>
          <w:highlight w:val="none"/>
        </w:rPr>
        <w:t>《投标单位-电子投标文件视频制作手册》的相关规定。</w:t>
      </w:r>
    </w:p>
    <w:p w14:paraId="781B5504">
      <w:pPr>
        <w:spacing w:line="360" w:lineRule="auto"/>
        <w:ind w:firstLine="550"/>
        <w:rPr>
          <w:rFonts w:hint="eastAsia" w:ascii="宋体" w:hAnsi="宋体" w:eastAsia="宋体" w:cs="宋体"/>
          <w:sz w:val="24"/>
          <w:highlight w:val="none"/>
        </w:rPr>
      </w:pPr>
      <w:r>
        <w:rPr>
          <w:rFonts w:hint="eastAsia" w:ascii="宋体" w:hAnsi="宋体" w:eastAsia="宋体" w:cs="宋体"/>
          <w:b/>
          <w:sz w:val="24"/>
          <w:highlight w:val="none"/>
        </w:rPr>
        <w:t>17.报价</w:t>
      </w:r>
    </w:p>
    <w:p w14:paraId="310CD8C2">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17.1</w:t>
      </w:r>
      <w:r>
        <w:rPr>
          <w:rFonts w:hint="eastAsia" w:ascii="宋体" w:hAnsi="宋体" w:cs="宋体"/>
          <w:sz w:val="24"/>
          <w:highlight w:val="none"/>
          <w:lang w:eastAsia="zh-CN"/>
        </w:rPr>
        <w:t>供应商</w:t>
      </w:r>
      <w:r>
        <w:rPr>
          <w:rFonts w:hint="eastAsia" w:ascii="宋体" w:hAnsi="宋体" w:eastAsia="宋体" w:cs="宋体"/>
          <w:sz w:val="24"/>
          <w:highlight w:val="none"/>
        </w:rPr>
        <w:t>应以“包”为报价的基本单位。若整个需求分为若干包，则</w:t>
      </w:r>
      <w:r>
        <w:rPr>
          <w:rFonts w:hint="eastAsia" w:ascii="宋体" w:hAnsi="宋体" w:cs="宋体"/>
          <w:sz w:val="24"/>
          <w:highlight w:val="none"/>
          <w:lang w:eastAsia="zh-CN"/>
        </w:rPr>
        <w:t>供应商</w:t>
      </w:r>
      <w:r>
        <w:rPr>
          <w:rFonts w:hint="eastAsia" w:ascii="宋体" w:hAnsi="宋体" w:eastAsia="宋体" w:cs="宋体"/>
          <w:sz w:val="24"/>
          <w:highlight w:val="none"/>
        </w:rPr>
        <w:t>可选择其中的部分或所有包报价。包内所有项目均应报价（免费赠送的除外），否则将导致投标无效。</w:t>
      </w:r>
    </w:p>
    <w:p w14:paraId="23000B2A">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17.2</w:t>
      </w:r>
      <w:r>
        <w:rPr>
          <w:rFonts w:hint="eastAsia" w:ascii="宋体" w:hAnsi="宋体" w:cs="宋体"/>
          <w:sz w:val="24"/>
          <w:highlight w:val="none"/>
          <w:lang w:eastAsia="zh-CN"/>
        </w:rPr>
        <w:t>供应商</w:t>
      </w:r>
      <w:r>
        <w:rPr>
          <w:rFonts w:hint="eastAsia" w:ascii="宋体" w:hAnsi="宋体" w:cs="宋体"/>
          <w:sz w:val="24"/>
          <w:highlight w:val="none"/>
          <w:lang w:val="en-US" w:eastAsia="zh-CN"/>
        </w:rPr>
        <w:t>所投</w:t>
      </w:r>
      <w:r>
        <w:rPr>
          <w:rFonts w:hint="eastAsia" w:ascii="宋体" w:hAnsi="宋体" w:eastAsia="宋体" w:cs="宋体"/>
          <w:sz w:val="24"/>
          <w:highlight w:val="none"/>
        </w:rPr>
        <w:t>报价应包含所投服务、保险、税费、包装、加工及加工损耗、运输、现场落地、安装及安装损耗、调试、检测验收和交付后约定期限内免费维保等工作所发生的一切应有费用。投标报价为签订合同的依据。</w:t>
      </w:r>
    </w:p>
    <w:p w14:paraId="423F0648">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17.3</w:t>
      </w:r>
      <w:r>
        <w:rPr>
          <w:rFonts w:hint="eastAsia" w:ascii="宋体" w:hAnsi="宋体" w:cs="宋体"/>
          <w:sz w:val="24"/>
          <w:highlight w:val="none"/>
          <w:lang w:eastAsia="zh-CN"/>
        </w:rPr>
        <w:t>供应商</w:t>
      </w:r>
      <w:r>
        <w:rPr>
          <w:rFonts w:hint="eastAsia" w:ascii="宋体" w:hAnsi="宋体" w:eastAsia="宋体" w:cs="宋体"/>
          <w:sz w:val="24"/>
          <w:highlight w:val="none"/>
        </w:rPr>
        <w:t>应在投标文件中注明拟提供服务的单价明细和总价。</w:t>
      </w:r>
    </w:p>
    <w:p w14:paraId="25879C05">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17.4除非招标文件另有规定，每一包只允许有一个最终报价，任何有选择的报价或替代方案将导致投标无效。</w:t>
      </w:r>
    </w:p>
    <w:p w14:paraId="258AB2B4">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17.5采购人不建议</w:t>
      </w:r>
      <w:r>
        <w:rPr>
          <w:rFonts w:hint="eastAsia" w:ascii="宋体" w:hAnsi="宋体" w:cs="宋体"/>
          <w:sz w:val="24"/>
          <w:highlight w:val="none"/>
          <w:lang w:eastAsia="zh-CN"/>
        </w:rPr>
        <w:t>供应商</w:t>
      </w:r>
      <w:r>
        <w:rPr>
          <w:rFonts w:hint="eastAsia" w:ascii="宋体" w:hAnsi="宋体" w:eastAsia="宋体" w:cs="宋体"/>
          <w:sz w:val="24"/>
          <w:highlight w:val="none"/>
        </w:rPr>
        <w:t>采用总价优惠或以总价百分比优惠的方式进行投标报价，其优惠可直接计算并体现在各项投标报价的单价中。</w:t>
      </w:r>
    </w:p>
    <w:p w14:paraId="51736E8F">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17.6除政策性文件规定以外，</w:t>
      </w:r>
      <w:r>
        <w:rPr>
          <w:rFonts w:hint="eastAsia" w:ascii="宋体" w:hAnsi="宋体" w:cs="宋体"/>
          <w:sz w:val="24"/>
          <w:highlight w:val="none"/>
          <w:lang w:eastAsia="zh-CN"/>
        </w:rPr>
        <w:t>供应商</w:t>
      </w:r>
      <w:r>
        <w:rPr>
          <w:rFonts w:hint="eastAsia" w:ascii="宋体" w:hAnsi="宋体" w:eastAsia="宋体" w:cs="宋体"/>
          <w:sz w:val="24"/>
          <w:highlight w:val="none"/>
        </w:rPr>
        <w:t>所报价格在合同实施期间不因市场变化因素而变动。</w:t>
      </w:r>
    </w:p>
    <w:p w14:paraId="2409A64B">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18.投标内容填写及说明</w:t>
      </w:r>
    </w:p>
    <w:p w14:paraId="07FD1846">
      <w:pPr>
        <w:spacing w:line="360" w:lineRule="auto"/>
        <w:ind w:firstLine="549"/>
        <w:rPr>
          <w:rFonts w:hint="eastAsia" w:ascii="宋体" w:hAnsi="宋体" w:eastAsia="宋体" w:cs="宋体"/>
          <w:sz w:val="24"/>
          <w:highlight w:val="none"/>
          <w:u w:val="single"/>
        </w:rPr>
      </w:pPr>
      <w:r>
        <w:rPr>
          <w:rFonts w:hint="eastAsia" w:ascii="宋体" w:hAnsi="宋体" w:eastAsia="宋体" w:cs="宋体"/>
          <w:sz w:val="24"/>
          <w:highlight w:val="none"/>
        </w:rPr>
        <w:t>18.1</w:t>
      </w:r>
      <w:r>
        <w:rPr>
          <w:rFonts w:hint="eastAsia" w:ascii="宋体" w:hAnsi="宋体" w:eastAsia="宋体" w:cs="宋体"/>
          <w:color w:val="auto"/>
          <w:sz w:val="24"/>
          <w:highlight w:val="none"/>
        </w:rPr>
        <w:t>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5521399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18.2</w:t>
      </w:r>
      <w:r>
        <w:rPr>
          <w:rFonts w:hint="eastAsia" w:ascii="宋体" w:hAnsi="宋体" w:cs="宋体"/>
          <w:color w:val="auto"/>
          <w:sz w:val="24"/>
          <w:highlight w:val="none"/>
        </w:rPr>
        <w:t>投标人应在投标文件中提交招标文件要求的有关证明文件（扫描或影印件上传），并在上面标注“与原件一致”字样，作为其投标文件的一部分。</w:t>
      </w:r>
    </w:p>
    <w:p w14:paraId="4BD7754A">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18.3</w:t>
      </w:r>
      <w:r>
        <w:rPr>
          <w:rFonts w:hint="eastAsia" w:ascii="宋体" w:hAnsi="宋体" w:cs="宋体"/>
          <w:sz w:val="24"/>
          <w:highlight w:val="none"/>
          <w:lang w:eastAsia="zh-CN"/>
        </w:rPr>
        <w:t>供应商</w:t>
      </w:r>
      <w:r>
        <w:rPr>
          <w:rFonts w:hint="eastAsia" w:ascii="宋体" w:hAnsi="宋体" w:eastAsia="宋体" w:cs="宋体"/>
          <w:sz w:val="24"/>
          <w:highlight w:val="none"/>
        </w:rPr>
        <w:t>应在投标文件中提交（以扫描件或影印件上传）招标文件要求的所有服务的合格性以及符合招标文件规定的证明文件（可以是手册、图纸和资料）等，并作为其投标文件的一部分。包括：</w:t>
      </w:r>
    </w:p>
    <w:p w14:paraId="2BE7C0F5">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18.3.1服务主要性能（内容）的详细描述；</w:t>
      </w:r>
    </w:p>
    <w:p w14:paraId="3D6F277A">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18.3.2</w:t>
      </w:r>
      <w:r>
        <w:rPr>
          <w:rFonts w:hint="eastAsia" w:ascii="宋体" w:hAnsi="宋体" w:cs="宋体"/>
          <w:sz w:val="24"/>
          <w:highlight w:val="none"/>
          <w:lang w:val="en-US" w:eastAsia="zh-CN"/>
        </w:rPr>
        <w:t>供应商</w:t>
      </w:r>
      <w:r>
        <w:rPr>
          <w:rFonts w:hint="eastAsia" w:ascii="宋体" w:hAnsi="宋体" w:eastAsia="宋体" w:cs="宋体"/>
          <w:sz w:val="24"/>
          <w:highlight w:val="none"/>
        </w:rPr>
        <w:t>保证所投服务正常、安全、连续运行期间所需的所有备品、备件及专用工具的详细清单。</w:t>
      </w:r>
    </w:p>
    <w:p w14:paraId="3195913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18.4投标文件应编排有序、内容齐全、不得任意涂改或增删。如有错漏处必须修改，应在修改处加盖</w:t>
      </w:r>
      <w:r>
        <w:rPr>
          <w:rFonts w:hint="eastAsia" w:ascii="宋体" w:hAnsi="宋体" w:cs="宋体"/>
          <w:sz w:val="24"/>
          <w:highlight w:val="none"/>
          <w:lang w:eastAsia="zh-CN"/>
        </w:rPr>
        <w:t>供应商</w:t>
      </w:r>
      <w:r>
        <w:rPr>
          <w:rFonts w:hint="eastAsia" w:ascii="宋体" w:hAnsi="宋体" w:eastAsia="宋体" w:cs="宋体"/>
          <w:sz w:val="24"/>
          <w:highlight w:val="none"/>
        </w:rPr>
        <w:t>电子公章。</w:t>
      </w:r>
    </w:p>
    <w:p w14:paraId="3F581F6E">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19.投标保证金（免收）</w:t>
      </w:r>
    </w:p>
    <w:p w14:paraId="7938AAAA">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20.投标有效期</w:t>
      </w:r>
    </w:p>
    <w:p w14:paraId="5AF0099B">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20.1为保证采购人有足够的时间完成评标和与中标人签订合同，规定投标有效期。投标有效期期限见</w:t>
      </w:r>
      <w:r>
        <w:rPr>
          <w:rFonts w:hint="eastAsia" w:ascii="宋体" w:hAnsi="宋体" w:cs="宋体"/>
          <w:sz w:val="24"/>
          <w:highlight w:val="none"/>
          <w:lang w:eastAsia="zh-CN"/>
        </w:rPr>
        <w:t>供应商</w:t>
      </w:r>
      <w:r>
        <w:rPr>
          <w:rFonts w:hint="eastAsia" w:ascii="宋体" w:hAnsi="宋体" w:eastAsia="宋体" w:cs="宋体"/>
          <w:sz w:val="24"/>
          <w:highlight w:val="none"/>
        </w:rPr>
        <w:t>须知前附表。</w:t>
      </w:r>
    </w:p>
    <w:p w14:paraId="287BE31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20.2在投标有效期内，</w:t>
      </w:r>
      <w:r>
        <w:rPr>
          <w:rFonts w:hint="eastAsia" w:ascii="宋体" w:hAnsi="宋体" w:cs="宋体"/>
          <w:sz w:val="24"/>
          <w:highlight w:val="none"/>
          <w:lang w:eastAsia="zh-CN"/>
        </w:rPr>
        <w:t>供应商</w:t>
      </w:r>
      <w:r>
        <w:rPr>
          <w:rFonts w:hint="eastAsia" w:ascii="宋体" w:hAnsi="宋体" w:eastAsia="宋体" w:cs="宋体"/>
          <w:sz w:val="24"/>
          <w:highlight w:val="none"/>
        </w:rPr>
        <w:t>的投标保持有效，</w:t>
      </w:r>
      <w:r>
        <w:rPr>
          <w:rFonts w:hint="eastAsia" w:ascii="宋体" w:hAnsi="宋体" w:cs="宋体"/>
          <w:sz w:val="24"/>
          <w:highlight w:val="none"/>
          <w:lang w:eastAsia="zh-CN"/>
        </w:rPr>
        <w:t>供应商</w:t>
      </w:r>
      <w:r>
        <w:rPr>
          <w:rFonts w:hint="eastAsia" w:ascii="宋体" w:hAnsi="宋体" w:eastAsia="宋体" w:cs="宋体"/>
          <w:sz w:val="24"/>
          <w:highlight w:val="none"/>
        </w:rPr>
        <w:t>不得要求撤销或修改其投标文件。</w:t>
      </w:r>
    </w:p>
    <w:p w14:paraId="43A59EC7">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20.3投标有效期从投标截止日起计算。</w:t>
      </w:r>
    </w:p>
    <w:p w14:paraId="4945F550">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20.4在原定投标有效期满之前，如果出现特殊情况，</w:t>
      </w:r>
      <w:r>
        <w:rPr>
          <w:rFonts w:hint="eastAsia" w:ascii="宋体" w:hAnsi="宋体" w:eastAsia="宋体" w:cs="宋体"/>
          <w:bCs/>
          <w:sz w:val="24"/>
          <w:highlight w:val="none"/>
        </w:rPr>
        <w:t>采购人</w:t>
      </w:r>
      <w:r>
        <w:rPr>
          <w:rFonts w:hint="eastAsia" w:ascii="宋体" w:hAnsi="宋体" w:eastAsia="宋体" w:cs="宋体"/>
          <w:sz w:val="24"/>
          <w:highlight w:val="none"/>
        </w:rPr>
        <w:t>可以书面形式提出延长投标有效期的要求。</w:t>
      </w:r>
      <w:r>
        <w:rPr>
          <w:rFonts w:hint="eastAsia" w:ascii="宋体" w:hAnsi="宋体" w:cs="宋体"/>
          <w:sz w:val="24"/>
          <w:highlight w:val="none"/>
          <w:lang w:eastAsia="zh-CN"/>
        </w:rPr>
        <w:t>供应商</w:t>
      </w:r>
      <w:r>
        <w:rPr>
          <w:rFonts w:hint="eastAsia" w:ascii="宋体" w:hAnsi="宋体" w:eastAsia="宋体" w:cs="宋体"/>
          <w:sz w:val="24"/>
          <w:highlight w:val="none"/>
        </w:rPr>
        <w:t>以书面形式予以答复，</w:t>
      </w:r>
      <w:r>
        <w:rPr>
          <w:rFonts w:hint="eastAsia" w:ascii="宋体" w:hAnsi="宋体" w:cs="宋体"/>
          <w:sz w:val="24"/>
          <w:highlight w:val="none"/>
          <w:lang w:eastAsia="zh-CN"/>
        </w:rPr>
        <w:t>供应商</w:t>
      </w:r>
      <w:r>
        <w:rPr>
          <w:rFonts w:hint="eastAsia" w:ascii="宋体" w:hAnsi="宋体" w:eastAsia="宋体" w:cs="宋体"/>
          <w:sz w:val="24"/>
          <w:highlight w:val="none"/>
        </w:rPr>
        <w:t>可以拒绝这种要求而不被没收投标保证金。同意延长投标有效期的</w:t>
      </w:r>
      <w:r>
        <w:rPr>
          <w:rFonts w:hint="eastAsia" w:ascii="宋体" w:hAnsi="宋体" w:cs="宋体"/>
          <w:sz w:val="24"/>
          <w:highlight w:val="none"/>
          <w:lang w:eastAsia="zh-CN"/>
        </w:rPr>
        <w:t>供应商</w:t>
      </w:r>
      <w:r>
        <w:rPr>
          <w:rFonts w:hint="eastAsia" w:ascii="宋体" w:hAnsi="宋体" w:eastAsia="宋体" w:cs="宋体"/>
          <w:sz w:val="24"/>
          <w:highlight w:val="none"/>
        </w:rPr>
        <w:t>不允许修改其投标文件的实质性内容，且需要相应地延长投标保证金的有效期。</w:t>
      </w:r>
    </w:p>
    <w:p w14:paraId="39A90CD2">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21.投标文件份数和签署</w:t>
      </w:r>
    </w:p>
    <w:p w14:paraId="417D6A3B">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 xml:space="preserve">21.1 </w:t>
      </w:r>
      <w:r>
        <w:rPr>
          <w:rFonts w:hint="eastAsia" w:ascii="宋体" w:hAnsi="宋体" w:cs="宋体"/>
          <w:sz w:val="24"/>
          <w:highlight w:val="none"/>
          <w:lang w:eastAsia="zh-CN"/>
        </w:rPr>
        <w:t>供应商</w:t>
      </w:r>
      <w:r>
        <w:rPr>
          <w:rFonts w:hint="eastAsia" w:ascii="宋体" w:hAnsi="宋体" w:eastAsia="宋体" w:cs="宋体"/>
          <w:sz w:val="24"/>
          <w:highlight w:val="none"/>
        </w:rPr>
        <w:t>应按照</w:t>
      </w:r>
      <w:r>
        <w:rPr>
          <w:rFonts w:hint="eastAsia" w:ascii="宋体" w:hAnsi="宋体" w:cs="宋体"/>
          <w:sz w:val="24"/>
          <w:highlight w:val="none"/>
          <w:lang w:eastAsia="zh-CN"/>
        </w:rPr>
        <w:t>供应商</w:t>
      </w:r>
      <w:r>
        <w:rPr>
          <w:rFonts w:hint="eastAsia" w:ascii="宋体" w:hAnsi="宋体" w:eastAsia="宋体" w:cs="宋体"/>
          <w:sz w:val="24"/>
          <w:highlight w:val="none"/>
        </w:rPr>
        <w:t>须知前附表的要求准备投标文件。</w:t>
      </w:r>
    </w:p>
    <w:p w14:paraId="26CCC0EC">
      <w:pPr>
        <w:spacing w:line="360" w:lineRule="auto"/>
        <w:ind w:firstLine="550"/>
        <w:rPr>
          <w:rFonts w:hint="eastAsia" w:ascii="宋体" w:hAnsi="宋体" w:eastAsia="宋体" w:cs="宋体"/>
          <w:b/>
          <w:sz w:val="24"/>
          <w:highlight w:val="none"/>
        </w:rPr>
      </w:pPr>
      <w:r>
        <w:rPr>
          <w:rFonts w:hint="eastAsia" w:ascii="宋体" w:hAnsi="宋体" w:eastAsia="宋体" w:cs="宋体"/>
          <w:sz w:val="24"/>
          <w:highlight w:val="none"/>
        </w:rPr>
        <w:t>21.2投标文件均应依招标文件要求加盖</w:t>
      </w:r>
      <w:r>
        <w:rPr>
          <w:rFonts w:hint="eastAsia" w:ascii="宋体" w:hAnsi="宋体" w:cs="宋体"/>
          <w:sz w:val="24"/>
          <w:highlight w:val="none"/>
          <w:lang w:eastAsia="zh-CN"/>
        </w:rPr>
        <w:t>供应商</w:t>
      </w:r>
      <w:r>
        <w:rPr>
          <w:rFonts w:hint="eastAsia" w:ascii="宋体" w:hAnsi="宋体" w:eastAsia="宋体" w:cs="宋体"/>
          <w:sz w:val="24"/>
          <w:highlight w:val="none"/>
        </w:rPr>
        <w:t>电子签章</w:t>
      </w:r>
      <w:r>
        <w:rPr>
          <w:rFonts w:hint="eastAsia" w:ascii="宋体" w:hAnsi="宋体" w:eastAsia="宋体" w:cs="宋体"/>
          <w:b/>
          <w:sz w:val="24"/>
          <w:highlight w:val="none"/>
        </w:rPr>
        <w:t>。</w:t>
      </w:r>
    </w:p>
    <w:p w14:paraId="77A9A3C6">
      <w:pPr>
        <w:pStyle w:val="4"/>
        <w:spacing w:line="360" w:lineRule="auto"/>
        <w:ind w:firstLine="2715" w:firstLineChars="966"/>
        <w:jc w:val="both"/>
        <w:rPr>
          <w:rFonts w:hint="eastAsia" w:ascii="宋体" w:hAnsi="宋体" w:eastAsia="宋体" w:cs="宋体"/>
          <w:sz w:val="28"/>
          <w:highlight w:val="none"/>
        </w:rPr>
      </w:pPr>
      <w:bookmarkStart w:id="106" w:name="_Hlt509650572"/>
      <w:bookmarkEnd w:id="106"/>
      <w:bookmarkStart w:id="107" w:name="_Toc26995"/>
      <w:bookmarkStart w:id="108" w:name="_Toc860"/>
      <w:bookmarkStart w:id="109" w:name="_Toc40975445"/>
      <w:bookmarkStart w:id="110" w:name="_Toc3045"/>
      <w:bookmarkStart w:id="111" w:name="_Toc527725925"/>
      <w:r>
        <w:rPr>
          <w:rFonts w:hint="eastAsia" w:ascii="宋体" w:hAnsi="宋体" w:eastAsia="宋体" w:cs="宋体"/>
          <w:sz w:val="28"/>
          <w:highlight w:val="none"/>
        </w:rPr>
        <w:t>四．投标文件的递交</w:t>
      </w:r>
      <w:bookmarkEnd w:id="107"/>
      <w:bookmarkEnd w:id="108"/>
      <w:bookmarkEnd w:id="109"/>
      <w:bookmarkEnd w:id="110"/>
      <w:bookmarkEnd w:id="111"/>
      <w:bookmarkStart w:id="112" w:name="_Hlt509649414"/>
      <w:bookmarkEnd w:id="112"/>
    </w:p>
    <w:p w14:paraId="155A0288">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22.投标文件的密封和标记</w:t>
      </w:r>
    </w:p>
    <w:p w14:paraId="163FF57D">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5971DE27">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 xml:space="preserve">23.投标文件的递交 </w:t>
      </w:r>
    </w:p>
    <w:p w14:paraId="0A45620A">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23.1</w:t>
      </w:r>
      <w:r>
        <w:rPr>
          <w:rFonts w:hint="eastAsia" w:ascii="宋体" w:hAnsi="宋体" w:cs="宋体"/>
          <w:sz w:val="24"/>
          <w:highlight w:val="none"/>
          <w:lang w:eastAsia="zh-CN"/>
        </w:rPr>
        <w:t>供应商</w:t>
      </w:r>
      <w:r>
        <w:rPr>
          <w:rFonts w:hint="eastAsia" w:ascii="宋体" w:hAnsi="宋体" w:eastAsia="宋体" w:cs="宋体"/>
          <w:sz w:val="24"/>
          <w:highlight w:val="none"/>
        </w:rPr>
        <w:t>应当在招标文件要求提交投标文件的截止时间前网上投标。</w:t>
      </w:r>
    </w:p>
    <w:p w14:paraId="6E970959">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23.2在招标文件要求提交投标文件的截止时间之后制作上传的投标文件为无效投标文件，</w:t>
      </w:r>
      <w:r>
        <w:rPr>
          <w:rFonts w:hint="eastAsia" w:ascii="宋体" w:hAnsi="宋体" w:eastAsia="宋体" w:cs="宋体"/>
          <w:bCs/>
          <w:sz w:val="24"/>
          <w:highlight w:val="none"/>
        </w:rPr>
        <w:t>采购人</w:t>
      </w:r>
      <w:r>
        <w:rPr>
          <w:rFonts w:hint="eastAsia" w:ascii="宋体" w:hAnsi="宋体" w:eastAsia="宋体" w:cs="宋体"/>
          <w:sz w:val="24"/>
          <w:highlight w:val="none"/>
        </w:rPr>
        <w:t>将拒绝接收。</w:t>
      </w:r>
    </w:p>
    <w:p w14:paraId="4337F919">
      <w:pPr>
        <w:spacing w:line="360" w:lineRule="auto"/>
        <w:ind w:firstLine="550"/>
        <w:rPr>
          <w:rFonts w:hint="eastAsia" w:ascii="宋体" w:hAnsi="宋体" w:eastAsia="宋体" w:cs="宋体"/>
          <w:b/>
          <w:sz w:val="24"/>
          <w:highlight w:val="none"/>
        </w:rPr>
      </w:pPr>
      <w:r>
        <w:rPr>
          <w:rFonts w:hint="eastAsia" w:ascii="宋体" w:hAnsi="宋体" w:eastAsia="宋体" w:cs="宋体"/>
          <w:b/>
          <w:sz w:val="24"/>
          <w:highlight w:val="none"/>
        </w:rPr>
        <w:t>24.投标文件的修改和撤回</w:t>
      </w:r>
    </w:p>
    <w:p w14:paraId="5E96515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投标截止日期前，</w:t>
      </w:r>
      <w:r>
        <w:rPr>
          <w:rFonts w:hint="eastAsia" w:ascii="宋体" w:hAnsi="宋体" w:cs="宋体"/>
          <w:sz w:val="24"/>
          <w:highlight w:val="none"/>
          <w:lang w:eastAsia="zh-CN"/>
        </w:rPr>
        <w:t>供应商</w:t>
      </w:r>
      <w:r>
        <w:rPr>
          <w:rFonts w:hint="eastAsia" w:ascii="宋体" w:hAnsi="宋体" w:eastAsia="宋体" w:cs="宋体"/>
          <w:sz w:val="24"/>
          <w:highlight w:val="none"/>
        </w:rPr>
        <w:t>可以修改或撤回其投标文件；在投标截止时间后，</w:t>
      </w:r>
      <w:r>
        <w:rPr>
          <w:rFonts w:hint="eastAsia" w:ascii="宋体" w:hAnsi="宋体" w:cs="宋体"/>
          <w:sz w:val="24"/>
          <w:highlight w:val="none"/>
          <w:lang w:eastAsia="zh-CN"/>
        </w:rPr>
        <w:t>供应商</w:t>
      </w:r>
      <w:r>
        <w:rPr>
          <w:rFonts w:hint="eastAsia" w:ascii="宋体" w:hAnsi="宋体" w:eastAsia="宋体" w:cs="宋体"/>
          <w:sz w:val="24"/>
          <w:highlight w:val="none"/>
        </w:rPr>
        <w:t>不得再要求修改或撤回其投标文件。</w:t>
      </w:r>
    </w:p>
    <w:p w14:paraId="0C86E2EF">
      <w:pPr>
        <w:pStyle w:val="4"/>
        <w:spacing w:line="360" w:lineRule="auto"/>
        <w:ind w:firstLine="2996" w:firstLineChars="1066"/>
        <w:jc w:val="both"/>
        <w:rPr>
          <w:rFonts w:hint="eastAsia" w:ascii="宋体" w:hAnsi="宋体" w:eastAsia="宋体" w:cs="宋体"/>
          <w:sz w:val="28"/>
          <w:highlight w:val="none"/>
        </w:rPr>
      </w:pPr>
      <w:bookmarkStart w:id="113" w:name="_Hlt509649294"/>
      <w:bookmarkEnd w:id="113"/>
      <w:bookmarkStart w:id="114" w:name="_Toc5128"/>
      <w:bookmarkStart w:id="115" w:name="_Toc40975446"/>
      <w:bookmarkStart w:id="116" w:name="_Toc527725926"/>
      <w:bookmarkStart w:id="117" w:name="_Toc21729"/>
      <w:bookmarkStart w:id="118" w:name="_Toc11404"/>
      <w:r>
        <w:rPr>
          <w:rFonts w:hint="eastAsia" w:ascii="宋体" w:hAnsi="宋体" w:eastAsia="宋体" w:cs="宋体"/>
          <w:sz w:val="28"/>
          <w:highlight w:val="none"/>
        </w:rPr>
        <w:t>五．开标与评标</w:t>
      </w:r>
      <w:bookmarkEnd w:id="114"/>
      <w:bookmarkEnd w:id="115"/>
      <w:bookmarkEnd w:id="116"/>
      <w:bookmarkEnd w:id="117"/>
      <w:bookmarkEnd w:id="118"/>
    </w:p>
    <w:p w14:paraId="70956804">
      <w:pPr>
        <w:snapToGrid w:val="0"/>
        <w:spacing w:line="300" w:lineRule="auto"/>
        <w:ind w:firstLine="550"/>
        <w:rPr>
          <w:rFonts w:hint="eastAsia" w:ascii="宋体" w:hAnsi="宋体" w:eastAsia="宋体" w:cs="宋体"/>
          <w:b/>
          <w:sz w:val="24"/>
          <w:szCs w:val="24"/>
          <w:highlight w:val="none"/>
        </w:rPr>
      </w:pPr>
      <w:r>
        <w:rPr>
          <w:rFonts w:hint="eastAsia" w:ascii="宋体" w:hAnsi="宋体" w:eastAsia="宋体" w:cs="宋体"/>
          <w:b/>
          <w:sz w:val="24"/>
          <w:szCs w:val="24"/>
          <w:highlight w:val="none"/>
        </w:rPr>
        <w:t>25.开标</w:t>
      </w:r>
    </w:p>
    <w:p w14:paraId="1D85C7F1">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25.1本项目实行网上远程开标无须到现场提交投标文件。投标文件提交及解密详见周口市公共资源交易中心网</w:t>
      </w:r>
      <w:r>
        <w:rPr>
          <w:rFonts w:hint="eastAsia" w:hAnsi="宋体" w:eastAsia="宋体" w:cs="宋体"/>
          <w:sz w:val="24"/>
          <w:szCs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w:t>
      </w:r>
    </w:p>
    <w:p w14:paraId="2AE551D4">
      <w:pPr>
        <w:spacing w:line="360" w:lineRule="auto"/>
        <w:ind w:firstLine="549"/>
        <w:jc w:val="left"/>
        <w:rPr>
          <w:rFonts w:hint="eastAsia" w:ascii="宋体" w:hAnsi="宋体" w:eastAsia="宋体" w:cs="宋体"/>
          <w:bCs/>
          <w:sz w:val="24"/>
          <w:highlight w:val="none"/>
        </w:rPr>
      </w:pPr>
      <w:r>
        <w:rPr>
          <w:rFonts w:hint="eastAsia" w:ascii="宋体" w:hAnsi="宋体" w:eastAsia="宋体" w:cs="宋体"/>
          <w:bCs/>
          <w:sz w:val="24"/>
          <w:highlight w:val="none"/>
        </w:rPr>
        <w:t>25.2开标时，各投标单位应在规定时间内对本单位的投标文件现场解密。在解密投标文件开始时30分钟内进行解密，超时视为放弃递交投标文件。</w:t>
      </w:r>
    </w:p>
    <w:p w14:paraId="7B82CE6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25.3投标资格及投标文件的法律文本将由评审委员会在评标前进行审查。资格不符合招标文件要求和相关法律规定的，投标无效。</w:t>
      </w:r>
    </w:p>
    <w:p w14:paraId="5B4FE5BD">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25.4开标时，周口市公共资源交易中心政府采购中心将通过网上开标系统公布</w:t>
      </w:r>
      <w:r>
        <w:rPr>
          <w:rFonts w:hint="eastAsia" w:ascii="宋体" w:hAnsi="宋体" w:cs="宋体"/>
          <w:bCs/>
          <w:sz w:val="24"/>
          <w:highlight w:val="none"/>
          <w:lang w:eastAsia="zh-CN"/>
        </w:rPr>
        <w:t>供应商</w:t>
      </w:r>
      <w:r>
        <w:rPr>
          <w:rFonts w:hint="eastAsia" w:ascii="宋体" w:hAnsi="宋体" w:eastAsia="宋体" w:cs="宋体"/>
          <w:bCs/>
          <w:sz w:val="24"/>
          <w:highlight w:val="none"/>
        </w:rPr>
        <w:t>名称、投标价格，以及周口市公共资源交易中心政府采购中心认为合适的其它详细内容。</w:t>
      </w:r>
    </w:p>
    <w:p w14:paraId="7F20108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25.5在评审结束前，未得到周口市公共资源交易中心政府采购中心允许，</w:t>
      </w:r>
      <w:r>
        <w:rPr>
          <w:rFonts w:hint="eastAsia" w:ascii="宋体" w:hAnsi="宋体" w:cs="宋体"/>
          <w:bCs/>
          <w:sz w:val="24"/>
          <w:highlight w:val="none"/>
          <w:lang w:eastAsia="zh-CN"/>
        </w:rPr>
        <w:t>供应商</w:t>
      </w:r>
      <w:r>
        <w:rPr>
          <w:rFonts w:hint="eastAsia" w:ascii="宋体" w:hAnsi="宋体" w:eastAsia="宋体" w:cs="宋体"/>
          <w:bCs/>
          <w:sz w:val="24"/>
          <w:highlight w:val="none"/>
        </w:rPr>
        <w:t>授权代表不得离开开标现场。</w:t>
      </w:r>
    </w:p>
    <w:p w14:paraId="52EE5F93">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26.投标文件的澄清、说明或补正</w:t>
      </w:r>
    </w:p>
    <w:p w14:paraId="1A0132CF">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26.1为有助于投标的审查、评价和比较，评标委员会可以书面方式要求</w:t>
      </w:r>
      <w:r>
        <w:rPr>
          <w:rFonts w:hint="eastAsia" w:ascii="宋体" w:hAnsi="宋体" w:cs="宋体"/>
          <w:bCs/>
          <w:sz w:val="24"/>
          <w:highlight w:val="none"/>
          <w:lang w:eastAsia="zh-CN"/>
        </w:rPr>
        <w:t>供应商</w:t>
      </w:r>
      <w:r>
        <w:rPr>
          <w:rFonts w:hint="eastAsia" w:ascii="宋体" w:hAnsi="宋体" w:eastAsia="宋体" w:cs="宋体"/>
          <w:bCs/>
          <w:sz w:val="24"/>
          <w:highlight w:val="none"/>
        </w:rPr>
        <w:t>对投标文件中含义不明确、对同类问题表述不一致或者有明显文字和计算错误的内容作必要的澄清、说明或补正。澄清、说明或补正不得超出投标文件的范围或改变投标文件的实质性内容。</w:t>
      </w:r>
    </w:p>
    <w:p w14:paraId="4B061C0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2BE06AAF">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26.3</w:t>
      </w:r>
      <w:r>
        <w:rPr>
          <w:rFonts w:hint="eastAsia" w:ascii="宋体" w:hAnsi="宋体" w:eastAsia="宋体" w:cs="宋体"/>
          <w:bCs/>
          <w:sz w:val="24"/>
          <w:highlight w:val="none"/>
        </w:rPr>
        <w:t>开标一览表内容与投标文件中明细表内容不一致的，以开标一览表为准。</w:t>
      </w:r>
    </w:p>
    <w:p w14:paraId="6D85D3E4">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26.4 如同时出现26.2条和26.3条所述的不一致情况，以开标一览表为准。</w:t>
      </w:r>
    </w:p>
    <w:p w14:paraId="3F7A497B">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27.评标</w:t>
      </w:r>
    </w:p>
    <w:p w14:paraId="74C3FB78">
      <w:pPr>
        <w:spacing w:line="360" w:lineRule="auto"/>
        <w:ind w:firstLine="523" w:firstLineChars="218"/>
        <w:rPr>
          <w:rFonts w:hint="eastAsia" w:ascii="宋体" w:hAnsi="宋体" w:eastAsia="宋体" w:cs="宋体"/>
          <w:b/>
          <w:sz w:val="24"/>
          <w:highlight w:val="none"/>
        </w:rPr>
      </w:pPr>
      <w:r>
        <w:rPr>
          <w:rFonts w:hint="eastAsia" w:ascii="宋体" w:hAnsi="宋体" w:eastAsia="宋体" w:cs="宋体"/>
          <w:sz w:val="24"/>
          <w:highlight w:val="none"/>
        </w:rPr>
        <w:t>27.1 评委会将按照招标文件规定的评标办法对</w:t>
      </w:r>
      <w:r>
        <w:rPr>
          <w:rFonts w:hint="eastAsia" w:ascii="宋体" w:hAnsi="宋体" w:cs="宋体"/>
          <w:sz w:val="24"/>
          <w:highlight w:val="none"/>
          <w:lang w:eastAsia="zh-CN"/>
        </w:rPr>
        <w:t>供应商</w:t>
      </w:r>
      <w:r>
        <w:rPr>
          <w:rFonts w:hint="eastAsia" w:ascii="宋体" w:hAnsi="宋体" w:eastAsia="宋体" w:cs="宋体"/>
          <w:sz w:val="24"/>
          <w:highlight w:val="none"/>
        </w:rPr>
        <w:t>独立进行投标评审。投标评审分为符合性审查和综合评分。</w:t>
      </w:r>
    </w:p>
    <w:p w14:paraId="7F78157D">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w:t>
      </w:r>
      <w:r>
        <w:rPr>
          <w:rFonts w:hint="eastAsia" w:ascii="宋体" w:hAnsi="宋体" w:cs="宋体"/>
          <w:sz w:val="24"/>
          <w:highlight w:val="none"/>
          <w:lang w:eastAsia="zh-CN"/>
        </w:rPr>
        <w:t>供应商</w:t>
      </w:r>
      <w:r>
        <w:rPr>
          <w:rFonts w:hint="eastAsia" w:ascii="宋体" w:hAnsi="宋体" w:eastAsia="宋体" w:cs="宋体"/>
          <w:sz w:val="24"/>
          <w:highlight w:val="none"/>
        </w:rPr>
        <w:t>的义务。这些偏离或保留将会对其他实质上响应要求的</w:t>
      </w:r>
      <w:r>
        <w:rPr>
          <w:rFonts w:hint="eastAsia" w:ascii="宋体" w:hAnsi="宋体" w:cs="宋体"/>
          <w:sz w:val="24"/>
          <w:highlight w:val="none"/>
          <w:lang w:eastAsia="zh-CN"/>
        </w:rPr>
        <w:t>供应商</w:t>
      </w:r>
      <w:r>
        <w:rPr>
          <w:rFonts w:hint="eastAsia" w:ascii="宋体" w:hAnsi="宋体" w:eastAsia="宋体" w:cs="宋体"/>
          <w:sz w:val="24"/>
          <w:highlight w:val="none"/>
        </w:rPr>
        <w:t>的竞争地位产生不公正的影响。</w:t>
      </w:r>
      <w:r>
        <w:rPr>
          <w:rFonts w:hint="eastAsia" w:ascii="宋体" w:hAnsi="宋体" w:cs="宋体"/>
          <w:sz w:val="24"/>
          <w:highlight w:val="none"/>
          <w:lang w:eastAsia="zh-CN"/>
        </w:rPr>
        <w:t>供应商</w:t>
      </w:r>
      <w:r>
        <w:rPr>
          <w:rFonts w:hint="eastAsia" w:ascii="宋体" w:hAnsi="宋体" w:eastAsia="宋体" w:cs="宋体"/>
          <w:sz w:val="24"/>
          <w:highlight w:val="none"/>
        </w:rPr>
        <w:t>不得通过修改或撤销不合要求的偏离或保留而使其投标成为响应性的投标。</w:t>
      </w:r>
    </w:p>
    <w:p w14:paraId="5E37C6A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有下列情形之一的，评标委员会应当否决其投标：</w:t>
      </w:r>
    </w:p>
    <w:p w14:paraId="607214C8">
      <w:pPr>
        <w:spacing w:line="360" w:lineRule="auto"/>
        <w:ind w:firstLine="549"/>
        <w:rPr>
          <w:rFonts w:hint="eastAsia" w:ascii="宋体" w:hAnsi="宋体" w:eastAsia="宋体" w:cs="宋体"/>
          <w:color w:val="auto"/>
          <w:sz w:val="24"/>
          <w:highlight w:val="none"/>
        </w:rPr>
      </w:pPr>
      <w:r>
        <w:rPr>
          <w:rFonts w:hint="eastAsia" w:ascii="宋体" w:hAnsi="宋体" w:eastAsia="宋体" w:cs="宋体"/>
          <w:sz w:val="24"/>
          <w:highlight w:val="none"/>
        </w:rPr>
        <w:t>27.2.1投标文件未经投标单位电子签章的；</w:t>
      </w:r>
    </w:p>
    <w:p w14:paraId="0CC7A99A">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w:t>
      </w:r>
      <w:r>
        <w:rPr>
          <w:rFonts w:hint="eastAsia" w:ascii="宋体" w:hAnsi="宋体" w:cs="宋体"/>
          <w:sz w:val="24"/>
          <w:highlight w:val="none"/>
          <w:lang w:val="en-US" w:eastAsia="zh-CN"/>
        </w:rPr>
        <w:t>2</w:t>
      </w:r>
      <w:r>
        <w:rPr>
          <w:rFonts w:hint="eastAsia" w:ascii="宋体" w:hAnsi="宋体" w:cs="宋体"/>
          <w:sz w:val="24"/>
          <w:highlight w:val="none"/>
          <w:lang w:eastAsia="zh-CN"/>
        </w:rPr>
        <w:t>供应商</w:t>
      </w:r>
      <w:r>
        <w:rPr>
          <w:rFonts w:hint="eastAsia" w:ascii="宋体" w:hAnsi="宋体" w:eastAsia="宋体" w:cs="宋体"/>
          <w:sz w:val="24"/>
          <w:highlight w:val="none"/>
        </w:rPr>
        <w:t>不符合国家或者招标文件规定的资格条件；</w:t>
      </w:r>
    </w:p>
    <w:p w14:paraId="7564AD05">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w:t>
      </w:r>
      <w:r>
        <w:rPr>
          <w:rFonts w:hint="eastAsia" w:ascii="宋体" w:hAnsi="宋体" w:cs="宋体"/>
          <w:sz w:val="24"/>
          <w:highlight w:val="none"/>
          <w:lang w:val="en-US" w:eastAsia="zh-CN"/>
        </w:rPr>
        <w:t>3</w:t>
      </w:r>
      <w:r>
        <w:rPr>
          <w:rFonts w:hint="eastAsia" w:ascii="宋体" w:hAnsi="宋体" w:eastAsia="宋体" w:cs="宋体"/>
          <w:sz w:val="24"/>
          <w:highlight w:val="none"/>
        </w:rPr>
        <w:t>同一</w:t>
      </w:r>
      <w:r>
        <w:rPr>
          <w:rFonts w:hint="eastAsia" w:ascii="宋体" w:hAnsi="宋体" w:cs="宋体"/>
          <w:sz w:val="24"/>
          <w:highlight w:val="none"/>
          <w:lang w:eastAsia="zh-CN"/>
        </w:rPr>
        <w:t>供应商</w:t>
      </w:r>
      <w:r>
        <w:rPr>
          <w:rFonts w:hint="eastAsia" w:ascii="宋体" w:hAnsi="宋体" w:eastAsia="宋体" w:cs="宋体"/>
          <w:sz w:val="24"/>
          <w:highlight w:val="none"/>
        </w:rPr>
        <w:t>提交两个以上不同的投标文件或者投标报价，但招标文件要求提交备选投标的除外；</w:t>
      </w:r>
    </w:p>
    <w:p w14:paraId="303825C9">
      <w:pPr>
        <w:spacing w:line="360" w:lineRule="auto"/>
        <w:ind w:firstLine="549"/>
        <w:rPr>
          <w:rFonts w:hint="eastAsia" w:ascii="宋体" w:hAnsi="宋体" w:eastAsia="宋体" w:cs="宋体"/>
          <w:color w:val="FF0000"/>
          <w:sz w:val="24"/>
          <w:highlight w:val="none"/>
        </w:rPr>
      </w:pPr>
      <w:r>
        <w:rPr>
          <w:rFonts w:hint="eastAsia" w:ascii="宋体" w:hAnsi="宋体" w:eastAsia="宋体" w:cs="宋体"/>
          <w:sz w:val="24"/>
          <w:highlight w:val="none"/>
        </w:rPr>
        <w:t>27.2.</w:t>
      </w:r>
      <w:r>
        <w:rPr>
          <w:rFonts w:hint="eastAsia" w:ascii="宋体" w:hAnsi="宋体" w:cs="宋体"/>
          <w:sz w:val="24"/>
          <w:highlight w:val="none"/>
          <w:lang w:val="en-US" w:eastAsia="zh-CN"/>
        </w:rPr>
        <w:t>4</w:t>
      </w:r>
      <w:r>
        <w:rPr>
          <w:rFonts w:hint="eastAsia" w:ascii="宋体" w:hAnsi="宋体" w:eastAsia="宋体" w:cs="宋体"/>
          <w:sz w:val="24"/>
          <w:highlight w:val="none"/>
        </w:rPr>
        <w:t>投标报价或者某些分项报价明显不合理或者低于成本，有可能影响商品质量和不能诚信履约；</w:t>
      </w:r>
    </w:p>
    <w:p w14:paraId="056DDB68">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27.2.</w:t>
      </w:r>
      <w:r>
        <w:rPr>
          <w:rFonts w:hint="eastAsia" w:ascii="宋体" w:hAnsi="宋体" w:cs="宋体"/>
          <w:sz w:val="24"/>
          <w:highlight w:val="none"/>
          <w:lang w:val="en-US" w:eastAsia="zh-CN"/>
        </w:rPr>
        <w:t>5</w:t>
      </w:r>
      <w:r>
        <w:rPr>
          <w:rFonts w:hint="eastAsia" w:ascii="宋体" w:hAnsi="宋体" w:eastAsia="宋体" w:cs="宋体"/>
          <w:sz w:val="24"/>
          <w:highlight w:val="none"/>
        </w:rPr>
        <w:t>投标文件没有对招标文件的实质性要求和条件作出响应；</w:t>
      </w:r>
    </w:p>
    <w:p w14:paraId="3F1CFFBD">
      <w:pPr>
        <w:spacing w:line="360" w:lineRule="auto"/>
        <w:ind w:firstLine="549"/>
        <w:rPr>
          <w:rFonts w:hint="eastAsia" w:ascii="宋体" w:hAnsi="宋体" w:eastAsia="宋体" w:cs="宋体"/>
          <w:color w:val="FF0000"/>
          <w:sz w:val="24"/>
          <w:highlight w:val="none"/>
        </w:rPr>
      </w:pPr>
      <w:r>
        <w:rPr>
          <w:rFonts w:hint="eastAsia" w:ascii="宋体" w:hAnsi="宋体" w:eastAsia="宋体" w:cs="宋体"/>
          <w:sz w:val="24"/>
          <w:highlight w:val="none"/>
        </w:rPr>
        <w:t>27.2.</w:t>
      </w:r>
      <w:r>
        <w:rPr>
          <w:rFonts w:hint="eastAsia" w:ascii="宋体" w:hAnsi="宋体" w:cs="宋体"/>
          <w:sz w:val="24"/>
          <w:highlight w:val="none"/>
          <w:lang w:val="en-US" w:eastAsia="zh-CN"/>
        </w:rPr>
        <w:t>6</w:t>
      </w:r>
      <w:r>
        <w:rPr>
          <w:rFonts w:hint="eastAsia" w:ascii="宋体" w:hAnsi="宋体" w:cs="宋体"/>
          <w:sz w:val="24"/>
          <w:highlight w:val="none"/>
          <w:lang w:eastAsia="zh-CN"/>
        </w:rPr>
        <w:t>供应商</w:t>
      </w:r>
      <w:r>
        <w:rPr>
          <w:rFonts w:hint="eastAsia" w:ascii="宋体" w:hAnsi="宋体" w:eastAsia="宋体" w:cs="宋体"/>
          <w:sz w:val="24"/>
          <w:highlight w:val="none"/>
        </w:rPr>
        <w:t>有串通投标、弄虚作假、行贿等违法行为；</w:t>
      </w:r>
    </w:p>
    <w:p w14:paraId="7EBADE5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27.3如果投标文件未通过投标符合性审查，投标无效。</w:t>
      </w:r>
    </w:p>
    <w:p w14:paraId="21CB854B">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28</w:t>
      </w:r>
      <w:r>
        <w:rPr>
          <w:rFonts w:hint="eastAsia" w:ascii="宋体" w:hAnsi="宋体" w:eastAsia="宋体" w:cs="宋体"/>
          <w:b/>
          <w:sz w:val="24"/>
          <w:highlight w:val="none"/>
        </w:rPr>
        <w:t>.</w:t>
      </w:r>
      <w:r>
        <w:rPr>
          <w:rFonts w:hint="eastAsia" w:ascii="宋体" w:hAnsi="宋体" w:eastAsia="宋体" w:cs="宋体"/>
          <w:b/>
          <w:bCs/>
          <w:sz w:val="24"/>
          <w:highlight w:val="none"/>
        </w:rPr>
        <w:t>废标处理</w:t>
      </w:r>
    </w:p>
    <w:p w14:paraId="08D4177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28.1在招标采购中，出现下列情形之一的，周口市公共资源交易中心政府采购中心有权宣布废标：</w:t>
      </w:r>
    </w:p>
    <w:p w14:paraId="34AF1CC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28.1.1符合专业条件的</w:t>
      </w:r>
      <w:r>
        <w:rPr>
          <w:rFonts w:hint="eastAsia" w:ascii="宋体" w:hAnsi="宋体" w:cs="宋体"/>
          <w:sz w:val="24"/>
          <w:highlight w:val="none"/>
          <w:lang w:eastAsia="zh-CN"/>
        </w:rPr>
        <w:t>供应商</w:t>
      </w:r>
      <w:r>
        <w:rPr>
          <w:rFonts w:hint="eastAsia" w:ascii="宋体" w:hAnsi="宋体" w:eastAsia="宋体" w:cs="宋体"/>
          <w:sz w:val="24"/>
          <w:highlight w:val="none"/>
        </w:rPr>
        <w:t>或对招标文件作实质响应的</w:t>
      </w:r>
      <w:r>
        <w:rPr>
          <w:rFonts w:hint="eastAsia" w:ascii="宋体" w:hAnsi="宋体" w:cs="宋体"/>
          <w:sz w:val="24"/>
          <w:highlight w:val="none"/>
          <w:lang w:eastAsia="zh-CN"/>
        </w:rPr>
        <w:t>供应商</w:t>
      </w:r>
      <w:r>
        <w:rPr>
          <w:rFonts w:hint="eastAsia" w:ascii="宋体" w:hAnsi="宋体" w:eastAsia="宋体" w:cs="宋体"/>
          <w:sz w:val="24"/>
          <w:highlight w:val="none"/>
        </w:rPr>
        <w:t>不足三家的；</w:t>
      </w:r>
    </w:p>
    <w:p w14:paraId="5877D30D">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28.1.2</w:t>
      </w:r>
      <w:r>
        <w:rPr>
          <w:rFonts w:hint="eastAsia" w:ascii="宋体" w:hAnsi="宋体" w:cs="宋体"/>
          <w:sz w:val="24"/>
          <w:highlight w:val="none"/>
          <w:lang w:eastAsia="zh-CN"/>
        </w:rPr>
        <w:t>供应商</w:t>
      </w:r>
      <w:r>
        <w:rPr>
          <w:rFonts w:hint="eastAsia" w:ascii="宋体" w:hAnsi="宋体" w:eastAsia="宋体" w:cs="宋体"/>
          <w:sz w:val="24"/>
          <w:highlight w:val="none"/>
        </w:rPr>
        <w:t>的报价均超过采购预算，采购人不能支付的；</w:t>
      </w:r>
    </w:p>
    <w:p w14:paraId="3E926201">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28.1.3出现影响采购公正的违法、违规行为的；</w:t>
      </w:r>
    </w:p>
    <w:p w14:paraId="3C0BAD20">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28.1.4因重大变故，采购任务取消的。</w:t>
      </w:r>
    </w:p>
    <w:p w14:paraId="2AE3E67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废标后，周口市公共资源交易中心政府采购中心会把废标理由通知所有</w:t>
      </w:r>
      <w:r>
        <w:rPr>
          <w:rFonts w:hint="eastAsia" w:ascii="宋体" w:hAnsi="宋体" w:cs="宋体"/>
          <w:sz w:val="24"/>
          <w:highlight w:val="none"/>
          <w:lang w:eastAsia="zh-CN"/>
        </w:rPr>
        <w:t>供应商</w:t>
      </w:r>
      <w:r>
        <w:rPr>
          <w:rFonts w:hint="eastAsia" w:ascii="宋体" w:hAnsi="宋体" w:eastAsia="宋体" w:cs="宋体"/>
          <w:sz w:val="24"/>
          <w:highlight w:val="none"/>
        </w:rPr>
        <w:t>。</w:t>
      </w:r>
    </w:p>
    <w:p w14:paraId="698BFC6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28.2 因上条第一款、第二款规定情形导致废标的，若采购人提出申请，报经政府采购监督管理部门批准，可现场改为竞争性谈判，</w:t>
      </w:r>
      <w:r>
        <w:rPr>
          <w:rFonts w:hint="eastAsia" w:ascii="宋体" w:hAnsi="宋体" w:cs="宋体"/>
          <w:sz w:val="24"/>
          <w:highlight w:val="none"/>
          <w:lang w:eastAsia="zh-CN"/>
        </w:rPr>
        <w:t>供应商</w:t>
      </w:r>
      <w:r>
        <w:rPr>
          <w:rFonts w:hint="eastAsia" w:ascii="宋体" w:hAnsi="宋体" w:eastAsia="宋体" w:cs="宋体"/>
          <w:sz w:val="24"/>
          <w:highlight w:val="none"/>
        </w:rPr>
        <w:t>有下列情形之一的，不得参加谈判：</w:t>
      </w:r>
    </w:p>
    <w:p w14:paraId="552DF38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28.2.1放弃参加投标的；</w:t>
      </w:r>
    </w:p>
    <w:p w14:paraId="092DD2F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28.2.2未经周口市公共资源交易中心政府采购中心允许，离开开标现场通知不上的；</w:t>
      </w:r>
    </w:p>
    <w:p w14:paraId="0A077F5F">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28.2.3不符合招标文件列明的专业条件的；</w:t>
      </w:r>
    </w:p>
    <w:p w14:paraId="6FEA860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28.2.4未按规定交纳谈判保证金的；</w:t>
      </w:r>
    </w:p>
    <w:p w14:paraId="7854F887">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28.2.5有影响采购公正的违法、违规行为造成项目废标的；</w:t>
      </w:r>
    </w:p>
    <w:p w14:paraId="70170F9A">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28.2.6其他不符合竞争性谈判条件的情况。</w:t>
      </w:r>
    </w:p>
    <w:p w14:paraId="4C3519AF">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28.3采购方式现场改为竞争性谈判时，</w:t>
      </w:r>
      <w:r>
        <w:rPr>
          <w:rFonts w:hint="eastAsia" w:ascii="宋体" w:hAnsi="宋体" w:eastAsia="宋体" w:cs="宋体"/>
          <w:sz w:val="24"/>
          <w:highlight w:val="none"/>
        </w:rPr>
        <w:t>周口市公共资源交易中心政府采购中心</w:t>
      </w:r>
      <w:r>
        <w:rPr>
          <w:rFonts w:hint="eastAsia" w:ascii="宋体" w:hAnsi="宋体" w:eastAsia="宋体" w:cs="宋体"/>
          <w:sz w:val="24"/>
          <w:szCs w:val="24"/>
          <w:highlight w:val="none"/>
        </w:rPr>
        <w:t>以《招标流标现场转谈判邀请函》方式函告投标现场各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授权代表签字确认参加谈判。放弃谈判的视同自动放弃本项目的投标资格。竞争性谈判应当至少有两家及以上</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参加。如参加谈判的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少于两家，谈判做流标处理。</w:t>
      </w:r>
    </w:p>
    <w:p w14:paraId="2568C3FC">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28.3.1谈判时，若</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未能在评委会指定时间内（原则上不超过60分钟）提交符合要求的补充资料或未作出实质性响应的，投标无效。经过审查符合谈判要求的有效</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少于两家的，谈判做流标处理。</w:t>
      </w:r>
    </w:p>
    <w:p w14:paraId="6826E83C">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28.3.2投标文件的报价视为谈判时的首次报价，未唱标转谈判的，谈判时不公开</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各轮报价。已经唱标而转谈判的，谈判前公布各参与谈判的</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首轮报价。</w:t>
      </w:r>
    </w:p>
    <w:p w14:paraId="5090767E">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rPr>
        <w:t>28.3.3在谈判内容不作实质性变更及重大调整的前提下，</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次轮报价不得高于上一轮报价。</w:t>
      </w:r>
    </w:p>
    <w:p w14:paraId="357D856F">
      <w:pPr>
        <w:spacing w:line="360" w:lineRule="auto"/>
        <w:ind w:firstLine="482" w:firstLineChars="200"/>
        <w:rPr>
          <w:rFonts w:hint="eastAsia" w:ascii="宋体" w:hAnsi="宋体" w:eastAsia="宋体" w:cs="宋体"/>
          <w:b/>
          <w:bCs/>
          <w:sz w:val="24"/>
          <w:highlight w:val="none"/>
        </w:rPr>
      </w:pPr>
      <w:r>
        <w:rPr>
          <w:rFonts w:hint="eastAsia" w:ascii="宋体" w:hAnsi="宋体" w:eastAsia="宋体" w:cs="宋体"/>
          <w:b/>
          <w:bCs/>
          <w:sz w:val="24"/>
          <w:highlight w:val="none"/>
        </w:rPr>
        <w:t>29</w:t>
      </w:r>
      <w:r>
        <w:rPr>
          <w:rFonts w:hint="eastAsia" w:ascii="宋体" w:hAnsi="宋体" w:eastAsia="宋体" w:cs="宋体"/>
          <w:b/>
          <w:sz w:val="24"/>
          <w:highlight w:val="none"/>
        </w:rPr>
        <w:t>.</w:t>
      </w:r>
      <w:r>
        <w:rPr>
          <w:rFonts w:hint="eastAsia" w:ascii="宋体" w:hAnsi="宋体" w:eastAsia="宋体" w:cs="宋体"/>
          <w:b/>
          <w:bCs/>
          <w:sz w:val="24"/>
          <w:highlight w:val="none"/>
        </w:rPr>
        <w:t>二次采购</w:t>
      </w:r>
    </w:p>
    <w:p w14:paraId="6477AAC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项目废标后，周口市公共资源交易中心政府采购中心可能发布二次公告（投标邀请），进行二次采购。</w:t>
      </w:r>
    </w:p>
    <w:p w14:paraId="12F44D23">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前款所述“二次”，系指项目废标后的重新公告及采购，并不仅限于项目的第二次公告及采购。</w:t>
      </w:r>
    </w:p>
    <w:p w14:paraId="0F1B8174">
      <w:pPr>
        <w:pStyle w:val="4"/>
        <w:spacing w:line="360" w:lineRule="auto"/>
        <w:ind w:firstLine="2715" w:firstLineChars="966"/>
        <w:jc w:val="both"/>
        <w:rPr>
          <w:rFonts w:hint="eastAsia" w:ascii="宋体" w:hAnsi="宋体" w:eastAsia="宋体" w:cs="宋体"/>
          <w:sz w:val="28"/>
          <w:highlight w:val="none"/>
        </w:rPr>
      </w:pPr>
      <w:bookmarkStart w:id="119" w:name="_Toc7660"/>
      <w:bookmarkStart w:id="120" w:name="_Toc20916"/>
      <w:bookmarkStart w:id="121" w:name="_Toc32663"/>
      <w:bookmarkStart w:id="122" w:name="_Toc40975447"/>
      <w:bookmarkStart w:id="123" w:name="_Toc516969091"/>
      <w:bookmarkStart w:id="124" w:name="_Toc527725927"/>
      <w:r>
        <w:rPr>
          <w:rFonts w:hint="eastAsia" w:ascii="宋体" w:hAnsi="宋体" w:eastAsia="宋体" w:cs="宋体"/>
          <w:sz w:val="28"/>
          <w:highlight w:val="none"/>
        </w:rPr>
        <w:t>六．定标与签订合同</w:t>
      </w:r>
      <w:bookmarkEnd w:id="119"/>
      <w:bookmarkEnd w:id="120"/>
      <w:bookmarkEnd w:id="121"/>
      <w:bookmarkEnd w:id="122"/>
      <w:bookmarkEnd w:id="123"/>
      <w:bookmarkEnd w:id="124"/>
    </w:p>
    <w:p w14:paraId="1391E9B8">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30.定标</w:t>
      </w:r>
    </w:p>
    <w:p w14:paraId="69599F6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30.1 投标符合性审查后，评委会应当按招标文件规定的综合评分办法提出独立评审意见，推荐中标候选人。</w:t>
      </w:r>
    </w:p>
    <w:p w14:paraId="5D4D4B99">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30.2采购人应当自收到评审报告之日起5个工作日内在评审报告推荐的中标或者成交候选人中按顺序确定中标或者成交供应商。</w:t>
      </w:r>
    </w:p>
    <w:p w14:paraId="7A54560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02A677C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578B8491">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30.4原则上把合同授予实质上响应招标文件要求的排名最前的中标候选人或通过上条资格审查的中标候选人。</w:t>
      </w:r>
    </w:p>
    <w:p w14:paraId="6F6B0B76">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30.5 最低报价并不是中标的保证。</w:t>
      </w:r>
    </w:p>
    <w:p w14:paraId="0CF91CBC">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30.6凡发现中标候选人有下列行为之一的，其中标无效，并移交政府采购监督管理部门依法处理：</w:t>
      </w:r>
    </w:p>
    <w:p w14:paraId="1F14DD81">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 以他人名义投标、或提供虚假材料弄虚作假谋取中标的；</w:t>
      </w:r>
    </w:p>
    <w:p w14:paraId="36B46312">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30.6.1.1以他人名义投标，是指使用通过受让或者租借等方式获取的资格、资质证书投标。</w:t>
      </w:r>
    </w:p>
    <w:p w14:paraId="2DB89AA4">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30.6.1.2有</w:t>
      </w:r>
      <w:r>
        <w:rPr>
          <w:rFonts w:hint="eastAsia" w:ascii="宋体" w:hAnsi="宋体" w:cs="宋体"/>
          <w:sz w:val="24"/>
          <w:highlight w:val="none"/>
          <w:lang w:eastAsia="zh-CN"/>
        </w:rPr>
        <w:t>供应商</w:t>
      </w:r>
      <w:r>
        <w:rPr>
          <w:rFonts w:hint="eastAsia" w:ascii="宋体" w:hAnsi="宋体" w:eastAsia="宋体" w:cs="宋体"/>
          <w:sz w:val="24"/>
          <w:highlight w:val="none"/>
        </w:rPr>
        <w:t>有下列情形之一的，属于弄虚作假的行为：</w:t>
      </w:r>
    </w:p>
    <w:p w14:paraId="76FBB9B0">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30.6.1.2.1使用伪造、变造的许可证件；</w:t>
      </w:r>
    </w:p>
    <w:p w14:paraId="6B357871">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30.6.1.2.2提供虚假的财务状况或者业绩；</w:t>
      </w:r>
    </w:p>
    <w:p w14:paraId="675E26C0">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30.6.1.2.3提供虚假的项目负责人或者主要技术人员简历、劳动关系证明；</w:t>
      </w:r>
    </w:p>
    <w:p w14:paraId="7AAF1FEE">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30.6.1.2.4提供虚假的信用状况；</w:t>
      </w:r>
    </w:p>
    <w:p w14:paraId="4A609217">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30.6.1.2.5其他弄虚作假的行为。</w:t>
      </w:r>
    </w:p>
    <w:p w14:paraId="2E50B05F">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30.6.2与采购人、其他供应商或者采购代理机构名称工作人员恶意串通的；</w:t>
      </w:r>
    </w:p>
    <w:p w14:paraId="4521D3B4">
      <w:pPr>
        <w:spacing w:line="360" w:lineRule="auto"/>
        <w:ind w:left="549"/>
        <w:rPr>
          <w:rFonts w:hint="eastAsia" w:ascii="宋体" w:hAnsi="宋体" w:eastAsia="宋体" w:cs="宋体"/>
          <w:sz w:val="24"/>
          <w:highlight w:val="none"/>
        </w:rPr>
      </w:pPr>
      <w:r>
        <w:rPr>
          <w:rFonts w:hint="eastAsia" w:ascii="宋体" w:hAnsi="宋体" w:eastAsia="宋体" w:cs="宋体"/>
          <w:sz w:val="24"/>
          <w:highlight w:val="none"/>
        </w:rPr>
        <w:t>30.6.3向采购人、评审专家、采购代理机构工作人员行贿或者提供其他不正当利益的；</w:t>
      </w:r>
    </w:p>
    <w:p w14:paraId="6AC6A07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30.6.4有法律、法规规定的其他损害采购人利益和社会公共利益情形的；</w:t>
      </w:r>
    </w:p>
    <w:p w14:paraId="68C308F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30.6.5其他违反招投标法律、法规和规章强制性规定的行为。</w:t>
      </w:r>
    </w:p>
    <w:p w14:paraId="36007484">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30.7周口市公共资源交易中心政府采购中心将在政府采购相关网站上发布评审结果公告。</w:t>
      </w:r>
    </w:p>
    <w:p w14:paraId="4E349151">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31.中标通知书</w:t>
      </w:r>
    </w:p>
    <w:p w14:paraId="6D0A9373">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31.1</w:t>
      </w:r>
      <w:r>
        <w:rPr>
          <w:rFonts w:hint="eastAsia" w:ascii="宋体" w:hAnsi="宋体" w:cs="宋体"/>
          <w:sz w:val="24"/>
          <w:highlight w:val="none"/>
          <w:lang w:val="en-US" w:eastAsia="zh-CN"/>
        </w:rPr>
        <w:t>在发出中标公告后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rPr>
        <w:t>中标通知书。</w:t>
      </w:r>
    </w:p>
    <w:p w14:paraId="372766B8">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31.2周口市公共资源交易中心政府采购中心对未中标的</w:t>
      </w:r>
      <w:r>
        <w:rPr>
          <w:rFonts w:hint="eastAsia" w:ascii="宋体" w:hAnsi="宋体" w:cs="宋体"/>
          <w:sz w:val="24"/>
          <w:highlight w:val="none"/>
          <w:lang w:eastAsia="zh-CN"/>
        </w:rPr>
        <w:t>供应商</w:t>
      </w:r>
      <w:r>
        <w:rPr>
          <w:rFonts w:hint="eastAsia" w:ascii="宋体" w:hAnsi="宋体" w:eastAsia="宋体" w:cs="宋体"/>
          <w:sz w:val="24"/>
          <w:highlight w:val="none"/>
        </w:rPr>
        <w:t>不做未中标原因的解释。</w:t>
      </w:r>
    </w:p>
    <w:p w14:paraId="0AC59C60">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31.3评审结果确定后，中标人请及时到周口市公共资源交易中心政府采购中心领取中标通知书。</w:t>
      </w:r>
    </w:p>
    <w:p w14:paraId="13521B4E">
      <w:pPr>
        <w:spacing w:line="360" w:lineRule="auto"/>
        <w:ind w:firstLine="549"/>
        <w:rPr>
          <w:rFonts w:hint="eastAsia" w:ascii="宋体" w:hAnsi="宋体" w:eastAsia="宋体" w:cs="宋体"/>
          <w:sz w:val="24"/>
          <w:szCs w:val="22"/>
          <w:highlight w:val="none"/>
        </w:rPr>
      </w:pPr>
      <w:r>
        <w:rPr>
          <w:rFonts w:hint="eastAsia" w:ascii="宋体" w:hAnsi="宋体" w:eastAsia="宋体" w:cs="宋体"/>
          <w:sz w:val="24"/>
          <w:szCs w:val="22"/>
          <w:highlight w:val="none"/>
        </w:rPr>
        <w:t>32.中标服务费</w:t>
      </w:r>
    </w:p>
    <w:p w14:paraId="3438E124">
      <w:pPr>
        <w:spacing w:line="360" w:lineRule="auto"/>
        <w:rPr>
          <w:rFonts w:hint="eastAsia" w:ascii="宋体" w:hAnsi="宋体" w:eastAsia="宋体" w:cs="宋体"/>
          <w:bCs/>
          <w:sz w:val="24"/>
          <w:highlight w:val="none"/>
        </w:rPr>
      </w:pPr>
      <w:r>
        <w:rPr>
          <w:rFonts w:hint="eastAsia" w:ascii="宋体" w:hAnsi="宋体" w:eastAsia="宋体" w:cs="宋体"/>
          <w:b/>
          <w:sz w:val="24"/>
          <w:highlight w:val="none"/>
        </w:rPr>
        <w:t xml:space="preserve">    </w:t>
      </w:r>
      <w:r>
        <w:rPr>
          <w:rFonts w:hint="eastAsia" w:ascii="宋体" w:hAnsi="宋体" w:eastAsia="宋体" w:cs="宋体"/>
          <w:bCs/>
          <w:sz w:val="24"/>
          <w:highlight w:val="none"/>
        </w:rPr>
        <w:t>本项目免收中标服务费</w:t>
      </w:r>
    </w:p>
    <w:p w14:paraId="61755066">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33.履约保证金</w:t>
      </w:r>
    </w:p>
    <w:p w14:paraId="607F8986">
      <w:pPr>
        <w:spacing w:line="360" w:lineRule="auto"/>
        <w:ind w:firstLine="549"/>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无</w:t>
      </w:r>
    </w:p>
    <w:p w14:paraId="3A2A33C0">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34.签订合同</w:t>
      </w:r>
    </w:p>
    <w:p w14:paraId="3994E885">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34.1</w:t>
      </w:r>
      <w:r>
        <w:rPr>
          <w:rFonts w:hint="eastAsia" w:ascii="宋体" w:hAnsi="宋体" w:cs="宋体"/>
          <w:sz w:val="24"/>
          <w:highlight w:val="none"/>
          <w:lang w:val="en-US" w:eastAsia="zh-CN"/>
        </w:rPr>
        <w:t>供应商需在投标文件中承诺若中标</w:t>
      </w:r>
      <w:r>
        <w:rPr>
          <w:rFonts w:hint="eastAsia" w:ascii="宋体" w:hAnsi="宋体" w:eastAsia="宋体" w:cs="宋体"/>
          <w:sz w:val="24"/>
          <w:highlight w:val="none"/>
        </w:rPr>
        <w:t>中标人应在中标通知书发出之日起七日历日内（具体时间、地点见中标通知书）与采购人签订合同。招标文件、中标人的投标文件及澄清文件等，均作为合同的附件。</w:t>
      </w:r>
    </w:p>
    <w:p w14:paraId="535CAFE2">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CA1E2CB">
      <w:pPr>
        <w:spacing w:line="360" w:lineRule="auto"/>
        <w:ind w:firstLine="523" w:firstLineChars="218"/>
        <w:rPr>
          <w:rFonts w:hint="eastAsia" w:ascii="宋体" w:hAnsi="宋体" w:eastAsia="宋体" w:cs="宋体"/>
          <w:sz w:val="24"/>
          <w:highlight w:val="none"/>
        </w:rPr>
      </w:pPr>
      <w:r>
        <w:rPr>
          <w:rFonts w:hint="eastAsia" w:ascii="宋体" w:hAnsi="宋体" w:eastAsia="宋体" w:cs="宋体"/>
          <w:sz w:val="24"/>
          <w:highlight w:val="none"/>
        </w:rPr>
        <w:t>34.3采购人保留以书面形式要求合同的卖方对其所投服务的装运方式、交货地点及服务细则等作适当调整的权利。</w:t>
      </w:r>
    </w:p>
    <w:p w14:paraId="41C4C1C7">
      <w:pPr>
        <w:spacing w:line="360" w:lineRule="auto"/>
        <w:ind w:firstLine="549"/>
        <w:rPr>
          <w:rFonts w:hint="eastAsia" w:ascii="宋体" w:hAnsi="宋体" w:eastAsia="宋体" w:cs="宋体"/>
          <w:sz w:val="24"/>
          <w:highlight w:val="none"/>
        </w:rPr>
      </w:pPr>
      <w:r>
        <w:rPr>
          <w:rFonts w:hint="eastAsia" w:ascii="宋体" w:hAnsi="宋体" w:eastAsia="宋体" w:cs="宋体"/>
          <w:b/>
          <w:sz w:val="24"/>
          <w:highlight w:val="none"/>
        </w:rPr>
        <w:t>35.验收</w:t>
      </w:r>
    </w:p>
    <w:p w14:paraId="3FC67B0E">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由采购人自行组织对供应商的履约验收。</w:t>
      </w:r>
    </w:p>
    <w:p w14:paraId="40045E84">
      <w:pPr>
        <w:spacing w:line="360" w:lineRule="auto"/>
        <w:ind w:firstLine="549"/>
        <w:rPr>
          <w:rFonts w:hint="eastAsia" w:ascii="宋体" w:hAnsi="宋体" w:eastAsia="宋体" w:cs="宋体"/>
          <w:b/>
          <w:bCs/>
          <w:sz w:val="24"/>
          <w:highlight w:val="none"/>
        </w:rPr>
      </w:pPr>
      <w:r>
        <w:rPr>
          <w:rFonts w:hint="eastAsia" w:ascii="宋体" w:hAnsi="宋体" w:eastAsia="宋体" w:cs="宋体"/>
          <w:b/>
          <w:bCs/>
          <w:sz w:val="24"/>
          <w:highlight w:val="none"/>
        </w:rPr>
        <w:t>36</w:t>
      </w:r>
      <w:r>
        <w:rPr>
          <w:rFonts w:hint="eastAsia" w:ascii="宋体" w:hAnsi="宋体" w:eastAsia="宋体" w:cs="宋体"/>
          <w:b/>
          <w:sz w:val="24"/>
          <w:highlight w:val="none"/>
        </w:rPr>
        <w:t>.</w:t>
      </w:r>
      <w:r>
        <w:rPr>
          <w:rFonts w:hint="eastAsia" w:ascii="宋体" w:hAnsi="宋体" w:eastAsia="宋体" w:cs="宋体"/>
          <w:b/>
          <w:bCs/>
          <w:sz w:val="24"/>
          <w:highlight w:val="none"/>
        </w:rPr>
        <w:t>质疑</w:t>
      </w:r>
    </w:p>
    <w:p w14:paraId="37C514F1">
      <w:pPr>
        <w:spacing w:line="360" w:lineRule="auto"/>
        <w:ind w:firstLine="523" w:firstLineChars="218"/>
        <w:rPr>
          <w:rFonts w:hint="eastAsia" w:ascii="宋体" w:hAnsi="宋体" w:eastAsia="宋体" w:cs="宋体"/>
          <w:bCs/>
          <w:sz w:val="24"/>
          <w:highlight w:val="none"/>
          <w:lang w:eastAsia="zh-CN"/>
        </w:rPr>
      </w:pPr>
      <w:r>
        <w:rPr>
          <w:rFonts w:hint="eastAsia" w:ascii="宋体" w:hAnsi="宋体" w:eastAsia="宋体" w:cs="宋体"/>
          <w:bCs/>
          <w:sz w:val="24"/>
          <w:highlight w:val="none"/>
        </w:rPr>
        <w:t>36.1</w:t>
      </w:r>
      <w:r>
        <w:rPr>
          <w:rFonts w:hint="eastAsia" w:ascii="宋体" w:hAnsi="宋体" w:cs="宋体"/>
          <w:bCs/>
          <w:sz w:val="24"/>
          <w:highlight w:val="none"/>
          <w:lang w:eastAsia="zh-CN"/>
        </w:rPr>
        <w:t>供应商</w:t>
      </w:r>
      <w:r>
        <w:rPr>
          <w:rFonts w:hint="eastAsia" w:ascii="宋体" w:hAnsi="宋体" w:cs="宋体"/>
          <w:bCs/>
          <w:sz w:val="24"/>
          <w:highlight w:val="none"/>
        </w:rPr>
        <w:t>认为采购过程、中标结果使自己的合法权益受到损害的，可以在知道或应当知道自己的权益受到损害之日起7个工作日内，由</w:t>
      </w:r>
      <w:r>
        <w:rPr>
          <w:rFonts w:hint="eastAsia" w:ascii="宋体" w:hAnsi="宋体" w:cs="宋体"/>
          <w:bCs/>
          <w:sz w:val="24"/>
          <w:highlight w:val="none"/>
          <w:lang w:eastAsia="zh-CN"/>
        </w:rPr>
        <w:t>供应商</w:t>
      </w:r>
      <w:r>
        <w:rPr>
          <w:rFonts w:hint="eastAsia" w:ascii="宋体" w:hAnsi="宋体" w:cs="宋体"/>
          <w:bCs/>
          <w:sz w:val="24"/>
          <w:highlight w:val="none"/>
        </w:rPr>
        <w:t>授权代表（或法人代表）</w:t>
      </w:r>
      <w:r>
        <w:rPr>
          <w:rFonts w:hint="eastAsia" w:ascii="宋体" w:hAnsi="宋体" w:cs="宋体"/>
          <w:bCs/>
          <w:sz w:val="24"/>
          <w:highlight w:val="none"/>
          <w:lang w:val="en-US" w:eastAsia="zh-CN"/>
        </w:rPr>
        <w:t>按照相关规定</w:t>
      </w:r>
      <w:r>
        <w:rPr>
          <w:rFonts w:hint="eastAsia" w:ascii="宋体" w:hAnsi="宋体" w:cs="宋体"/>
          <w:bCs/>
          <w:sz w:val="24"/>
          <w:highlight w:val="none"/>
        </w:rPr>
        <w:t>，向</w:t>
      </w:r>
      <w:r>
        <w:rPr>
          <w:rFonts w:hint="eastAsia" w:ascii="宋体" w:hAnsi="宋体" w:cs="宋体"/>
          <w:sz w:val="24"/>
          <w:highlight w:val="none"/>
        </w:rPr>
        <w:t>采购人</w:t>
      </w:r>
      <w:r>
        <w:rPr>
          <w:rFonts w:hint="eastAsia" w:ascii="宋体" w:hAnsi="宋体" w:cs="宋体"/>
          <w:bCs/>
          <w:sz w:val="24"/>
          <w:highlight w:val="none"/>
        </w:rPr>
        <w:t>提出质疑，逾期不予受理。</w:t>
      </w:r>
    </w:p>
    <w:p w14:paraId="06AA5A0A">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36.2质疑书内容应包括质疑的详细理由和依据，并提供有关证明资料。</w:t>
      </w:r>
    </w:p>
    <w:p w14:paraId="3BE47C04">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36.3 有以下情形之一的，视为无效质疑：</w:t>
      </w:r>
    </w:p>
    <w:p w14:paraId="15941E2B">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36.3.1 未按规定时间或规定手续提交质疑的；</w:t>
      </w:r>
    </w:p>
    <w:p w14:paraId="7948D8CC">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36.3.2 质疑内容含糊不清、没有提供详细理由和依据，无法进行核查的；</w:t>
      </w:r>
    </w:p>
    <w:p w14:paraId="097969FC">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36.3.3 其他不符合质疑程序和有关规定的。</w:t>
      </w:r>
    </w:p>
    <w:p w14:paraId="011AA69E">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被判定无效质疑的，采购人将书面回复投标单位其质疑无效的理由，并记录无效质疑一次。</w:t>
      </w:r>
    </w:p>
    <w:p w14:paraId="6C01C227">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36.4</w:t>
      </w:r>
      <w:r>
        <w:rPr>
          <w:rFonts w:hint="eastAsia" w:ascii="宋体" w:hAnsi="宋体" w:eastAsia="宋体" w:cs="宋体"/>
          <w:sz w:val="24"/>
          <w:highlight w:val="none"/>
        </w:rPr>
        <w:t>采购人</w:t>
      </w:r>
      <w:r>
        <w:rPr>
          <w:rFonts w:hint="eastAsia" w:ascii="宋体" w:hAnsi="宋体" w:eastAsia="宋体" w:cs="宋体"/>
          <w:bCs/>
          <w:sz w:val="24"/>
          <w:highlight w:val="none"/>
        </w:rPr>
        <w:t>将在受到书面质疑后7个工作日内审查质疑事项，作出答复或相关处理决定，并以书面形式通知质疑人，但答复的内容不涉及商业秘密。</w:t>
      </w:r>
    </w:p>
    <w:p w14:paraId="3A8E1928">
      <w:pPr>
        <w:spacing w:line="360" w:lineRule="auto"/>
        <w:ind w:firstLine="549"/>
        <w:rPr>
          <w:rFonts w:hint="eastAsia" w:ascii="宋体" w:hAnsi="宋体" w:eastAsia="宋体" w:cs="宋体"/>
          <w:bCs/>
          <w:sz w:val="24"/>
          <w:highlight w:val="none"/>
        </w:rPr>
      </w:pPr>
      <w:r>
        <w:rPr>
          <w:rFonts w:hint="eastAsia" w:ascii="宋体" w:hAnsi="宋体" w:eastAsia="宋体" w:cs="宋体"/>
          <w:sz w:val="24"/>
          <w:highlight w:val="none"/>
        </w:rPr>
        <w:t>36.5</w:t>
      </w:r>
      <w:r>
        <w:rPr>
          <w:rFonts w:hint="eastAsia" w:ascii="宋体" w:hAnsi="宋体" w:eastAsia="宋体" w:cs="宋体"/>
          <w:bCs/>
          <w:sz w:val="24"/>
          <w:highlight w:val="none"/>
        </w:rPr>
        <w:t>投诉人有下列情形之一的，属于虚假、恶意投诉，</w:t>
      </w:r>
      <w:r>
        <w:rPr>
          <w:rFonts w:hint="eastAsia" w:ascii="宋体" w:hAnsi="宋体" w:eastAsia="宋体" w:cs="宋体"/>
          <w:sz w:val="24"/>
          <w:highlight w:val="none"/>
        </w:rPr>
        <w:t>政府采购监督管理部门</w:t>
      </w:r>
      <w:r>
        <w:rPr>
          <w:rFonts w:hint="eastAsia" w:ascii="宋体" w:hAnsi="宋体" w:eastAsia="宋体" w:cs="宋体"/>
          <w:bCs/>
          <w:sz w:val="24"/>
          <w:highlight w:val="none"/>
        </w:rPr>
        <w:t>将驳回投诉，将其列入不良行为记录名单，并依法予以处罚：</w:t>
      </w:r>
    </w:p>
    <w:p w14:paraId="399A2EEF">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36.5.1一年内三次以上投诉均查无实据的；</w:t>
      </w:r>
    </w:p>
    <w:p w14:paraId="54ACCCEB">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bCs/>
          <w:sz w:val="24"/>
          <w:highlight w:val="none"/>
        </w:rPr>
        <w:t>36.5.2捏造事实、提供虚假投诉材料或提供以非法手段取得的证明材料质疑的；</w:t>
      </w:r>
    </w:p>
    <w:p w14:paraId="1F3FCF6D">
      <w:pPr>
        <w:spacing w:line="360" w:lineRule="auto"/>
        <w:ind w:firstLine="523" w:firstLineChars="218"/>
        <w:rPr>
          <w:rFonts w:hint="eastAsia" w:ascii="宋体" w:hAnsi="宋体" w:eastAsia="宋体" w:cs="宋体"/>
          <w:bCs/>
          <w:sz w:val="24"/>
          <w:highlight w:val="none"/>
        </w:rPr>
      </w:pPr>
      <w:r>
        <w:rPr>
          <w:rFonts w:hint="eastAsia" w:ascii="宋体" w:hAnsi="宋体" w:eastAsia="宋体" w:cs="宋体"/>
          <w:sz w:val="24"/>
          <w:highlight w:val="none"/>
        </w:rPr>
        <w:t>36.5.3其他经认定属于虚假、恶意投诉的行为</w:t>
      </w:r>
      <w:r>
        <w:rPr>
          <w:rFonts w:hint="eastAsia" w:ascii="宋体" w:hAnsi="宋体" w:eastAsia="宋体" w:cs="宋体"/>
          <w:bCs/>
          <w:sz w:val="24"/>
          <w:highlight w:val="none"/>
        </w:rPr>
        <w:t>。</w:t>
      </w:r>
    </w:p>
    <w:p w14:paraId="0DFB4334">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37.未尽事宜</w:t>
      </w:r>
    </w:p>
    <w:p w14:paraId="240F4746">
      <w:pPr>
        <w:spacing w:line="360" w:lineRule="auto"/>
        <w:ind w:firstLine="549"/>
        <w:rPr>
          <w:rFonts w:hint="eastAsia" w:ascii="宋体" w:hAnsi="宋体" w:eastAsia="宋体" w:cs="宋体"/>
          <w:sz w:val="24"/>
          <w:highlight w:val="none"/>
        </w:rPr>
      </w:pPr>
      <w:r>
        <w:rPr>
          <w:rFonts w:hint="eastAsia" w:ascii="宋体" w:hAnsi="宋体" w:eastAsia="宋体" w:cs="宋体"/>
          <w:sz w:val="24"/>
          <w:highlight w:val="none"/>
        </w:rPr>
        <w:t>37.1按《中华人民共和国政府采购法》及其他有关法律法规的规定执行。</w:t>
      </w:r>
    </w:p>
    <w:p w14:paraId="35CBD7AE">
      <w:pPr>
        <w:spacing w:line="360" w:lineRule="auto"/>
        <w:ind w:firstLine="549"/>
        <w:rPr>
          <w:rFonts w:hint="eastAsia" w:ascii="宋体" w:hAnsi="宋体" w:eastAsia="宋体" w:cs="宋体"/>
          <w:bCs/>
          <w:sz w:val="24"/>
          <w:highlight w:val="none"/>
        </w:rPr>
      </w:pPr>
      <w:r>
        <w:rPr>
          <w:rFonts w:hint="eastAsia" w:ascii="宋体" w:hAnsi="宋体" w:eastAsia="宋体" w:cs="宋体"/>
          <w:b/>
          <w:sz w:val="24"/>
          <w:highlight w:val="none"/>
        </w:rPr>
        <w:t>38.解释权</w:t>
      </w:r>
    </w:p>
    <w:p w14:paraId="0CB3AD54">
      <w:pPr>
        <w:spacing w:line="360" w:lineRule="auto"/>
        <w:ind w:firstLine="549"/>
        <w:rPr>
          <w:rFonts w:hint="eastAsia" w:ascii="宋体" w:hAnsi="宋体" w:eastAsia="宋体" w:cs="宋体"/>
          <w:bCs/>
          <w:sz w:val="24"/>
          <w:highlight w:val="none"/>
        </w:rPr>
      </w:pPr>
      <w:r>
        <w:rPr>
          <w:rFonts w:hint="eastAsia" w:ascii="宋体" w:hAnsi="宋体" w:eastAsia="宋体" w:cs="宋体"/>
          <w:bCs/>
          <w:sz w:val="24"/>
          <w:highlight w:val="none"/>
        </w:rPr>
        <w:t>38.1本招标文件的解释权属于采购人。</w:t>
      </w:r>
    </w:p>
    <w:p w14:paraId="66F1D5D1">
      <w:pPr>
        <w:spacing w:line="360" w:lineRule="auto"/>
        <w:rPr>
          <w:rFonts w:hint="eastAsia" w:ascii="宋体" w:hAnsi="宋体" w:eastAsia="宋体" w:cs="宋体"/>
          <w:bCs/>
          <w:sz w:val="24"/>
          <w:highlight w:val="none"/>
        </w:rPr>
      </w:pPr>
    </w:p>
    <w:p w14:paraId="6B65E485">
      <w:pPr>
        <w:pStyle w:val="30"/>
        <w:spacing w:beforeLines="0" w:afterLines="0" w:line="460" w:lineRule="exact"/>
        <w:ind w:left="0" w:leftChars="0" w:firstLine="0" w:firstLineChars="0"/>
        <w:jc w:val="both"/>
        <w:rPr>
          <w:rFonts w:hint="eastAsia"/>
          <w:highlight w:val="none"/>
          <w:lang w:val="en-US" w:eastAsia="zh-CN"/>
        </w:rPr>
      </w:pPr>
    </w:p>
    <w:p w14:paraId="2154F209">
      <w:pPr>
        <w:pStyle w:val="30"/>
        <w:spacing w:beforeLines="0" w:afterLines="0" w:line="460" w:lineRule="exact"/>
        <w:ind w:left="0" w:leftChars="0" w:firstLine="0" w:firstLineChars="0"/>
        <w:jc w:val="both"/>
        <w:rPr>
          <w:rFonts w:hint="eastAsia"/>
          <w:highlight w:val="none"/>
          <w:lang w:val="en-US" w:eastAsia="zh-CN"/>
        </w:rPr>
      </w:pPr>
    </w:p>
    <w:p w14:paraId="5834A740">
      <w:pPr>
        <w:pStyle w:val="30"/>
        <w:spacing w:beforeLines="0" w:afterLines="0" w:line="460" w:lineRule="exact"/>
        <w:ind w:left="0" w:leftChars="0" w:firstLine="0" w:firstLineChars="0"/>
        <w:jc w:val="both"/>
        <w:rPr>
          <w:rFonts w:hint="eastAsia"/>
          <w:highlight w:val="none"/>
          <w:lang w:val="en-US" w:eastAsia="zh-CN"/>
        </w:rPr>
      </w:pPr>
    </w:p>
    <w:p w14:paraId="7FE3A068">
      <w:pPr>
        <w:pStyle w:val="30"/>
        <w:spacing w:beforeLines="0" w:afterLines="0" w:line="460" w:lineRule="exact"/>
        <w:ind w:left="0" w:leftChars="0" w:firstLine="0" w:firstLineChars="0"/>
        <w:jc w:val="both"/>
        <w:rPr>
          <w:rFonts w:hint="eastAsia"/>
          <w:highlight w:val="none"/>
          <w:lang w:val="en-US" w:eastAsia="zh-CN"/>
        </w:rPr>
      </w:pPr>
    </w:p>
    <w:p w14:paraId="6B504046">
      <w:pPr>
        <w:pStyle w:val="30"/>
        <w:spacing w:beforeLines="0" w:afterLines="0" w:line="460" w:lineRule="exact"/>
        <w:ind w:left="0" w:leftChars="0" w:firstLine="0" w:firstLineChars="0"/>
        <w:jc w:val="both"/>
        <w:rPr>
          <w:rFonts w:hint="eastAsia"/>
          <w:highlight w:val="none"/>
          <w:lang w:val="en-US" w:eastAsia="zh-CN"/>
        </w:rPr>
      </w:pPr>
    </w:p>
    <w:p w14:paraId="7E37B4ED">
      <w:pPr>
        <w:pStyle w:val="30"/>
        <w:spacing w:beforeLines="0" w:afterLines="0" w:line="460" w:lineRule="exact"/>
        <w:ind w:left="0" w:leftChars="0" w:firstLine="0" w:firstLineChars="0"/>
        <w:jc w:val="both"/>
        <w:rPr>
          <w:rFonts w:hint="eastAsia"/>
          <w:highlight w:val="none"/>
          <w:lang w:val="en-US" w:eastAsia="zh-CN"/>
        </w:rPr>
      </w:pPr>
    </w:p>
    <w:p w14:paraId="59574297">
      <w:pPr>
        <w:pStyle w:val="30"/>
        <w:spacing w:beforeLines="0" w:afterLines="0" w:line="460" w:lineRule="exact"/>
        <w:ind w:left="0" w:leftChars="0" w:firstLine="0" w:firstLineChars="0"/>
        <w:jc w:val="both"/>
        <w:rPr>
          <w:rFonts w:hint="eastAsia"/>
          <w:highlight w:val="none"/>
          <w:lang w:val="en-US" w:eastAsia="zh-CN"/>
        </w:rPr>
      </w:pPr>
    </w:p>
    <w:p w14:paraId="5E5C6098">
      <w:pPr>
        <w:pStyle w:val="30"/>
        <w:spacing w:beforeLines="0" w:afterLines="0" w:line="460" w:lineRule="exact"/>
        <w:ind w:left="0" w:leftChars="0" w:firstLine="0" w:firstLineChars="0"/>
        <w:jc w:val="both"/>
        <w:rPr>
          <w:rFonts w:hint="eastAsia"/>
          <w:highlight w:val="none"/>
          <w:lang w:val="en-US" w:eastAsia="zh-CN"/>
        </w:rPr>
      </w:pPr>
    </w:p>
    <w:p w14:paraId="1A72BBB3">
      <w:pPr>
        <w:pStyle w:val="30"/>
        <w:spacing w:beforeLines="0" w:afterLines="0" w:line="460" w:lineRule="exact"/>
        <w:ind w:left="0" w:leftChars="0" w:firstLine="0" w:firstLineChars="0"/>
        <w:jc w:val="both"/>
        <w:rPr>
          <w:rFonts w:hint="eastAsia"/>
          <w:highlight w:val="none"/>
          <w:lang w:val="en-US" w:eastAsia="zh-CN"/>
        </w:rPr>
      </w:pPr>
    </w:p>
    <w:p w14:paraId="2F518A1E">
      <w:pPr>
        <w:pStyle w:val="30"/>
        <w:spacing w:beforeLines="0" w:afterLines="0" w:line="460" w:lineRule="exact"/>
        <w:ind w:left="0" w:leftChars="0" w:firstLine="0" w:firstLineChars="0"/>
        <w:jc w:val="both"/>
        <w:rPr>
          <w:rFonts w:hint="eastAsia"/>
          <w:highlight w:val="none"/>
          <w:lang w:val="en-US" w:eastAsia="zh-CN"/>
        </w:rPr>
      </w:pPr>
    </w:p>
    <w:p w14:paraId="3F542EAD">
      <w:pPr>
        <w:pStyle w:val="30"/>
        <w:spacing w:beforeLines="0" w:afterLines="0" w:line="460" w:lineRule="exact"/>
        <w:ind w:left="0" w:leftChars="0" w:firstLine="0" w:firstLineChars="0"/>
        <w:jc w:val="both"/>
        <w:rPr>
          <w:rFonts w:hint="eastAsia"/>
          <w:highlight w:val="none"/>
          <w:lang w:val="en-US" w:eastAsia="zh-CN"/>
        </w:rPr>
      </w:pPr>
    </w:p>
    <w:p w14:paraId="004A8F7D">
      <w:pPr>
        <w:pStyle w:val="30"/>
        <w:spacing w:beforeLines="0" w:afterLines="0" w:line="460" w:lineRule="exact"/>
        <w:ind w:left="0" w:leftChars="0" w:firstLine="0" w:firstLineChars="0"/>
        <w:jc w:val="both"/>
        <w:rPr>
          <w:rFonts w:hint="eastAsia"/>
          <w:highlight w:val="none"/>
          <w:lang w:val="en-US" w:eastAsia="zh-CN"/>
        </w:rPr>
      </w:pPr>
    </w:p>
    <w:p w14:paraId="69409E26">
      <w:pPr>
        <w:pStyle w:val="30"/>
        <w:spacing w:beforeLines="0" w:afterLines="0" w:line="460" w:lineRule="exact"/>
        <w:ind w:left="0" w:leftChars="0" w:firstLine="0" w:firstLineChars="0"/>
        <w:jc w:val="both"/>
        <w:rPr>
          <w:rFonts w:hint="eastAsia"/>
          <w:highlight w:val="none"/>
          <w:lang w:val="en-US" w:eastAsia="zh-CN"/>
        </w:rPr>
      </w:pPr>
    </w:p>
    <w:p w14:paraId="7725C1CD">
      <w:pPr>
        <w:pStyle w:val="30"/>
        <w:spacing w:beforeLines="0" w:afterLines="0" w:line="460" w:lineRule="exact"/>
        <w:ind w:left="0" w:leftChars="0" w:firstLine="0" w:firstLineChars="0"/>
        <w:jc w:val="both"/>
        <w:rPr>
          <w:rFonts w:hint="eastAsia"/>
          <w:highlight w:val="none"/>
          <w:lang w:val="en-US" w:eastAsia="zh-CN"/>
        </w:rPr>
      </w:pPr>
    </w:p>
    <w:p w14:paraId="16F9E1C3">
      <w:pPr>
        <w:pStyle w:val="30"/>
        <w:spacing w:beforeLines="0" w:afterLines="0" w:line="460" w:lineRule="exact"/>
        <w:ind w:left="0" w:leftChars="0" w:firstLine="0" w:firstLineChars="0"/>
        <w:jc w:val="both"/>
        <w:rPr>
          <w:rFonts w:hint="eastAsia"/>
          <w:highlight w:val="none"/>
          <w:lang w:val="en-US" w:eastAsia="zh-CN"/>
        </w:rPr>
      </w:pPr>
    </w:p>
    <w:p w14:paraId="093DD49A">
      <w:pPr>
        <w:pStyle w:val="30"/>
        <w:spacing w:beforeLines="0" w:afterLines="0" w:line="460" w:lineRule="exact"/>
        <w:ind w:left="0" w:leftChars="0" w:firstLine="0" w:firstLineChars="0"/>
        <w:jc w:val="both"/>
        <w:rPr>
          <w:rFonts w:hint="eastAsia"/>
          <w:highlight w:val="none"/>
          <w:lang w:val="en-US" w:eastAsia="zh-CN"/>
        </w:rPr>
      </w:pPr>
    </w:p>
    <w:p w14:paraId="59C0B664">
      <w:pPr>
        <w:pStyle w:val="30"/>
        <w:spacing w:beforeLines="0" w:afterLines="0" w:line="460" w:lineRule="exact"/>
        <w:ind w:left="0" w:leftChars="0" w:firstLine="0" w:firstLineChars="0"/>
        <w:jc w:val="both"/>
        <w:rPr>
          <w:rFonts w:hint="eastAsia"/>
          <w:highlight w:val="none"/>
          <w:lang w:val="en-US" w:eastAsia="zh-CN"/>
        </w:rPr>
      </w:pPr>
    </w:p>
    <w:p w14:paraId="651143A5">
      <w:pPr>
        <w:pStyle w:val="30"/>
        <w:spacing w:beforeLines="0" w:afterLines="0" w:line="460" w:lineRule="exact"/>
        <w:ind w:left="0" w:leftChars="0" w:firstLine="0" w:firstLineChars="0"/>
        <w:jc w:val="both"/>
        <w:rPr>
          <w:rFonts w:hint="eastAsia"/>
          <w:highlight w:val="none"/>
          <w:lang w:val="en-US" w:eastAsia="zh-CN"/>
        </w:rPr>
      </w:pPr>
    </w:p>
    <w:p w14:paraId="4781F73E">
      <w:pPr>
        <w:pStyle w:val="30"/>
        <w:spacing w:beforeLines="0" w:afterLines="0" w:line="460" w:lineRule="exact"/>
        <w:ind w:left="0" w:leftChars="0" w:firstLine="0" w:firstLineChars="0"/>
        <w:jc w:val="both"/>
        <w:rPr>
          <w:rFonts w:hint="eastAsia"/>
          <w:highlight w:val="none"/>
          <w:lang w:val="en-US" w:eastAsia="zh-CN"/>
        </w:rPr>
      </w:pPr>
    </w:p>
    <w:p w14:paraId="79ACEAAB">
      <w:pPr>
        <w:pStyle w:val="3"/>
        <w:spacing w:before="0" w:after="0" w:line="500" w:lineRule="exact"/>
        <w:ind w:firstLine="0"/>
        <w:jc w:val="center"/>
        <w:rPr>
          <w:rFonts w:hint="eastAsia" w:ascii="宋体" w:hAnsi="宋体" w:eastAsia="宋体" w:cs="宋体"/>
          <w:w w:val="92"/>
          <w:highlight w:val="none"/>
          <w:lang w:val="en-US"/>
        </w:rPr>
      </w:pPr>
      <w:bookmarkStart w:id="125" w:name="_Toc17699_WPSOffice_Level1"/>
      <w:r>
        <w:rPr>
          <w:rFonts w:hint="eastAsia" w:ascii="宋体" w:hAnsi="宋体" w:eastAsia="宋体" w:cs="宋体"/>
          <w:bCs/>
          <w:caps/>
          <w:smallCaps/>
          <w:sz w:val="32"/>
          <w:szCs w:val="32"/>
          <w:highlight w:val="none"/>
          <w:lang w:val="en-US"/>
        </w:rPr>
        <w:t>第六章</w:t>
      </w:r>
    </w:p>
    <w:p w14:paraId="1C5AEFF4">
      <w:pPr>
        <w:pStyle w:val="3"/>
        <w:spacing w:before="0" w:after="0" w:line="500" w:lineRule="exact"/>
        <w:ind w:firstLine="0"/>
        <w:rPr>
          <w:rFonts w:hint="eastAsia" w:ascii="宋体" w:hAnsi="宋体" w:eastAsia="宋体" w:cs="宋体"/>
          <w:b w:val="0"/>
          <w:sz w:val="32"/>
          <w:szCs w:val="32"/>
          <w:highlight w:val="none"/>
          <w:lang w:val="en-US"/>
        </w:rPr>
      </w:pPr>
      <w:r>
        <w:rPr>
          <w:rFonts w:hint="eastAsia" w:ascii="宋体" w:hAnsi="宋体" w:eastAsia="宋体" w:cs="宋体"/>
          <w:b w:val="0"/>
          <w:w w:val="92"/>
          <w:sz w:val="32"/>
          <w:szCs w:val="32"/>
          <w:highlight w:val="none"/>
          <w:lang w:val="en-US"/>
        </w:rPr>
        <w:t>周口市</w:t>
      </w:r>
      <w:r>
        <w:rPr>
          <w:rFonts w:hint="eastAsia" w:ascii="宋体" w:hAnsi="宋体" w:eastAsia="宋体" w:cs="宋体"/>
          <w:b w:val="0"/>
          <w:sz w:val="32"/>
          <w:szCs w:val="32"/>
          <w:highlight w:val="none"/>
          <w:lang w:val="en-US"/>
        </w:rPr>
        <w:t>政府采购合同（服务类）标准文本</w:t>
      </w:r>
    </w:p>
    <w:p w14:paraId="16665238">
      <w:pPr>
        <w:ind w:firstLine="640" w:firstLineChars="200"/>
        <w:jc w:val="both"/>
        <w:rPr>
          <w:rFonts w:hint="eastAsia" w:ascii="宋体" w:hAnsi="宋体" w:eastAsia="宋体" w:cs="宋体"/>
          <w:sz w:val="32"/>
          <w:szCs w:val="32"/>
          <w:highlight w:val="none"/>
          <w:lang w:val="en-US"/>
        </w:rPr>
      </w:pPr>
    </w:p>
    <w:p w14:paraId="3FC03859">
      <w:pPr>
        <w:pStyle w:val="30"/>
        <w:spacing w:beforeLines="0" w:afterLines="0"/>
        <w:ind w:left="0" w:firstLine="640" w:firstLineChars="200"/>
        <w:jc w:val="both"/>
        <w:rPr>
          <w:rFonts w:hint="eastAsia" w:ascii="宋体" w:hAnsi="宋体" w:eastAsia="宋体" w:cs="宋体"/>
          <w:sz w:val="32"/>
          <w:szCs w:val="32"/>
          <w:highlight w:val="none"/>
          <w:lang w:val="en-US"/>
        </w:rPr>
      </w:pPr>
    </w:p>
    <w:p w14:paraId="4FF102FA">
      <w:pPr>
        <w:pStyle w:val="30"/>
        <w:spacing w:beforeLines="0" w:afterLines="0"/>
        <w:ind w:left="0" w:firstLine="640" w:firstLineChars="200"/>
        <w:jc w:val="both"/>
        <w:rPr>
          <w:rFonts w:hint="eastAsia" w:ascii="宋体" w:hAnsi="宋体" w:eastAsia="宋体" w:cs="宋体"/>
          <w:sz w:val="32"/>
          <w:szCs w:val="32"/>
          <w:highlight w:val="none"/>
          <w:lang w:val="en-US"/>
        </w:rPr>
      </w:pPr>
    </w:p>
    <w:p w14:paraId="6678DBF7">
      <w:pPr>
        <w:pStyle w:val="30"/>
        <w:spacing w:beforeLines="0" w:afterLines="0"/>
        <w:ind w:left="0" w:firstLine="600" w:firstLineChars="200"/>
        <w:jc w:val="both"/>
        <w:rPr>
          <w:rFonts w:hint="eastAsia" w:ascii="宋体" w:hAnsi="宋体" w:eastAsia="宋体" w:cs="宋体"/>
          <w:sz w:val="30"/>
          <w:szCs w:val="30"/>
          <w:highlight w:val="none"/>
          <w:lang w:val="en-US"/>
        </w:rPr>
      </w:pPr>
    </w:p>
    <w:p w14:paraId="54BA417B">
      <w:pPr>
        <w:pStyle w:val="30"/>
        <w:spacing w:beforeLines="0" w:afterLines="0"/>
        <w:ind w:left="0" w:firstLine="600" w:firstLineChars="200"/>
        <w:jc w:val="both"/>
        <w:rPr>
          <w:rFonts w:hint="eastAsia" w:ascii="宋体" w:hAnsi="宋体" w:eastAsia="宋体" w:cs="宋体"/>
          <w:sz w:val="30"/>
          <w:szCs w:val="30"/>
          <w:highlight w:val="none"/>
          <w:lang w:val="en-US"/>
        </w:rPr>
      </w:pPr>
    </w:p>
    <w:p w14:paraId="429CADD8">
      <w:pPr>
        <w:pStyle w:val="30"/>
        <w:spacing w:beforeLines="0" w:afterLines="0"/>
        <w:ind w:left="0" w:firstLine="600" w:firstLineChars="200"/>
        <w:jc w:val="both"/>
        <w:rPr>
          <w:rFonts w:hint="eastAsia" w:ascii="宋体" w:hAnsi="宋体" w:eastAsia="宋体" w:cs="宋体"/>
          <w:sz w:val="30"/>
          <w:szCs w:val="30"/>
          <w:highlight w:val="none"/>
          <w:lang w:val="en-US"/>
        </w:rPr>
      </w:pPr>
    </w:p>
    <w:p w14:paraId="28BF918A">
      <w:pPr>
        <w:pStyle w:val="30"/>
        <w:spacing w:beforeLines="0" w:afterLines="0"/>
        <w:ind w:left="0" w:firstLine="600" w:firstLineChars="200"/>
        <w:jc w:val="both"/>
        <w:rPr>
          <w:rFonts w:hint="eastAsia" w:ascii="宋体" w:hAnsi="宋体" w:eastAsia="宋体" w:cs="宋体"/>
          <w:sz w:val="30"/>
          <w:szCs w:val="30"/>
          <w:highlight w:val="none"/>
          <w:lang w:val="en-US"/>
        </w:rPr>
      </w:pPr>
    </w:p>
    <w:p w14:paraId="173AE2AF">
      <w:pPr>
        <w:pStyle w:val="30"/>
        <w:spacing w:beforeLines="0" w:afterLines="0"/>
        <w:ind w:left="0" w:firstLine="600" w:firstLineChars="200"/>
        <w:jc w:val="both"/>
        <w:rPr>
          <w:rFonts w:hint="eastAsia" w:ascii="宋体" w:hAnsi="宋体" w:eastAsia="宋体" w:cs="宋体"/>
          <w:sz w:val="30"/>
          <w:szCs w:val="30"/>
          <w:highlight w:val="none"/>
          <w:lang w:val="en-US"/>
        </w:rPr>
      </w:pPr>
    </w:p>
    <w:p w14:paraId="3308D787">
      <w:pPr>
        <w:pStyle w:val="30"/>
        <w:spacing w:beforeLines="0" w:afterLines="0"/>
        <w:ind w:left="0" w:firstLine="600" w:firstLineChars="200"/>
        <w:jc w:val="both"/>
        <w:rPr>
          <w:rFonts w:hint="eastAsia" w:ascii="宋体" w:hAnsi="宋体" w:eastAsia="宋体" w:cs="宋体"/>
          <w:sz w:val="30"/>
          <w:szCs w:val="30"/>
          <w:highlight w:val="none"/>
          <w:lang w:val="en-US"/>
        </w:rPr>
      </w:pPr>
    </w:p>
    <w:p w14:paraId="190357AC">
      <w:pPr>
        <w:pStyle w:val="3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7D315238">
      <w:pPr>
        <w:pStyle w:val="3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10AF6B6">
      <w:pPr>
        <w:pStyle w:val="3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4B6B11FB">
      <w:pPr>
        <w:pStyle w:val="3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4386709C">
      <w:pPr>
        <w:pStyle w:val="3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3F9293F7">
      <w:pPr>
        <w:pStyle w:val="3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20F1FF81">
      <w:pPr>
        <w:pStyle w:val="30"/>
        <w:spacing w:beforeLines="0" w:afterLines="0"/>
        <w:ind w:left="0" w:firstLine="600" w:firstLineChars="200"/>
        <w:jc w:val="both"/>
        <w:rPr>
          <w:rFonts w:hint="eastAsia" w:ascii="宋体" w:hAnsi="宋体" w:eastAsia="宋体" w:cs="宋体"/>
          <w:sz w:val="30"/>
          <w:szCs w:val="30"/>
          <w:highlight w:val="none"/>
          <w:lang w:val="en-US"/>
        </w:rPr>
      </w:pPr>
    </w:p>
    <w:p w14:paraId="1C9F3CFD">
      <w:pPr>
        <w:pStyle w:val="30"/>
        <w:spacing w:beforeLines="0" w:afterLines="0"/>
        <w:ind w:left="0" w:firstLine="600" w:firstLineChars="200"/>
        <w:jc w:val="both"/>
        <w:rPr>
          <w:rFonts w:hint="eastAsia" w:ascii="宋体" w:hAnsi="宋体" w:eastAsia="宋体" w:cs="宋体"/>
          <w:sz w:val="30"/>
          <w:szCs w:val="30"/>
          <w:highlight w:val="none"/>
          <w:lang w:val="en-US"/>
        </w:rPr>
      </w:pPr>
    </w:p>
    <w:p w14:paraId="5E58FA8A">
      <w:pPr>
        <w:pStyle w:val="30"/>
        <w:spacing w:beforeLines="0" w:afterLines="0"/>
        <w:ind w:left="0" w:firstLine="600" w:firstLineChars="200"/>
        <w:jc w:val="both"/>
        <w:rPr>
          <w:rFonts w:hint="eastAsia" w:ascii="宋体" w:hAnsi="宋体" w:eastAsia="宋体" w:cs="宋体"/>
          <w:sz w:val="30"/>
          <w:szCs w:val="30"/>
          <w:highlight w:val="none"/>
          <w:lang w:val="en-US"/>
        </w:rPr>
      </w:pPr>
    </w:p>
    <w:p w14:paraId="662E5821">
      <w:pPr>
        <w:pStyle w:val="30"/>
        <w:spacing w:beforeLines="0" w:afterLines="0"/>
        <w:ind w:left="0" w:firstLine="600" w:firstLineChars="200"/>
        <w:jc w:val="both"/>
        <w:rPr>
          <w:rFonts w:hint="eastAsia" w:ascii="宋体" w:hAnsi="宋体" w:eastAsia="宋体" w:cs="宋体"/>
          <w:sz w:val="30"/>
          <w:szCs w:val="30"/>
          <w:highlight w:val="none"/>
          <w:lang w:val="en-US"/>
        </w:rPr>
      </w:pPr>
    </w:p>
    <w:p w14:paraId="2C7B10ED">
      <w:pPr>
        <w:pStyle w:val="30"/>
        <w:spacing w:beforeLines="0" w:afterLines="0"/>
        <w:ind w:left="0" w:firstLine="600" w:firstLineChars="200"/>
        <w:jc w:val="both"/>
        <w:rPr>
          <w:rFonts w:hint="eastAsia" w:ascii="宋体" w:hAnsi="宋体" w:eastAsia="宋体" w:cs="宋体"/>
          <w:sz w:val="30"/>
          <w:szCs w:val="30"/>
          <w:highlight w:val="none"/>
          <w:lang w:val="en-US"/>
        </w:rPr>
      </w:pPr>
    </w:p>
    <w:p w14:paraId="76793ED2">
      <w:pPr>
        <w:pStyle w:val="3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5A208BB2">
      <w:pPr>
        <w:pStyle w:val="30"/>
        <w:spacing w:beforeLines="0" w:afterLines="0" w:line="440" w:lineRule="exact"/>
        <w:ind w:left="0"/>
        <w:jc w:val="both"/>
        <w:rPr>
          <w:rFonts w:hint="eastAsia" w:ascii="宋体" w:hAnsi="宋体" w:eastAsia="宋体" w:cs="宋体"/>
          <w:sz w:val="30"/>
          <w:szCs w:val="30"/>
          <w:highlight w:val="none"/>
        </w:rPr>
      </w:pPr>
    </w:p>
    <w:p w14:paraId="764D9971">
      <w:pPr>
        <w:pStyle w:val="3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48E04BF3">
      <w:pPr>
        <w:pStyle w:val="3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11B8DC23">
      <w:pPr>
        <w:pStyle w:val="3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4B065335">
      <w:pPr>
        <w:pStyle w:val="3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6276D18A">
      <w:pPr>
        <w:pStyle w:val="3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304B80A6">
      <w:pPr>
        <w:pStyle w:val="3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546FDF5A">
      <w:pPr>
        <w:pStyle w:val="3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0884D214">
      <w:pPr>
        <w:pStyle w:val="3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7CE17360">
      <w:pPr>
        <w:pStyle w:val="3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1197392A">
      <w:pPr>
        <w:pStyle w:val="3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4D2F3B3">
      <w:pPr>
        <w:pStyle w:val="3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0AF3F399">
      <w:pPr>
        <w:pStyle w:val="3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3EAB3507">
      <w:pPr>
        <w:pStyle w:val="3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3C206959">
      <w:pPr>
        <w:pStyle w:val="3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E7B9800">
      <w:pPr>
        <w:pStyle w:val="30"/>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58AB3655">
      <w:pPr>
        <w:pStyle w:val="30"/>
        <w:spacing w:beforeLines="0" w:afterLines="0" w:line="440" w:lineRule="exact"/>
        <w:ind w:left="0"/>
        <w:jc w:val="center"/>
        <w:rPr>
          <w:rFonts w:hint="eastAsia" w:ascii="宋体" w:hAnsi="宋体" w:eastAsia="宋体" w:cs="宋体"/>
          <w:bCs/>
          <w:sz w:val="32"/>
          <w:szCs w:val="32"/>
          <w:highlight w:val="none"/>
        </w:rPr>
      </w:pPr>
    </w:p>
    <w:p w14:paraId="419F7101">
      <w:pPr>
        <w:pStyle w:val="3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01484BDC">
      <w:pPr>
        <w:pStyle w:val="30"/>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0BCF783A">
      <w:pPr>
        <w:pStyle w:val="3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2、不得以次充优，随意降低服务标准和水平</w:t>
      </w:r>
      <w:r>
        <w:rPr>
          <w:rFonts w:hint="eastAsia" w:ascii="宋体" w:hAnsi="宋体" w:eastAsia="宋体" w:cs="宋体"/>
          <w:sz w:val="21"/>
          <w:szCs w:val="21"/>
          <w:highlight w:val="none"/>
        </w:rPr>
        <w:t>；</w:t>
      </w:r>
    </w:p>
    <w:p w14:paraId="632489EF">
      <w:pPr>
        <w:pStyle w:val="3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4965FF25">
      <w:pPr>
        <w:pStyle w:val="3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60490EDE">
      <w:pPr>
        <w:pStyle w:val="3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75E9B875">
      <w:pPr>
        <w:pStyle w:val="3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5F3C17D2">
      <w:pPr>
        <w:pStyle w:val="3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2F59AB1B">
      <w:pPr>
        <w:bidi w:val="0"/>
        <w:rPr>
          <w:rFonts w:hint="eastAsia"/>
          <w:highlight w:val="none"/>
        </w:rPr>
      </w:pPr>
    </w:p>
    <w:p w14:paraId="0412ACE8">
      <w:pPr>
        <w:pStyle w:val="24"/>
        <w:rPr>
          <w:rFonts w:hint="eastAsia"/>
          <w:highlight w:val="none"/>
        </w:rPr>
      </w:pPr>
    </w:p>
    <w:p w14:paraId="4E6E14EC">
      <w:pPr>
        <w:rPr>
          <w:rFonts w:hint="eastAsia" w:ascii="宋体" w:hAnsi="宋体" w:eastAsia="宋体" w:cs="宋体"/>
          <w:b w:val="0"/>
          <w:bCs w:val="0"/>
          <w:sz w:val="21"/>
          <w:szCs w:val="21"/>
          <w:highlight w:val="none"/>
        </w:rPr>
      </w:pPr>
    </w:p>
    <w:p w14:paraId="07CCCC95">
      <w:pPr>
        <w:pStyle w:val="24"/>
        <w:rPr>
          <w:rFonts w:hint="eastAsia" w:ascii="宋体" w:hAnsi="宋体" w:eastAsia="宋体" w:cs="宋体"/>
          <w:b w:val="0"/>
          <w:bCs w:val="0"/>
          <w:sz w:val="21"/>
          <w:szCs w:val="21"/>
          <w:highlight w:val="none"/>
        </w:rPr>
      </w:pPr>
    </w:p>
    <w:p w14:paraId="4E87D718">
      <w:pPr>
        <w:pStyle w:val="5"/>
        <w:rPr>
          <w:rFonts w:hint="eastAsia" w:ascii="宋体" w:hAnsi="宋体" w:eastAsia="宋体" w:cs="宋体"/>
          <w:b w:val="0"/>
          <w:bCs w:val="0"/>
          <w:sz w:val="21"/>
          <w:szCs w:val="21"/>
          <w:highlight w:val="none"/>
        </w:rPr>
      </w:pPr>
    </w:p>
    <w:p w14:paraId="31C17F95">
      <w:pPr>
        <w:rPr>
          <w:rFonts w:hint="eastAsia" w:ascii="宋体" w:hAnsi="宋体" w:eastAsia="宋体" w:cs="宋体"/>
          <w:b w:val="0"/>
          <w:bCs w:val="0"/>
          <w:sz w:val="21"/>
          <w:szCs w:val="21"/>
          <w:highlight w:val="none"/>
        </w:rPr>
      </w:pPr>
    </w:p>
    <w:p w14:paraId="3EB5FAD0">
      <w:pPr>
        <w:pStyle w:val="24"/>
        <w:rPr>
          <w:rFonts w:hint="eastAsia" w:ascii="宋体" w:hAnsi="宋体" w:eastAsia="宋体" w:cs="宋体"/>
          <w:b w:val="0"/>
          <w:bCs w:val="0"/>
          <w:sz w:val="21"/>
          <w:szCs w:val="21"/>
          <w:highlight w:val="none"/>
        </w:rPr>
      </w:pPr>
    </w:p>
    <w:p w14:paraId="00502AD3">
      <w:pPr>
        <w:pStyle w:val="5"/>
        <w:rPr>
          <w:rFonts w:hint="eastAsia" w:ascii="宋体" w:hAnsi="宋体" w:eastAsia="宋体" w:cs="宋体"/>
          <w:b w:val="0"/>
          <w:bCs w:val="0"/>
          <w:sz w:val="21"/>
          <w:szCs w:val="21"/>
          <w:highlight w:val="none"/>
        </w:rPr>
      </w:pPr>
    </w:p>
    <w:p w14:paraId="650151D2">
      <w:pPr>
        <w:rPr>
          <w:rFonts w:hint="eastAsia" w:ascii="宋体" w:hAnsi="宋体" w:eastAsia="宋体" w:cs="宋体"/>
          <w:b w:val="0"/>
          <w:bCs w:val="0"/>
          <w:sz w:val="21"/>
          <w:szCs w:val="21"/>
          <w:highlight w:val="none"/>
        </w:rPr>
      </w:pPr>
    </w:p>
    <w:p w14:paraId="4C0E3B10">
      <w:pPr>
        <w:pStyle w:val="24"/>
        <w:rPr>
          <w:rFonts w:hint="eastAsia" w:ascii="宋体" w:hAnsi="宋体" w:eastAsia="宋体" w:cs="宋体"/>
          <w:b w:val="0"/>
          <w:bCs w:val="0"/>
          <w:sz w:val="21"/>
          <w:szCs w:val="21"/>
          <w:highlight w:val="none"/>
        </w:rPr>
      </w:pPr>
    </w:p>
    <w:p w14:paraId="2BEACF36">
      <w:pPr>
        <w:pStyle w:val="5"/>
        <w:rPr>
          <w:rFonts w:hint="eastAsia" w:ascii="宋体" w:hAnsi="宋体" w:eastAsia="宋体" w:cs="宋体"/>
          <w:b w:val="0"/>
          <w:bCs w:val="0"/>
          <w:sz w:val="21"/>
          <w:szCs w:val="21"/>
          <w:highlight w:val="none"/>
        </w:rPr>
      </w:pPr>
    </w:p>
    <w:p w14:paraId="7E36B5A9">
      <w:pPr>
        <w:rPr>
          <w:rFonts w:hint="eastAsia" w:ascii="宋体" w:hAnsi="宋体" w:eastAsia="宋体" w:cs="宋体"/>
          <w:b w:val="0"/>
          <w:bCs w:val="0"/>
          <w:sz w:val="21"/>
          <w:szCs w:val="21"/>
          <w:highlight w:val="none"/>
        </w:rPr>
      </w:pPr>
    </w:p>
    <w:p w14:paraId="1625ED78">
      <w:pPr>
        <w:pStyle w:val="24"/>
        <w:rPr>
          <w:rFonts w:hint="eastAsia" w:ascii="宋体" w:hAnsi="宋体" w:eastAsia="宋体" w:cs="宋体"/>
          <w:b w:val="0"/>
          <w:bCs w:val="0"/>
          <w:sz w:val="21"/>
          <w:szCs w:val="21"/>
          <w:highlight w:val="none"/>
        </w:rPr>
      </w:pPr>
    </w:p>
    <w:p w14:paraId="23A13323">
      <w:pPr>
        <w:pStyle w:val="5"/>
        <w:rPr>
          <w:rFonts w:hint="eastAsia" w:ascii="宋体" w:hAnsi="宋体" w:eastAsia="宋体" w:cs="宋体"/>
          <w:b w:val="0"/>
          <w:bCs w:val="0"/>
          <w:sz w:val="21"/>
          <w:szCs w:val="21"/>
          <w:highlight w:val="none"/>
        </w:rPr>
      </w:pPr>
    </w:p>
    <w:p w14:paraId="7B582B9E">
      <w:pPr>
        <w:rPr>
          <w:rFonts w:hint="eastAsia" w:ascii="宋体" w:hAnsi="宋体" w:eastAsia="宋体" w:cs="宋体"/>
          <w:b w:val="0"/>
          <w:bCs w:val="0"/>
          <w:sz w:val="21"/>
          <w:szCs w:val="21"/>
          <w:highlight w:val="none"/>
        </w:rPr>
      </w:pPr>
    </w:p>
    <w:p w14:paraId="5AF5F610">
      <w:pPr>
        <w:pStyle w:val="24"/>
        <w:rPr>
          <w:rFonts w:hint="eastAsia" w:ascii="宋体" w:hAnsi="宋体" w:eastAsia="宋体" w:cs="宋体"/>
          <w:b w:val="0"/>
          <w:bCs w:val="0"/>
          <w:sz w:val="21"/>
          <w:szCs w:val="21"/>
          <w:highlight w:val="none"/>
        </w:rPr>
      </w:pPr>
    </w:p>
    <w:p w14:paraId="44DDC220">
      <w:pPr>
        <w:pStyle w:val="5"/>
        <w:rPr>
          <w:rFonts w:hint="eastAsia" w:ascii="宋体" w:hAnsi="宋体" w:eastAsia="宋体" w:cs="宋体"/>
          <w:b w:val="0"/>
          <w:bCs w:val="0"/>
          <w:sz w:val="21"/>
          <w:szCs w:val="21"/>
          <w:highlight w:val="none"/>
        </w:rPr>
      </w:pPr>
    </w:p>
    <w:p w14:paraId="7177F91F">
      <w:pPr>
        <w:rPr>
          <w:rFonts w:hint="eastAsia" w:ascii="宋体" w:hAnsi="宋体" w:eastAsia="宋体" w:cs="宋体"/>
          <w:b w:val="0"/>
          <w:bCs w:val="0"/>
          <w:sz w:val="21"/>
          <w:szCs w:val="21"/>
          <w:highlight w:val="none"/>
        </w:rPr>
      </w:pPr>
    </w:p>
    <w:p w14:paraId="3B62CA7F">
      <w:pPr>
        <w:pStyle w:val="24"/>
        <w:rPr>
          <w:rFonts w:hint="eastAsia" w:ascii="宋体" w:hAnsi="宋体" w:eastAsia="宋体" w:cs="宋体"/>
          <w:b w:val="0"/>
          <w:bCs w:val="0"/>
          <w:sz w:val="21"/>
          <w:szCs w:val="21"/>
          <w:highlight w:val="none"/>
        </w:rPr>
      </w:pPr>
    </w:p>
    <w:p w14:paraId="75A83EBC">
      <w:pPr>
        <w:pStyle w:val="5"/>
        <w:rPr>
          <w:rFonts w:hint="eastAsia" w:ascii="宋体" w:hAnsi="宋体" w:eastAsia="宋体" w:cs="宋体"/>
          <w:b w:val="0"/>
          <w:bCs w:val="0"/>
          <w:sz w:val="21"/>
          <w:szCs w:val="21"/>
          <w:highlight w:val="none"/>
        </w:rPr>
      </w:pPr>
    </w:p>
    <w:p w14:paraId="664542A1">
      <w:pPr>
        <w:rPr>
          <w:rFonts w:hint="eastAsia" w:ascii="宋体" w:hAnsi="宋体" w:eastAsia="宋体" w:cs="宋体"/>
          <w:b w:val="0"/>
          <w:bCs w:val="0"/>
          <w:sz w:val="21"/>
          <w:szCs w:val="21"/>
          <w:highlight w:val="none"/>
        </w:rPr>
      </w:pPr>
    </w:p>
    <w:p w14:paraId="0847AEC8">
      <w:pPr>
        <w:pStyle w:val="24"/>
        <w:rPr>
          <w:rFonts w:hint="eastAsia" w:ascii="宋体" w:hAnsi="宋体" w:eastAsia="宋体" w:cs="宋体"/>
          <w:b w:val="0"/>
          <w:bCs w:val="0"/>
          <w:sz w:val="21"/>
          <w:szCs w:val="21"/>
          <w:highlight w:val="none"/>
        </w:rPr>
      </w:pPr>
    </w:p>
    <w:p w14:paraId="30C7E401">
      <w:pPr>
        <w:pStyle w:val="5"/>
        <w:rPr>
          <w:rFonts w:hint="eastAsia" w:ascii="宋体" w:hAnsi="宋体" w:eastAsia="宋体" w:cs="宋体"/>
          <w:b w:val="0"/>
          <w:bCs w:val="0"/>
          <w:sz w:val="21"/>
          <w:szCs w:val="21"/>
          <w:highlight w:val="none"/>
        </w:rPr>
      </w:pPr>
    </w:p>
    <w:p w14:paraId="302B5687">
      <w:pPr>
        <w:rPr>
          <w:rFonts w:hint="eastAsia" w:ascii="宋体" w:hAnsi="宋体" w:eastAsia="宋体" w:cs="宋体"/>
          <w:b w:val="0"/>
          <w:bCs w:val="0"/>
          <w:sz w:val="21"/>
          <w:szCs w:val="21"/>
          <w:highlight w:val="none"/>
        </w:rPr>
      </w:pPr>
    </w:p>
    <w:p w14:paraId="5CD153D5">
      <w:pPr>
        <w:pStyle w:val="24"/>
        <w:rPr>
          <w:rFonts w:hint="eastAsia" w:ascii="宋体" w:hAnsi="宋体" w:eastAsia="宋体" w:cs="宋体"/>
          <w:b w:val="0"/>
          <w:bCs w:val="0"/>
          <w:sz w:val="21"/>
          <w:szCs w:val="21"/>
          <w:highlight w:val="none"/>
        </w:rPr>
      </w:pPr>
    </w:p>
    <w:p w14:paraId="237C4B2F">
      <w:pPr>
        <w:pStyle w:val="5"/>
        <w:rPr>
          <w:rFonts w:hint="eastAsia" w:ascii="宋体" w:hAnsi="宋体" w:eastAsia="宋体" w:cs="宋体"/>
          <w:b w:val="0"/>
          <w:bCs w:val="0"/>
          <w:sz w:val="21"/>
          <w:szCs w:val="21"/>
          <w:highlight w:val="none"/>
        </w:rPr>
      </w:pPr>
    </w:p>
    <w:p w14:paraId="28DDEC15">
      <w:pPr>
        <w:rPr>
          <w:rFonts w:hint="eastAsia" w:ascii="宋体" w:hAnsi="宋体" w:eastAsia="宋体" w:cs="宋体"/>
          <w:b w:val="0"/>
          <w:bCs w:val="0"/>
          <w:sz w:val="21"/>
          <w:szCs w:val="21"/>
          <w:highlight w:val="none"/>
        </w:rPr>
      </w:pPr>
    </w:p>
    <w:p w14:paraId="2C83B219">
      <w:pPr>
        <w:pStyle w:val="24"/>
        <w:rPr>
          <w:rFonts w:hint="eastAsia" w:ascii="宋体" w:hAnsi="宋体" w:eastAsia="宋体" w:cs="宋体"/>
          <w:b w:val="0"/>
          <w:bCs w:val="0"/>
          <w:sz w:val="21"/>
          <w:szCs w:val="21"/>
          <w:highlight w:val="none"/>
        </w:rPr>
      </w:pPr>
    </w:p>
    <w:p w14:paraId="0258159A">
      <w:pPr>
        <w:pStyle w:val="5"/>
        <w:rPr>
          <w:rFonts w:hint="eastAsia" w:ascii="宋体" w:hAnsi="宋体" w:eastAsia="宋体" w:cs="宋体"/>
          <w:b w:val="0"/>
          <w:bCs w:val="0"/>
          <w:sz w:val="21"/>
          <w:szCs w:val="21"/>
          <w:highlight w:val="none"/>
        </w:rPr>
      </w:pPr>
    </w:p>
    <w:p w14:paraId="1CD6C8E0">
      <w:pPr>
        <w:rPr>
          <w:rFonts w:hint="eastAsia" w:ascii="宋体" w:hAnsi="宋体" w:eastAsia="宋体" w:cs="宋体"/>
          <w:b w:val="0"/>
          <w:bCs w:val="0"/>
          <w:sz w:val="21"/>
          <w:szCs w:val="21"/>
          <w:highlight w:val="none"/>
        </w:rPr>
      </w:pPr>
    </w:p>
    <w:p w14:paraId="1A66C6F1">
      <w:pPr>
        <w:pStyle w:val="24"/>
        <w:rPr>
          <w:rFonts w:hint="eastAsia" w:ascii="宋体" w:hAnsi="宋体" w:eastAsia="宋体" w:cs="宋体"/>
          <w:b w:val="0"/>
          <w:bCs w:val="0"/>
          <w:sz w:val="21"/>
          <w:szCs w:val="21"/>
          <w:highlight w:val="none"/>
        </w:rPr>
      </w:pPr>
    </w:p>
    <w:p w14:paraId="1478B7B4">
      <w:pPr>
        <w:pStyle w:val="5"/>
        <w:rPr>
          <w:rFonts w:hint="eastAsia" w:ascii="宋体" w:hAnsi="宋体" w:eastAsia="宋体" w:cs="宋体"/>
          <w:b w:val="0"/>
          <w:bCs w:val="0"/>
          <w:sz w:val="21"/>
          <w:szCs w:val="21"/>
          <w:highlight w:val="none"/>
        </w:rPr>
      </w:pPr>
    </w:p>
    <w:p w14:paraId="068F8D06">
      <w:pPr>
        <w:rPr>
          <w:rFonts w:hint="eastAsia" w:ascii="宋体" w:hAnsi="宋体" w:eastAsia="宋体" w:cs="宋体"/>
          <w:b w:val="0"/>
          <w:bCs w:val="0"/>
          <w:sz w:val="21"/>
          <w:szCs w:val="21"/>
          <w:highlight w:val="none"/>
        </w:rPr>
      </w:pPr>
    </w:p>
    <w:p w14:paraId="4ED42E2C">
      <w:pPr>
        <w:pStyle w:val="24"/>
        <w:rPr>
          <w:rFonts w:hint="eastAsia" w:ascii="宋体" w:hAnsi="宋体" w:eastAsia="宋体" w:cs="宋体"/>
          <w:b w:val="0"/>
          <w:bCs w:val="0"/>
          <w:sz w:val="21"/>
          <w:szCs w:val="21"/>
          <w:highlight w:val="none"/>
        </w:rPr>
      </w:pPr>
    </w:p>
    <w:p w14:paraId="686036AD">
      <w:pPr>
        <w:pStyle w:val="5"/>
        <w:rPr>
          <w:rFonts w:hint="eastAsia" w:ascii="宋体" w:hAnsi="宋体" w:eastAsia="宋体" w:cs="宋体"/>
          <w:b w:val="0"/>
          <w:bCs w:val="0"/>
          <w:sz w:val="21"/>
          <w:szCs w:val="21"/>
          <w:highlight w:val="none"/>
        </w:rPr>
      </w:pPr>
    </w:p>
    <w:p w14:paraId="1CFAF950">
      <w:pPr>
        <w:rPr>
          <w:rFonts w:hint="eastAsia" w:ascii="宋体" w:hAnsi="宋体" w:eastAsia="宋体" w:cs="宋体"/>
          <w:b w:val="0"/>
          <w:bCs w:val="0"/>
          <w:sz w:val="21"/>
          <w:szCs w:val="21"/>
          <w:highlight w:val="none"/>
        </w:rPr>
      </w:pPr>
    </w:p>
    <w:p w14:paraId="44AEDF99">
      <w:pPr>
        <w:pStyle w:val="24"/>
        <w:rPr>
          <w:rFonts w:hint="eastAsia" w:ascii="宋体" w:hAnsi="宋体" w:eastAsia="宋体" w:cs="宋体"/>
          <w:b w:val="0"/>
          <w:bCs w:val="0"/>
          <w:sz w:val="21"/>
          <w:szCs w:val="21"/>
          <w:highlight w:val="none"/>
        </w:rPr>
      </w:pPr>
    </w:p>
    <w:p w14:paraId="05229325">
      <w:pPr>
        <w:pStyle w:val="5"/>
        <w:rPr>
          <w:rFonts w:hint="eastAsia" w:ascii="宋体" w:hAnsi="宋体" w:eastAsia="宋体" w:cs="宋体"/>
          <w:b w:val="0"/>
          <w:bCs w:val="0"/>
          <w:sz w:val="21"/>
          <w:szCs w:val="21"/>
          <w:highlight w:val="none"/>
        </w:rPr>
      </w:pPr>
    </w:p>
    <w:p w14:paraId="26506A1D">
      <w:pPr>
        <w:rPr>
          <w:rFonts w:hint="eastAsia" w:ascii="宋体" w:hAnsi="宋体" w:eastAsia="宋体" w:cs="宋体"/>
          <w:b w:val="0"/>
          <w:bCs w:val="0"/>
          <w:sz w:val="21"/>
          <w:szCs w:val="21"/>
          <w:highlight w:val="none"/>
        </w:rPr>
      </w:pPr>
    </w:p>
    <w:p w14:paraId="43A4E4A6">
      <w:pPr>
        <w:pStyle w:val="24"/>
        <w:rPr>
          <w:rFonts w:hint="eastAsia" w:ascii="宋体" w:hAnsi="宋体" w:eastAsia="宋体" w:cs="宋体"/>
          <w:b w:val="0"/>
          <w:bCs w:val="0"/>
          <w:sz w:val="21"/>
          <w:szCs w:val="21"/>
          <w:highlight w:val="none"/>
        </w:rPr>
      </w:pPr>
    </w:p>
    <w:p w14:paraId="325F9D65">
      <w:pPr>
        <w:pStyle w:val="5"/>
        <w:rPr>
          <w:rFonts w:hint="eastAsia"/>
          <w:highlight w:val="none"/>
        </w:rPr>
      </w:pPr>
    </w:p>
    <w:p w14:paraId="4905133A">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65F2063B">
      <w:pPr>
        <w:spacing w:line="360" w:lineRule="auto"/>
        <w:ind w:firstLine="420" w:firstLineChars="200"/>
        <w:jc w:val="both"/>
        <w:rPr>
          <w:rFonts w:hint="eastAsia" w:ascii="宋体" w:hAnsi="宋体" w:eastAsia="宋体" w:cs="宋体"/>
          <w:szCs w:val="27"/>
          <w:highlight w:val="none"/>
        </w:rPr>
      </w:pPr>
    </w:p>
    <w:p w14:paraId="49A0BDE3">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11661E6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EE87244">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54ED45A8">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2346F4A6">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0F1ABDD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13F6146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szCs w:val="27"/>
          <w:highlight w:val="none"/>
          <w:lang w:val="en-US" w:eastAsia="zh-CN"/>
        </w:rPr>
        <w:t>政府</w:t>
      </w:r>
      <w:r>
        <w:rPr>
          <w:rFonts w:hint="eastAsia" w:ascii="宋体" w:hAnsi="宋体" w:eastAsia="宋体" w:cs="宋体"/>
          <w:szCs w:val="27"/>
          <w:highlight w:val="none"/>
        </w:rPr>
        <w:t>采购法》、《中华人民共和国</w:t>
      </w:r>
      <w:r>
        <w:rPr>
          <w:rFonts w:hint="eastAsia" w:ascii="宋体" w:hAnsi="宋体" w:eastAsia="宋体" w:cs="宋体"/>
          <w:szCs w:val="27"/>
          <w:highlight w:val="none"/>
          <w:lang w:val="en-US" w:eastAsia="zh-CN"/>
        </w:rPr>
        <w:t>民法典</w:t>
      </w:r>
      <w:r>
        <w:rPr>
          <w:rFonts w:hint="eastAsia" w:ascii="宋体" w:hAnsi="宋体" w:eastAsia="宋体" w:cs="宋体"/>
          <w:szCs w:val="27"/>
          <w:highlight w:val="none"/>
        </w:rPr>
        <w:t>》之规定，经甲乙双方充分协商，特订立本合同，以便共同遵守。</w:t>
      </w:r>
    </w:p>
    <w:p w14:paraId="7F34F94C">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4DD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43E61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D537DC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0E0D475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260B1C8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0A3B84E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6E74FA4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05578C7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511A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BBD1111">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E8D8BD8">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50E631B">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72523C1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3F8A27CD">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0ABC3722">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B74EA8A">
            <w:pPr>
              <w:spacing w:line="360" w:lineRule="auto"/>
              <w:ind w:firstLine="420" w:firstLineChars="200"/>
              <w:jc w:val="both"/>
              <w:rPr>
                <w:rFonts w:hint="eastAsia" w:ascii="宋体" w:hAnsi="宋体" w:eastAsia="宋体" w:cs="宋体"/>
                <w:highlight w:val="none"/>
              </w:rPr>
            </w:pPr>
          </w:p>
        </w:tc>
      </w:tr>
      <w:tr w14:paraId="1D645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79786FC">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B1ED799">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60E0E3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07135CE">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545F2987">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43A09B7">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F170CF3">
            <w:pPr>
              <w:spacing w:line="360" w:lineRule="auto"/>
              <w:ind w:firstLine="420" w:firstLineChars="200"/>
              <w:jc w:val="both"/>
              <w:rPr>
                <w:rFonts w:hint="eastAsia" w:ascii="宋体" w:hAnsi="宋体" w:eastAsia="宋体" w:cs="宋体"/>
                <w:highlight w:val="none"/>
              </w:rPr>
            </w:pPr>
          </w:p>
        </w:tc>
      </w:tr>
      <w:tr w14:paraId="0EF1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C4085C3">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CF26CD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DCCC7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143A0FF">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13ACC6E4">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34CCD66">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2B16676">
            <w:pPr>
              <w:spacing w:line="360" w:lineRule="auto"/>
              <w:ind w:firstLine="420" w:firstLineChars="200"/>
              <w:jc w:val="both"/>
              <w:rPr>
                <w:rFonts w:hint="eastAsia" w:ascii="宋体" w:hAnsi="宋体" w:eastAsia="宋体" w:cs="宋体"/>
                <w:highlight w:val="none"/>
              </w:rPr>
            </w:pPr>
          </w:p>
        </w:tc>
      </w:tr>
      <w:tr w14:paraId="15D9A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519F2CB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4D40541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2A654BFE">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5A0A42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894AD3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F8D9714">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33CAAB9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6DC7BE8F">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2350FA2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63355ED1">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3B3C4CE2">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第四条</w:t>
      </w:r>
      <w:r>
        <w:rPr>
          <w:rFonts w:hint="eastAsia" w:ascii="宋体" w:hAnsi="宋体" w:eastAsia="宋体" w:cs="宋体"/>
          <w:sz w:val="21"/>
          <w:szCs w:val="21"/>
          <w:highlight w:val="none"/>
          <w:lang w:val="en-US"/>
        </w:rPr>
        <w:t xml:space="preserve">  </w:t>
      </w:r>
      <w:r>
        <w:rPr>
          <w:rFonts w:hint="eastAsia" w:ascii="宋体" w:hAnsi="宋体" w:eastAsia="宋体" w:cs="宋体"/>
          <w:sz w:val="21"/>
          <w:szCs w:val="21"/>
          <w:highlight w:val="none"/>
        </w:rPr>
        <w:t>费用及支付方式</w:t>
      </w:r>
    </w:p>
    <w:p w14:paraId="131B0CB1">
      <w:pPr>
        <w:pStyle w:val="8"/>
        <w:kinsoku w:val="0"/>
        <w:overflowPunct w:val="0"/>
        <w:spacing w:line="364"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(一)本项目</w:t>
      </w:r>
      <w:r>
        <w:rPr>
          <w:rFonts w:hint="eastAsia" w:ascii="宋体" w:hAnsi="宋体" w:eastAsia="宋体" w:cs="宋体"/>
          <w:b/>
          <w:sz w:val="21"/>
          <w:szCs w:val="21"/>
          <w:highlight w:val="none"/>
          <w:lang w:val="en-US"/>
        </w:rPr>
        <w:t>费用有以</w:t>
      </w:r>
      <w:r>
        <w:rPr>
          <w:rFonts w:hint="eastAsia" w:ascii="宋体" w:hAnsi="宋体" w:eastAsia="宋体" w:cs="宋体"/>
          <w:b/>
          <w:sz w:val="21"/>
          <w:szCs w:val="21"/>
          <w:highlight w:val="none"/>
        </w:rPr>
        <w:t>下组成：</w:t>
      </w:r>
    </w:p>
    <w:p w14:paraId="61FAF56A">
      <w:pPr>
        <w:pStyle w:val="8"/>
        <w:kinsoku w:val="0"/>
        <w:overflowPunct w:val="0"/>
        <w:spacing w:line="364" w:lineRule="auto"/>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1、XX 万元；</w:t>
      </w:r>
    </w:p>
    <w:p w14:paraId="75CFF4BD">
      <w:pPr>
        <w:pStyle w:val="8"/>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2、XX 万元；</w:t>
      </w:r>
    </w:p>
    <w:p w14:paraId="0E0401CF">
      <w:pPr>
        <w:pStyle w:val="8"/>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w:t>
      </w:r>
    </w:p>
    <w:p w14:paraId="1602B524">
      <w:pPr>
        <w:pStyle w:val="8"/>
        <w:kinsoku w:val="0"/>
        <w:overflowPunct w:val="0"/>
        <w:spacing w:line="360"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(二)费用支付方式：</w:t>
      </w:r>
    </w:p>
    <w:p w14:paraId="009FF8C1">
      <w:pPr>
        <w:pStyle w:val="8"/>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1、XXXX；</w:t>
      </w:r>
    </w:p>
    <w:p w14:paraId="67B5629D">
      <w:pPr>
        <w:pStyle w:val="8"/>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2、XXXX ；</w:t>
      </w:r>
    </w:p>
    <w:p w14:paraId="2A54A56C">
      <w:pPr>
        <w:pStyle w:val="8"/>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3、在支付前甲方对乙方的服务进行考核或验收，合格的支付相应款 项。乙方须向甲方出具合法有效完整的完税发票及凭证资料进行支付结算。</w:t>
      </w:r>
    </w:p>
    <w:p w14:paraId="4919F702">
      <w:pPr>
        <w:pStyle w:val="8"/>
        <w:kinsoku w:val="0"/>
        <w:overflowPunct w:val="0"/>
        <w:spacing w:line="360" w:lineRule="auto"/>
        <w:ind w:left="0" w:firstLine="422" w:firstLineChars="200"/>
        <w:jc w:val="both"/>
        <w:rPr>
          <w:rFonts w:hint="eastAsia" w:ascii="宋体" w:hAnsi="宋体" w:eastAsia="宋体" w:cs="宋体"/>
          <w:sz w:val="21"/>
          <w:szCs w:val="21"/>
          <w:highlight w:val="none"/>
        </w:rPr>
      </w:pPr>
      <w:r>
        <w:rPr>
          <w:rFonts w:hint="eastAsia" w:ascii="宋体" w:hAnsi="宋体" w:eastAsia="宋体" w:cs="宋体"/>
          <w:b/>
          <w:sz w:val="21"/>
          <w:szCs w:val="21"/>
          <w:highlight w:val="none"/>
        </w:rPr>
        <w:t>第五条</w:t>
      </w:r>
      <w:r>
        <w:rPr>
          <w:rFonts w:hint="eastAsia" w:ascii="宋体" w:hAnsi="宋体" w:eastAsia="宋体" w:cs="宋体"/>
          <w:b/>
          <w:sz w:val="21"/>
          <w:szCs w:val="21"/>
          <w:highlight w:val="none"/>
          <w:lang w:val="en-US"/>
        </w:rPr>
        <w:t xml:space="preserve">  </w:t>
      </w:r>
      <w:r>
        <w:rPr>
          <w:rFonts w:hint="eastAsia" w:ascii="宋体" w:hAnsi="宋体" w:eastAsia="宋体" w:cs="宋体"/>
          <w:b/>
          <w:sz w:val="21"/>
          <w:szCs w:val="21"/>
          <w:highlight w:val="none"/>
        </w:rPr>
        <w:t xml:space="preserve">付款条件   </w:t>
      </w:r>
      <w:r>
        <w:rPr>
          <w:rFonts w:hint="eastAsia" w:ascii="宋体" w:hAnsi="宋体" w:eastAsia="宋体" w:cs="宋体"/>
          <w:sz w:val="21"/>
          <w:szCs w:val="21"/>
          <w:highlight w:val="none"/>
        </w:rPr>
        <w:t xml:space="preserve">               </w:t>
      </w:r>
    </w:p>
    <w:p w14:paraId="2C54C665">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本合同以人民币付款。</w:t>
      </w:r>
    </w:p>
    <w:p w14:paraId="331E8036">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该项目是否实行预付款：</w:t>
      </w:r>
    </w:p>
    <w:p w14:paraId="3AE11EB3">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实行预付款的条件和比例：</w:t>
      </w:r>
    </w:p>
    <w:p w14:paraId="73C86B4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合同款项结算方式和支付比例：</w:t>
      </w:r>
      <w:r>
        <w:rPr>
          <w:rFonts w:hint="eastAsia" w:ascii="宋体" w:hAnsi="宋体" w:eastAsia="宋体" w:cs="宋体"/>
          <w:sz w:val="21"/>
          <w:szCs w:val="21"/>
          <w:highlight w:val="none"/>
          <w:lang w:val="en-US"/>
        </w:rPr>
        <w:t xml:space="preserve">   </w:t>
      </w:r>
    </w:p>
    <w:p w14:paraId="70EC43B6">
      <w:pPr>
        <w:spacing w:line="360" w:lineRule="auto"/>
        <w:ind w:firstLine="420" w:firstLineChars="200"/>
        <w:jc w:val="both"/>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rPr>
        <w:t>(</w:t>
      </w:r>
      <w:r>
        <w:rPr>
          <w:rFonts w:hint="eastAsia" w:ascii="宋体" w:hAnsi="宋体" w:eastAsia="宋体" w:cs="宋体"/>
          <w:sz w:val="21"/>
          <w:szCs w:val="21"/>
          <w:highlight w:val="none"/>
        </w:rPr>
        <w:t>具体付款方式</w:t>
      </w:r>
      <w:r>
        <w:rPr>
          <w:rFonts w:hint="eastAsia" w:ascii="宋体" w:hAnsi="宋体" w:eastAsia="宋体" w:cs="宋体"/>
          <w:sz w:val="21"/>
          <w:szCs w:val="21"/>
          <w:highlight w:val="none"/>
          <w:u w:val="single"/>
        </w:rPr>
        <w:t>按</w:t>
      </w:r>
      <w:r>
        <w:rPr>
          <w:rFonts w:hint="eastAsia" w:ascii="宋体" w:hAnsi="宋体" w:cs="宋体"/>
          <w:sz w:val="21"/>
          <w:szCs w:val="21"/>
          <w:highlight w:val="none"/>
          <w:u w:val="single"/>
          <w:lang w:eastAsia="zh-CN"/>
        </w:rPr>
        <w:t>供应商</w:t>
      </w:r>
      <w:r>
        <w:rPr>
          <w:rFonts w:hint="eastAsia" w:ascii="宋体" w:hAnsi="宋体" w:eastAsia="宋体" w:cs="宋体"/>
          <w:sz w:val="21"/>
          <w:szCs w:val="21"/>
          <w:highlight w:val="none"/>
          <w:u w:val="single"/>
        </w:rPr>
        <w:t>须知前附表以及采、购双方的具体约定</w:t>
      </w:r>
    </w:p>
    <w:p w14:paraId="55969FCA">
      <w:pPr>
        <w:pStyle w:val="30"/>
        <w:spacing w:beforeLines="0" w:afterLines="0" w:line="360" w:lineRule="auto"/>
        <w:ind w:left="0" w:firstLine="422" w:firstLineChars="200"/>
        <w:jc w:val="both"/>
        <w:rPr>
          <w:rFonts w:hint="eastAsia" w:ascii="宋体" w:hAnsi="宋体" w:eastAsia="宋体" w:cs="宋体"/>
          <w:b/>
          <w:kern w:val="2"/>
          <w:sz w:val="21"/>
          <w:szCs w:val="21"/>
          <w:highlight w:val="none"/>
          <w:lang w:val="en-US" w:eastAsia="zh-CN" w:bidi="ar-SA"/>
        </w:rPr>
      </w:pPr>
      <w:r>
        <w:rPr>
          <w:rFonts w:hint="eastAsia" w:ascii="宋体" w:hAnsi="宋体" w:eastAsia="宋体" w:cs="宋体"/>
          <w:b/>
          <w:kern w:val="2"/>
          <w:sz w:val="21"/>
          <w:szCs w:val="21"/>
          <w:highlight w:val="none"/>
          <w:lang w:val="en-US" w:eastAsia="zh-CN" w:bidi="ar-SA"/>
        </w:rPr>
        <w:t>第六条  验收方法</w:t>
      </w:r>
    </w:p>
    <w:p w14:paraId="51B29BDF">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F0EE42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E90A1A">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3、甲方视情况可以邀请参加本项目的其他</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或者第三方机构参与验收，参与验收的</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或者第三方机构的意见作为验收书的参考资料一并存档。</w:t>
      </w:r>
    </w:p>
    <w:p w14:paraId="230A290A">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66BE715">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检测、验收费用承担方式：</w:t>
      </w:r>
    </w:p>
    <w:p w14:paraId="70143207">
      <w:pPr>
        <w:pStyle w:val="8"/>
        <w:kinsoku w:val="0"/>
        <w:overflowPunct w:val="0"/>
        <w:spacing w:line="360"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第七条 知识产权</w:t>
      </w:r>
    </w:p>
    <w:p w14:paraId="6360B15C">
      <w:pPr>
        <w:pStyle w:val="8"/>
        <w:kinsoku w:val="0"/>
        <w:overflowPunct w:val="0"/>
        <w:spacing w:line="360"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乙方应保证所提供的服务或其任何一部分均不会侵犯任何第三方的专利权、商标权或著作权。</w:t>
      </w:r>
    </w:p>
    <w:p w14:paraId="7DA29C66">
      <w:pPr>
        <w:bidi w:val="0"/>
        <w:spacing w:line="360" w:lineRule="auto"/>
        <w:ind w:firstLine="422" w:firstLineChars="200"/>
        <w:rPr>
          <w:rFonts w:hint="eastAsia"/>
          <w:highlight w:val="none"/>
        </w:rPr>
      </w:pPr>
      <w:r>
        <w:rPr>
          <w:rFonts w:hint="eastAsia"/>
          <w:b/>
          <w:bCs/>
          <w:highlight w:val="none"/>
        </w:rPr>
        <w:t>第八条 无产权瑕疵条款</w:t>
      </w:r>
    </w:p>
    <w:p w14:paraId="327F0B1B">
      <w:pPr>
        <w:pStyle w:val="8"/>
        <w:keepNext w:val="0"/>
        <w:keepLines w:val="0"/>
        <w:pageBreakBefore w:val="0"/>
        <w:widowControl w:val="0"/>
        <w:kinsoku/>
        <w:wordWrap/>
        <w:overflowPunct w:val="0"/>
        <w:topLinePunct w:val="0"/>
        <w:autoSpaceDE/>
        <w:autoSpaceDN/>
        <w:bidi w:val="0"/>
        <w:adjustRightInd/>
        <w:snapToGrid/>
        <w:spacing w:line="360" w:lineRule="auto"/>
        <w:ind w:left="0" w:firstLine="420" w:firstLineChars="200"/>
        <w:jc w:val="both"/>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乙方应保证所提供的服务的所有权完全属于乙方且无任何抵押、查封等产权瑕疵。如有产权瑕疵的，视为乙方违约。乙方应负担由此而产生的一切损失。</w:t>
      </w:r>
    </w:p>
    <w:p w14:paraId="75636A97">
      <w:pPr>
        <w:keepNext w:val="0"/>
        <w:keepLines w:val="0"/>
        <w:pageBreakBefore w:val="0"/>
        <w:widowControl w:val="0"/>
        <w:kinsoku/>
        <w:wordWrap/>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第九条  履约（或质量）保证金</w:t>
      </w:r>
    </w:p>
    <w:p w14:paraId="27F7945B">
      <w:pPr>
        <w:keepNext w:val="0"/>
        <w:keepLines w:val="0"/>
        <w:pageBreakBefore w:val="0"/>
        <w:widowControl w:val="0"/>
        <w:kinsoku/>
        <w:wordWrap/>
        <w:topLinePunct w:val="0"/>
        <w:autoSpaceDE/>
        <w:autoSpaceDN/>
        <w:bidi w:val="0"/>
        <w:adjustRightInd/>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10FB8FF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2.若确需质量保证金的，质量保证金不得超过合同总价款的5%</w:t>
      </w:r>
    </w:p>
    <w:p w14:paraId="31889161">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3.如乙方未能履行其合同规定的任何义务，甲方有权从履约保证金中取得补偿。</w:t>
      </w:r>
    </w:p>
    <w:p w14:paraId="700B88CB">
      <w:pPr>
        <w:bidi w:val="0"/>
        <w:spacing w:line="360" w:lineRule="auto"/>
        <w:ind w:firstLine="442" w:firstLineChars="200"/>
        <w:rPr>
          <w:rFonts w:hint="eastAsia" w:ascii="宋体" w:hAnsi="宋体" w:eastAsia="宋体" w:cs="宋体"/>
          <w:szCs w:val="21"/>
          <w:highlight w:val="none"/>
        </w:rPr>
      </w:pPr>
      <w:r>
        <w:rPr>
          <w:rFonts w:hint="eastAsia"/>
          <w:b/>
          <w:bCs/>
          <w:sz w:val="22"/>
          <w:szCs w:val="21"/>
          <w:highlight w:val="none"/>
        </w:rPr>
        <w:t>第十条 甲方的权利和义务</w:t>
      </w:r>
    </w:p>
    <w:p w14:paraId="6CD71629">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65A40CA9">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2、甲方有权依据双方签订的考评办法对乙方提供的服务进行定期考评。当考评结果未达到标准时，有权依据考评办法约定的数额扣除履约保证金。</w:t>
      </w:r>
    </w:p>
    <w:p w14:paraId="28F72098">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3、负责检查监督乙方管理工作的实施及制度的执行情况。</w:t>
      </w:r>
    </w:p>
    <w:p w14:paraId="66156AB4">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4、根据本合同规定，按时向乙方支付应付服务费用。</w:t>
      </w:r>
    </w:p>
    <w:p w14:paraId="4D8C6D0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 xml:space="preserve">5、国家法律、法规所规定由甲方承担的其他责任    </w:t>
      </w:r>
      <w:r>
        <w:rPr>
          <w:rFonts w:hint="eastAsia" w:ascii="宋体" w:hAnsi="宋体" w:eastAsia="宋体" w:cs="宋体"/>
          <w:sz w:val="21"/>
          <w:szCs w:val="21"/>
          <w:highlight w:val="none"/>
          <w:lang w:val="en-US"/>
        </w:rPr>
        <w:t xml:space="preserve">           </w:t>
      </w:r>
    </w:p>
    <w:p w14:paraId="782FDCDF">
      <w:pPr>
        <w:pStyle w:val="8"/>
        <w:kinsoku w:val="0"/>
        <w:overflowPunct w:val="0"/>
        <w:spacing w:line="364"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第十一条 乙方的权利和义务</w:t>
      </w:r>
    </w:p>
    <w:p w14:paraId="71E4E715">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1、对本合同规定的委托服务范围内的项目享有管理权及服务义务。</w:t>
      </w:r>
    </w:p>
    <w:p w14:paraId="69D8BF3C">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2、根据本合同的规定向甲方收取相关服务费用，并有权在本项目管理范围内管理及合理使用。</w:t>
      </w:r>
    </w:p>
    <w:p w14:paraId="15507D33">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3、及时向甲方通告本项目服务范围内有关服务的重大事项，及时配合处理投诉。</w:t>
      </w:r>
    </w:p>
    <w:p w14:paraId="6269EFD4">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4、接受项目行业管理部门及政府有关部门的指导，接受甲方的监督。</w:t>
      </w:r>
    </w:p>
    <w:p w14:paraId="03F18E78">
      <w:pPr>
        <w:spacing w:line="360" w:lineRule="auto"/>
        <w:ind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5、国家法律、法规所规定由乙方承担的其它责任。</w:t>
      </w:r>
    </w:p>
    <w:p w14:paraId="32BE6F56">
      <w:pPr>
        <w:pStyle w:val="8"/>
        <w:kinsoku w:val="0"/>
        <w:overflowPunct w:val="0"/>
        <w:spacing w:line="364" w:lineRule="auto"/>
        <w:ind w:left="0" w:firstLine="422" w:firstLineChars="200"/>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rPr>
        <w:t>第十二条 违约责任</w:t>
      </w:r>
    </w:p>
    <w:p w14:paraId="29CBB1E1">
      <w:pPr>
        <w:pStyle w:val="8"/>
        <w:kinsoku w:val="0"/>
        <w:overflowPunct w:val="0"/>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1、甲乙双方必须遵守本合同并执行合同中的各项规定，保证本合同的正常履行。</w:t>
      </w:r>
    </w:p>
    <w:p w14:paraId="319881A8">
      <w:pPr>
        <w:pStyle w:val="8"/>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2、甲方逾期付款的，除应及时付足款项外，应向乙方偿付欠款总额万分之 /天的违约金；逾期付款超过 天的，乙方有权终止合同。</w:t>
      </w:r>
    </w:p>
    <w:p w14:paraId="02A4C0AD">
      <w:pPr>
        <w:pStyle w:val="8"/>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82B12F7">
      <w:pPr>
        <w:pStyle w:val="8"/>
        <w:kinsoku w:val="0"/>
        <w:overflowPunct w:val="0"/>
        <w:spacing w:line="364" w:lineRule="auto"/>
        <w:ind w:left="0"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4、变更、中止或者终止合同，有过错的一方应当承担赔偿责任，双方都有过错的，各自承担相应的责任。</w:t>
      </w:r>
    </w:p>
    <w:p w14:paraId="77F4B96A">
      <w:pPr>
        <w:spacing w:line="360" w:lineRule="auto"/>
        <w:ind w:firstLine="422" w:firstLineChars="200"/>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第十三条 转让与分包</w:t>
      </w:r>
    </w:p>
    <w:p w14:paraId="125EA5EA">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1.除甲方事先书面同意外，乙方不得部分转让或全部转让其应履行的合同义务。</w:t>
      </w:r>
    </w:p>
    <w:p w14:paraId="4904CC2C">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4337496E">
      <w:pPr>
        <w:spacing w:line="360" w:lineRule="auto"/>
        <w:ind w:firstLine="422" w:firstLineChars="200"/>
        <w:jc w:val="both"/>
        <w:rPr>
          <w:rFonts w:hint="eastAsia" w:ascii="宋体" w:hAnsi="宋体" w:eastAsia="宋体" w:cs="宋体"/>
          <w:b w:val="0"/>
          <w:bCs w:val="0"/>
          <w:sz w:val="21"/>
          <w:szCs w:val="21"/>
          <w:highlight w:val="none"/>
        </w:rPr>
      </w:pPr>
      <w:r>
        <w:rPr>
          <w:rFonts w:hint="eastAsia" w:ascii="宋体" w:hAnsi="宋体" w:eastAsia="宋体" w:cs="宋体"/>
          <w:b/>
          <w:bCs/>
          <w:sz w:val="21"/>
          <w:szCs w:val="21"/>
          <w:highlight w:val="none"/>
        </w:rPr>
        <w:t>第十四条</w:t>
      </w:r>
      <w:r>
        <w:rPr>
          <w:rFonts w:hint="eastAsia" w:ascii="宋体" w:hAnsi="宋体" w:eastAsia="宋体" w:cs="宋体"/>
          <w:b w:val="0"/>
          <w:bCs w:val="0"/>
          <w:sz w:val="21"/>
          <w:szCs w:val="21"/>
          <w:highlight w:val="none"/>
        </w:rPr>
        <w:t xml:space="preserve"> 合同文件及资料的使用</w:t>
      </w:r>
    </w:p>
    <w:p w14:paraId="7E0C20D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1.乙方在未经甲方同意的情况下，不得将合同、合同中的规定、有关计划、图纸、样本或甲方为上述内容向乙方提供的资料透露给任何人。</w:t>
      </w:r>
    </w:p>
    <w:p w14:paraId="0E834D4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2.除非执行合同需要，在事先未得到甲方同意的情况下，乙方不得使用前款所列的任何文件和资料。</w:t>
      </w:r>
    </w:p>
    <w:p w14:paraId="12A7D8EE">
      <w:pPr>
        <w:bidi w:val="0"/>
        <w:spacing w:line="360" w:lineRule="auto"/>
        <w:ind w:firstLine="422" w:firstLineChars="200"/>
        <w:rPr>
          <w:rFonts w:hint="eastAsia"/>
          <w:b/>
          <w:bCs/>
          <w:highlight w:val="none"/>
        </w:rPr>
      </w:pPr>
      <w:r>
        <w:rPr>
          <w:rFonts w:hint="eastAsia"/>
          <w:b/>
          <w:bCs/>
          <w:highlight w:val="none"/>
        </w:rPr>
        <w:t>第十五条 不可抗力事件处理</w:t>
      </w:r>
    </w:p>
    <w:p w14:paraId="71C4A67B">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13D2B67">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B72B416">
      <w:pPr>
        <w:bidi w:val="0"/>
        <w:spacing w:line="360" w:lineRule="auto"/>
        <w:ind w:firstLine="422" w:firstLineChars="200"/>
        <w:rPr>
          <w:rFonts w:hint="eastAsia"/>
          <w:b/>
          <w:bCs/>
          <w:sz w:val="21"/>
          <w:szCs w:val="20"/>
          <w:highlight w:val="none"/>
        </w:rPr>
      </w:pPr>
      <w:r>
        <w:rPr>
          <w:rFonts w:hint="eastAsia"/>
          <w:b/>
          <w:bCs/>
          <w:sz w:val="21"/>
          <w:szCs w:val="20"/>
          <w:highlight w:val="none"/>
        </w:rPr>
        <w:t>第十六条 合同纠纷调处</w:t>
      </w:r>
    </w:p>
    <w:p w14:paraId="33325411">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1.按本合同规定应该偿付的违约金、赔偿金、保管保养费和各种经济损失，应当在明确责任后10天内，按银行规定的结算办法付清，否则按逾期付款处理。</w:t>
      </w:r>
    </w:p>
    <w:p w14:paraId="6DF22D59">
      <w:pPr>
        <w:spacing w:line="360" w:lineRule="auto"/>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 w:val="21"/>
          <w:szCs w:val="21"/>
          <w:highlight w:val="none"/>
          <w:u w:val="single"/>
        </w:rPr>
        <w:t>周口仲裁委员会</w:t>
      </w:r>
      <w:r>
        <w:rPr>
          <w:rFonts w:hint="eastAsia" w:ascii="宋体" w:hAnsi="宋体" w:eastAsia="宋体" w:cs="宋体"/>
          <w:sz w:val="21"/>
          <w:szCs w:val="21"/>
          <w:highlight w:val="none"/>
        </w:rPr>
        <w:t>申请仲裁。②向合同签订地有级别管辖权的人民法院起诉。</w:t>
      </w:r>
    </w:p>
    <w:p w14:paraId="62963FCD">
      <w:pPr>
        <w:bidi w:val="0"/>
        <w:spacing w:line="360" w:lineRule="auto"/>
        <w:ind w:firstLine="420" w:firstLineChars="200"/>
        <w:rPr>
          <w:rFonts w:hint="eastAsia"/>
          <w:highlight w:val="none"/>
          <w:lang w:val="en-US"/>
        </w:rPr>
      </w:pPr>
      <w:r>
        <w:rPr>
          <w:rFonts w:hint="eastAsia"/>
          <w:highlight w:val="none"/>
          <w:lang w:val="en-US"/>
        </w:rPr>
        <w:t>3</w:t>
      </w:r>
      <w:r>
        <w:rPr>
          <w:rFonts w:hint="eastAsia"/>
          <w:highlight w:val="none"/>
          <w:lang w:val="en-US" w:eastAsia="zh-CN"/>
        </w:rPr>
        <w:t>.甲、乙双方均有权利向本项目具有监管职能的政府采购监督管理部门举报反映对方在合同履约中的违法违纪行为。</w:t>
      </w:r>
    </w:p>
    <w:p w14:paraId="49530277">
      <w:pPr>
        <w:spacing w:line="360" w:lineRule="auto"/>
        <w:ind w:firstLine="422" w:firstLineChars="200"/>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第十七条 其他</w:t>
      </w:r>
    </w:p>
    <w:p w14:paraId="73FAD7D8">
      <w:pPr>
        <w:spacing w:line="360" w:lineRule="auto"/>
        <w:ind w:firstLine="422" w:firstLineChars="200"/>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 </w:t>
      </w:r>
      <w:r>
        <w:rPr>
          <w:rFonts w:hint="eastAsia" w:ascii="宋体" w:hAnsi="宋体" w:eastAsia="宋体" w:cs="宋体"/>
          <w:sz w:val="21"/>
          <w:szCs w:val="21"/>
          <w:highlight w:val="none"/>
        </w:rPr>
        <w:t>下列关于周口市公共资源交易中心政府采购代理机构名称</w:t>
      </w:r>
      <w:r>
        <w:rPr>
          <w:rFonts w:hint="eastAsia" w:ascii="宋体" w:hAnsi="宋体" w:eastAsia="宋体" w:cs="宋体"/>
          <w:sz w:val="21"/>
          <w:szCs w:val="21"/>
          <w:highlight w:val="none"/>
          <w:u w:val="single"/>
        </w:rPr>
        <w:t>某项目（项目编号：某编号）</w:t>
      </w:r>
      <w:r>
        <w:rPr>
          <w:rFonts w:hint="eastAsia" w:ascii="宋体" w:hAnsi="宋体" w:eastAsia="宋体" w:cs="宋体"/>
          <w:sz w:val="21"/>
          <w:szCs w:val="21"/>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397C64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份，自双方当事人签字盖章之日起生效。</w:t>
      </w:r>
    </w:p>
    <w:p w14:paraId="430D5FA0">
      <w:pPr>
        <w:spacing w:line="360" w:lineRule="auto"/>
        <w:ind w:firstLine="420" w:firstLineChars="200"/>
        <w:jc w:val="both"/>
        <w:rPr>
          <w:rFonts w:hint="eastAsia" w:ascii="宋体" w:hAnsi="宋体" w:eastAsia="宋体" w:cs="宋体"/>
          <w:szCs w:val="27"/>
          <w:highlight w:val="none"/>
        </w:rPr>
      </w:pPr>
    </w:p>
    <w:p w14:paraId="1466446D">
      <w:pPr>
        <w:pStyle w:val="25"/>
        <w:ind w:firstLine="240"/>
        <w:rPr>
          <w:rFonts w:hint="eastAsia" w:ascii="宋体" w:hAnsi="宋体" w:eastAsia="宋体" w:cs="宋体"/>
          <w:highlight w:val="none"/>
        </w:rPr>
      </w:pPr>
    </w:p>
    <w:p w14:paraId="417D8B21">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0AC6905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435B1D1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10C56D42">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109ACDF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3B3DFD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2846491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F78D296">
      <w:pPr>
        <w:spacing w:line="640" w:lineRule="exact"/>
        <w:ind w:firstLine="420" w:firstLineChars="200"/>
        <w:jc w:val="both"/>
        <w:rPr>
          <w:rFonts w:hint="eastAsia" w:ascii="宋体" w:hAnsi="宋体" w:eastAsia="宋体" w:cs="宋体"/>
          <w:szCs w:val="27"/>
          <w:highlight w:val="none"/>
          <w:u w:val="single"/>
        </w:rPr>
      </w:pPr>
    </w:p>
    <w:p w14:paraId="3C85C81C">
      <w:pPr>
        <w:spacing w:line="900" w:lineRule="exact"/>
        <w:jc w:val="center"/>
        <w:rPr>
          <w:rFonts w:hint="eastAsia" w:ascii="宋体" w:hAnsi="宋体" w:eastAsia="宋体" w:cs="宋体"/>
          <w:szCs w:val="27"/>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p>
    <w:p w14:paraId="20F9AE62">
      <w:pPr>
        <w:pStyle w:val="25"/>
        <w:rPr>
          <w:rFonts w:hint="eastAsia" w:ascii="宋体" w:hAnsi="宋体" w:eastAsia="宋体" w:cs="宋体"/>
          <w:szCs w:val="27"/>
          <w:highlight w:val="none"/>
        </w:rPr>
      </w:pPr>
    </w:p>
    <w:p w14:paraId="23AB4DB6">
      <w:pPr>
        <w:pStyle w:val="2"/>
        <w:bidi w:val="0"/>
        <w:rPr>
          <w:rFonts w:hint="eastAsia" w:ascii="宋体" w:hAnsi="宋体" w:eastAsia="宋体" w:cs="宋体"/>
          <w:highlight w:val="none"/>
        </w:rPr>
      </w:pPr>
      <w:bookmarkStart w:id="126" w:name="_Toc30894"/>
      <w:r>
        <w:rPr>
          <w:rFonts w:hint="eastAsia" w:ascii="宋体" w:hAnsi="宋体" w:eastAsia="宋体" w:cs="宋体"/>
          <w:highlight w:val="none"/>
        </w:rPr>
        <w:t>第七章 投标文件格式</w:t>
      </w:r>
      <w:bookmarkEnd w:id="125"/>
      <w:bookmarkEnd w:id="126"/>
    </w:p>
    <w:p w14:paraId="1DD5B8BA">
      <w:pPr>
        <w:pStyle w:val="15"/>
        <w:rPr>
          <w:rFonts w:hint="eastAsia" w:ascii="宋体" w:hAnsi="宋体" w:eastAsia="宋体" w:cs="宋体"/>
          <w:highlight w:val="none"/>
        </w:rPr>
      </w:pPr>
      <w:bookmarkStart w:id="127" w:name="_Hlt509738521"/>
      <w:bookmarkStart w:id="128" w:name="_Hlt519045391"/>
      <w:bookmarkStart w:id="129" w:name="_Hlt509738509"/>
    </w:p>
    <w:p w14:paraId="2D4031DA">
      <w:pPr>
        <w:pStyle w:val="15"/>
        <w:rPr>
          <w:rFonts w:hint="eastAsia" w:ascii="宋体" w:hAnsi="宋体" w:eastAsia="宋体" w:cs="宋体"/>
          <w:highlight w:val="none"/>
        </w:rPr>
        <w:sectPr>
          <w:footerReference r:id="rId3" w:type="default"/>
          <w:pgSz w:w="11906" w:h="16838"/>
          <w:pgMar w:top="1389" w:right="1304" w:bottom="1440" w:left="1304" w:header="851" w:footer="992" w:gutter="0"/>
          <w:cols w:space="720" w:num="1"/>
          <w:docGrid w:linePitch="312" w:charSpace="0"/>
        </w:sectPr>
      </w:pPr>
    </w:p>
    <w:p w14:paraId="5C1A6495">
      <w:pPr>
        <w:pStyle w:val="18"/>
        <w:rPr>
          <w:rFonts w:hint="eastAsia" w:ascii="宋体" w:hAnsi="宋体" w:eastAsia="宋体" w:cs="宋体"/>
          <w:highlight w:val="none"/>
        </w:rPr>
      </w:pPr>
      <w:bookmarkStart w:id="130" w:name="_Toc20284_WPSOffice_Level2"/>
      <w:r>
        <w:rPr>
          <w:rFonts w:hint="eastAsia" w:ascii="宋体" w:hAnsi="宋体" w:eastAsia="宋体" w:cs="宋体"/>
          <w:highlight w:val="none"/>
        </w:rPr>
        <w:t>投标文件资料清单</w:t>
      </w:r>
      <w:bookmarkEnd w:id="130"/>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F50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5DFE9DA">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序号</w:t>
            </w:r>
          </w:p>
        </w:tc>
        <w:tc>
          <w:tcPr>
            <w:tcW w:w="5460" w:type="dxa"/>
            <w:noWrap w:val="0"/>
            <w:vAlign w:val="center"/>
          </w:tcPr>
          <w:p w14:paraId="669C3000">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资料名称</w:t>
            </w:r>
          </w:p>
        </w:tc>
        <w:tc>
          <w:tcPr>
            <w:tcW w:w="1854" w:type="dxa"/>
            <w:noWrap w:val="0"/>
            <w:vAlign w:val="center"/>
          </w:tcPr>
          <w:p w14:paraId="0C56A0DF">
            <w:pPr>
              <w:spacing w:line="40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页码范围</w:t>
            </w:r>
          </w:p>
        </w:tc>
      </w:tr>
      <w:tr w14:paraId="6D4DB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0018F42">
            <w:pPr>
              <w:jc w:val="center"/>
              <w:rPr>
                <w:rFonts w:hint="eastAsia" w:ascii="宋体" w:hAnsi="宋体" w:eastAsia="宋体" w:cs="宋体"/>
                <w:sz w:val="24"/>
                <w:highlight w:val="none"/>
              </w:rPr>
            </w:pPr>
            <w:r>
              <w:rPr>
                <w:rFonts w:hint="eastAsia" w:ascii="宋体" w:hAnsi="宋体" w:eastAsia="宋体" w:cs="宋体"/>
                <w:sz w:val="24"/>
                <w:highlight w:val="none"/>
              </w:rPr>
              <w:t>一</w:t>
            </w:r>
          </w:p>
        </w:tc>
        <w:tc>
          <w:tcPr>
            <w:tcW w:w="5460" w:type="dxa"/>
            <w:noWrap w:val="0"/>
            <w:vAlign w:val="center"/>
          </w:tcPr>
          <w:p w14:paraId="569C6F44">
            <w:pPr>
              <w:rPr>
                <w:rFonts w:hint="eastAsia" w:ascii="宋体" w:hAnsi="宋体" w:eastAsia="宋体" w:cs="宋体"/>
                <w:highlight w:val="none"/>
                <w:u w:val="single"/>
              </w:rPr>
            </w:pPr>
            <w:r>
              <w:rPr>
                <w:rFonts w:hint="eastAsia" w:ascii="宋体" w:hAnsi="宋体" w:eastAsia="宋体" w:cs="宋体"/>
                <w:bCs/>
                <w:sz w:val="24"/>
                <w:highlight w:val="none"/>
              </w:rPr>
              <w:t>开标一览表</w:t>
            </w:r>
          </w:p>
        </w:tc>
        <w:tc>
          <w:tcPr>
            <w:tcW w:w="1854" w:type="dxa"/>
            <w:noWrap w:val="0"/>
            <w:vAlign w:val="center"/>
          </w:tcPr>
          <w:p w14:paraId="1238C998">
            <w:pPr>
              <w:spacing w:line="360" w:lineRule="auto"/>
              <w:jc w:val="center"/>
              <w:rPr>
                <w:rFonts w:hint="eastAsia" w:ascii="宋体" w:hAnsi="宋体" w:eastAsia="宋体" w:cs="宋体"/>
                <w:b/>
                <w:sz w:val="24"/>
                <w:highlight w:val="none"/>
              </w:rPr>
            </w:pPr>
          </w:p>
        </w:tc>
      </w:tr>
      <w:tr w14:paraId="1F93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113123C">
            <w:pPr>
              <w:jc w:val="center"/>
              <w:rPr>
                <w:rFonts w:hint="eastAsia" w:ascii="宋体" w:hAnsi="宋体" w:eastAsia="宋体" w:cs="宋体"/>
                <w:sz w:val="24"/>
                <w:highlight w:val="none"/>
              </w:rPr>
            </w:pPr>
            <w:r>
              <w:rPr>
                <w:rFonts w:hint="eastAsia" w:ascii="宋体" w:hAnsi="宋体" w:eastAsia="宋体" w:cs="宋体"/>
                <w:sz w:val="24"/>
                <w:highlight w:val="none"/>
              </w:rPr>
              <w:t>二</w:t>
            </w:r>
          </w:p>
        </w:tc>
        <w:tc>
          <w:tcPr>
            <w:tcW w:w="5460" w:type="dxa"/>
            <w:noWrap w:val="0"/>
            <w:vAlign w:val="center"/>
          </w:tcPr>
          <w:p w14:paraId="1CEB26AF">
            <w:pPr>
              <w:rPr>
                <w:rFonts w:hint="eastAsia" w:ascii="宋体" w:hAnsi="宋体" w:eastAsia="宋体" w:cs="宋体"/>
                <w:bCs/>
                <w:sz w:val="24"/>
                <w:highlight w:val="none"/>
              </w:rPr>
            </w:pPr>
            <w:r>
              <w:rPr>
                <w:rFonts w:hint="eastAsia" w:ascii="宋体" w:hAnsi="宋体" w:cs="宋体"/>
                <w:sz w:val="24"/>
                <w:highlight w:val="none"/>
                <w:lang w:eastAsia="zh-CN"/>
              </w:rPr>
              <w:t>供应商</w:t>
            </w:r>
            <w:r>
              <w:rPr>
                <w:rFonts w:hint="eastAsia" w:ascii="宋体" w:hAnsi="宋体" w:eastAsia="宋体" w:cs="宋体"/>
                <w:sz w:val="24"/>
                <w:highlight w:val="none"/>
              </w:rPr>
              <w:t>情况综合简介</w:t>
            </w:r>
          </w:p>
        </w:tc>
        <w:tc>
          <w:tcPr>
            <w:tcW w:w="1854" w:type="dxa"/>
            <w:noWrap w:val="0"/>
            <w:vAlign w:val="center"/>
          </w:tcPr>
          <w:p w14:paraId="0B09DC75">
            <w:pPr>
              <w:spacing w:line="360" w:lineRule="auto"/>
              <w:jc w:val="center"/>
              <w:rPr>
                <w:rFonts w:hint="eastAsia" w:ascii="宋体" w:hAnsi="宋体" w:eastAsia="宋体" w:cs="宋体"/>
                <w:b/>
                <w:sz w:val="24"/>
                <w:highlight w:val="none"/>
              </w:rPr>
            </w:pPr>
          </w:p>
        </w:tc>
      </w:tr>
      <w:tr w14:paraId="57A96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C912C0B">
            <w:pPr>
              <w:jc w:val="center"/>
              <w:rPr>
                <w:rFonts w:hint="eastAsia" w:ascii="宋体" w:hAnsi="宋体" w:eastAsia="宋体" w:cs="宋体"/>
                <w:bCs/>
                <w:sz w:val="24"/>
                <w:highlight w:val="none"/>
              </w:rPr>
            </w:pPr>
            <w:r>
              <w:rPr>
                <w:rFonts w:hint="eastAsia" w:ascii="宋体" w:hAnsi="宋体" w:eastAsia="宋体" w:cs="宋体"/>
                <w:bCs/>
                <w:sz w:val="24"/>
                <w:highlight w:val="none"/>
              </w:rPr>
              <w:t>三</w:t>
            </w:r>
          </w:p>
        </w:tc>
        <w:tc>
          <w:tcPr>
            <w:tcW w:w="5460" w:type="dxa"/>
            <w:noWrap w:val="0"/>
            <w:vAlign w:val="center"/>
          </w:tcPr>
          <w:p w14:paraId="767039E5">
            <w:pPr>
              <w:rPr>
                <w:rFonts w:hint="eastAsia" w:ascii="宋体" w:hAnsi="宋体" w:eastAsia="宋体" w:cs="宋体"/>
                <w:bCs/>
                <w:sz w:val="24"/>
                <w:highlight w:val="none"/>
              </w:rPr>
            </w:pPr>
            <w:r>
              <w:rPr>
                <w:rFonts w:hint="eastAsia" w:ascii="宋体" w:hAnsi="宋体" w:eastAsia="宋体" w:cs="宋体"/>
                <w:bCs/>
                <w:sz w:val="24"/>
                <w:highlight w:val="none"/>
              </w:rPr>
              <w:t>投标函</w:t>
            </w:r>
          </w:p>
        </w:tc>
        <w:tc>
          <w:tcPr>
            <w:tcW w:w="1854" w:type="dxa"/>
            <w:noWrap w:val="0"/>
            <w:vAlign w:val="center"/>
          </w:tcPr>
          <w:p w14:paraId="1A2F8B60">
            <w:pPr>
              <w:spacing w:line="360" w:lineRule="auto"/>
              <w:jc w:val="center"/>
              <w:rPr>
                <w:rFonts w:hint="eastAsia" w:ascii="宋体" w:hAnsi="宋体" w:eastAsia="宋体" w:cs="宋体"/>
                <w:b/>
                <w:sz w:val="24"/>
                <w:highlight w:val="none"/>
              </w:rPr>
            </w:pPr>
          </w:p>
        </w:tc>
      </w:tr>
      <w:tr w14:paraId="5EC3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CFD8582">
            <w:pPr>
              <w:jc w:val="center"/>
              <w:rPr>
                <w:rFonts w:hint="eastAsia" w:ascii="宋体" w:hAnsi="宋体" w:eastAsia="宋体" w:cs="宋体"/>
                <w:sz w:val="24"/>
                <w:highlight w:val="none"/>
              </w:rPr>
            </w:pPr>
            <w:r>
              <w:rPr>
                <w:rFonts w:hint="eastAsia" w:ascii="宋体" w:hAnsi="宋体" w:eastAsia="宋体" w:cs="宋体"/>
                <w:sz w:val="24"/>
                <w:highlight w:val="none"/>
              </w:rPr>
              <w:t>四</w:t>
            </w:r>
          </w:p>
        </w:tc>
        <w:tc>
          <w:tcPr>
            <w:tcW w:w="5460" w:type="dxa"/>
            <w:noWrap w:val="0"/>
            <w:vAlign w:val="center"/>
          </w:tcPr>
          <w:p w14:paraId="55D084FC">
            <w:pPr>
              <w:rPr>
                <w:rFonts w:hint="eastAsia" w:ascii="宋体" w:hAnsi="宋体" w:eastAsia="宋体" w:cs="宋体"/>
                <w:bCs/>
                <w:highlight w:val="none"/>
              </w:rPr>
            </w:pPr>
            <w:r>
              <w:rPr>
                <w:rFonts w:hint="eastAsia" w:ascii="宋体" w:hAnsi="宋体" w:eastAsia="宋体" w:cs="宋体"/>
                <w:sz w:val="24"/>
                <w:highlight w:val="none"/>
              </w:rPr>
              <w:t>投标响应表</w:t>
            </w:r>
          </w:p>
        </w:tc>
        <w:tc>
          <w:tcPr>
            <w:tcW w:w="1854" w:type="dxa"/>
            <w:noWrap w:val="0"/>
            <w:vAlign w:val="center"/>
          </w:tcPr>
          <w:p w14:paraId="1D83BCD5">
            <w:pPr>
              <w:spacing w:line="360" w:lineRule="auto"/>
              <w:jc w:val="center"/>
              <w:rPr>
                <w:rFonts w:hint="eastAsia" w:ascii="宋体" w:hAnsi="宋体" w:eastAsia="宋体" w:cs="宋体"/>
                <w:b/>
                <w:sz w:val="24"/>
                <w:highlight w:val="none"/>
              </w:rPr>
            </w:pPr>
          </w:p>
        </w:tc>
      </w:tr>
      <w:tr w14:paraId="53591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0D3A64B1">
            <w:pPr>
              <w:jc w:val="center"/>
              <w:rPr>
                <w:rFonts w:hint="eastAsia" w:ascii="宋体" w:hAnsi="宋体" w:eastAsia="宋体" w:cs="宋体"/>
                <w:sz w:val="24"/>
                <w:highlight w:val="none"/>
              </w:rPr>
            </w:pPr>
            <w:r>
              <w:rPr>
                <w:rFonts w:hint="eastAsia" w:ascii="宋体" w:hAnsi="宋体" w:eastAsia="宋体" w:cs="宋体"/>
                <w:sz w:val="24"/>
                <w:highlight w:val="none"/>
              </w:rPr>
              <w:t>五</w:t>
            </w:r>
          </w:p>
        </w:tc>
        <w:tc>
          <w:tcPr>
            <w:tcW w:w="5460" w:type="dxa"/>
            <w:noWrap w:val="0"/>
            <w:vAlign w:val="center"/>
          </w:tcPr>
          <w:p w14:paraId="7997C1A7">
            <w:pPr>
              <w:rPr>
                <w:rFonts w:hint="eastAsia" w:ascii="宋体" w:hAnsi="宋体" w:eastAsia="宋体" w:cs="宋体"/>
                <w:bCs/>
                <w:sz w:val="24"/>
                <w:highlight w:val="none"/>
              </w:rPr>
            </w:pPr>
            <w:r>
              <w:rPr>
                <w:rFonts w:hint="eastAsia" w:ascii="宋体" w:hAnsi="宋体" w:eastAsia="宋体" w:cs="宋体"/>
                <w:sz w:val="24"/>
                <w:highlight w:val="none"/>
              </w:rPr>
              <w:t>服务质量承诺</w:t>
            </w:r>
          </w:p>
        </w:tc>
        <w:tc>
          <w:tcPr>
            <w:tcW w:w="1854" w:type="dxa"/>
            <w:noWrap w:val="0"/>
            <w:vAlign w:val="center"/>
          </w:tcPr>
          <w:p w14:paraId="742BF7F9">
            <w:pPr>
              <w:spacing w:line="360" w:lineRule="auto"/>
              <w:jc w:val="center"/>
              <w:rPr>
                <w:rFonts w:hint="eastAsia" w:ascii="宋体" w:hAnsi="宋体" w:eastAsia="宋体" w:cs="宋体"/>
                <w:b/>
                <w:sz w:val="24"/>
                <w:highlight w:val="none"/>
              </w:rPr>
            </w:pPr>
          </w:p>
        </w:tc>
      </w:tr>
      <w:tr w14:paraId="3C49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03003C60">
            <w:pPr>
              <w:jc w:val="center"/>
              <w:rPr>
                <w:rFonts w:hint="eastAsia" w:ascii="宋体" w:hAnsi="宋体" w:eastAsia="宋体" w:cs="宋体"/>
                <w:sz w:val="24"/>
                <w:highlight w:val="none"/>
                <w:lang w:eastAsia="zh-CN"/>
              </w:rPr>
            </w:pPr>
            <w:r>
              <w:rPr>
                <w:rFonts w:hint="eastAsia" w:ascii="宋体" w:hAnsi="宋体" w:cs="宋体"/>
                <w:sz w:val="24"/>
                <w:highlight w:val="none"/>
                <w:lang w:val="en-US" w:eastAsia="zh-CN"/>
              </w:rPr>
              <w:t>六</w:t>
            </w:r>
          </w:p>
        </w:tc>
        <w:tc>
          <w:tcPr>
            <w:tcW w:w="5460" w:type="dxa"/>
            <w:noWrap w:val="0"/>
            <w:vAlign w:val="center"/>
          </w:tcPr>
          <w:p w14:paraId="06EEF674">
            <w:pPr>
              <w:rPr>
                <w:rFonts w:hint="eastAsia" w:ascii="宋体" w:hAnsi="宋体" w:eastAsia="宋体" w:cs="宋体"/>
                <w:sz w:val="24"/>
                <w:highlight w:val="none"/>
              </w:rPr>
            </w:pPr>
            <w:r>
              <w:rPr>
                <w:rFonts w:hint="eastAsia" w:ascii="宋体" w:hAnsi="宋体" w:eastAsia="宋体" w:cs="宋体"/>
                <w:sz w:val="24"/>
                <w:highlight w:val="none"/>
              </w:rPr>
              <w:t>有关证明文件</w:t>
            </w:r>
          </w:p>
        </w:tc>
        <w:tc>
          <w:tcPr>
            <w:tcW w:w="1854" w:type="dxa"/>
            <w:noWrap w:val="0"/>
            <w:vAlign w:val="center"/>
          </w:tcPr>
          <w:p w14:paraId="1E16E18A">
            <w:pPr>
              <w:spacing w:line="360" w:lineRule="auto"/>
              <w:rPr>
                <w:rFonts w:hint="eastAsia" w:ascii="宋体" w:hAnsi="宋体" w:eastAsia="宋体" w:cs="宋体"/>
                <w:b/>
                <w:sz w:val="24"/>
                <w:highlight w:val="none"/>
              </w:rPr>
            </w:pPr>
          </w:p>
        </w:tc>
      </w:tr>
      <w:tr w14:paraId="08C9E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12DA45CF">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七</w:t>
            </w:r>
          </w:p>
        </w:tc>
        <w:tc>
          <w:tcPr>
            <w:tcW w:w="5460" w:type="dxa"/>
            <w:noWrap w:val="0"/>
            <w:vAlign w:val="center"/>
          </w:tcPr>
          <w:p w14:paraId="23B5A008">
            <w:pPr>
              <w:rPr>
                <w:rFonts w:hint="eastAsia" w:ascii="宋体" w:hAnsi="宋体" w:eastAsia="宋体" w:cs="宋体"/>
                <w:sz w:val="24"/>
                <w:highlight w:val="none"/>
              </w:rPr>
            </w:pPr>
            <w:r>
              <w:rPr>
                <w:rFonts w:hint="eastAsia" w:ascii="宋体" w:hAnsi="宋体" w:eastAsia="宋体" w:cs="宋体"/>
                <w:sz w:val="24"/>
                <w:highlight w:val="none"/>
              </w:rPr>
              <w:t>中小企业声明函</w:t>
            </w:r>
          </w:p>
        </w:tc>
        <w:tc>
          <w:tcPr>
            <w:tcW w:w="1854" w:type="dxa"/>
            <w:noWrap w:val="0"/>
            <w:vAlign w:val="center"/>
          </w:tcPr>
          <w:p w14:paraId="014CA112">
            <w:pPr>
              <w:spacing w:line="360" w:lineRule="auto"/>
              <w:rPr>
                <w:rFonts w:hint="eastAsia" w:ascii="宋体" w:hAnsi="宋体" w:eastAsia="宋体" w:cs="宋体"/>
                <w:b/>
                <w:sz w:val="24"/>
                <w:highlight w:val="none"/>
              </w:rPr>
            </w:pPr>
          </w:p>
        </w:tc>
      </w:tr>
      <w:tr w14:paraId="65A8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7E5638BB">
            <w:pPr>
              <w:ind w:firstLine="240" w:firstLineChars="1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八</w:t>
            </w:r>
          </w:p>
        </w:tc>
        <w:tc>
          <w:tcPr>
            <w:tcW w:w="5460" w:type="dxa"/>
            <w:noWrap w:val="0"/>
            <w:vAlign w:val="center"/>
          </w:tcPr>
          <w:p w14:paraId="4ED8711C">
            <w:pPr>
              <w:rPr>
                <w:rFonts w:hint="eastAsia" w:ascii="宋体" w:hAnsi="宋体" w:eastAsia="宋体" w:cs="宋体"/>
                <w:sz w:val="24"/>
                <w:highlight w:val="none"/>
              </w:rPr>
            </w:pPr>
            <w:r>
              <w:rPr>
                <w:rFonts w:hint="eastAsia" w:ascii="宋体" w:hAnsi="宋体" w:eastAsia="宋体" w:cs="宋体"/>
                <w:sz w:val="24"/>
                <w:highlight w:val="none"/>
              </w:rPr>
              <w:t>售后服务</w:t>
            </w:r>
          </w:p>
        </w:tc>
        <w:tc>
          <w:tcPr>
            <w:tcW w:w="1854" w:type="dxa"/>
            <w:noWrap w:val="0"/>
            <w:vAlign w:val="center"/>
          </w:tcPr>
          <w:p w14:paraId="39FC8A46">
            <w:pPr>
              <w:spacing w:line="360" w:lineRule="auto"/>
              <w:rPr>
                <w:rFonts w:hint="eastAsia" w:ascii="宋体" w:hAnsi="宋体" w:eastAsia="宋体" w:cs="宋体"/>
                <w:b/>
                <w:sz w:val="24"/>
                <w:highlight w:val="none"/>
              </w:rPr>
            </w:pPr>
          </w:p>
        </w:tc>
      </w:tr>
      <w:tr w14:paraId="37AE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670BBE03">
            <w:pPr>
              <w:jc w:val="center"/>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九</w:t>
            </w:r>
          </w:p>
        </w:tc>
        <w:tc>
          <w:tcPr>
            <w:tcW w:w="5460" w:type="dxa"/>
            <w:noWrap w:val="0"/>
            <w:vAlign w:val="center"/>
          </w:tcPr>
          <w:p w14:paraId="1B9542B2">
            <w:pPr>
              <w:rPr>
                <w:rFonts w:hint="eastAsia" w:ascii="宋体" w:hAnsi="宋体" w:eastAsia="宋体" w:cs="宋体"/>
                <w:sz w:val="24"/>
                <w:highlight w:val="none"/>
              </w:rPr>
            </w:pPr>
            <w:r>
              <w:rPr>
                <w:rFonts w:hint="eastAsia" w:ascii="宋体" w:hAnsi="宋体" w:eastAsia="宋体" w:cs="宋体"/>
                <w:sz w:val="24"/>
                <w:highlight w:val="none"/>
              </w:rPr>
              <w:t>所投服务的技术资料等</w:t>
            </w:r>
          </w:p>
        </w:tc>
        <w:tc>
          <w:tcPr>
            <w:tcW w:w="1854" w:type="dxa"/>
            <w:noWrap w:val="0"/>
            <w:vAlign w:val="center"/>
          </w:tcPr>
          <w:p w14:paraId="0585AD28">
            <w:pPr>
              <w:spacing w:line="360" w:lineRule="auto"/>
              <w:rPr>
                <w:rFonts w:hint="eastAsia" w:ascii="宋体" w:hAnsi="宋体" w:eastAsia="宋体" w:cs="宋体"/>
                <w:b/>
                <w:sz w:val="24"/>
                <w:highlight w:val="none"/>
              </w:rPr>
            </w:pPr>
          </w:p>
        </w:tc>
      </w:tr>
      <w:tr w14:paraId="751E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C05C8D7">
            <w:pPr>
              <w:jc w:val="center"/>
              <w:rPr>
                <w:rFonts w:hint="eastAsia" w:ascii="宋体" w:hAnsi="宋体" w:eastAsia="宋体" w:cs="宋体"/>
                <w:sz w:val="24"/>
                <w:highlight w:val="none"/>
              </w:rPr>
            </w:pPr>
            <w:r>
              <w:rPr>
                <w:rFonts w:hint="eastAsia" w:ascii="宋体" w:hAnsi="宋体" w:eastAsia="宋体" w:cs="宋体"/>
                <w:sz w:val="24"/>
                <w:highlight w:val="none"/>
              </w:rPr>
              <w:t>十</w:t>
            </w:r>
          </w:p>
        </w:tc>
        <w:tc>
          <w:tcPr>
            <w:tcW w:w="5460" w:type="dxa"/>
            <w:noWrap w:val="0"/>
            <w:vAlign w:val="center"/>
          </w:tcPr>
          <w:p w14:paraId="52E8AC5D">
            <w:pPr>
              <w:rPr>
                <w:rFonts w:hint="eastAsia" w:ascii="宋体" w:hAnsi="宋体" w:eastAsia="宋体" w:cs="宋体"/>
                <w:sz w:val="24"/>
                <w:highlight w:val="none"/>
              </w:rPr>
            </w:pPr>
            <w:r>
              <w:rPr>
                <w:rFonts w:hint="eastAsia" w:ascii="宋体" w:hAnsi="宋体" w:eastAsia="宋体" w:cs="宋体"/>
                <w:sz w:val="24"/>
                <w:highlight w:val="none"/>
              </w:rPr>
              <w:t>其他</w:t>
            </w:r>
            <w:r>
              <w:rPr>
                <w:rFonts w:hint="eastAsia" w:ascii="宋体" w:hAnsi="宋体" w:cs="宋体"/>
                <w:sz w:val="24"/>
                <w:highlight w:val="none"/>
                <w:lang w:eastAsia="zh-CN"/>
              </w:rPr>
              <w:t>供应商</w:t>
            </w:r>
            <w:r>
              <w:rPr>
                <w:rFonts w:hint="eastAsia" w:ascii="宋体" w:hAnsi="宋体" w:eastAsia="宋体" w:cs="宋体"/>
                <w:sz w:val="24"/>
                <w:highlight w:val="none"/>
              </w:rPr>
              <w:t>认为需要提供得材料等</w:t>
            </w:r>
          </w:p>
        </w:tc>
        <w:tc>
          <w:tcPr>
            <w:tcW w:w="1854" w:type="dxa"/>
            <w:noWrap w:val="0"/>
            <w:vAlign w:val="center"/>
          </w:tcPr>
          <w:p w14:paraId="5FE259D0">
            <w:pPr>
              <w:spacing w:line="360" w:lineRule="auto"/>
              <w:rPr>
                <w:rFonts w:hint="eastAsia" w:ascii="宋体" w:hAnsi="宋体" w:eastAsia="宋体" w:cs="宋体"/>
                <w:b/>
                <w:sz w:val="24"/>
                <w:highlight w:val="none"/>
              </w:rPr>
            </w:pPr>
          </w:p>
        </w:tc>
      </w:tr>
      <w:tr w14:paraId="42C9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264E9D2">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rPr>
              <w:t>十</w:t>
            </w:r>
            <w:r>
              <w:rPr>
                <w:rFonts w:hint="eastAsia" w:ascii="宋体" w:hAnsi="宋体" w:cs="宋体"/>
                <w:sz w:val="24"/>
                <w:highlight w:val="none"/>
                <w:lang w:val="en-US" w:eastAsia="zh-CN"/>
              </w:rPr>
              <w:t>一</w:t>
            </w:r>
          </w:p>
        </w:tc>
        <w:tc>
          <w:tcPr>
            <w:tcW w:w="5460" w:type="dxa"/>
            <w:noWrap w:val="0"/>
            <w:vAlign w:val="center"/>
          </w:tcPr>
          <w:p w14:paraId="296668F2">
            <w:pPr>
              <w:jc w:val="both"/>
              <w:rPr>
                <w:rFonts w:hint="eastAsia" w:ascii="宋体" w:hAnsi="宋体" w:eastAsia="宋体" w:cs="宋体"/>
                <w:sz w:val="24"/>
                <w:highlight w:val="none"/>
              </w:rPr>
            </w:pPr>
            <w:r>
              <w:rPr>
                <w:rFonts w:hint="eastAsia" w:ascii="宋体" w:hAnsi="宋体" w:eastAsia="宋体" w:cs="宋体"/>
                <w:sz w:val="24"/>
                <w:highlight w:val="none"/>
              </w:rPr>
              <w:t>政府采购供应商诚信承诺书</w:t>
            </w:r>
          </w:p>
        </w:tc>
        <w:tc>
          <w:tcPr>
            <w:tcW w:w="1854" w:type="dxa"/>
            <w:noWrap w:val="0"/>
            <w:vAlign w:val="center"/>
          </w:tcPr>
          <w:p w14:paraId="0DE0F1C6">
            <w:pPr>
              <w:spacing w:line="360" w:lineRule="auto"/>
              <w:rPr>
                <w:rFonts w:hint="eastAsia" w:ascii="宋体" w:hAnsi="宋体" w:eastAsia="宋体" w:cs="宋体"/>
                <w:b/>
                <w:sz w:val="24"/>
                <w:highlight w:val="none"/>
              </w:rPr>
            </w:pPr>
          </w:p>
        </w:tc>
      </w:tr>
      <w:tr w14:paraId="4693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6F32176D">
            <w:pPr>
              <w:spacing w:line="500" w:lineRule="exact"/>
              <w:rPr>
                <w:rFonts w:hint="eastAsia" w:ascii="宋体" w:hAnsi="宋体" w:eastAsia="宋体" w:cs="宋体"/>
                <w:b/>
                <w:sz w:val="28"/>
                <w:highlight w:val="none"/>
              </w:rPr>
            </w:pPr>
            <w:r>
              <w:rPr>
                <w:rFonts w:hint="eastAsia" w:ascii="宋体" w:hAnsi="宋体" w:eastAsia="宋体" w:cs="宋体"/>
                <w:b/>
                <w:sz w:val="28"/>
                <w:highlight w:val="none"/>
              </w:rPr>
              <w:t>备注：投标文件资料清单是</w:t>
            </w:r>
            <w:r>
              <w:rPr>
                <w:rFonts w:hint="eastAsia" w:ascii="宋体" w:hAnsi="宋体" w:cs="宋体"/>
                <w:b/>
                <w:sz w:val="28"/>
                <w:highlight w:val="none"/>
                <w:lang w:eastAsia="zh-CN"/>
              </w:rPr>
              <w:t>供应商</w:t>
            </w:r>
            <w:r>
              <w:rPr>
                <w:rFonts w:hint="eastAsia" w:ascii="宋体" w:hAnsi="宋体" w:eastAsia="宋体" w:cs="宋体"/>
                <w:b/>
                <w:sz w:val="28"/>
                <w:highlight w:val="none"/>
              </w:rPr>
              <w:t>制作投标文件的参考格式，并非必须格式，请各位</w:t>
            </w:r>
            <w:r>
              <w:rPr>
                <w:rFonts w:hint="eastAsia" w:ascii="宋体" w:hAnsi="宋体" w:cs="宋体"/>
                <w:b/>
                <w:sz w:val="28"/>
                <w:highlight w:val="none"/>
                <w:lang w:eastAsia="zh-CN"/>
              </w:rPr>
              <w:t>供应商</w:t>
            </w:r>
            <w:r>
              <w:rPr>
                <w:rFonts w:hint="eastAsia" w:ascii="宋体" w:hAnsi="宋体" w:eastAsia="宋体" w:cs="宋体"/>
                <w:b/>
                <w:sz w:val="28"/>
                <w:highlight w:val="none"/>
              </w:rPr>
              <w:t>根据所投项目需要自行增减，是否依据了本格式或自行增减了多少格式并不是废标的条款。</w:t>
            </w:r>
          </w:p>
        </w:tc>
      </w:tr>
    </w:tbl>
    <w:p w14:paraId="2FA1D6A0">
      <w:pPr>
        <w:spacing w:line="500" w:lineRule="exact"/>
        <w:rPr>
          <w:rFonts w:hint="eastAsia" w:ascii="宋体" w:hAnsi="宋体" w:eastAsia="宋体" w:cs="宋体"/>
          <w:sz w:val="28"/>
          <w:highlight w:val="none"/>
        </w:rPr>
      </w:pPr>
    </w:p>
    <w:p w14:paraId="3CF32AFB">
      <w:pPr>
        <w:pStyle w:val="15"/>
        <w:rPr>
          <w:rFonts w:hint="eastAsia" w:ascii="宋体" w:hAnsi="宋体" w:eastAsia="宋体" w:cs="宋体"/>
          <w:highlight w:val="none"/>
        </w:rPr>
      </w:pPr>
    </w:p>
    <w:p w14:paraId="0F0D5D6F">
      <w:pPr>
        <w:pStyle w:val="15"/>
        <w:rPr>
          <w:rFonts w:hint="eastAsia" w:ascii="宋体" w:hAnsi="宋体" w:eastAsia="宋体" w:cs="宋体"/>
          <w:highlight w:val="none"/>
        </w:rPr>
      </w:pPr>
    </w:p>
    <w:p w14:paraId="3D627256">
      <w:pPr>
        <w:pStyle w:val="15"/>
        <w:rPr>
          <w:rFonts w:hint="eastAsia" w:ascii="宋体" w:hAnsi="宋体" w:eastAsia="宋体" w:cs="宋体"/>
          <w:highlight w:val="none"/>
        </w:rPr>
      </w:pPr>
    </w:p>
    <w:p w14:paraId="434437AB">
      <w:pPr>
        <w:pStyle w:val="15"/>
        <w:rPr>
          <w:rFonts w:hint="eastAsia" w:ascii="宋体" w:hAnsi="宋体" w:eastAsia="宋体" w:cs="宋体"/>
          <w:highlight w:val="none"/>
        </w:rPr>
      </w:pPr>
    </w:p>
    <w:p w14:paraId="674607C1">
      <w:pPr>
        <w:bidi w:val="0"/>
        <w:rPr>
          <w:rFonts w:hint="eastAsia"/>
          <w:highlight w:val="none"/>
          <w:lang w:eastAsia="zh-CN"/>
        </w:rPr>
      </w:pPr>
      <w:bookmarkStart w:id="131" w:name="_Toc40975449"/>
      <w:bookmarkStart w:id="132" w:name="_Toc2396_WPSOffice_Level2"/>
      <w:bookmarkStart w:id="133" w:name="_Toc197934561"/>
    </w:p>
    <w:p w14:paraId="72312B7D">
      <w:pPr>
        <w:pStyle w:val="24"/>
        <w:rPr>
          <w:rFonts w:hint="eastAsia"/>
          <w:highlight w:val="none"/>
          <w:lang w:eastAsia="zh-CN"/>
        </w:rPr>
      </w:pPr>
    </w:p>
    <w:p w14:paraId="06769FB4">
      <w:pPr>
        <w:pStyle w:val="5"/>
        <w:rPr>
          <w:rFonts w:hint="eastAsia"/>
          <w:highlight w:val="none"/>
          <w:lang w:eastAsia="zh-CN"/>
        </w:rPr>
      </w:pPr>
    </w:p>
    <w:p w14:paraId="4C420036">
      <w:pPr>
        <w:rPr>
          <w:rFonts w:hint="eastAsia"/>
          <w:highlight w:val="none"/>
          <w:lang w:eastAsia="zh-CN"/>
        </w:rPr>
      </w:pPr>
    </w:p>
    <w:p w14:paraId="00CA9161">
      <w:pPr>
        <w:pStyle w:val="24"/>
        <w:rPr>
          <w:rFonts w:hint="eastAsia"/>
          <w:highlight w:val="none"/>
          <w:lang w:eastAsia="zh-CN"/>
        </w:rPr>
      </w:pPr>
    </w:p>
    <w:p w14:paraId="272BEF04">
      <w:pPr>
        <w:rPr>
          <w:rFonts w:hint="eastAsia" w:ascii="宋体" w:hAnsi="宋体" w:eastAsia="宋体" w:cs="宋体"/>
          <w:sz w:val="28"/>
          <w:highlight w:val="none"/>
          <w:lang w:eastAsia="zh-CN"/>
        </w:rPr>
      </w:pPr>
    </w:p>
    <w:p w14:paraId="68B50C07">
      <w:pPr>
        <w:pStyle w:val="24"/>
        <w:rPr>
          <w:rFonts w:hint="eastAsia" w:ascii="宋体" w:hAnsi="宋体" w:eastAsia="宋体" w:cs="宋体"/>
          <w:sz w:val="28"/>
          <w:highlight w:val="none"/>
          <w:lang w:eastAsia="zh-CN"/>
        </w:rPr>
      </w:pPr>
    </w:p>
    <w:p w14:paraId="604FFA15">
      <w:pPr>
        <w:pStyle w:val="5"/>
        <w:rPr>
          <w:rFonts w:hint="eastAsia"/>
          <w:highlight w:val="none"/>
          <w:lang w:eastAsia="zh-CN"/>
        </w:rPr>
      </w:pPr>
    </w:p>
    <w:p w14:paraId="28BA3E91">
      <w:pPr>
        <w:pStyle w:val="4"/>
        <w:bidi w:val="0"/>
        <w:rPr>
          <w:rFonts w:hint="eastAsia"/>
          <w:highlight w:val="none"/>
        </w:rPr>
      </w:pPr>
      <w:bookmarkStart w:id="134" w:name="_Toc5255"/>
      <w:bookmarkStart w:id="135" w:name="_Toc11226"/>
      <w:bookmarkStart w:id="136" w:name="_Toc17431"/>
      <w:r>
        <w:rPr>
          <w:rFonts w:hint="eastAsia"/>
          <w:highlight w:val="none"/>
        </w:rPr>
        <w:t>一．开标一览表</w:t>
      </w:r>
      <w:bookmarkEnd w:id="131"/>
      <w:bookmarkEnd w:id="132"/>
      <w:bookmarkEnd w:id="133"/>
      <w:bookmarkEnd w:id="134"/>
      <w:bookmarkEnd w:id="135"/>
      <w:bookmarkEnd w:id="136"/>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3FA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48FBAF19">
            <w:pPr>
              <w:widowControl/>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项目名称</w:t>
            </w:r>
          </w:p>
        </w:tc>
        <w:tc>
          <w:tcPr>
            <w:tcW w:w="6309" w:type="dxa"/>
            <w:tcBorders>
              <w:top w:val="single" w:color="auto" w:sz="4" w:space="0"/>
              <w:bottom w:val="single" w:color="auto" w:sz="4" w:space="0"/>
              <w:right w:val="single" w:color="auto" w:sz="4" w:space="0"/>
            </w:tcBorders>
            <w:noWrap w:val="0"/>
            <w:vAlign w:val="center"/>
          </w:tcPr>
          <w:p w14:paraId="0311A4E2">
            <w:pPr>
              <w:spacing w:line="360" w:lineRule="exact"/>
              <w:jc w:val="center"/>
              <w:rPr>
                <w:rFonts w:hint="eastAsia" w:ascii="宋体" w:hAnsi="宋体" w:eastAsia="宋体" w:cs="宋体"/>
                <w:bCs/>
                <w:sz w:val="24"/>
                <w:highlight w:val="none"/>
                <w:u w:val="single"/>
              </w:rPr>
            </w:pPr>
          </w:p>
        </w:tc>
      </w:tr>
      <w:tr w14:paraId="24C04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63AE7F4">
            <w:pPr>
              <w:spacing w:line="360" w:lineRule="exact"/>
              <w:jc w:val="center"/>
              <w:rPr>
                <w:rFonts w:hint="eastAsia" w:ascii="宋体" w:hAnsi="宋体" w:eastAsia="宋体" w:cs="宋体"/>
                <w:b/>
                <w:sz w:val="24"/>
                <w:highlight w:val="none"/>
              </w:rPr>
            </w:pPr>
            <w:r>
              <w:rPr>
                <w:rFonts w:hint="eastAsia" w:ascii="宋体" w:hAnsi="宋体" w:cs="宋体"/>
                <w:b/>
                <w:sz w:val="24"/>
                <w:highlight w:val="none"/>
                <w:lang w:eastAsia="zh-CN"/>
              </w:rPr>
              <w:t>供应商</w:t>
            </w:r>
            <w:r>
              <w:rPr>
                <w:rFonts w:hint="eastAsia" w:ascii="宋体" w:hAnsi="宋体" w:eastAsia="宋体" w:cs="宋体"/>
                <w:b/>
                <w:sz w:val="24"/>
                <w:highlight w:val="none"/>
              </w:rPr>
              <w:t>全称</w:t>
            </w:r>
          </w:p>
        </w:tc>
        <w:tc>
          <w:tcPr>
            <w:tcW w:w="6309" w:type="dxa"/>
            <w:tcBorders>
              <w:top w:val="nil"/>
            </w:tcBorders>
            <w:noWrap w:val="0"/>
            <w:vAlign w:val="center"/>
          </w:tcPr>
          <w:p w14:paraId="6FF7F703">
            <w:pPr>
              <w:spacing w:line="360" w:lineRule="auto"/>
              <w:rPr>
                <w:rFonts w:hint="eastAsia" w:ascii="宋体" w:hAnsi="宋体" w:eastAsia="宋体" w:cs="宋体"/>
                <w:sz w:val="24"/>
                <w:highlight w:val="none"/>
              </w:rPr>
            </w:pPr>
          </w:p>
        </w:tc>
      </w:tr>
      <w:tr w14:paraId="229CA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11CC0F3">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投标范围</w:t>
            </w:r>
          </w:p>
        </w:tc>
        <w:tc>
          <w:tcPr>
            <w:tcW w:w="6309" w:type="dxa"/>
            <w:tcBorders>
              <w:top w:val="nil"/>
            </w:tcBorders>
            <w:noWrap w:val="0"/>
            <w:vAlign w:val="center"/>
          </w:tcPr>
          <w:p w14:paraId="07B8D6E5">
            <w:pPr>
              <w:widowControl/>
              <w:spacing w:line="360" w:lineRule="exact"/>
              <w:rPr>
                <w:rFonts w:hint="eastAsia" w:ascii="宋体" w:hAnsi="宋体" w:eastAsia="宋体" w:cs="宋体"/>
                <w:b/>
                <w:sz w:val="24"/>
                <w:highlight w:val="none"/>
              </w:rPr>
            </w:pPr>
          </w:p>
        </w:tc>
      </w:tr>
      <w:tr w14:paraId="1499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0B0FAB1">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1、最终投标报价</w:t>
            </w:r>
          </w:p>
          <w:p w14:paraId="6D0F3F06">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（人民币）</w:t>
            </w:r>
          </w:p>
          <w:p w14:paraId="0E4DAC5D">
            <w:pPr>
              <w:spacing w:line="360" w:lineRule="exact"/>
              <w:rPr>
                <w:rFonts w:hint="eastAsia" w:ascii="宋体" w:hAnsi="宋体" w:eastAsia="宋体" w:cs="宋体"/>
                <w:highlight w:val="none"/>
              </w:rPr>
            </w:pPr>
          </w:p>
        </w:tc>
        <w:tc>
          <w:tcPr>
            <w:tcW w:w="6309" w:type="dxa"/>
            <w:tcBorders>
              <w:top w:val="nil"/>
            </w:tcBorders>
            <w:noWrap w:val="0"/>
            <w:vAlign w:val="center"/>
          </w:tcPr>
          <w:p w14:paraId="6222B1F6">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 xml:space="preserve">1、投标报价：        元、大写：         </w:t>
            </w:r>
          </w:p>
          <w:p w14:paraId="0E6F4006">
            <w:pPr>
              <w:pStyle w:val="19"/>
              <w:ind w:right="-21" w:firstLine="540"/>
              <w:rPr>
                <w:rFonts w:hint="eastAsia" w:ascii="宋体" w:hAnsi="宋体" w:eastAsia="宋体" w:cs="宋体"/>
                <w:highlight w:val="none"/>
                <w:lang w:val="en-US" w:eastAsia="zh-CN"/>
              </w:rPr>
            </w:pPr>
          </w:p>
        </w:tc>
      </w:tr>
      <w:tr w14:paraId="065E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2C508303">
            <w:pPr>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备注</w:t>
            </w:r>
          </w:p>
        </w:tc>
        <w:tc>
          <w:tcPr>
            <w:tcW w:w="6309" w:type="dxa"/>
            <w:tcBorders>
              <w:top w:val="nil"/>
            </w:tcBorders>
            <w:noWrap w:val="0"/>
            <w:vAlign w:val="center"/>
          </w:tcPr>
          <w:p w14:paraId="11A405A5">
            <w:pPr>
              <w:spacing w:line="360" w:lineRule="auto"/>
              <w:jc w:val="left"/>
              <w:rPr>
                <w:rFonts w:hint="eastAsia" w:ascii="宋体" w:hAnsi="宋体" w:eastAsia="宋体" w:cs="宋体"/>
                <w:sz w:val="24"/>
                <w:szCs w:val="28"/>
                <w:highlight w:val="none"/>
              </w:rPr>
            </w:pPr>
          </w:p>
        </w:tc>
      </w:tr>
    </w:tbl>
    <w:p w14:paraId="78BA3528">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供应商名称：（电子签章）</w:t>
      </w:r>
    </w:p>
    <w:p w14:paraId="64DCB7D2">
      <w:pPr>
        <w:spacing w:line="380" w:lineRule="exact"/>
        <w:ind w:right="640" w:firstLine="1560" w:firstLineChars="650"/>
        <w:rPr>
          <w:rFonts w:hint="eastAsia" w:ascii="宋体" w:hAnsi="宋体" w:eastAsia="宋体" w:cs="宋体"/>
          <w:sz w:val="24"/>
          <w:highlight w:val="none"/>
        </w:rPr>
      </w:pPr>
    </w:p>
    <w:p w14:paraId="02ECC469">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授权委托人：</w:t>
      </w:r>
    </w:p>
    <w:p w14:paraId="297CBC40">
      <w:pPr>
        <w:spacing w:line="380" w:lineRule="exact"/>
        <w:jc w:val="center"/>
        <w:rPr>
          <w:rFonts w:hint="eastAsia" w:ascii="宋体" w:hAnsi="宋体" w:eastAsia="宋体" w:cs="宋体"/>
          <w:sz w:val="24"/>
          <w:highlight w:val="none"/>
        </w:rPr>
      </w:pPr>
    </w:p>
    <w:p w14:paraId="691B7C44">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39E40CEC">
      <w:pPr>
        <w:spacing w:before="100" w:beforeAutospacing="1" w:after="100" w:afterAutospacing="1"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w:t>
      </w:r>
    </w:p>
    <w:p w14:paraId="5A28CC16">
      <w:pPr>
        <w:spacing w:line="500" w:lineRule="exact"/>
        <w:jc w:val="center"/>
        <w:rPr>
          <w:rFonts w:hint="eastAsia" w:ascii="宋体" w:hAnsi="宋体" w:eastAsia="宋体" w:cs="宋体"/>
          <w:b/>
          <w:bCs/>
          <w:sz w:val="30"/>
          <w:highlight w:val="none"/>
        </w:rPr>
      </w:pPr>
    </w:p>
    <w:p w14:paraId="4480CD61">
      <w:pPr>
        <w:pStyle w:val="24"/>
        <w:rPr>
          <w:rFonts w:hint="eastAsia"/>
          <w:highlight w:val="none"/>
        </w:rPr>
      </w:pPr>
    </w:p>
    <w:p w14:paraId="1E0A65B1">
      <w:pPr>
        <w:spacing w:line="500" w:lineRule="exact"/>
        <w:jc w:val="center"/>
        <w:rPr>
          <w:rFonts w:hint="eastAsia" w:ascii="宋体" w:hAnsi="宋体" w:eastAsia="宋体" w:cs="宋体"/>
          <w:b/>
          <w:bCs/>
          <w:sz w:val="30"/>
          <w:highlight w:val="none"/>
        </w:rPr>
      </w:pPr>
    </w:p>
    <w:p w14:paraId="6B986139">
      <w:pPr>
        <w:spacing w:line="500" w:lineRule="exact"/>
        <w:jc w:val="center"/>
        <w:rPr>
          <w:rFonts w:hint="eastAsia" w:ascii="宋体" w:hAnsi="宋体" w:eastAsia="宋体" w:cs="宋体"/>
          <w:b/>
          <w:bCs/>
          <w:sz w:val="30"/>
          <w:highlight w:val="none"/>
        </w:rPr>
      </w:pPr>
    </w:p>
    <w:p w14:paraId="3D22298F">
      <w:pPr>
        <w:pStyle w:val="4"/>
        <w:rPr>
          <w:rFonts w:hint="eastAsia" w:ascii="宋体" w:hAnsi="宋体" w:eastAsia="宋体" w:cs="宋体"/>
          <w:sz w:val="28"/>
          <w:highlight w:val="none"/>
        </w:rPr>
      </w:pPr>
      <w:bookmarkStart w:id="137" w:name="_Hlt533409360"/>
      <w:bookmarkEnd w:id="137"/>
      <w:bookmarkStart w:id="138" w:name="_Hlt519045798"/>
      <w:bookmarkEnd w:id="138"/>
      <w:bookmarkStart w:id="139" w:name="_Hlt533408409"/>
      <w:bookmarkEnd w:id="139"/>
      <w:bookmarkStart w:id="140" w:name="_Hlt533408916"/>
      <w:bookmarkEnd w:id="140"/>
      <w:bookmarkStart w:id="141" w:name="_Hlt509716873"/>
      <w:bookmarkEnd w:id="141"/>
      <w:bookmarkStart w:id="142" w:name="_Toc18070"/>
      <w:bookmarkStart w:id="143" w:name="_Toc11175_WPSOffice_Level2"/>
      <w:bookmarkStart w:id="144" w:name="_Toc40975450"/>
      <w:bookmarkStart w:id="145" w:name="_Toc516969097"/>
      <w:bookmarkStart w:id="146" w:name="_Toc6108"/>
      <w:bookmarkStart w:id="147" w:name="_Toc32321"/>
      <w:bookmarkStart w:id="148" w:name="_Toc197934563"/>
      <w:r>
        <w:rPr>
          <w:rFonts w:hint="eastAsia" w:ascii="宋体" w:hAnsi="宋体" w:eastAsia="宋体" w:cs="宋体"/>
          <w:sz w:val="28"/>
          <w:highlight w:val="none"/>
        </w:rPr>
        <w:t>二．</w:t>
      </w:r>
      <w:r>
        <w:rPr>
          <w:rFonts w:hint="eastAsia" w:hAnsi="宋体" w:cs="宋体"/>
          <w:sz w:val="28"/>
          <w:highlight w:val="none"/>
          <w:lang w:eastAsia="zh-CN"/>
        </w:rPr>
        <w:t>供应商</w:t>
      </w:r>
      <w:r>
        <w:rPr>
          <w:rFonts w:hint="eastAsia" w:ascii="宋体" w:hAnsi="宋体" w:eastAsia="宋体" w:cs="宋体"/>
          <w:sz w:val="28"/>
          <w:highlight w:val="none"/>
        </w:rPr>
        <w:t>综合情况简介</w:t>
      </w:r>
      <w:bookmarkEnd w:id="142"/>
      <w:bookmarkEnd w:id="143"/>
      <w:bookmarkEnd w:id="144"/>
      <w:bookmarkEnd w:id="145"/>
      <w:bookmarkEnd w:id="146"/>
      <w:bookmarkEnd w:id="147"/>
    </w:p>
    <w:p w14:paraId="4C7C2731">
      <w:pPr>
        <w:spacing w:line="500" w:lineRule="exact"/>
        <w:jc w:val="center"/>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w:t>
      </w:r>
    </w:p>
    <w:p w14:paraId="64475DD2">
      <w:pPr>
        <w:pStyle w:val="24"/>
        <w:rPr>
          <w:rFonts w:hint="eastAsia" w:ascii="宋体" w:hAnsi="宋体" w:eastAsia="宋体" w:cs="宋体"/>
          <w:sz w:val="24"/>
          <w:highlight w:val="none"/>
        </w:rPr>
      </w:pPr>
    </w:p>
    <w:p w14:paraId="36F500CD">
      <w:pPr>
        <w:pStyle w:val="5"/>
        <w:rPr>
          <w:rFonts w:hint="eastAsia" w:ascii="宋体" w:hAnsi="宋体" w:eastAsia="宋体" w:cs="宋体"/>
          <w:sz w:val="24"/>
          <w:highlight w:val="none"/>
        </w:rPr>
      </w:pPr>
    </w:p>
    <w:p w14:paraId="5C19A6DD">
      <w:pPr>
        <w:rPr>
          <w:rFonts w:hint="eastAsia" w:ascii="宋体" w:hAnsi="宋体" w:eastAsia="宋体" w:cs="宋体"/>
          <w:sz w:val="24"/>
          <w:highlight w:val="none"/>
        </w:rPr>
      </w:pPr>
    </w:p>
    <w:p w14:paraId="38D4EC75">
      <w:pPr>
        <w:pStyle w:val="24"/>
        <w:rPr>
          <w:rFonts w:hint="eastAsia" w:ascii="宋体" w:hAnsi="宋体" w:eastAsia="宋体" w:cs="宋体"/>
          <w:sz w:val="24"/>
          <w:highlight w:val="none"/>
        </w:rPr>
      </w:pPr>
    </w:p>
    <w:p w14:paraId="64622B13">
      <w:pPr>
        <w:pStyle w:val="5"/>
        <w:rPr>
          <w:rFonts w:hint="eastAsia" w:ascii="宋体" w:hAnsi="宋体" w:eastAsia="宋体" w:cs="宋体"/>
          <w:sz w:val="24"/>
          <w:highlight w:val="none"/>
        </w:rPr>
      </w:pPr>
    </w:p>
    <w:p w14:paraId="24C942E3">
      <w:pPr>
        <w:rPr>
          <w:rFonts w:hint="eastAsia" w:ascii="宋体" w:hAnsi="宋体" w:eastAsia="宋体" w:cs="宋体"/>
          <w:sz w:val="24"/>
          <w:highlight w:val="none"/>
        </w:rPr>
      </w:pPr>
    </w:p>
    <w:p w14:paraId="77B6C145">
      <w:pPr>
        <w:pStyle w:val="24"/>
        <w:rPr>
          <w:rFonts w:hint="eastAsia" w:ascii="宋体" w:hAnsi="宋体" w:eastAsia="宋体" w:cs="宋体"/>
          <w:sz w:val="24"/>
          <w:highlight w:val="none"/>
        </w:rPr>
      </w:pPr>
    </w:p>
    <w:p w14:paraId="02E9A2D8">
      <w:pPr>
        <w:pStyle w:val="5"/>
        <w:rPr>
          <w:rFonts w:hint="eastAsia" w:ascii="宋体" w:hAnsi="宋体" w:eastAsia="宋体" w:cs="宋体"/>
          <w:sz w:val="24"/>
          <w:highlight w:val="none"/>
        </w:rPr>
      </w:pPr>
    </w:p>
    <w:p w14:paraId="09BD4B7B">
      <w:pPr>
        <w:rPr>
          <w:rFonts w:hint="eastAsia" w:ascii="宋体" w:hAnsi="宋体" w:eastAsia="宋体" w:cs="宋体"/>
          <w:sz w:val="24"/>
          <w:highlight w:val="none"/>
        </w:rPr>
      </w:pPr>
    </w:p>
    <w:p w14:paraId="50102BBC">
      <w:pPr>
        <w:pStyle w:val="24"/>
        <w:rPr>
          <w:rFonts w:hint="eastAsia" w:ascii="宋体" w:hAnsi="宋体" w:eastAsia="宋体" w:cs="宋体"/>
          <w:sz w:val="24"/>
          <w:highlight w:val="none"/>
        </w:rPr>
      </w:pPr>
    </w:p>
    <w:p w14:paraId="675EC01D">
      <w:pPr>
        <w:pStyle w:val="5"/>
        <w:rPr>
          <w:rFonts w:hint="eastAsia" w:ascii="宋体" w:hAnsi="宋体" w:eastAsia="宋体" w:cs="宋体"/>
          <w:sz w:val="24"/>
          <w:highlight w:val="none"/>
        </w:rPr>
      </w:pPr>
    </w:p>
    <w:p w14:paraId="166D70F0">
      <w:pPr>
        <w:rPr>
          <w:rFonts w:hint="eastAsia" w:ascii="宋体" w:hAnsi="宋体" w:eastAsia="宋体" w:cs="宋体"/>
          <w:sz w:val="24"/>
          <w:highlight w:val="none"/>
        </w:rPr>
      </w:pPr>
    </w:p>
    <w:p w14:paraId="0ED547E1">
      <w:pPr>
        <w:pStyle w:val="24"/>
        <w:rPr>
          <w:rFonts w:hint="eastAsia" w:ascii="宋体" w:hAnsi="宋体" w:eastAsia="宋体" w:cs="宋体"/>
          <w:sz w:val="24"/>
          <w:highlight w:val="none"/>
        </w:rPr>
      </w:pPr>
    </w:p>
    <w:p w14:paraId="7E4146B9">
      <w:pPr>
        <w:pStyle w:val="5"/>
        <w:rPr>
          <w:rFonts w:hint="eastAsia" w:ascii="宋体" w:hAnsi="宋体" w:eastAsia="宋体" w:cs="宋体"/>
          <w:sz w:val="24"/>
          <w:highlight w:val="none"/>
        </w:rPr>
      </w:pPr>
    </w:p>
    <w:p w14:paraId="2214868F">
      <w:pPr>
        <w:rPr>
          <w:rFonts w:hint="eastAsia" w:ascii="宋体" w:hAnsi="宋体" w:eastAsia="宋体" w:cs="宋体"/>
          <w:sz w:val="24"/>
          <w:highlight w:val="none"/>
        </w:rPr>
      </w:pPr>
    </w:p>
    <w:p w14:paraId="118564B5">
      <w:pPr>
        <w:pStyle w:val="24"/>
        <w:rPr>
          <w:rFonts w:hint="eastAsia" w:ascii="宋体" w:hAnsi="宋体" w:eastAsia="宋体" w:cs="宋体"/>
          <w:sz w:val="24"/>
          <w:highlight w:val="none"/>
        </w:rPr>
      </w:pPr>
    </w:p>
    <w:p w14:paraId="01D83DC7">
      <w:pPr>
        <w:pStyle w:val="5"/>
        <w:rPr>
          <w:rFonts w:hint="eastAsia" w:ascii="宋体" w:hAnsi="宋体" w:eastAsia="宋体" w:cs="宋体"/>
          <w:sz w:val="24"/>
          <w:highlight w:val="none"/>
        </w:rPr>
      </w:pPr>
    </w:p>
    <w:p w14:paraId="32390E93">
      <w:pPr>
        <w:rPr>
          <w:rFonts w:hint="eastAsia" w:ascii="宋体" w:hAnsi="宋体" w:eastAsia="宋体" w:cs="宋体"/>
          <w:sz w:val="24"/>
          <w:highlight w:val="none"/>
        </w:rPr>
      </w:pPr>
    </w:p>
    <w:p w14:paraId="450F7E2B">
      <w:pPr>
        <w:pStyle w:val="24"/>
        <w:rPr>
          <w:rFonts w:hint="eastAsia" w:ascii="宋体" w:hAnsi="宋体" w:eastAsia="宋体" w:cs="宋体"/>
          <w:sz w:val="24"/>
          <w:highlight w:val="none"/>
        </w:rPr>
      </w:pPr>
    </w:p>
    <w:p w14:paraId="2164C953">
      <w:pPr>
        <w:pStyle w:val="5"/>
        <w:rPr>
          <w:rFonts w:hint="eastAsia" w:ascii="宋体" w:hAnsi="宋体" w:eastAsia="宋体" w:cs="宋体"/>
          <w:sz w:val="24"/>
          <w:highlight w:val="none"/>
        </w:rPr>
      </w:pPr>
    </w:p>
    <w:p w14:paraId="2F95CEE9">
      <w:pPr>
        <w:rPr>
          <w:rFonts w:hint="eastAsia" w:ascii="宋体" w:hAnsi="宋体" w:eastAsia="宋体" w:cs="宋体"/>
          <w:sz w:val="24"/>
          <w:highlight w:val="none"/>
        </w:rPr>
      </w:pPr>
    </w:p>
    <w:p w14:paraId="23F5F4BD">
      <w:pPr>
        <w:pStyle w:val="24"/>
        <w:rPr>
          <w:rFonts w:hint="eastAsia" w:ascii="宋体" w:hAnsi="宋体" w:eastAsia="宋体" w:cs="宋体"/>
          <w:sz w:val="24"/>
          <w:highlight w:val="none"/>
        </w:rPr>
      </w:pPr>
    </w:p>
    <w:p w14:paraId="2672446B">
      <w:pPr>
        <w:pStyle w:val="5"/>
        <w:rPr>
          <w:rFonts w:hint="eastAsia" w:ascii="宋体" w:hAnsi="宋体" w:eastAsia="宋体" w:cs="宋体"/>
          <w:sz w:val="24"/>
          <w:highlight w:val="none"/>
        </w:rPr>
      </w:pPr>
    </w:p>
    <w:p w14:paraId="3A8096E1">
      <w:pPr>
        <w:rPr>
          <w:rFonts w:hint="eastAsia" w:ascii="宋体" w:hAnsi="宋体" w:eastAsia="宋体" w:cs="宋体"/>
          <w:sz w:val="24"/>
          <w:highlight w:val="none"/>
        </w:rPr>
      </w:pPr>
    </w:p>
    <w:p w14:paraId="0616A167">
      <w:pPr>
        <w:pStyle w:val="24"/>
        <w:rPr>
          <w:rFonts w:hint="eastAsia" w:ascii="宋体" w:hAnsi="宋体" w:eastAsia="宋体" w:cs="宋体"/>
          <w:sz w:val="24"/>
          <w:highlight w:val="none"/>
        </w:rPr>
      </w:pPr>
    </w:p>
    <w:p w14:paraId="0FCB7073">
      <w:pPr>
        <w:pStyle w:val="5"/>
        <w:rPr>
          <w:rFonts w:hint="eastAsia" w:ascii="宋体" w:hAnsi="宋体" w:eastAsia="宋体" w:cs="宋体"/>
          <w:sz w:val="24"/>
          <w:highlight w:val="none"/>
        </w:rPr>
      </w:pPr>
    </w:p>
    <w:p w14:paraId="05F10263">
      <w:pPr>
        <w:rPr>
          <w:rFonts w:hint="eastAsia" w:ascii="宋体" w:hAnsi="宋体" w:eastAsia="宋体" w:cs="宋体"/>
          <w:sz w:val="24"/>
          <w:highlight w:val="none"/>
        </w:rPr>
      </w:pPr>
    </w:p>
    <w:p w14:paraId="4FA03D76">
      <w:pPr>
        <w:pStyle w:val="24"/>
        <w:rPr>
          <w:rFonts w:hint="eastAsia" w:ascii="宋体" w:hAnsi="宋体" w:eastAsia="宋体" w:cs="宋体"/>
          <w:sz w:val="24"/>
          <w:highlight w:val="none"/>
        </w:rPr>
      </w:pPr>
    </w:p>
    <w:p w14:paraId="2D123A37">
      <w:pPr>
        <w:pStyle w:val="5"/>
        <w:rPr>
          <w:rFonts w:hint="eastAsia" w:ascii="宋体" w:hAnsi="宋体" w:eastAsia="宋体" w:cs="宋体"/>
          <w:sz w:val="24"/>
          <w:highlight w:val="none"/>
        </w:rPr>
      </w:pPr>
    </w:p>
    <w:p w14:paraId="336170F5">
      <w:pPr>
        <w:rPr>
          <w:rFonts w:hint="eastAsia" w:ascii="宋体" w:hAnsi="宋体" w:eastAsia="宋体" w:cs="宋体"/>
          <w:sz w:val="24"/>
          <w:highlight w:val="none"/>
        </w:rPr>
      </w:pPr>
    </w:p>
    <w:p w14:paraId="315048C8">
      <w:pPr>
        <w:pStyle w:val="24"/>
        <w:rPr>
          <w:rFonts w:hint="eastAsia" w:ascii="宋体" w:hAnsi="宋体" w:eastAsia="宋体" w:cs="宋体"/>
          <w:sz w:val="24"/>
          <w:highlight w:val="none"/>
        </w:rPr>
      </w:pPr>
    </w:p>
    <w:p w14:paraId="510D5FB8">
      <w:pPr>
        <w:pStyle w:val="5"/>
        <w:rPr>
          <w:rFonts w:hint="eastAsia" w:ascii="宋体" w:hAnsi="宋体" w:eastAsia="宋体" w:cs="宋体"/>
          <w:sz w:val="24"/>
          <w:highlight w:val="none"/>
        </w:rPr>
      </w:pPr>
    </w:p>
    <w:p w14:paraId="7941DF40">
      <w:pPr>
        <w:rPr>
          <w:rFonts w:hint="eastAsia" w:ascii="宋体" w:hAnsi="宋体" w:eastAsia="宋体" w:cs="宋体"/>
          <w:sz w:val="24"/>
          <w:highlight w:val="none"/>
        </w:rPr>
      </w:pPr>
    </w:p>
    <w:p w14:paraId="3521EC81">
      <w:pPr>
        <w:pStyle w:val="24"/>
        <w:rPr>
          <w:rFonts w:hint="eastAsia" w:ascii="宋体" w:hAnsi="宋体" w:eastAsia="宋体" w:cs="宋体"/>
          <w:sz w:val="24"/>
          <w:highlight w:val="none"/>
        </w:rPr>
      </w:pPr>
    </w:p>
    <w:p w14:paraId="50CBBBF9">
      <w:pPr>
        <w:pStyle w:val="5"/>
        <w:rPr>
          <w:rFonts w:hint="eastAsia" w:ascii="宋体" w:hAnsi="宋体" w:eastAsia="宋体" w:cs="宋体"/>
          <w:sz w:val="24"/>
          <w:highlight w:val="none"/>
        </w:rPr>
      </w:pPr>
    </w:p>
    <w:p w14:paraId="285EEBD2">
      <w:pPr>
        <w:rPr>
          <w:rFonts w:hint="eastAsia"/>
          <w:highlight w:val="none"/>
        </w:rPr>
      </w:pPr>
    </w:p>
    <w:p w14:paraId="68BDD18F">
      <w:pPr>
        <w:pStyle w:val="15"/>
        <w:rPr>
          <w:rFonts w:hint="eastAsia" w:ascii="宋体" w:hAnsi="宋体" w:eastAsia="宋体" w:cs="宋体"/>
          <w:highlight w:val="none"/>
        </w:rPr>
      </w:pPr>
    </w:p>
    <w:p w14:paraId="0F0F69D4">
      <w:pPr>
        <w:pStyle w:val="4"/>
        <w:spacing w:after="240"/>
        <w:rPr>
          <w:rFonts w:hint="eastAsia" w:ascii="宋体" w:hAnsi="宋体" w:eastAsia="宋体" w:cs="宋体"/>
          <w:sz w:val="28"/>
          <w:highlight w:val="none"/>
        </w:rPr>
      </w:pPr>
      <w:bookmarkStart w:id="149" w:name="_Hlt509739007"/>
      <w:bookmarkEnd w:id="149"/>
      <w:bookmarkStart w:id="150" w:name="_Toc15297"/>
      <w:bookmarkStart w:id="151" w:name="_Toc1391_WPSOffice_Level2"/>
      <w:bookmarkStart w:id="152" w:name="_Toc25232"/>
      <w:bookmarkStart w:id="153" w:name="_Toc23480"/>
      <w:bookmarkStart w:id="154" w:name="_Toc516969098"/>
      <w:bookmarkStart w:id="155" w:name="_Toc40975451"/>
      <w:r>
        <w:rPr>
          <w:rFonts w:hint="eastAsia" w:ascii="宋体" w:hAnsi="宋体" w:eastAsia="宋体" w:cs="宋体"/>
          <w:sz w:val="28"/>
          <w:highlight w:val="none"/>
        </w:rPr>
        <w:t>三．投标函</w:t>
      </w:r>
      <w:bookmarkEnd w:id="150"/>
      <w:bookmarkEnd w:id="151"/>
      <w:bookmarkEnd w:id="152"/>
      <w:bookmarkEnd w:id="153"/>
      <w:bookmarkEnd w:id="154"/>
      <w:bookmarkEnd w:id="155"/>
    </w:p>
    <w:p w14:paraId="0E4DF5EC">
      <w:pPr>
        <w:pStyle w:val="12"/>
        <w:spacing w:line="360" w:lineRule="auto"/>
        <w:rPr>
          <w:rFonts w:hint="eastAsia" w:ascii="宋体" w:hAnsi="宋体" w:eastAsia="宋体" w:cs="宋体"/>
          <w:b w:val="0"/>
          <w:kern w:val="2"/>
          <w:sz w:val="24"/>
          <w:highlight w:val="none"/>
          <w:lang w:val="en-US" w:eastAsia="zh-CN" w:bidi="ar-SA"/>
        </w:rPr>
      </w:pPr>
      <w:r>
        <w:rPr>
          <w:rFonts w:hint="eastAsia" w:ascii="宋体" w:hAnsi="宋体" w:eastAsia="宋体" w:cs="宋体"/>
          <w:b w:val="0"/>
          <w:kern w:val="2"/>
          <w:sz w:val="24"/>
          <w:highlight w:val="none"/>
          <w:lang w:val="en-US" w:eastAsia="zh-CN" w:bidi="ar-SA"/>
        </w:rPr>
        <w:t>致：（采购人</w:t>
      </w:r>
      <w:r>
        <w:rPr>
          <w:rFonts w:hint="eastAsia" w:ascii="宋体" w:hAnsi="宋体"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785EDE24">
      <w:pPr>
        <w:spacing w:line="360" w:lineRule="auto"/>
        <w:ind w:left="239" w:leftChars="114" w:firstLine="386" w:firstLineChars="161"/>
        <w:rPr>
          <w:rFonts w:hint="eastAsia" w:ascii="宋体" w:hAnsi="宋体" w:eastAsia="宋体" w:cs="宋体"/>
          <w:b/>
          <w:bCs/>
          <w:sz w:val="24"/>
          <w:highlight w:val="none"/>
          <w:u w:val="single"/>
        </w:rPr>
      </w:pPr>
      <w:r>
        <w:rPr>
          <w:rFonts w:hint="eastAsia" w:ascii="宋体" w:hAnsi="宋体" w:eastAsia="宋体" w:cs="宋体"/>
          <w:sz w:val="24"/>
          <w:highlight w:val="none"/>
        </w:rPr>
        <w:t>根据贵方</w:t>
      </w:r>
      <w:r>
        <w:rPr>
          <w:rFonts w:hint="eastAsia" w:ascii="宋体" w:hAnsi="宋体" w:eastAsia="宋体" w:cs="宋体"/>
          <w:b w:val="0"/>
          <w:bCs w:val="0"/>
          <w:sz w:val="24"/>
          <w:highlight w:val="none"/>
          <w:u w:val="none"/>
          <w:lang w:val="en-US" w:eastAsia="zh-CN"/>
        </w:rPr>
        <w:t>项目名称、项目编号</w:t>
      </w:r>
      <w:r>
        <w:rPr>
          <w:rFonts w:hint="eastAsia" w:ascii="宋体" w:hAnsi="宋体" w:eastAsia="宋体" w:cs="宋体"/>
          <w:sz w:val="24"/>
          <w:highlight w:val="none"/>
        </w:rPr>
        <w:t>项目招标邀请书或招标公告，正式授权下述签字人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（姓名）代表</w:t>
      </w:r>
      <w:r>
        <w:rPr>
          <w:rFonts w:hint="eastAsia" w:ascii="宋体" w:hAnsi="宋体" w:cs="宋体"/>
          <w:sz w:val="24"/>
          <w:highlight w:val="none"/>
          <w:lang w:eastAsia="zh-CN"/>
        </w:rPr>
        <w:t>供应商</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全称），提交规定形式的投标文件。</w:t>
      </w:r>
    </w:p>
    <w:p w14:paraId="68D7251E">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据此函，我方兹宣布同意如下：</w:t>
      </w:r>
    </w:p>
    <w:p w14:paraId="67F7264E">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（1）如我公司中标，愿意按招标文件规定提供交付服务（包括税费等工作）的总报价为人民币</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元，服务期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967C9B9">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（2）我方根据招标文件的规定，严格履行合同的责任和义务,并保证于买方要求的日期内完成服务，并通过买方验收。</w:t>
      </w:r>
    </w:p>
    <w:p w14:paraId="0C113745">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（3）我方承诺报价低于同类货物和服务的市场平均价格。</w:t>
      </w:r>
    </w:p>
    <w:p w14:paraId="4A1DCE14">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E6AC3A3">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（5）</w:t>
      </w:r>
      <w:r>
        <w:rPr>
          <w:rFonts w:hint="eastAsia" w:ascii="宋体" w:hAnsi="宋体" w:cs="宋体"/>
          <w:sz w:val="24"/>
          <w:highlight w:val="none"/>
        </w:rPr>
        <w:t>我方同意从招标文件规定的开标日期起遵循本投标文件，并在招标文件规定的投标有效期</w:t>
      </w:r>
      <w:r>
        <w:rPr>
          <w:rFonts w:hint="eastAsia" w:ascii="宋体" w:hAnsi="宋体" w:cs="宋体"/>
          <w:sz w:val="24"/>
          <w:highlight w:val="none"/>
          <w:lang w:val="en-US" w:eastAsia="zh-CN"/>
        </w:rPr>
        <w:t xml:space="preserve"> 天内</w:t>
      </w:r>
      <w:r>
        <w:rPr>
          <w:rFonts w:hint="eastAsia" w:ascii="宋体" w:hAnsi="宋体" w:cs="宋体"/>
          <w:sz w:val="24"/>
          <w:highlight w:val="none"/>
        </w:rPr>
        <w:t>均具有约束力。</w:t>
      </w:r>
    </w:p>
    <w:p w14:paraId="5C8153EB">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1401D79">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（7）我方完全理解贵方不一定接受最低报价的投标。</w:t>
      </w:r>
    </w:p>
    <w:p w14:paraId="0A55509C">
      <w:pPr>
        <w:spacing w:line="360" w:lineRule="auto"/>
        <w:ind w:firstLine="630"/>
        <w:rPr>
          <w:rFonts w:hint="eastAsia" w:ascii="宋体" w:hAnsi="宋体" w:eastAsia="宋体" w:cs="宋体"/>
          <w:sz w:val="24"/>
          <w:highlight w:val="none"/>
        </w:rPr>
      </w:pPr>
      <w:r>
        <w:rPr>
          <w:rFonts w:hint="eastAsia" w:ascii="宋体" w:hAnsi="宋体" w:eastAsia="宋体" w:cs="宋体"/>
          <w:sz w:val="24"/>
          <w:highlight w:val="none"/>
        </w:rPr>
        <w:t>（8）我方同意招标文件规定的付款方式。</w:t>
      </w:r>
    </w:p>
    <w:p w14:paraId="7F423169">
      <w:pPr>
        <w:spacing w:line="360" w:lineRule="auto"/>
        <w:ind w:firstLine="630"/>
        <w:rPr>
          <w:rFonts w:hint="eastAsia" w:ascii="宋体" w:hAnsi="宋体" w:eastAsia="宋体" w:cs="宋体"/>
          <w:sz w:val="24"/>
          <w:highlight w:val="none"/>
          <w:u w:val="single"/>
        </w:rPr>
      </w:pPr>
      <w:r>
        <w:rPr>
          <w:rFonts w:hint="eastAsia" w:ascii="宋体" w:hAnsi="宋体" w:eastAsia="宋体" w:cs="宋体"/>
          <w:sz w:val="24"/>
          <w:highlight w:val="none"/>
        </w:rPr>
        <w:t>（9）与本投标有关的通讯地址：</w:t>
      </w:r>
      <w:r>
        <w:rPr>
          <w:rFonts w:hint="eastAsia" w:ascii="宋体" w:hAnsi="宋体" w:eastAsia="宋体" w:cs="宋体"/>
          <w:sz w:val="24"/>
          <w:highlight w:val="none"/>
          <w:u w:val="single"/>
        </w:rPr>
        <w:t xml:space="preserve">                                  </w:t>
      </w:r>
    </w:p>
    <w:p w14:paraId="4D2408A6">
      <w:pPr>
        <w:pStyle w:val="25"/>
        <w:ind w:firstLine="720" w:firstLineChars="300"/>
        <w:rPr>
          <w:rFonts w:hint="default" w:ascii="宋体" w:hAnsi="宋体" w:eastAsia="宋体" w:cs="宋体"/>
          <w:kern w:val="2"/>
          <w:sz w:val="24"/>
          <w:highlight w:val="none"/>
          <w:lang w:val="en-US" w:eastAsia="zh-CN" w:bidi="ar-SA"/>
        </w:rPr>
      </w:pPr>
      <w:r>
        <w:rPr>
          <w:rFonts w:hint="eastAsia" w:ascii="宋体" w:hAnsi="宋体" w:eastAsia="宋体" w:cs="宋体"/>
          <w:kern w:val="2"/>
          <w:sz w:val="24"/>
          <w:highlight w:val="none"/>
          <w:lang w:val="en-US" w:eastAsia="zh-CN" w:bidi="ar-SA"/>
        </w:rPr>
        <w:t>（10）本项目项目责任人：   电话：</w:t>
      </w:r>
    </w:p>
    <w:p w14:paraId="2D97A5B2">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24D4F464">
      <w:pPr>
        <w:spacing w:line="380" w:lineRule="exact"/>
        <w:ind w:right="640" w:firstLine="1560" w:firstLineChars="650"/>
        <w:rPr>
          <w:rFonts w:hint="eastAsia" w:ascii="宋体" w:hAnsi="宋体" w:eastAsia="宋体" w:cs="宋体"/>
          <w:sz w:val="24"/>
          <w:highlight w:val="none"/>
        </w:rPr>
      </w:pPr>
    </w:p>
    <w:p w14:paraId="7EA1367C">
      <w:pPr>
        <w:spacing w:line="380" w:lineRule="exact"/>
        <w:ind w:right="640" w:firstLine="3600" w:firstLineChars="1500"/>
        <w:rPr>
          <w:rFonts w:hint="eastAsia" w:ascii="宋体" w:hAnsi="宋体" w:eastAsia="宋体" w:cs="宋体"/>
          <w:sz w:val="24"/>
          <w:highlight w:val="none"/>
        </w:rPr>
      </w:pPr>
      <w:r>
        <w:rPr>
          <w:rFonts w:hint="eastAsia" w:ascii="宋体" w:hAnsi="宋体" w:eastAsia="宋体" w:cs="宋体"/>
          <w:sz w:val="24"/>
          <w:highlight w:val="none"/>
        </w:rPr>
        <w:t>法人代表</w:t>
      </w:r>
      <w:r>
        <w:rPr>
          <w:rFonts w:hint="eastAsia" w:ascii="宋体" w:hAnsi="宋体" w:cs="宋体"/>
          <w:sz w:val="24"/>
          <w:highlight w:val="none"/>
          <w:lang w:val="en-US" w:eastAsia="zh-CN"/>
        </w:rPr>
        <w:t>或</w:t>
      </w:r>
      <w:r>
        <w:rPr>
          <w:rFonts w:hint="eastAsia" w:ascii="宋体" w:hAnsi="宋体" w:eastAsia="宋体" w:cs="宋体"/>
          <w:sz w:val="24"/>
          <w:highlight w:val="none"/>
          <w:lang w:val="en-US" w:eastAsia="zh-CN"/>
        </w:rPr>
        <w:t>授权委托人</w:t>
      </w:r>
      <w:r>
        <w:rPr>
          <w:rFonts w:hint="eastAsia" w:ascii="宋体" w:hAnsi="宋体" w:eastAsia="宋体" w:cs="宋体"/>
          <w:sz w:val="24"/>
          <w:highlight w:val="none"/>
        </w:rPr>
        <w:t>：（签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2509BAEB">
      <w:pPr>
        <w:spacing w:line="380" w:lineRule="exact"/>
        <w:jc w:val="center"/>
        <w:rPr>
          <w:rFonts w:hint="eastAsia" w:ascii="宋体" w:hAnsi="宋体" w:eastAsia="宋体" w:cs="宋体"/>
          <w:sz w:val="24"/>
          <w:highlight w:val="none"/>
        </w:rPr>
      </w:pPr>
    </w:p>
    <w:p w14:paraId="742B8E53">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bookmarkEnd w:id="127"/>
    <w:bookmarkEnd w:id="128"/>
    <w:bookmarkEnd w:id="129"/>
    <w:bookmarkEnd w:id="148"/>
    <w:p w14:paraId="2B06FAD4">
      <w:pPr>
        <w:adjustRightInd w:val="0"/>
        <w:snapToGrid w:val="0"/>
        <w:spacing w:line="360" w:lineRule="auto"/>
        <w:rPr>
          <w:rFonts w:hint="eastAsia" w:ascii="宋体" w:hAnsi="宋体" w:eastAsia="宋体" w:cs="宋体"/>
          <w:b/>
          <w:bCs/>
          <w:sz w:val="24"/>
          <w:szCs w:val="28"/>
          <w:highlight w:val="none"/>
        </w:rPr>
      </w:pPr>
      <w:bookmarkStart w:id="156" w:name="_Toc197934552"/>
      <w:bookmarkStart w:id="157" w:name="_Toc27270_WPSOffice_Level2"/>
    </w:p>
    <w:p w14:paraId="6DF38BD5">
      <w:pPr>
        <w:pStyle w:val="15"/>
        <w:rPr>
          <w:rFonts w:hint="eastAsia" w:ascii="宋体" w:hAnsi="宋体" w:eastAsia="宋体" w:cs="宋体"/>
          <w:highlight w:val="none"/>
        </w:rPr>
      </w:pPr>
    </w:p>
    <w:p w14:paraId="5C924A83">
      <w:pPr>
        <w:pStyle w:val="15"/>
        <w:rPr>
          <w:rFonts w:hint="eastAsia" w:ascii="宋体" w:hAnsi="宋体" w:eastAsia="宋体" w:cs="宋体"/>
          <w:highlight w:val="none"/>
        </w:rPr>
      </w:pPr>
    </w:p>
    <w:p w14:paraId="1BA3C233">
      <w:pPr>
        <w:pStyle w:val="4"/>
        <w:rPr>
          <w:rFonts w:hint="eastAsia" w:ascii="宋体" w:hAnsi="宋体" w:eastAsia="宋体" w:cs="宋体"/>
          <w:sz w:val="28"/>
          <w:highlight w:val="none"/>
        </w:rPr>
      </w:pPr>
      <w:bookmarkStart w:id="158" w:name="_Toc40975453"/>
      <w:bookmarkStart w:id="159" w:name="_Toc30168"/>
      <w:bookmarkStart w:id="160" w:name="_Toc3380"/>
      <w:bookmarkStart w:id="161" w:name="_Toc22823"/>
      <w:r>
        <w:rPr>
          <w:rFonts w:hint="eastAsia" w:hAnsi="宋体" w:cs="宋体"/>
          <w:sz w:val="28"/>
          <w:highlight w:val="none"/>
          <w:lang w:val="en-US" w:eastAsia="zh-CN"/>
        </w:rPr>
        <w:t>四</w:t>
      </w:r>
      <w:r>
        <w:rPr>
          <w:rFonts w:hint="eastAsia" w:ascii="宋体" w:hAnsi="宋体" w:eastAsia="宋体" w:cs="宋体"/>
          <w:sz w:val="28"/>
          <w:highlight w:val="none"/>
        </w:rPr>
        <w:t>．投标响应表</w:t>
      </w:r>
      <w:bookmarkEnd w:id="156"/>
      <w:bookmarkEnd w:id="157"/>
      <w:bookmarkEnd w:id="158"/>
      <w:bookmarkEnd w:id="159"/>
      <w:bookmarkEnd w:id="160"/>
      <w:bookmarkEnd w:id="161"/>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CC6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34523525">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按招标文件规定填写</w:t>
            </w:r>
          </w:p>
        </w:tc>
        <w:tc>
          <w:tcPr>
            <w:tcW w:w="3534" w:type="dxa"/>
            <w:gridSpan w:val="2"/>
            <w:noWrap w:val="0"/>
            <w:vAlign w:val="center"/>
          </w:tcPr>
          <w:p w14:paraId="590F2BA7">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按</w:t>
            </w:r>
            <w:r>
              <w:rPr>
                <w:rFonts w:hint="eastAsia" w:hAnsi="宋体" w:cs="宋体"/>
                <w:b/>
                <w:sz w:val="24"/>
                <w:highlight w:val="none"/>
                <w:lang w:val="en-US" w:eastAsia="zh-CN"/>
              </w:rPr>
              <w:t>供应商</w:t>
            </w:r>
            <w:r>
              <w:rPr>
                <w:rFonts w:hint="eastAsia" w:ascii="宋体" w:hAnsi="宋体" w:eastAsia="宋体" w:cs="宋体"/>
                <w:b/>
                <w:sz w:val="24"/>
                <w:highlight w:val="none"/>
                <w:lang w:val="en-US" w:eastAsia="zh-CN"/>
              </w:rPr>
              <w:t>所投内容填写</w:t>
            </w:r>
          </w:p>
        </w:tc>
      </w:tr>
      <w:tr w14:paraId="3C228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3FF65C88">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第一部分：技术部分响应</w:t>
            </w:r>
          </w:p>
        </w:tc>
      </w:tr>
      <w:tr w14:paraId="26983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62E65092">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序号</w:t>
            </w:r>
          </w:p>
        </w:tc>
        <w:tc>
          <w:tcPr>
            <w:tcW w:w="1470" w:type="dxa"/>
            <w:noWrap w:val="0"/>
            <w:vAlign w:val="center"/>
          </w:tcPr>
          <w:p w14:paraId="6AD686F5">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品名</w:t>
            </w:r>
          </w:p>
        </w:tc>
        <w:tc>
          <w:tcPr>
            <w:tcW w:w="2520" w:type="dxa"/>
            <w:noWrap w:val="0"/>
            <w:vAlign w:val="center"/>
          </w:tcPr>
          <w:p w14:paraId="4F5D2DDF">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招标文件要求</w:t>
            </w:r>
          </w:p>
        </w:tc>
        <w:tc>
          <w:tcPr>
            <w:tcW w:w="2310" w:type="dxa"/>
            <w:noWrap w:val="0"/>
            <w:vAlign w:val="center"/>
          </w:tcPr>
          <w:p w14:paraId="27301779">
            <w:pPr>
              <w:pStyle w:val="11"/>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投标响应</w:t>
            </w:r>
          </w:p>
          <w:p w14:paraId="4D13B71D">
            <w:pPr>
              <w:pStyle w:val="11"/>
              <w:rPr>
                <w:rFonts w:hint="eastAsia" w:ascii="宋体" w:hAnsi="宋体" w:eastAsia="宋体" w:cs="宋体"/>
                <w:b/>
                <w:sz w:val="24"/>
                <w:highlight w:val="none"/>
                <w:lang w:val="en-US" w:eastAsia="zh-CN"/>
              </w:rPr>
            </w:pPr>
          </w:p>
        </w:tc>
        <w:tc>
          <w:tcPr>
            <w:tcW w:w="1224" w:type="dxa"/>
            <w:noWrap w:val="0"/>
            <w:vAlign w:val="center"/>
          </w:tcPr>
          <w:p w14:paraId="2A44ECF8">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偏离说明</w:t>
            </w:r>
          </w:p>
        </w:tc>
      </w:tr>
      <w:tr w14:paraId="1804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EBFFC2A">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1470" w:type="dxa"/>
            <w:noWrap w:val="0"/>
            <w:vAlign w:val="top"/>
          </w:tcPr>
          <w:p w14:paraId="56071D77">
            <w:pPr>
              <w:rPr>
                <w:rFonts w:hint="eastAsia" w:ascii="宋体" w:hAnsi="宋体" w:eastAsia="宋体" w:cs="宋体"/>
                <w:sz w:val="24"/>
                <w:highlight w:val="none"/>
              </w:rPr>
            </w:pPr>
          </w:p>
        </w:tc>
        <w:tc>
          <w:tcPr>
            <w:tcW w:w="2520" w:type="dxa"/>
            <w:noWrap w:val="0"/>
            <w:vAlign w:val="top"/>
          </w:tcPr>
          <w:p w14:paraId="385E6CFA">
            <w:pPr>
              <w:rPr>
                <w:rFonts w:hint="eastAsia" w:ascii="宋体" w:hAnsi="宋体" w:eastAsia="宋体" w:cs="宋体"/>
                <w:sz w:val="24"/>
                <w:highlight w:val="none"/>
              </w:rPr>
            </w:pPr>
          </w:p>
        </w:tc>
        <w:tc>
          <w:tcPr>
            <w:tcW w:w="2310" w:type="dxa"/>
            <w:noWrap w:val="0"/>
            <w:vAlign w:val="top"/>
          </w:tcPr>
          <w:p w14:paraId="2499711E">
            <w:pPr>
              <w:rPr>
                <w:rFonts w:hint="eastAsia" w:ascii="宋体" w:hAnsi="宋体" w:eastAsia="宋体" w:cs="宋体"/>
                <w:sz w:val="24"/>
                <w:highlight w:val="none"/>
              </w:rPr>
            </w:pPr>
          </w:p>
        </w:tc>
        <w:tc>
          <w:tcPr>
            <w:tcW w:w="1224" w:type="dxa"/>
            <w:noWrap w:val="0"/>
            <w:vAlign w:val="top"/>
          </w:tcPr>
          <w:p w14:paraId="0F0A6B56">
            <w:pPr>
              <w:rPr>
                <w:rFonts w:hint="eastAsia" w:ascii="宋体" w:hAnsi="宋体" w:eastAsia="宋体" w:cs="宋体"/>
                <w:sz w:val="24"/>
                <w:highlight w:val="none"/>
              </w:rPr>
            </w:pPr>
          </w:p>
        </w:tc>
      </w:tr>
      <w:tr w14:paraId="0BB7A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86F683B">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1470" w:type="dxa"/>
            <w:noWrap w:val="0"/>
            <w:vAlign w:val="top"/>
          </w:tcPr>
          <w:p w14:paraId="3345E9DC">
            <w:pPr>
              <w:rPr>
                <w:rFonts w:hint="eastAsia" w:ascii="宋体" w:hAnsi="宋体" w:eastAsia="宋体" w:cs="宋体"/>
                <w:sz w:val="24"/>
                <w:highlight w:val="none"/>
              </w:rPr>
            </w:pPr>
          </w:p>
        </w:tc>
        <w:tc>
          <w:tcPr>
            <w:tcW w:w="2520" w:type="dxa"/>
            <w:noWrap w:val="0"/>
            <w:vAlign w:val="top"/>
          </w:tcPr>
          <w:p w14:paraId="7D9BAF12">
            <w:pPr>
              <w:rPr>
                <w:rFonts w:hint="eastAsia" w:ascii="宋体" w:hAnsi="宋体" w:eastAsia="宋体" w:cs="宋体"/>
                <w:sz w:val="24"/>
                <w:highlight w:val="none"/>
              </w:rPr>
            </w:pPr>
          </w:p>
        </w:tc>
        <w:tc>
          <w:tcPr>
            <w:tcW w:w="2310" w:type="dxa"/>
            <w:noWrap w:val="0"/>
            <w:vAlign w:val="top"/>
          </w:tcPr>
          <w:p w14:paraId="7DC1AB27">
            <w:pPr>
              <w:rPr>
                <w:rFonts w:hint="eastAsia" w:ascii="宋体" w:hAnsi="宋体" w:eastAsia="宋体" w:cs="宋体"/>
                <w:sz w:val="24"/>
                <w:highlight w:val="none"/>
              </w:rPr>
            </w:pPr>
          </w:p>
        </w:tc>
        <w:tc>
          <w:tcPr>
            <w:tcW w:w="1224" w:type="dxa"/>
            <w:noWrap w:val="0"/>
            <w:vAlign w:val="top"/>
          </w:tcPr>
          <w:p w14:paraId="79151633">
            <w:pPr>
              <w:rPr>
                <w:rFonts w:hint="eastAsia" w:ascii="宋体" w:hAnsi="宋体" w:eastAsia="宋体" w:cs="宋体"/>
                <w:sz w:val="24"/>
                <w:highlight w:val="none"/>
              </w:rPr>
            </w:pPr>
          </w:p>
        </w:tc>
      </w:tr>
      <w:tr w14:paraId="35156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2EADF00">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1470" w:type="dxa"/>
            <w:noWrap w:val="0"/>
            <w:vAlign w:val="top"/>
          </w:tcPr>
          <w:p w14:paraId="5EAB558C">
            <w:pPr>
              <w:rPr>
                <w:rFonts w:hint="eastAsia" w:ascii="宋体" w:hAnsi="宋体" w:eastAsia="宋体" w:cs="宋体"/>
                <w:sz w:val="24"/>
                <w:highlight w:val="none"/>
              </w:rPr>
            </w:pPr>
          </w:p>
        </w:tc>
        <w:tc>
          <w:tcPr>
            <w:tcW w:w="2520" w:type="dxa"/>
            <w:noWrap w:val="0"/>
            <w:vAlign w:val="top"/>
          </w:tcPr>
          <w:p w14:paraId="43D2F2EC">
            <w:pPr>
              <w:rPr>
                <w:rFonts w:hint="eastAsia" w:ascii="宋体" w:hAnsi="宋体" w:eastAsia="宋体" w:cs="宋体"/>
                <w:sz w:val="24"/>
                <w:highlight w:val="none"/>
              </w:rPr>
            </w:pPr>
          </w:p>
        </w:tc>
        <w:tc>
          <w:tcPr>
            <w:tcW w:w="2310" w:type="dxa"/>
            <w:noWrap w:val="0"/>
            <w:vAlign w:val="top"/>
          </w:tcPr>
          <w:p w14:paraId="23A5CF44">
            <w:pPr>
              <w:pStyle w:val="31"/>
              <w:rPr>
                <w:rFonts w:hint="eastAsia" w:ascii="宋体" w:hAnsi="宋体" w:eastAsia="宋体" w:cs="宋体"/>
                <w:highlight w:val="none"/>
              </w:rPr>
            </w:pPr>
          </w:p>
        </w:tc>
        <w:tc>
          <w:tcPr>
            <w:tcW w:w="1224" w:type="dxa"/>
            <w:noWrap w:val="0"/>
            <w:vAlign w:val="top"/>
          </w:tcPr>
          <w:p w14:paraId="4A918EC7">
            <w:pPr>
              <w:rPr>
                <w:rFonts w:hint="eastAsia" w:ascii="宋体" w:hAnsi="宋体" w:eastAsia="宋体" w:cs="宋体"/>
                <w:sz w:val="24"/>
                <w:highlight w:val="none"/>
              </w:rPr>
            </w:pPr>
          </w:p>
        </w:tc>
      </w:tr>
      <w:tr w14:paraId="5BC0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3C12717">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1470" w:type="dxa"/>
            <w:noWrap w:val="0"/>
            <w:vAlign w:val="top"/>
          </w:tcPr>
          <w:p w14:paraId="7E820CA5">
            <w:pPr>
              <w:rPr>
                <w:rFonts w:hint="eastAsia" w:ascii="宋体" w:hAnsi="宋体" w:eastAsia="宋体" w:cs="宋体"/>
                <w:sz w:val="24"/>
                <w:highlight w:val="none"/>
              </w:rPr>
            </w:pPr>
          </w:p>
        </w:tc>
        <w:tc>
          <w:tcPr>
            <w:tcW w:w="2520" w:type="dxa"/>
            <w:noWrap w:val="0"/>
            <w:vAlign w:val="top"/>
          </w:tcPr>
          <w:p w14:paraId="40F23345">
            <w:pPr>
              <w:rPr>
                <w:rFonts w:hint="eastAsia" w:ascii="宋体" w:hAnsi="宋体" w:eastAsia="宋体" w:cs="宋体"/>
                <w:sz w:val="24"/>
                <w:highlight w:val="none"/>
              </w:rPr>
            </w:pPr>
          </w:p>
        </w:tc>
        <w:tc>
          <w:tcPr>
            <w:tcW w:w="2310" w:type="dxa"/>
            <w:noWrap w:val="0"/>
            <w:vAlign w:val="top"/>
          </w:tcPr>
          <w:p w14:paraId="68711505">
            <w:pPr>
              <w:rPr>
                <w:rFonts w:hint="eastAsia" w:ascii="宋体" w:hAnsi="宋体" w:eastAsia="宋体" w:cs="宋体"/>
                <w:sz w:val="24"/>
                <w:highlight w:val="none"/>
              </w:rPr>
            </w:pPr>
          </w:p>
        </w:tc>
        <w:tc>
          <w:tcPr>
            <w:tcW w:w="1224" w:type="dxa"/>
            <w:noWrap w:val="0"/>
            <w:vAlign w:val="top"/>
          </w:tcPr>
          <w:p w14:paraId="73E0AB74">
            <w:pPr>
              <w:rPr>
                <w:rFonts w:hint="eastAsia" w:ascii="宋体" w:hAnsi="宋体" w:eastAsia="宋体" w:cs="宋体"/>
                <w:sz w:val="24"/>
                <w:highlight w:val="none"/>
              </w:rPr>
            </w:pPr>
          </w:p>
        </w:tc>
      </w:tr>
      <w:tr w14:paraId="5200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11BB5CDC">
            <w:pPr>
              <w:pStyle w:val="11"/>
              <w:jc w:val="center"/>
              <w:rPr>
                <w:rFonts w:hint="eastAsia" w:ascii="宋体" w:hAnsi="宋体" w:eastAsia="宋体" w:cs="宋体"/>
                <w:sz w:val="24"/>
                <w:highlight w:val="none"/>
                <w:lang w:val="en-US" w:eastAsia="zh-CN"/>
              </w:rPr>
            </w:pPr>
            <w:r>
              <w:rPr>
                <w:rFonts w:hint="eastAsia" w:ascii="宋体" w:hAnsi="宋体" w:eastAsia="宋体" w:cs="宋体"/>
                <w:b/>
                <w:sz w:val="24"/>
                <w:highlight w:val="none"/>
                <w:lang w:val="en-US" w:eastAsia="zh-CN"/>
              </w:rPr>
              <w:t>第二部分：资信及报价部分响应</w:t>
            </w:r>
          </w:p>
        </w:tc>
      </w:tr>
      <w:tr w14:paraId="4A83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A8A5B78">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序号</w:t>
            </w:r>
          </w:p>
        </w:tc>
        <w:tc>
          <w:tcPr>
            <w:tcW w:w="1470" w:type="dxa"/>
            <w:noWrap w:val="0"/>
            <w:vAlign w:val="center"/>
          </w:tcPr>
          <w:p w14:paraId="7E6F7AEF">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内容</w:t>
            </w:r>
          </w:p>
        </w:tc>
        <w:tc>
          <w:tcPr>
            <w:tcW w:w="2520" w:type="dxa"/>
            <w:noWrap w:val="0"/>
            <w:vAlign w:val="center"/>
          </w:tcPr>
          <w:p w14:paraId="06E86BE5">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招标要求</w:t>
            </w:r>
          </w:p>
        </w:tc>
        <w:tc>
          <w:tcPr>
            <w:tcW w:w="2310" w:type="dxa"/>
            <w:noWrap w:val="0"/>
            <w:vAlign w:val="center"/>
          </w:tcPr>
          <w:p w14:paraId="5B490B56">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投标承诺</w:t>
            </w:r>
          </w:p>
        </w:tc>
        <w:tc>
          <w:tcPr>
            <w:tcW w:w="1224" w:type="dxa"/>
            <w:noWrap w:val="0"/>
            <w:vAlign w:val="center"/>
          </w:tcPr>
          <w:p w14:paraId="6DA9B351">
            <w:pPr>
              <w:pStyle w:val="11"/>
              <w:jc w:val="center"/>
              <w:rPr>
                <w:rFonts w:hint="eastAsia" w:ascii="宋体" w:hAnsi="宋体" w:eastAsia="宋体" w:cs="宋体"/>
                <w:b/>
                <w:sz w:val="24"/>
                <w:highlight w:val="none"/>
                <w:lang w:val="en-US" w:eastAsia="zh-CN"/>
              </w:rPr>
            </w:pPr>
            <w:r>
              <w:rPr>
                <w:rFonts w:hint="eastAsia" w:ascii="宋体" w:hAnsi="宋体" w:eastAsia="宋体" w:cs="宋体"/>
                <w:b/>
                <w:sz w:val="24"/>
                <w:highlight w:val="none"/>
                <w:lang w:val="en-US" w:eastAsia="zh-CN"/>
              </w:rPr>
              <w:t>偏离说明</w:t>
            </w:r>
          </w:p>
        </w:tc>
      </w:tr>
      <w:tr w14:paraId="4E14B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2A3F86F">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1470" w:type="dxa"/>
            <w:noWrap w:val="0"/>
            <w:vAlign w:val="center"/>
          </w:tcPr>
          <w:p w14:paraId="408388F8">
            <w:pPr>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服务期限</w:t>
            </w:r>
          </w:p>
        </w:tc>
        <w:tc>
          <w:tcPr>
            <w:tcW w:w="2520" w:type="dxa"/>
            <w:noWrap w:val="0"/>
            <w:vAlign w:val="top"/>
          </w:tcPr>
          <w:p w14:paraId="3DFB89CA">
            <w:pPr>
              <w:rPr>
                <w:rFonts w:hint="eastAsia" w:ascii="宋体" w:hAnsi="宋体" w:eastAsia="宋体" w:cs="宋体"/>
                <w:sz w:val="24"/>
                <w:highlight w:val="none"/>
              </w:rPr>
            </w:pPr>
          </w:p>
        </w:tc>
        <w:tc>
          <w:tcPr>
            <w:tcW w:w="2310" w:type="dxa"/>
            <w:noWrap w:val="0"/>
            <w:vAlign w:val="top"/>
          </w:tcPr>
          <w:p w14:paraId="36C5485D">
            <w:pPr>
              <w:rPr>
                <w:rFonts w:hint="eastAsia" w:ascii="宋体" w:hAnsi="宋体" w:eastAsia="宋体" w:cs="宋体"/>
                <w:sz w:val="24"/>
                <w:highlight w:val="none"/>
              </w:rPr>
            </w:pPr>
          </w:p>
        </w:tc>
        <w:tc>
          <w:tcPr>
            <w:tcW w:w="1224" w:type="dxa"/>
            <w:noWrap w:val="0"/>
            <w:vAlign w:val="top"/>
          </w:tcPr>
          <w:p w14:paraId="728270D0">
            <w:pPr>
              <w:rPr>
                <w:rFonts w:hint="eastAsia" w:ascii="宋体" w:hAnsi="宋体" w:eastAsia="宋体" w:cs="宋体"/>
                <w:sz w:val="24"/>
                <w:highlight w:val="none"/>
              </w:rPr>
            </w:pPr>
          </w:p>
        </w:tc>
      </w:tr>
      <w:tr w14:paraId="1312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0CA500A">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1470" w:type="dxa"/>
            <w:noWrap w:val="0"/>
            <w:vAlign w:val="center"/>
          </w:tcPr>
          <w:p w14:paraId="67B4041E">
            <w:pPr>
              <w:rPr>
                <w:rFonts w:hint="eastAsia" w:ascii="宋体" w:hAnsi="宋体" w:eastAsia="宋体" w:cs="宋体"/>
                <w:sz w:val="24"/>
                <w:highlight w:val="none"/>
              </w:rPr>
            </w:pPr>
            <w:r>
              <w:rPr>
                <w:rFonts w:hint="eastAsia" w:ascii="宋体" w:hAnsi="宋体" w:eastAsia="宋体" w:cs="宋体"/>
                <w:sz w:val="24"/>
                <w:highlight w:val="none"/>
              </w:rPr>
              <w:t>免费质保期</w:t>
            </w:r>
          </w:p>
        </w:tc>
        <w:tc>
          <w:tcPr>
            <w:tcW w:w="2520" w:type="dxa"/>
            <w:noWrap w:val="0"/>
            <w:vAlign w:val="top"/>
          </w:tcPr>
          <w:p w14:paraId="609130A2">
            <w:pPr>
              <w:rPr>
                <w:rFonts w:hint="eastAsia" w:ascii="宋体" w:hAnsi="宋体" w:eastAsia="宋体" w:cs="宋体"/>
                <w:sz w:val="24"/>
                <w:highlight w:val="none"/>
              </w:rPr>
            </w:pPr>
          </w:p>
        </w:tc>
        <w:tc>
          <w:tcPr>
            <w:tcW w:w="2310" w:type="dxa"/>
            <w:noWrap w:val="0"/>
            <w:vAlign w:val="top"/>
          </w:tcPr>
          <w:p w14:paraId="0310F3CD">
            <w:pPr>
              <w:rPr>
                <w:rFonts w:hint="eastAsia" w:ascii="宋体" w:hAnsi="宋体" w:eastAsia="宋体" w:cs="宋体"/>
                <w:sz w:val="24"/>
                <w:highlight w:val="none"/>
              </w:rPr>
            </w:pPr>
          </w:p>
        </w:tc>
        <w:tc>
          <w:tcPr>
            <w:tcW w:w="1224" w:type="dxa"/>
            <w:noWrap w:val="0"/>
            <w:vAlign w:val="top"/>
          </w:tcPr>
          <w:p w14:paraId="498EC7C6">
            <w:pPr>
              <w:rPr>
                <w:rFonts w:hint="eastAsia" w:ascii="宋体" w:hAnsi="宋体" w:eastAsia="宋体" w:cs="宋体"/>
                <w:sz w:val="24"/>
                <w:highlight w:val="none"/>
              </w:rPr>
            </w:pPr>
          </w:p>
        </w:tc>
      </w:tr>
      <w:tr w14:paraId="4477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CBEE2EB">
            <w:pPr>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1470" w:type="dxa"/>
            <w:noWrap w:val="0"/>
            <w:vAlign w:val="center"/>
          </w:tcPr>
          <w:p w14:paraId="13B81ECA">
            <w:pPr>
              <w:jc w:val="center"/>
              <w:rPr>
                <w:rFonts w:hint="eastAsia" w:ascii="宋体" w:hAnsi="宋体" w:eastAsia="宋体" w:cs="宋体"/>
                <w:sz w:val="24"/>
                <w:highlight w:val="none"/>
              </w:rPr>
            </w:pPr>
            <w:r>
              <w:rPr>
                <w:rFonts w:hint="eastAsia" w:ascii="宋体" w:hAnsi="宋体" w:eastAsia="宋体" w:cs="宋体"/>
                <w:sz w:val="24"/>
                <w:highlight w:val="none"/>
              </w:rPr>
              <w:t>付款响应</w:t>
            </w:r>
          </w:p>
        </w:tc>
        <w:tc>
          <w:tcPr>
            <w:tcW w:w="2520" w:type="dxa"/>
            <w:noWrap w:val="0"/>
            <w:vAlign w:val="top"/>
          </w:tcPr>
          <w:p w14:paraId="3A817088">
            <w:pPr>
              <w:rPr>
                <w:rFonts w:hint="eastAsia" w:ascii="宋体" w:hAnsi="宋体" w:eastAsia="宋体" w:cs="宋体"/>
                <w:sz w:val="24"/>
                <w:highlight w:val="none"/>
              </w:rPr>
            </w:pPr>
          </w:p>
        </w:tc>
        <w:tc>
          <w:tcPr>
            <w:tcW w:w="2310" w:type="dxa"/>
            <w:noWrap w:val="0"/>
            <w:vAlign w:val="top"/>
          </w:tcPr>
          <w:p w14:paraId="1F022FB6">
            <w:pPr>
              <w:rPr>
                <w:rFonts w:hint="eastAsia" w:ascii="宋体" w:hAnsi="宋体" w:eastAsia="宋体" w:cs="宋体"/>
                <w:sz w:val="24"/>
                <w:highlight w:val="none"/>
              </w:rPr>
            </w:pPr>
          </w:p>
        </w:tc>
        <w:tc>
          <w:tcPr>
            <w:tcW w:w="1224" w:type="dxa"/>
            <w:noWrap w:val="0"/>
            <w:vAlign w:val="top"/>
          </w:tcPr>
          <w:p w14:paraId="78511CB0">
            <w:pPr>
              <w:rPr>
                <w:rFonts w:hint="eastAsia" w:ascii="宋体" w:hAnsi="宋体" w:eastAsia="宋体" w:cs="宋体"/>
                <w:sz w:val="24"/>
                <w:highlight w:val="none"/>
              </w:rPr>
            </w:pPr>
          </w:p>
        </w:tc>
      </w:tr>
      <w:tr w14:paraId="1ECD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87514FF">
            <w:pPr>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1470" w:type="dxa"/>
            <w:noWrap w:val="0"/>
            <w:vAlign w:val="center"/>
          </w:tcPr>
          <w:p w14:paraId="0AE625EF">
            <w:pPr>
              <w:jc w:val="center"/>
              <w:rPr>
                <w:rFonts w:hint="eastAsia" w:ascii="宋体" w:hAnsi="宋体" w:eastAsia="宋体" w:cs="宋体"/>
                <w:sz w:val="24"/>
                <w:highlight w:val="none"/>
              </w:rPr>
            </w:pPr>
            <w:r>
              <w:rPr>
                <w:rFonts w:hint="eastAsia" w:ascii="宋体" w:hAnsi="宋体" w:eastAsia="宋体" w:cs="宋体"/>
                <w:sz w:val="24"/>
                <w:highlight w:val="none"/>
              </w:rPr>
              <w:t>业绩</w:t>
            </w:r>
          </w:p>
        </w:tc>
        <w:tc>
          <w:tcPr>
            <w:tcW w:w="2520" w:type="dxa"/>
            <w:noWrap w:val="0"/>
            <w:vAlign w:val="top"/>
          </w:tcPr>
          <w:p w14:paraId="05C0FB66">
            <w:pPr>
              <w:rPr>
                <w:rFonts w:hint="eastAsia" w:ascii="宋体" w:hAnsi="宋体" w:eastAsia="宋体" w:cs="宋体"/>
                <w:sz w:val="24"/>
                <w:highlight w:val="none"/>
              </w:rPr>
            </w:pPr>
          </w:p>
        </w:tc>
        <w:tc>
          <w:tcPr>
            <w:tcW w:w="2310" w:type="dxa"/>
            <w:noWrap w:val="0"/>
            <w:vAlign w:val="top"/>
          </w:tcPr>
          <w:p w14:paraId="2362DC85">
            <w:pPr>
              <w:rPr>
                <w:rFonts w:hint="eastAsia" w:ascii="宋体" w:hAnsi="宋体" w:eastAsia="宋体" w:cs="宋体"/>
                <w:sz w:val="24"/>
                <w:highlight w:val="none"/>
              </w:rPr>
            </w:pPr>
          </w:p>
        </w:tc>
        <w:tc>
          <w:tcPr>
            <w:tcW w:w="1224" w:type="dxa"/>
            <w:noWrap w:val="0"/>
            <w:vAlign w:val="top"/>
          </w:tcPr>
          <w:p w14:paraId="1D65DAF7">
            <w:pPr>
              <w:rPr>
                <w:rFonts w:hint="eastAsia" w:ascii="宋体" w:hAnsi="宋体" w:eastAsia="宋体" w:cs="宋体"/>
                <w:sz w:val="24"/>
                <w:highlight w:val="none"/>
              </w:rPr>
            </w:pPr>
          </w:p>
        </w:tc>
      </w:tr>
      <w:tr w14:paraId="5CAF6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3AE820E">
            <w:pPr>
              <w:jc w:val="center"/>
              <w:rPr>
                <w:rFonts w:hint="eastAsia" w:ascii="宋体" w:hAnsi="宋体" w:eastAsia="宋体" w:cs="宋体"/>
                <w:sz w:val="24"/>
                <w:highlight w:val="none"/>
              </w:rPr>
            </w:pPr>
            <w:r>
              <w:rPr>
                <w:rFonts w:hint="eastAsia" w:ascii="宋体" w:hAnsi="宋体" w:eastAsia="宋体" w:cs="宋体"/>
                <w:sz w:val="24"/>
                <w:highlight w:val="none"/>
              </w:rPr>
              <w:t>5</w:t>
            </w:r>
          </w:p>
        </w:tc>
        <w:tc>
          <w:tcPr>
            <w:tcW w:w="1470" w:type="dxa"/>
            <w:noWrap w:val="0"/>
            <w:vAlign w:val="center"/>
          </w:tcPr>
          <w:p w14:paraId="78D90CA4">
            <w:pPr>
              <w:jc w:val="center"/>
              <w:rPr>
                <w:rFonts w:hint="eastAsia" w:ascii="宋体" w:hAnsi="宋体" w:eastAsia="宋体" w:cs="宋体"/>
                <w:sz w:val="24"/>
                <w:highlight w:val="none"/>
              </w:rPr>
            </w:pPr>
            <w:r>
              <w:rPr>
                <w:rFonts w:hint="eastAsia" w:ascii="宋体" w:hAnsi="宋体" w:eastAsia="宋体" w:cs="宋体"/>
                <w:sz w:val="24"/>
                <w:highlight w:val="none"/>
              </w:rPr>
              <w:t>其他</w:t>
            </w:r>
          </w:p>
        </w:tc>
        <w:tc>
          <w:tcPr>
            <w:tcW w:w="2520" w:type="dxa"/>
            <w:noWrap w:val="0"/>
            <w:vAlign w:val="top"/>
          </w:tcPr>
          <w:p w14:paraId="7C312DD4">
            <w:pPr>
              <w:rPr>
                <w:rFonts w:hint="eastAsia" w:ascii="宋体" w:hAnsi="宋体" w:eastAsia="宋体" w:cs="宋体"/>
                <w:sz w:val="24"/>
                <w:highlight w:val="none"/>
              </w:rPr>
            </w:pPr>
          </w:p>
        </w:tc>
        <w:tc>
          <w:tcPr>
            <w:tcW w:w="2310" w:type="dxa"/>
            <w:noWrap w:val="0"/>
            <w:vAlign w:val="top"/>
          </w:tcPr>
          <w:p w14:paraId="1D8F858F">
            <w:pPr>
              <w:rPr>
                <w:rFonts w:hint="eastAsia" w:ascii="宋体" w:hAnsi="宋体" w:eastAsia="宋体" w:cs="宋体"/>
                <w:sz w:val="24"/>
                <w:highlight w:val="none"/>
              </w:rPr>
            </w:pPr>
          </w:p>
        </w:tc>
        <w:tc>
          <w:tcPr>
            <w:tcW w:w="1224" w:type="dxa"/>
            <w:noWrap w:val="0"/>
            <w:vAlign w:val="top"/>
          </w:tcPr>
          <w:p w14:paraId="097E6E9E">
            <w:pPr>
              <w:rPr>
                <w:rFonts w:hint="eastAsia" w:ascii="宋体" w:hAnsi="宋体" w:eastAsia="宋体" w:cs="宋体"/>
                <w:sz w:val="24"/>
                <w:highlight w:val="none"/>
              </w:rPr>
            </w:pPr>
          </w:p>
        </w:tc>
      </w:tr>
    </w:tbl>
    <w:p w14:paraId="2021C447">
      <w:pPr>
        <w:spacing w:line="380" w:lineRule="exact"/>
        <w:jc w:val="left"/>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0560B945">
      <w:pPr>
        <w:spacing w:line="380" w:lineRule="exact"/>
        <w:ind w:right="640" w:firstLine="1560" w:firstLineChars="650"/>
        <w:jc w:val="left"/>
        <w:rPr>
          <w:rFonts w:hint="eastAsia" w:ascii="宋体" w:hAnsi="宋体" w:eastAsia="宋体" w:cs="宋体"/>
          <w:sz w:val="24"/>
          <w:highlight w:val="none"/>
        </w:rPr>
      </w:pPr>
    </w:p>
    <w:p w14:paraId="2E90E48D">
      <w:pPr>
        <w:spacing w:line="380" w:lineRule="exact"/>
        <w:ind w:right="640"/>
        <w:jc w:val="left"/>
        <w:rPr>
          <w:rFonts w:hint="eastAsia" w:ascii="宋体" w:hAnsi="宋体" w:eastAsia="宋体" w:cs="宋体"/>
          <w:sz w:val="24"/>
          <w:highlight w:val="none"/>
        </w:rPr>
      </w:pPr>
      <w:r>
        <w:rPr>
          <w:rFonts w:hint="eastAsia" w:ascii="宋体" w:hAnsi="宋体" w:eastAsia="宋体" w:cs="宋体"/>
          <w:sz w:val="24"/>
          <w:highlight w:val="none"/>
        </w:rPr>
        <w:t>法人代表：（签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w:t>
      </w:r>
    </w:p>
    <w:p w14:paraId="161DAD35">
      <w:pPr>
        <w:jc w:val="right"/>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12830A26">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备注：</w:t>
      </w:r>
    </w:p>
    <w:p w14:paraId="071A4FAF">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1、</w:t>
      </w:r>
      <w:r>
        <w:rPr>
          <w:rFonts w:hint="eastAsia" w:ascii="宋体" w:hAnsi="宋体" w:cs="宋体"/>
          <w:b/>
          <w:bCs/>
          <w:sz w:val="24"/>
          <w:szCs w:val="28"/>
          <w:highlight w:val="none"/>
          <w:lang w:eastAsia="zh-CN"/>
        </w:rPr>
        <w:t>供应商</w:t>
      </w:r>
      <w:r>
        <w:rPr>
          <w:rFonts w:hint="eastAsia" w:ascii="宋体" w:hAnsi="宋体" w:eastAsia="宋体" w:cs="宋体"/>
          <w:b/>
          <w:bCs/>
          <w:sz w:val="24"/>
          <w:szCs w:val="28"/>
          <w:highlight w:val="none"/>
        </w:rPr>
        <w:t>必须逐项对应描述投标服务要求，如不进行描述，仅在响应栏填“响应”或未填写的，将可能导致投标无效；</w:t>
      </w:r>
    </w:p>
    <w:p w14:paraId="57670E2C">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2、</w:t>
      </w:r>
      <w:r>
        <w:rPr>
          <w:rFonts w:hint="eastAsia" w:ascii="宋体" w:hAnsi="宋体" w:cs="宋体"/>
          <w:b/>
          <w:bCs/>
          <w:sz w:val="24"/>
          <w:szCs w:val="28"/>
          <w:highlight w:val="none"/>
          <w:lang w:eastAsia="zh-CN"/>
        </w:rPr>
        <w:t>供应商</w:t>
      </w:r>
      <w:r>
        <w:rPr>
          <w:rFonts w:hint="eastAsia" w:ascii="宋体" w:hAnsi="宋体" w:eastAsia="宋体" w:cs="宋体"/>
          <w:b/>
          <w:bCs/>
          <w:sz w:val="24"/>
          <w:szCs w:val="28"/>
          <w:highlight w:val="none"/>
        </w:rPr>
        <w:t>所投服务如与招标文件要求不一致，则须在上表偏离说明中详细注明。</w:t>
      </w:r>
    </w:p>
    <w:p w14:paraId="60BAA858">
      <w:pPr>
        <w:adjustRightInd w:val="0"/>
        <w:snapToGrid w:val="0"/>
        <w:spacing w:line="360" w:lineRule="auto"/>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3、响应部分可后附详细说明及技术资料，并应注明投标文件中对应的页码范围。</w:t>
      </w:r>
    </w:p>
    <w:p w14:paraId="00BF47E3">
      <w:pPr>
        <w:pStyle w:val="15"/>
        <w:rPr>
          <w:rFonts w:hint="eastAsia" w:ascii="宋体" w:hAnsi="宋体" w:eastAsia="宋体" w:cs="宋体"/>
          <w:highlight w:val="none"/>
        </w:rPr>
      </w:pPr>
    </w:p>
    <w:p w14:paraId="58E3EF8C">
      <w:pPr>
        <w:pStyle w:val="15"/>
        <w:rPr>
          <w:rFonts w:hint="eastAsia" w:ascii="宋体" w:hAnsi="宋体" w:eastAsia="宋体" w:cs="宋体"/>
          <w:highlight w:val="none"/>
        </w:rPr>
      </w:pPr>
    </w:p>
    <w:p w14:paraId="7C859D24">
      <w:pPr>
        <w:pStyle w:val="15"/>
        <w:rPr>
          <w:rFonts w:hint="eastAsia" w:ascii="宋体" w:hAnsi="宋体" w:eastAsia="宋体" w:cs="宋体"/>
          <w:highlight w:val="none"/>
        </w:rPr>
      </w:pPr>
    </w:p>
    <w:p w14:paraId="6085B68C">
      <w:pPr>
        <w:pStyle w:val="15"/>
        <w:rPr>
          <w:rFonts w:hint="eastAsia" w:ascii="宋体" w:hAnsi="宋体" w:eastAsia="宋体" w:cs="宋体"/>
          <w:highlight w:val="none"/>
          <w:lang w:eastAsia="zh-CN"/>
        </w:rPr>
      </w:pPr>
    </w:p>
    <w:p w14:paraId="6CCE69BA">
      <w:pPr>
        <w:pStyle w:val="15"/>
        <w:rPr>
          <w:rFonts w:hint="eastAsia" w:ascii="宋体" w:hAnsi="宋体" w:eastAsia="宋体" w:cs="宋体"/>
          <w:highlight w:val="none"/>
          <w:lang w:eastAsia="zh-CN"/>
        </w:rPr>
      </w:pPr>
    </w:p>
    <w:p w14:paraId="7C9071DE">
      <w:pPr>
        <w:pStyle w:val="15"/>
        <w:rPr>
          <w:rFonts w:hint="eastAsia" w:ascii="宋体" w:hAnsi="宋体" w:eastAsia="宋体" w:cs="宋体"/>
          <w:highlight w:val="none"/>
        </w:rPr>
      </w:pPr>
    </w:p>
    <w:p w14:paraId="3699E6AD">
      <w:pPr>
        <w:pStyle w:val="15"/>
        <w:rPr>
          <w:rFonts w:hint="eastAsia" w:ascii="宋体" w:hAnsi="宋体" w:eastAsia="宋体" w:cs="宋体"/>
          <w:highlight w:val="none"/>
        </w:rPr>
      </w:pPr>
    </w:p>
    <w:p w14:paraId="490E4343">
      <w:pPr>
        <w:pStyle w:val="4"/>
        <w:rPr>
          <w:rFonts w:hint="eastAsia" w:ascii="宋体" w:hAnsi="宋体" w:eastAsia="宋体" w:cs="宋体"/>
          <w:sz w:val="28"/>
          <w:szCs w:val="36"/>
          <w:highlight w:val="none"/>
        </w:rPr>
      </w:pPr>
      <w:bookmarkStart w:id="162" w:name="_Hlt509738950"/>
      <w:bookmarkEnd w:id="162"/>
      <w:bookmarkStart w:id="163" w:name="_Toc1906"/>
      <w:bookmarkStart w:id="164" w:name="_Toc220232400"/>
      <w:bookmarkStart w:id="165" w:name="_Toc19673"/>
      <w:bookmarkStart w:id="166" w:name="_Toc40975454"/>
      <w:bookmarkStart w:id="167" w:name="_Toc28604"/>
      <w:bookmarkStart w:id="168" w:name="_Toc2238_WPSOffice_Level2"/>
      <w:r>
        <w:rPr>
          <w:rFonts w:hint="eastAsia" w:hAnsi="宋体" w:cs="宋体"/>
          <w:sz w:val="28"/>
          <w:highlight w:val="none"/>
          <w:lang w:val="en-US" w:eastAsia="zh-CN"/>
        </w:rPr>
        <w:t>五</w:t>
      </w:r>
      <w:r>
        <w:rPr>
          <w:rFonts w:hint="eastAsia" w:ascii="宋体" w:hAnsi="宋体" w:eastAsia="宋体" w:cs="宋体"/>
          <w:sz w:val="28"/>
          <w:highlight w:val="none"/>
        </w:rPr>
        <w:t>．</w:t>
      </w:r>
      <w:r>
        <w:rPr>
          <w:rFonts w:hint="eastAsia" w:ascii="宋体" w:hAnsi="宋体" w:eastAsia="宋体" w:cs="宋体"/>
          <w:sz w:val="28"/>
          <w:highlight w:val="none"/>
          <w:lang w:eastAsia="zh-CN"/>
        </w:rPr>
        <w:t>服务</w:t>
      </w:r>
      <w:r>
        <w:rPr>
          <w:rFonts w:hint="eastAsia" w:ascii="宋体" w:hAnsi="宋体" w:eastAsia="宋体" w:cs="宋体"/>
          <w:sz w:val="28"/>
          <w:highlight w:val="none"/>
        </w:rPr>
        <w:t>质量承诺</w:t>
      </w:r>
      <w:bookmarkEnd w:id="163"/>
      <w:bookmarkEnd w:id="164"/>
      <w:bookmarkEnd w:id="165"/>
      <w:bookmarkEnd w:id="166"/>
      <w:bookmarkEnd w:id="167"/>
      <w:bookmarkEnd w:id="168"/>
    </w:p>
    <w:p w14:paraId="36BE59FD">
      <w:pPr>
        <w:spacing w:before="48" w:beforeLines="20" w:after="48" w:afterLines="20" w:line="360" w:lineRule="auto"/>
        <w:ind w:firstLine="480" w:firstLineChars="200"/>
        <w:jc w:val="center"/>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w:t>
      </w:r>
    </w:p>
    <w:p w14:paraId="008F5CF4">
      <w:pPr>
        <w:spacing w:before="48" w:beforeLines="20" w:after="48" w:afterLines="20" w:line="360" w:lineRule="auto"/>
        <w:rPr>
          <w:rFonts w:hint="eastAsia" w:ascii="宋体" w:hAnsi="宋体" w:eastAsia="宋体" w:cs="宋体"/>
          <w:sz w:val="28"/>
          <w:highlight w:val="none"/>
        </w:rPr>
      </w:pPr>
    </w:p>
    <w:p w14:paraId="404CCAFE">
      <w:pPr>
        <w:pStyle w:val="15"/>
        <w:rPr>
          <w:rFonts w:hint="eastAsia" w:ascii="宋体" w:hAnsi="宋体" w:eastAsia="宋体" w:cs="宋体"/>
          <w:highlight w:val="none"/>
        </w:rPr>
      </w:pPr>
    </w:p>
    <w:p w14:paraId="4F96172F">
      <w:pPr>
        <w:pStyle w:val="15"/>
        <w:rPr>
          <w:rFonts w:hint="eastAsia" w:ascii="宋体" w:hAnsi="宋体" w:eastAsia="宋体" w:cs="宋体"/>
          <w:highlight w:val="none"/>
        </w:rPr>
      </w:pPr>
    </w:p>
    <w:p w14:paraId="285D3642">
      <w:pPr>
        <w:pStyle w:val="15"/>
        <w:rPr>
          <w:rFonts w:hint="eastAsia" w:ascii="宋体" w:hAnsi="宋体" w:eastAsia="宋体" w:cs="宋体"/>
          <w:highlight w:val="none"/>
        </w:rPr>
      </w:pPr>
    </w:p>
    <w:p w14:paraId="4AC4DF0B">
      <w:pPr>
        <w:pStyle w:val="15"/>
        <w:rPr>
          <w:rFonts w:hint="eastAsia" w:ascii="宋体" w:hAnsi="宋体" w:eastAsia="宋体" w:cs="宋体"/>
          <w:highlight w:val="none"/>
        </w:rPr>
      </w:pPr>
    </w:p>
    <w:p w14:paraId="62F24954">
      <w:pPr>
        <w:pStyle w:val="15"/>
        <w:rPr>
          <w:rFonts w:hint="eastAsia" w:ascii="宋体" w:hAnsi="宋体" w:eastAsia="宋体" w:cs="宋体"/>
          <w:highlight w:val="none"/>
        </w:rPr>
      </w:pPr>
    </w:p>
    <w:p w14:paraId="5605004D">
      <w:pPr>
        <w:pStyle w:val="15"/>
        <w:rPr>
          <w:rFonts w:hint="eastAsia" w:ascii="宋体" w:hAnsi="宋体" w:eastAsia="宋体" w:cs="宋体"/>
          <w:highlight w:val="none"/>
        </w:rPr>
      </w:pPr>
    </w:p>
    <w:p w14:paraId="4053ED4E">
      <w:pPr>
        <w:pStyle w:val="15"/>
        <w:rPr>
          <w:rFonts w:hint="eastAsia" w:ascii="宋体" w:hAnsi="宋体" w:eastAsia="宋体" w:cs="宋体"/>
          <w:highlight w:val="none"/>
        </w:rPr>
      </w:pPr>
    </w:p>
    <w:p w14:paraId="1BFF9A45">
      <w:pPr>
        <w:pStyle w:val="15"/>
        <w:rPr>
          <w:rFonts w:hint="eastAsia" w:ascii="宋体" w:hAnsi="宋体" w:eastAsia="宋体" w:cs="宋体"/>
          <w:highlight w:val="none"/>
        </w:rPr>
      </w:pPr>
    </w:p>
    <w:p w14:paraId="28731633">
      <w:pPr>
        <w:pStyle w:val="15"/>
        <w:rPr>
          <w:rFonts w:hint="eastAsia" w:ascii="宋体" w:hAnsi="宋体" w:eastAsia="宋体" w:cs="宋体"/>
          <w:highlight w:val="none"/>
        </w:rPr>
      </w:pPr>
    </w:p>
    <w:p w14:paraId="5E7C8B61">
      <w:pPr>
        <w:pStyle w:val="15"/>
        <w:rPr>
          <w:rFonts w:hint="eastAsia" w:ascii="宋体" w:hAnsi="宋体" w:eastAsia="宋体" w:cs="宋体"/>
          <w:highlight w:val="none"/>
        </w:rPr>
      </w:pPr>
    </w:p>
    <w:p w14:paraId="106AAAE9">
      <w:pPr>
        <w:pStyle w:val="15"/>
        <w:rPr>
          <w:rFonts w:hint="eastAsia" w:ascii="宋体" w:hAnsi="宋体" w:eastAsia="宋体" w:cs="宋体"/>
          <w:highlight w:val="none"/>
        </w:rPr>
      </w:pPr>
    </w:p>
    <w:p w14:paraId="3367A366">
      <w:pPr>
        <w:pStyle w:val="15"/>
        <w:rPr>
          <w:rFonts w:hint="eastAsia" w:ascii="宋体" w:hAnsi="宋体" w:eastAsia="宋体" w:cs="宋体"/>
          <w:highlight w:val="none"/>
        </w:rPr>
      </w:pPr>
    </w:p>
    <w:p w14:paraId="51A2A297">
      <w:pPr>
        <w:pStyle w:val="15"/>
        <w:rPr>
          <w:rFonts w:hint="eastAsia" w:ascii="宋体" w:hAnsi="宋体" w:eastAsia="宋体" w:cs="宋体"/>
          <w:highlight w:val="none"/>
        </w:rPr>
      </w:pPr>
    </w:p>
    <w:p w14:paraId="30C1B1D0">
      <w:pPr>
        <w:pStyle w:val="15"/>
        <w:rPr>
          <w:rFonts w:hint="eastAsia" w:ascii="宋体" w:hAnsi="宋体" w:eastAsia="宋体" w:cs="宋体"/>
          <w:highlight w:val="none"/>
        </w:rPr>
      </w:pPr>
    </w:p>
    <w:p w14:paraId="0B78C5C9">
      <w:pPr>
        <w:pStyle w:val="15"/>
        <w:rPr>
          <w:rFonts w:hint="eastAsia" w:ascii="宋体" w:hAnsi="宋体" w:eastAsia="宋体" w:cs="宋体"/>
          <w:highlight w:val="none"/>
        </w:rPr>
      </w:pPr>
    </w:p>
    <w:p w14:paraId="398CFC86">
      <w:pPr>
        <w:pStyle w:val="15"/>
        <w:rPr>
          <w:rFonts w:hint="eastAsia" w:ascii="宋体" w:hAnsi="宋体" w:eastAsia="宋体" w:cs="宋体"/>
          <w:highlight w:val="none"/>
        </w:rPr>
      </w:pPr>
    </w:p>
    <w:p w14:paraId="74747D92">
      <w:pPr>
        <w:pStyle w:val="15"/>
        <w:rPr>
          <w:rFonts w:hint="eastAsia" w:ascii="宋体" w:hAnsi="宋体" w:eastAsia="宋体" w:cs="宋体"/>
          <w:highlight w:val="none"/>
        </w:rPr>
      </w:pPr>
    </w:p>
    <w:p w14:paraId="6E4EFF67">
      <w:pPr>
        <w:pStyle w:val="15"/>
        <w:rPr>
          <w:rFonts w:hint="eastAsia" w:ascii="宋体" w:hAnsi="宋体" w:eastAsia="宋体" w:cs="宋体"/>
          <w:highlight w:val="none"/>
        </w:rPr>
      </w:pPr>
    </w:p>
    <w:p w14:paraId="53B2C225">
      <w:pPr>
        <w:pStyle w:val="15"/>
        <w:rPr>
          <w:rFonts w:hint="eastAsia" w:ascii="宋体" w:hAnsi="宋体" w:eastAsia="宋体" w:cs="宋体"/>
          <w:highlight w:val="none"/>
        </w:rPr>
      </w:pPr>
    </w:p>
    <w:p w14:paraId="3FAA7B72">
      <w:pPr>
        <w:pStyle w:val="15"/>
        <w:rPr>
          <w:rFonts w:hint="eastAsia" w:ascii="宋体" w:hAnsi="宋体" w:eastAsia="宋体" w:cs="宋体"/>
          <w:highlight w:val="none"/>
        </w:rPr>
      </w:pPr>
    </w:p>
    <w:p w14:paraId="1BC9B93A">
      <w:pPr>
        <w:pStyle w:val="15"/>
        <w:rPr>
          <w:rFonts w:hint="eastAsia" w:ascii="宋体" w:hAnsi="宋体" w:eastAsia="宋体" w:cs="宋体"/>
          <w:highlight w:val="none"/>
        </w:rPr>
      </w:pPr>
    </w:p>
    <w:p w14:paraId="1D4CB259">
      <w:pPr>
        <w:pStyle w:val="15"/>
        <w:rPr>
          <w:rFonts w:hint="eastAsia" w:ascii="宋体" w:hAnsi="宋体" w:eastAsia="宋体" w:cs="宋体"/>
          <w:highlight w:val="none"/>
        </w:rPr>
      </w:pPr>
    </w:p>
    <w:p w14:paraId="375DD7AE">
      <w:pPr>
        <w:pStyle w:val="15"/>
        <w:rPr>
          <w:rFonts w:hint="eastAsia" w:ascii="宋体" w:hAnsi="宋体" w:eastAsia="宋体" w:cs="宋体"/>
          <w:highlight w:val="none"/>
        </w:rPr>
      </w:pPr>
    </w:p>
    <w:p w14:paraId="34DD0F34">
      <w:pPr>
        <w:pStyle w:val="15"/>
        <w:rPr>
          <w:rFonts w:hint="eastAsia" w:ascii="宋体" w:hAnsi="宋体" w:eastAsia="宋体" w:cs="宋体"/>
          <w:highlight w:val="none"/>
        </w:rPr>
      </w:pPr>
    </w:p>
    <w:p w14:paraId="1620B896">
      <w:pPr>
        <w:pStyle w:val="15"/>
        <w:rPr>
          <w:rFonts w:hint="eastAsia" w:ascii="宋体" w:hAnsi="宋体" w:eastAsia="宋体" w:cs="宋体"/>
          <w:highlight w:val="none"/>
        </w:rPr>
      </w:pPr>
    </w:p>
    <w:p w14:paraId="28FCC4CE">
      <w:pPr>
        <w:pStyle w:val="15"/>
        <w:rPr>
          <w:rFonts w:hint="eastAsia" w:ascii="宋体" w:hAnsi="宋体" w:eastAsia="宋体" w:cs="宋体"/>
          <w:highlight w:val="none"/>
        </w:rPr>
      </w:pPr>
    </w:p>
    <w:p w14:paraId="413F35FF">
      <w:pPr>
        <w:pStyle w:val="15"/>
        <w:rPr>
          <w:rFonts w:hint="eastAsia" w:ascii="宋体" w:hAnsi="宋体" w:eastAsia="宋体" w:cs="宋体"/>
          <w:highlight w:val="none"/>
        </w:rPr>
      </w:pPr>
    </w:p>
    <w:p w14:paraId="7C20D875">
      <w:pPr>
        <w:pStyle w:val="15"/>
        <w:rPr>
          <w:rFonts w:hint="eastAsia" w:ascii="宋体" w:hAnsi="宋体" w:eastAsia="宋体" w:cs="宋体"/>
          <w:highlight w:val="none"/>
        </w:rPr>
      </w:pPr>
    </w:p>
    <w:p w14:paraId="12927083">
      <w:pPr>
        <w:pStyle w:val="15"/>
        <w:rPr>
          <w:rFonts w:hint="eastAsia" w:ascii="宋体" w:hAnsi="宋体" w:eastAsia="宋体" w:cs="宋体"/>
          <w:highlight w:val="none"/>
        </w:rPr>
      </w:pPr>
    </w:p>
    <w:p w14:paraId="54294BBC">
      <w:pPr>
        <w:pStyle w:val="15"/>
        <w:rPr>
          <w:rFonts w:hint="eastAsia" w:ascii="宋体" w:hAnsi="宋体" w:eastAsia="宋体" w:cs="宋体"/>
          <w:highlight w:val="none"/>
        </w:rPr>
      </w:pPr>
    </w:p>
    <w:p w14:paraId="6A9A5568">
      <w:pPr>
        <w:pStyle w:val="15"/>
        <w:rPr>
          <w:rFonts w:hint="eastAsia" w:ascii="宋体" w:hAnsi="宋体" w:eastAsia="宋体" w:cs="宋体"/>
          <w:highlight w:val="none"/>
        </w:rPr>
      </w:pPr>
    </w:p>
    <w:p w14:paraId="6569E71F">
      <w:pPr>
        <w:pStyle w:val="15"/>
        <w:rPr>
          <w:rFonts w:hint="eastAsia" w:ascii="宋体" w:hAnsi="宋体" w:eastAsia="宋体" w:cs="宋体"/>
          <w:highlight w:val="none"/>
        </w:rPr>
      </w:pPr>
    </w:p>
    <w:p w14:paraId="588A9882">
      <w:pPr>
        <w:pStyle w:val="15"/>
        <w:rPr>
          <w:rFonts w:hint="eastAsia" w:ascii="宋体" w:hAnsi="宋体" w:eastAsia="宋体" w:cs="宋体"/>
          <w:highlight w:val="none"/>
        </w:rPr>
      </w:pPr>
    </w:p>
    <w:p w14:paraId="6CD60A24">
      <w:pPr>
        <w:pStyle w:val="15"/>
        <w:rPr>
          <w:rFonts w:hint="eastAsia" w:ascii="宋体" w:hAnsi="宋体" w:eastAsia="宋体" w:cs="宋体"/>
          <w:highlight w:val="none"/>
        </w:rPr>
      </w:pPr>
    </w:p>
    <w:p w14:paraId="58ECA7C4">
      <w:pPr>
        <w:pStyle w:val="15"/>
        <w:rPr>
          <w:rFonts w:hint="eastAsia" w:ascii="宋体" w:hAnsi="宋体" w:eastAsia="宋体" w:cs="宋体"/>
          <w:highlight w:val="none"/>
        </w:rPr>
      </w:pPr>
    </w:p>
    <w:p w14:paraId="7EEC0C22">
      <w:pPr>
        <w:pStyle w:val="15"/>
        <w:rPr>
          <w:rFonts w:hint="eastAsia" w:ascii="宋体" w:hAnsi="宋体" w:eastAsia="宋体" w:cs="宋体"/>
          <w:highlight w:val="none"/>
        </w:rPr>
      </w:pPr>
    </w:p>
    <w:p w14:paraId="218B4ACC">
      <w:pPr>
        <w:pStyle w:val="15"/>
        <w:rPr>
          <w:rFonts w:hint="eastAsia" w:ascii="宋体" w:hAnsi="宋体" w:eastAsia="宋体" w:cs="宋体"/>
          <w:highlight w:val="none"/>
        </w:rPr>
      </w:pPr>
    </w:p>
    <w:p w14:paraId="311D41CF">
      <w:pPr>
        <w:pStyle w:val="15"/>
        <w:rPr>
          <w:rFonts w:hint="eastAsia" w:ascii="宋体" w:hAnsi="宋体" w:eastAsia="宋体" w:cs="宋体"/>
          <w:highlight w:val="none"/>
        </w:rPr>
      </w:pPr>
    </w:p>
    <w:p w14:paraId="5EE150BA">
      <w:pPr>
        <w:pStyle w:val="15"/>
        <w:rPr>
          <w:rFonts w:hint="eastAsia" w:ascii="宋体" w:hAnsi="宋体" w:eastAsia="宋体" w:cs="宋体"/>
          <w:highlight w:val="none"/>
        </w:rPr>
      </w:pPr>
    </w:p>
    <w:p w14:paraId="4DDCBAB3">
      <w:pPr>
        <w:pStyle w:val="15"/>
        <w:rPr>
          <w:rFonts w:hint="eastAsia" w:ascii="宋体" w:hAnsi="宋体" w:eastAsia="宋体" w:cs="宋体"/>
          <w:highlight w:val="none"/>
        </w:rPr>
      </w:pPr>
    </w:p>
    <w:p w14:paraId="592E430D">
      <w:pPr>
        <w:pStyle w:val="15"/>
        <w:rPr>
          <w:rFonts w:hint="eastAsia" w:ascii="宋体" w:hAnsi="宋体" w:eastAsia="宋体" w:cs="宋体"/>
          <w:highlight w:val="none"/>
        </w:rPr>
      </w:pPr>
    </w:p>
    <w:p w14:paraId="30E169AA">
      <w:pPr>
        <w:pStyle w:val="15"/>
        <w:rPr>
          <w:rFonts w:hint="eastAsia" w:ascii="宋体" w:hAnsi="宋体" w:eastAsia="宋体" w:cs="宋体"/>
          <w:highlight w:val="none"/>
        </w:rPr>
      </w:pPr>
    </w:p>
    <w:p w14:paraId="2051C217">
      <w:pPr>
        <w:pStyle w:val="15"/>
        <w:rPr>
          <w:rFonts w:hint="eastAsia" w:ascii="宋体" w:hAnsi="宋体" w:eastAsia="宋体" w:cs="宋体"/>
          <w:highlight w:val="none"/>
        </w:rPr>
      </w:pPr>
    </w:p>
    <w:p w14:paraId="6FA32E07">
      <w:pPr>
        <w:pStyle w:val="15"/>
        <w:rPr>
          <w:rFonts w:hint="eastAsia" w:ascii="宋体" w:hAnsi="宋体" w:eastAsia="宋体" w:cs="宋体"/>
          <w:highlight w:val="none"/>
        </w:rPr>
      </w:pPr>
    </w:p>
    <w:p w14:paraId="6A9B0016">
      <w:pPr>
        <w:pStyle w:val="15"/>
        <w:rPr>
          <w:rFonts w:hint="eastAsia" w:ascii="宋体" w:hAnsi="宋体" w:eastAsia="宋体" w:cs="宋体"/>
          <w:highlight w:val="none"/>
        </w:rPr>
      </w:pPr>
    </w:p>
    <w:p w14:paraId="52EBE2F7">
      <w:pPr>
        <w:pStyle w:val="15"/>
        <w:rPr>
          <w:rFonts w:hint="eastAsia" w:ascii="宋体" w:hAnsi="宋体" w:eastAsia="宋体" w:cs="宋体"/>
          <w:highlight w:val="none"/>
        </w:rPr>
      </w:pPr>
    </w:p>
    <w:p w14:paraId="4662F17A">
      <w:pPr>
        <w:pStyle w:val="15"/>
        <w:rPr>
          <w:rFonts w:hint="eastAsia" w:ascii="宋体" w:hAnsi="宋体" w:eastAsia="宋体" w:cs="宋体"/>
          <w:highlight w:val="none"/>
        </w:rPr>
      </w:pPr>
    </w:p>
    <w:p w14:paraId="0388ECF3">
      <w:pPr>
        <w:pStyle w:val="4"/>
        <w:rPr>
          <w:rFonts w:hint="eastAsia" w:ascii="宋体" w:hAnsi="宋体" w:eastAsia="宋体" w:cs="宋体"/>
          <w:sz w:val="28"/>
          <w:szCs w:val="36"/>
          <w:highlight w:val="none"/>
        </w:rPr>
      </w:pPr>
      <w:bookmarkStart w:id="169" w:name="_Toc40975456"/>
      <w:bookmarkStart w:id="170" w:name="_Toc235"/>
      <w:bookmarkStart w:id="171" w:name="_Toc5312_WPSOffice_Level2"/>
      <w:bookmarkStart w:id="172" w:name="_Toc8310"/>
      <w:bookmarkStart w:id="173" w:name="_Toc516969105"/>
      <w:bookmarkStart w:id="174" w:name="_Toc220232402"/>
      <w:bookmarkStart w:id="175" w:name="_Toc25061"/>
      <w:r>
        <w:rPr>
          <w:rFonts w:hint="eastAsia" w:hAnsi="宋体" w:cs="宋体"/>
          <w:sz w:val="28"/>
          <w:highlight w:val="none"/>
          <w:lang w:val="en-US" w:eastAsia="zh-CN"/>
        </w:rPr>
        <w:t>六</w:t>
      </w:r>
      <w:r>
        <w:rPr>
          <w:rFonts w:hint="eastAsia" w:ascii="宋体" w:hAnsi="宋体" w:eastAsia="宋体" w:cs="宋体"/>
          <w:sz w:val="28"/>
          <w:highlight w:val="none"/>
        </w:rPr>
        <w:t>．有关证明文件</w:t>
      </w:r>
      <w:bookmarkEnd w:id="169"/>
      <w:bookmarkEnd w:id="170"/>
      <w:bookmarkEnd w:id="171"/>
      <w:bookmarkEnd w:id="172"/>
      <w:bookmarkEnd w:id="173"/>
      <w:bookmarkEnd w:id="174"/>
      <w:bookmarkEnd w:id="175"/>
    </w:p>
    <w:p w14:paraId="6380D05C">
      <w:pPr>
        <w:tabs>
          <w:tab w:val="left" w:pos="462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提供符合投标邀请（招标公告）、需求一览表及评标办法规定的相关证明文件。</w:t>
      </w:r>
    </w:p>
    <w:p w14:paraId="2748AEA6">
      <w:pPr>
        <w:tabs>
          <w:tab w:val="left" w:pos="4620"/>
        </w:tabs>
        <w:spacing w:line="360" w:lineRule="auto"/>
        <w:ind w:firstLine="480" w:firstLineChars="200"/>
        <w:rPr>
          <w:rFonts w:hint="eastAsia" w:ascii="宋体" w:hAnsi="宋体" w:eastAsia="宋体" w:cs="宋体"/>
          <w:sz w:val="24"/>
          <w:highlight w:val="none"/>
        </w:rPr>
      </w:pPr>
    </w:p>
    <w:p w14:paraId="3218AD08">
      <w:pPr>
        <w:tabs>
          <w:tab w:val="left" w:pos="4620"/>
        </w:tabs>
        <w:spacing w:line="360" w:lineRule="auto"/>
        <w:ind w:firstLine="480" w:firstLineChars="200"/>
        <w:rPr>
          <w:rFonts w:hint="eastAsia" w:ascii="宋体" w:hAnsi="宋体" w:eastAsia="宋体" w:cs="宋体"/>
          <w:sz w:val="24"/>
          <w:highlight w:val="none"/>
        </w:rPr>
      </w:pPr>
    </w:p>
    <w:p w14:paraId="3A8B65D1">
      <w:pPr>
        <w:tabs>
          <w:tab w:val="left" w:pos="4620"/>
        </w:tabs>
        <w:spacing w:line="360" w:lineRule="auto"/>
        <w:ind w:firstLine="480" w:firstLineChars="200"/>
        <w:rPr>
          <w:rFonts w:hint="eastAsia" w:ascii="宋体" w:hAnsi="宋体" w:eastAsia="宋体" w:cs="宋体"/>
          <w:sz w:val="24"/>
          <w:highlight w:val="none"/>
        </w:rPr>
      </w:pPr>
    </w:p>
    <w:p w14:paraId="5A06817A">
      <w:pPr>
        <w:tabs>
          <w:tab w:val="left" w:pos="4620"/>
        </w:tabs>
        <w:spacing w:line="360" w:lineRule="auto"/>
        <w:ind w:firstLine="480" w:firstLineChars="200"/>
        <w:rPr>
          <w:rFonts w:hint="eastAsia" w:ascii="宋体" w:hAnsi="宋体" w:eastAsia="宋体" w:cs="宋体"/>
          <w:sz w:val="24"/>
          <w:highlight w:val="none"/>
        </w:rPr>
      </w:pPr>
    </w:p>
    <w:p w14:paraId="34E92EC3">
      <w:pPr>
        <w:tabs>
          <w:tab w:val="left" w:pos="4620"/>
        </w:tabs>
        <w:spacing w:line="360" w:lineRule="auto"/>
        <w:ind w:firstLine="480" w:firstLineChars="200"/>
        <w:rPr>
          <w:rFonts w:hint="eastAsia" w:ascii="宋体" w:hAnsi="宋体" w:eastAsia="宋体" w:cs="宋体"/>
          <w:sz w:val="24"/>
          <w:highlight w:val="none"/>
        </w:rPr>
      </w:pPr>
    </w:p>
    <w:p w14:paraId="5B7DA3EC">
      <w:pPr>
        <w:tabs>
          <w:tab w:val="left" w:pos="4620"/>
        </w:tabs>
        <w:spacing w:line="360" w:lineRule="auto"/>
        <w:ind w:firstLine="480" w:firstLineChars="200"/>
        <w:rPr>
          <w:rFonts w:hint="eastAsia" w:ascii="宋体" w:hAnsi="宋体" w:eastAsia="宋体" w:cs="宋体"/>
          <w:sz w:val="24"/>
          <w:highlight w:val="none"/>
        </w:rPr>
      </w:pPr>
    </w:p>
    <w:p w14:paraId="598656E9">
      <w:pPr>
        <w:tabs>
          <w:tab w:val="left" w:pos="4620"/>
        </w:tabs>
        <w:spacing w:line="360" w:lineRule="auto"/>
        <w:ind w:firstLine="480" w:firstLineChars="200"/>
        <w:rPr>
          <w:rFonts w:hint="eastAsia" w:ascii="宋体" w:hAnsi="宋体" w:eastAsia="宋体" w:cs="宋体"/>
          <w:sz w:val="24"/>
          <w:highlight w:val="none"/>
        </w:rPr>
      </w:pPr>
    </w:p>
    <w:p w14:paraId="13DB1649">
      <w:pPr>
        <w:tabs>
          <w:tab w:val="left" w:pos="4620"/>
        </w:tabs>
        <w:spacing w:line="360" w:lineRule="auto"/>
        <w:ind w:firstLine="480" w:firstLineChars="200"/>
        <w:rPr>
          <w:rFonts w:hint="eastAsia" w:ascii="宋体" w:hAnsi="宋体" w:eastAsia="宋体" w:cs="宋体"/>
          <w:sz w:val="24"/>
          <w:highlight w:val="none"/>
        </w:rPr>
      </w:pPr>
    </w:p>
    <w:p w14:paraId="55C53461">
      <w:pPr>
        <w:tabs>
          <w:tab w:val="left" w:pos="4620"/>
        </w:tabs>
        <w:spacing w:line="360" w:lineRule="auto"/>
        <w:ind w:firstLine="480" w:firstLineChars="200"/>
        <w:rPr>
          <w:rFonts w:hint="eastAsia" w:ascii="宋体" w:hAnsi="宋体" w:eastAsia="宋体" w:cs="宋体"/>
          <w:sz w:val="24"/>
          <w:highlight w:val="none"/>
        </w:rPr>
      </w:pPr>
    </w:p>
    <w:p w14:paraId="49B36403">
      <w:pPr>
        <w:tabs>
          <w:tab w:val="left" w:pos="4620"/>
        </w:tabs>
        <w:spacing w:line="360" w:lineRule="auto"/>
        <w:ind w:firstLine="480" w:firstLineChars="200"/>
        <w:rPr>
          <w:rFonts w:hint="eastAsia" w:ascii="宋体" w:hAnsi="宋体" w:eastAsia="宋体" w:cs="宋体"/>
          <w:sz w:val="24"/>
          <w:highlight w:val="none"/>
        </w:rPr>
      </w:pPr>
    </w:p>
    <w:p w14:paraId="5B29B5CE">
      <w:pPr>
        <w:tabs>
          <w:tab w:val="left" w:pos="4620"/>
        </w:tabs>
        <w:spacing w:line="360" w:lineRule="auto"/>
        <w:ind w:firstLine="480" w:firstLineChars="200"/>
        <w:rPr>
          <w:rFonts w:hint="eastAsia" w:ascii="宋体" w:hAnsi="宋体" w:eastAsia="宋体" w:cs="宋体"/>
          <w:sz w:val="24"/>
          <w:highlight w:val="none"/>
        </w:rPr>
      </w:pPr>
    </w:p>
    <w:p w14:paraId="6FF49915">
      <w:pPr>
        <w:tabs>
          <w:tab w:val="left" w:pos="4620"/>
        </w:tabs>
        <w:spacing w:line="360" w:lineRule="auto"/>
        <w:ind w:firstLine="480" w:firstLineChars="200"/>
        <w:rPr>
          <w:rFonts w:hint="eastAsia" w:ascii="宋体" w:hAnsi="宋体" w:eastAsia="宋体" w:cs="宋体"/>
          <w:sz w:val="24"/>
          <w:highlight w:val="none"/>
        </w:rPr>
      </w:pPr>
    </w:p>
    <w:p w14:paraId="5B75966A">
      <w:pPr>
        <w:pStyle w:val="24"/>
        <w:rPr>
          <w:rFonts w:hint="eastAsia" w:ascii="宋体" w:hAnsi="宋体" w:eastAsia="宋体" w:cs="宋体"/>
          <w:sz w:val="24"/>
          <w:highlight w:val="none"/>
        </w:rPr>
      </w:pPr>
    </w:p>
    <w:p w14:paraId="36BDA49A">
      <w:pPr>
        <w:pStyle w:val="5"/>
        <w:rPr>
          <w:rFonts w:hint="eastAsia" w:ascii="宋体" w:hAnsi="宋体" w:eastAsia="宋体" w:cs="宋体"/>
          <w:sz w:val="24"/>
          <w:highlight w:val="none"/>
        </w:rPr>
      </w:pPr>
    </w:p>
    <w:p w14:paraId="74D5C1F4">
      <w:pPr>
        <w:rPr>
          <w:rFonts w:hint="eastAsia" w:ascii="宋体" w:hAnsi="宋体" w:eastAsia="宋体" w:cs="宋体"/>
          <w:sz w:val="24"/>
          <w:highlight w:val="none"/>
        </w:rPr>
      </w:pPr>
    </w:p>
    <w:p w14:paraId="1CE05C10">
      <w:pPr>
        <w:pStyle w:val="24"/>
        <w:rPr>
          <w:rFonts w:hint="eastAsia" w:ascii="宋体" w:hAnsi="宋体" w:eastAsia="宋体" w:cs="宋体"/>
          <w:sz w:val="24"/>
          <w:highlight w:val="none"/>
        </w:rPr>
      </w:pPr>
    </w:p>
    <w:p w14:paraId="0DB72656">
      <w:pPr>
        <w:pStyle w:val="5"/>
        <w:rPr>
          <w:rFonts w:hint="eastAsia" w:ascii="宋体" w:hAnsi="宋体" w:eastAsia="宋体" w:cs="宋体"/>
          <w:sz w:val="24"/>
          <w:highlight w:val="none"/>
        </w:rPr>
      </w:pPr>
    </w:p>
    <w:p w14:paraId="501D5A18">
      <w:pPr>
        <w:rPr>
          <w:rFonts w:hint="eastAsia" w:ascii="宋体" w:hAnsi="宋体" w:eastAsia="宋体" w:cs="宋体"/>
          <w:sz w:val="24"/>
          <w:highlight w:val="none"/>
        </w:rPr>
      </w:pPr>
    </w:p>
    <w:p w14:paraId="54A5F2C5">
      <w:pPr>
        <w:pStyle w:val="24"/>
        <w:rPr>
          <w:rFonts w:hint="eastAsia" w:ascii="宋体" w:hAnsi="宋体" w:eastAsia="宋体" w:cs="宋体"/>
          <w:sz w:val="24"/>
          <w:highlight w:val="none"/>
        </w:rPr>
      </w:pPr>
    </w:p>
    <w:p w14:paraId="3F4466A9">
      <w:pPr>
        <w:pStyle w:val="5"/>
        <w:rPr>
          <w:rFonts w:hint="eastAsia" w:ascii="宋体" w:hAnsi="宋体" w:eastAsia="宋体" w:cs="宋体"/>
          <w:sz w:val="24"/>
          <w:highlight w:val="none"/>
        </w:rPr>
      </w:pPr>
    </w:p>
    <w:p w14:paraId="335C9978">
      <w:pPr>
        <w:rPr>
          <w:rFonts w:hint="eastAsia" w:ascii="宋体" w:hAnsi="宋体" w:eastAsia="宋体" w:cs="宋体"/>
          <w:sz w:val="24"/>
          <w:highlight w:val="none"/>
        </w:rPr>
      </w:pPr>
    </w:p>
    <w:p w14:paraId="571AD9E8">
      <w:pPr>
        <w:pStyle w:val="24"/>
        <w:rPr>
          <w:rFonts w:hint="eastAsia" w:ascii="宋体" w:hAnsi="宋体" w:eastAsia="宋体" w:cs="宋体"/>
          <w:sz w:val="24"/>
          <w:highlight w:val="none"/>
        </w:rPr>
      </w:pPr>
    </w:p>
    <w:p w14:paraId="31396AB7">
      <w:pPr>
        <w:pStyle w:val="5"/>
        <w:rPr>
          <w:rFonts w:hint="eastAsia" w:ascii="宋体" w:hAnsi="宋体" w:eastAsia="宋体" w:cs="宋体"/>
          <w:sz w:val="24"/>
          <w:highlight w:val="none"/>
        </w:rPr>
      </w:pPr>
    </w:p>
    <w:p w14:paraId="08C75B49">
      <w:pPr>
        <w:rPr>
          <w:rFonts w:hint="eastAsia" w:ascii="宋体" w:hAnsi="宋体" w:eastAsia="宋体" w:cs="宋体"/>
          <w:sz w:val="24"/>
          <w:highlight w:val="none"/>
        </w:rPr>
      </w:pPr>
    </w:p>
    <w:p w14:paraId="28C29197">
      <w:pPr>
        <w:pStyle w:val="24"/>
        <w:rPr>
          <w:rFonts w:hint="eastAsia" w:ascii="宋体" w:hAnsi="宋体" w:eastAsia="宋体" w:cs="宋体"/>
          <w:sz w:val="24"/>
          <w:highlight w:val="none"/>
        </w:rPr>
      </w:pPr>
    </w:p>
    <w:p w14:paraId="4C4971FE">
      <w:pPr>
        <w:pStyle w:val="5"/>
        <w:rPr>
          <w:rFonts w:hint="eastAsia" w:ascii="宋体" w:hAnsi="宋体" w:eastAsia="宋体" w:cs="宋体"/>
          <w:sz w:val="24"/>
          <w:highlight w:val="none"/>
        </w:rPr>
      </w:pPr>
    </w:p>
    <w:p w14:paraId="700B597F">
      <w:pPr>
        <w:rPr>
          <w:rFonts w:hint="eastAsia" w:ascii="宋体" w:hAnsi="宋体" w:eastAsia="宋体" w:cs="宋体"/>
          <w:sz w:val="24"/>
          <w:highlight w:val="none"/>
        </w:rPr>
      </w:pPr>
    </w:p>
    <w:p w14:paraId="5178D236">
      <w:pPr>
        <w:pStyle w:val="24"/>
        <w:rPr>
          <w:rFonts w:hint="eastAsia"/>
          <w:highlight w:val="none"/>
        </w:rPr>
      </w:pPr>
    </w:p>
    <w:p w14:paraId="4FB3BA08">
      <w:pPr>
        <w:tabs>
          <w:tab w:val="left" w:pos="4620"/>
        </w:tabs>
        <w:spacing w:line="360" w:lineRule="auto"/>
        <w:ind w:firstLine="480" w:firstLineChars="200"/>
        <w:rPr>
          <w:rFonts w:hint="eastAsia" w:ascii="宋体" w:hAnsi="宋体" w:eastAsia="宋体" w:cs="宋体"/>
          <w:sz w:val="24"/>
          <w:highlight w:val="none"/>
        </w:rPr>
      </w:pPr>
    </w:p>
    <w:p w14:paraId="31F4434F">
      <w:pPr>
        <w:tabs>
          <w:tab w:val="left" w:pos="4620"/>
        </w:tabs>
        <w:spacing w:line="360" w:lineRule="auto"/>
        <w:rPr>
          <w:rFonts w:hint="eastAsia" w:ascii="宋体" w:hAnsi="宋体" w:eastAsia="宋体" w:cs="宋体"/>
          <w:sz w:val="24"/>
          <w:highlight w:val="none"/>
        </w:rPr>
      </w:pPr>
    </w:p>
    <w:p w14:paraId="09545C1C">
      <w:pPr>
        <w:tabs>
          <w:tab w:val="left" w:pos="4620"/>
        </w:tabs>
        <w:spacing w:line="360" w:lineRule="auto"/>
        <w:ind w:firstLine="480" w:firstLineChars="200"/>
        <w:rPr>
          <w:rFonts w:hint="eastAsia" w:ascii="宋体" w:hAnsi="宋体" w:eastAsia="宋体" w:cs="宋体"/>
          <w:sz w:val="24"/>
          <w:highlight w:val="none"/>
        </w:rPr>
      </w:pPr>
    </w:p>
    <w:p w14:paraId="51036F70">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p>
    <w:p w14:paraId="680D8BAD">
      <w:pPr>
        <w:pStyle w:val="4"/>
        <w:numPr>
          <w:ilvl w:val="0"/>
          <w:numId w:val="0"/>
        </w:numPr>
        <w:bidi w:val="0"/>
        <w:jc w:val="center"/>
        <w:rPr>
          <w:rFonts w:hint="eastAsia"/>
          <w:b/>
          <w:bCs/>
          <w:sz w:val="32"/>
          <w:szCs w:val="32"/>
          <w:highlight w:val="none"/>
        </w:rPr>
      </w:pPr>
      <w:r>
        <w:rPr>
          <w:rFonts w:hint="eastAsia"/>
          <w:highlight w:val="none"/>
          <w:lang w:val="en-US" w:eastAsia="zh-CN"/>
        </w:rPr>
        <w:t>七．</w:t>
      </w:r>
      <w:r>
        <w:rPr>
          <w:rFonts w:hint="eastAsia"/>
          <w:highlight w:val="none"/>
        </w:rPr>
        <w:t>中小企业声明函（工程、服务）</w:t>
      </w:r>
    </w:p>
    <w:p w14:paraId="1473C2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（含联合体中的中小企业、签订分包意向协议的中小企业）</w:t>
      </w:r>
      <w:r>
        <w:rPr>
          <w:rFonts w:hint="eastAsia" w:ascii="宋体" w:hAnsi="宋体" w:eastAsia="宋体" w:cs="宋体"/>
          <w:sz w:val="24"/>
          <w:szCs w:val="24"/>
          <w:highlight w:val="none"/>
        </w:rPr>
        <w:t>的具体情 况如下：</w:t>
      </w:r>
    </w:p>
    <w:p w14:paraId="452EB1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万元，属于（中型企业、小型企业、微型企业）； </w:t>
      </w:r>
    </w:p>
    <w:p w14:paraId="19DD57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696956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16CEB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本企业对上述声明内容的真实性负责。如有虚假，将依法承担相应责任。 </w:t>
      </w:r>
    </w:p>
    <w:p w14:paraId="7F96F9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72B39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5C01B09C">
      <w:pPr>
        <w:pStyle w:val="24"/>
        <w:rPr>
          <w:rFonts w:hint="eastAsia" w:ascii="宋体" w:hAnsi="宋体" w:eastAsia="宋体" w:cs="宋体"/>
          <w:sz w:val="24"/>
          <w:szCs w:val="24"/>
          <w:highlight w:val="none"/>
        </w:rPr>
      </w:pPr>
    </w:p>
    <w:p w14:paraId="4CABB122">
      <w:pPr>
        <w:pStyle w:val="5"/>
        <w:rPr>
          <w:rFonts w:hint="eastAsia" w:ascii="宋体" w:hAnsi="宋体" w:eastAsia="宋体" w:cs="宋体"/>
          <w:sz w:val="24"/>
          <w:szCs w:val="24"/>
          <w:highlight w:val="none"/>
        </w:rPr>
      </w:pPr>
    </w:p>
    <w:p w14:paraId="50B571B5">
      <w:pPr>
        <w:rPr>
          <w:rFonts w:hint="eastAsia" w:ascii="宋体" w:hAnsi="宋体" w:eastAsia="宋体" w:cs="宋体"/>
          <w:sz w:val="24"/>
          <w:szCs w:val="24"/>
          <w:highlight w:val="none"/>
        </w:rPr>
      </w:pPr>
    </w:p>
    <w:p w14:paraId="4B13440A">
      <w:pPr>
        <w:pStyle w:val="24"/>
        <w:rPr>
          <w:rFonts w:hint="eastAsia" w:ascii="宋体" w:hAnsi="宋体" w:eastAsia="宋体" w:cs="宋体"/>
          <w:sz w:val="24"/>
          <w:szCs w:val="24"/>
          <w:highlight w:val="none"/>
        </w:rPr>
      </w:pPr>
    </w:p>
    <w:p w14:paraId="3C5C8CC7">
      <w:pPr>
        <w:pStyle w:val="5"/>
        <w:rPr>
          <w:rFonts w:hint="eastAsia"/>
          <w:highlight w:val="none"/>
        </w:rPr>
      </w:pPr>
    </w:p>
    <w:p w14:paraId="2D25B5E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01AA8A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7060B1D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sz w:val="24"/>
          <w:szCs w:val="28"/>
          <w:highlight w:val="none"/>
          <w:lang w:val="en-US" w:eastAsia="zh-CN"/>
        </w:rPr>
      </w:pPr>
    </w:p>
    <w:p w14:paraId="64624B50">
      <w:pPr>
        <w:rPr>
          <w:rFonts w:hint="eastAsia" w:ascii="宋体" w:hAnsi="宋体" w:eastAsia="宋体" w:cs="宋体"/>
          <w:sz w:val="28"/>
          <w:szCs w:val="28"/>
          <w:highlight w:val="none"/>
        </w:rPr>
      </w:pPr>
    </w:p>
    <w:p w14:paraId="67AE9737">
      <w:pPr>
        <w:rPr>
          <w:rFonts w:hint="eastAsia" w:ascii="宋体" w:hAnsi="宋体" w:eastAsia="宋体" w:cs="宋体"/>
          <w:sz w:val="28"/>
          <w:szCs w:val="28"/>
          <w:highlight w:val="none"/>
        </w:rPr>
      </w:pPr>
      <w:bookmarkStart w:id="176" w:name="_Toc220232403"/>
    </w:p>
    <w:p w14:paraId="4078DFB4">
      <w:pPr>
        <w:rPr>
          <w:rFonts w:hint="eastAsia" w:ascii="宋体" w:hAnsi="宋体" w:eastAsia="宋体" w:cs="宋体"/>
          <w:sz w:val="28"/>
          <w:szCs w:val="28"/>
          <w:highlight w:val="none"/>
        </w:rPr>
      </w:pPr>
    </w:p>
    <w:bookmarkEnd w:id="176"/>
    <w:p w14:paraId="43E8762E">
      <w:pPr>
        <w:pStyle w:val="4"/>
        <w:jc w:val="center"/>
        <w:rPr>
          <w:rFonts w:hint="eastAsia" w:ascii="宋体" w:hAnsi="宋体" w:eastAsia="宋体" w:cs="宋体"/>
          <w:sz w:val="36"/>
          <w:szCs w:val="36"/>
          <w:highlight w:val="none"/>
        </w:rPr>
      </w:pPr>
      <w:bookmarkStart w:id="177" w:name="_Hlt526418111"/>
      <w:bookmarkEnd w:id="177"/>
      <w:bookmarkStart w:id="178" w:name="_Hlt526418103"/>
      <w:bookmarkEnd w:id="178"/>
      <w:bookmarkStart w:id="179" w:name="_Toc516969110"/>
      <w:bookmarkStart w:id="180" w:name="_Toc220232405"/>
      <w:bookmarkStart w:id="181" w:name="_Toc2532_WPSOffice_Level2"/>
      <w:r>
        <w:rPr>
          <w:rFonts w:hint="eastAsia" w:ascii="宋体" w:hAnsi="宋体" w:eastAsia="宋体" w:cs="宋体"/>
          <w:sz w:val="28"/>
          <w:highlight w:val="none"/>
        </w:rPr>
        <w:br w:type="page"/>
      </w:r>
      <w:bookmarkStart w:id="182" w:name="_Toc2639"/>
      <w:bookmarkStart w:id="183" w:name="_Toc40975458"/>
      <w:bookmarkStart w:id="184" w:name="_Toc10948"/>
      <w:bookmarkStart w:id="185" w:name="_Toc3638"/>
      <w:r>
        <w:rPr>
          <w:rFonts w:hint="eastAsia" w:hAnsi="宋体" w:cs="宋体"/>
          <w:sz w:val="28"/>
          <w:highlight w:val="none"/>
          <w:lang w:val="en-US" w:eastAsia="zh-CN"/>
        </w:rPr>
        <w:t>八</w:t>
      </w:r>
      <w:r>
        <w:rPr>
          <w:rFonts w:hint="eastAsia" w:ascii="宋体" w:hAnsi="宋体" w:eastAsia="宋体" w:cs="宋体"/>
          <w:sz w:val="28"/>
          <w:highlight w:val="none"/>
        </w:rPr>
        <w:t>．售后服务</w:t>
      </w:r>
      <w:bookmarkEnd w:id="179"/>
      <w:bookmarkEnd w:id="180"/>
      <w:bookmarkEnd w:id="181"/>
      <w:bookmarkEnd w:id="182"/>
      <w:bookmarkEnd w:id="183"/>
      <w:bookmarkEnd w:id="184"/>
      <w:bookmarkEnd w:id="185"/>
    </w:p>
    <w:p w14:paraId="168F4CE8">
      <w:pPr>
        <w:jc w:val="center"/>
        <w:rPr>
          <w:rFonts w:hint="eastAsia" w:ascii="宋体" w:hAnsi="宋体" w:eastAsia="宋体" w:cs="宋体"/>
          <w:sz w:val="28"/>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w:t>
      </w:r>
    </w:p>
    <w:p w14:paraId="1AAD3915">
      <w:pPr>
        <w:spacing w:line="500" w:lineRule="exact"/>
        <w:jc w:val="center"/>
        <w:rPr>
          <w:rFonts w:hint="eastAsia" w:ascii="宋体" w:hAnsi="宋体" w:eastAsia="宋体" w:cs="宋体"/>
          <w:b/>
          <w:bCs/>
          <w:sz w:val="30"/>
          <w:highlight w:val="none"/>
        </w:rPr>
      </w:pPr>
      <w:bookmarkStart w:id="186" w:name="_Hlt526418107"/>
      <w:bookmarkEnd w:id="186"/>
    </w:p>
    <w:p w14:paraId="6CFA776A">
      <w:pPr>
        <w:pStyle w:val="4"/>
        <w:rPr>
          <w:rFonts w:hint="eastAsia" w:ascii="宋体" w:hAnsi="宋体" w:eastAsia="宋体" w:cs="宋体"/>
          <w:sz w:val="44"/>
          <w:highlight w:val="none"/>
        </w:rPr>
      </w:pPr>
      <w:bookmarkStart w:id="187" w:name="_Toc27099"/>
      <w:bookmarkStart w:id="188" w:name="_Toc516969111"/>
      <w:bookmarkStart w:id="189" w:name="_Toc359404312"/>
      <w:bookmarkStart w:id="190" w:name="_Toc30338_WPSOffice_Level2"/>
      <w:bookmarkStart w:id="191" w:name="_Toc26966"/>
      <w:bookmarkStart w:id="192" w:name="_Hlt509738384"/>
      <w:bookmarkStart w:id="193" w:name="_Toc40975459"/>
      <w:bookmarkStart w:id="194" w:name="_Toc10813"/>
      <w:bookmarkStart w:id="195" w:name="_Toc197934560"/>
      <w:r>
        <w:rPr>
          <w:rFonts w:hint="eastAsia" w:hAnsi="宋体" w:cs="宋体"/>
          <w:sz w:val="28"/>
          <w:highlight w:val="none"/>
          <w:lang w:val="en-US" w:eastAsia="zh-CN"/>
        </w:rPr>
        <w:t>九</w:t>
      </w:r>
      <w:r>
        <w:rPr>
          <w:rFonts w:hint="eastAsia" w:ascii="宋体" w:hAnsi="宋体" w:eastAsia="宋体" w:cs="宋体"/>
          <w:sz w:val="28"/>
          <w:highlight w:val="none"/>
        </w:rPr>
        <w:t>、所投</w:t>
      </w:r>
      <w:r>
        <w:rPr>
          <w:rFonts w:hint="eastAsia" w:ascii="宋体" w:hAnsi="宋体" w:eastAsia="宋体" w:cs="宋体"/>
          <w:sz w:val="28"/>
          <w:highlight w:val="none"/>
          <w:lang w:eastAsia="zh-CN"/>
        </w:rPr>
        <w:t>服务</w:t>
      </w:r>
      <w:r>
        <w:rPr>
          <w:rFonts w:hint="eastAsia" w:ascii="宋体" w:hAnsi="宋体" w:eastAsia="宋体" w:cs="宋体"/>
          <w:sz w:val="28"/>
          <w:highlight w:val="none"/>
        </w:rPr>
        <w:t>的技术资料等</w:t>
      </w:r>
      <w:bookmarkEnd w:id="187"/>
      <w:bookmarkEnd w:id="188"/>
      <w:bookmarkEnd w:id="189"/>
      <w:bookmarkEnd w:id="190"/>
      <w:bookmarkEnd w:id="191"/>
      <w:bookmarkEnd w:id="192"/>
      <w:bookmarkEnd w:id="193"/>
      <w:bookmarkEnd w:id="194"/>
      <w:bookmarkEnd w:id="195"/>
      <w:bookmarkStart w:id="196" w:name="_Hlt509650291"/>
      <w:bookmarkEnd w:id="196"/>
    </w:p>
    <w:p w14:paraId="1C25BE38">
      <w:pPr>
        <w:jc w:val="center"/>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cs="宋体"/>
          <w:sz w:val="24"/>
          <w:highlight w:val="none"/>
          <w:lang w:eastAsia="zh-CN"/>
        </w:rPr>
        <w:t>供应商</w:t>
      </w:r>
      <w:r>
        <w:rPr>
          <w:rFonts w:hint="eastAsia" w:ascii="宋体" w:hAnsi="宋体" w:eastAsia="宋体" w:cs="宋体"/>
          <w:sz w:val="24"/>
          <w:highlight w:val="none"/>
        </w:rPr>
        <w:t>可自行制作格式，可附产品技术彩页）</w:t>
      </w:r>
    </w:p>
    <w:p w14:paraId="7C285398">
      <w:pPr>
        <w:jc w:val="center"/>
        <w:rPr>
          <w:rFonts w:hint="eastAsia" w:ascii="宋体" w:hAnsi="宋体" w:eastAsia="宋体" w:cs="宋体"/>
          <w:sz w:val="24"/>
          <w:highlight w:val="none"/>
        </w:rPr>
      </w:pPr>
    </w:p>
    <w:p w14:paraId="08A6B28F">
      <w:pPr>
        <w:jc w:val="center"/>
        <w:rPr>
          <w:rFonts w:hint="eastAsia" w:ascii="宋体" w:hAnsi="宋体" w:eastAsia="宋体" w:cs="宋体"/>
          <w:sz w:val="24"/>
          <w:highlight w:val="none"/>
        </w:rPr>
      </w:pPr>
    </w:p>
    <w:p w14:paraId="13E555FF">
      <w:pPr>
        <w:jc w:val="center"/>
        <w:rPr>
          <w:rFonts w:hint="eastAsia" w:ascii="宋体" w:hAnsi="宋体" w:eastAsia="宋体" w:cs="宋体"/>
          <w:sz w:val="24"/>
          <w:highlight w:val="none"/>
        </w:rPr>
      </w:pPr>
    </w:p>
    <w:p w14:paraId="4362360E">
      <w:pPr>
        <w:pStyle w:val="4"/>
        <w:rPr>
          <w:rFonts w:hint="eastAsia" w:ascii="宋体" w:hAnsi="宋体" w:eastAsia="宋体" w:cs="宋体"/>
          <w:sz w:val="28"/>
          <w:highlight w:val="none"/>
        </w:rPr>
      </w:pPr>
      <w:bookmarkStart w:id="197" w:name="_Toc17042"/>
      <w:bookmarkStart w:id="198" w:name="_Toc10283"/>
      <w:bookmarkStart w:id="199" w:name="_Toc1814"/>
      <w:r>
        <w:rPr>
          <w:rFonts w:hint="eastAsia" w:ascii="宋体" w:hAnsi="宋体" w:eastAsia="宋体" w:cs="宋体"/>
          <w:sz w:val="28"/>
          <w:highlight w:val="none"/>
        </w:rPr>
        <w:t>十、其他</w:t>
      </w:r>
      <w:r>
        <w:rPr>
          <w:rFonts w:hint="eastAsia" w:hAnsi="宋体" w:cs="宋体"/>
          <w:sz w:val="28"/>
          <w:highlight w:val="none"/>
          <w:lang w:eastAsia="zh-CN"/>
        </w:rPr>
        <w:t>供应商</w:t>
      </w:r>
      <w:r>
        <w:rPr>
          <w:rFonts w:hint="eastAsia" w:ascii="宋体" w:hAnsi="宋体" w:eastAsia="宋体" w:cs="宋体"/>
          <w:sz w:val="28"/>
          <w:highlight w:val="none"/>
        </w:rPr>
        <w:t>认为需要提供得材料等</w:t>
      </w:r>
      <w:bookmarkEnd w:id="197"/>
      <w:bookmarkEnd w:id="198"/>
      <w:bookmarkEnd w:id="199"/>
    </w:p>
    <w:p w14:paraId="63F8A007">
      <w:pPr>
        <w:bidi w:val="0"/>
        <w:rPr>
          <w:rFonts w:hint="eastAsia"/>
          <w:highlight w:val="none"/>
        </w:rPr>
      </w:pPr>
    </w:p>
    <w:p w14:paraId="53F1CBC0">
      <w:pPr>
        <w:jc w:val="center"/>
        <w:rPr>
          <w:rFonts w:hint="eastAsia" w:ascii="宋体" w:hAnsi="宋体" w:eastAsia="宋体" w:cs="宋体"/>
          <w:sz w:val="24"/>
          <w:highlight w:val="none"/>
        </w:rPr>
      </w:pPr>
    </w:p>
    <w:p w14:paraId="0AB31FAC">
      <w:pPr>
        <w:jc w:val="center"/>
        <w:rPr>
          <w:rFonts w:hint="eastAsia" w:ascii="宋体" w:hAnsi="宋体" w:eastAsia="宋体" w:cs="宋体"/>
          <w:sz w:val="24"/>
          <w:highlight w:val="none"/>
        </w:rPr>
      </w:pPr>
    </w:p>
    <w:p w14:paraId="20A0D1B0">
      <w:pPr>
        <w:jc w:val="center"/>
        <w:rPr>
          <w:rFonts w:hint="eastAsia" w:ascii="宋体" w:hAnsi="宋体" w:eastAsia="宋体" w:cs="宋体"/>
          <w:sz w:val="24"/>
          <w:highlight w:val="none"/>
        </w:rPr>
      </w:pPr>
    </w:p>
    <w:p w14:paraId="0841E89D">
      <w:pPr>
        <w:jc w:val="center"/>
        <w:rPr>
          <w:rFonts w:hint="eastAsia" w:ascii="宋体" w:hAnsi="宋体" w:eastAsia="宋体" w:cs="宋体"/>
          <w:sz w:val="24"/>
          <w:highlight w:val="none"/>
        </w:rPr>
      </w:pPr>
    </w:p>
    <w:p w14:paraId="6AD33F4D">
      <w:pPr>
        <w:jc w:val="center"/>
        <w:rPr>
          <w:rFonts w:hint="eastAsia" w:ascii="宋体" w:hAnsi="宋体" w:eastAsia="宋体" w:cs="宋体"/>
          <w:sz w:val="24"/>
          <w:highlight w:val="none"/>
        </w:rPr>
      </w:pPr>
    </w:p>
    <w:p w14:paraId="3E861F8A">
      <w:pPr>
        <w:jc w:val="center"/>
        <w:rPr>
          <w:rFonts w:hint="eastAsia" w:ascii="宋体" w:hAnsi="宋体" w:eastAsia="宋体" w:cs="宋体"/>
          <w:sz w:val="24"/>
          <w:highlight w:val="none"/>
        </w:rPr>
      </w:pPr>
    </w:p>
    <w:p w14:paraId="0BC898C8">
      <w:pPr>
        <w:jc w:val="center"/>
        <w:rPr>
          <w:rFonts w:hint="eastAsia" w:ascii="宋体" w:hAnsi="宋体" w:eastAsia="宋体" w:cs="宋体"/>
          <w:sz w:val="24"/>
          <w:highlight w:val="none"/>
        </w:rPr>
      </w:pPr>
    </w:p>
    <w:p w14:paraId="6C70666A">
      <w:pPr>
        <w:jc w:val="center"/>
        <w:rPr>
          <w:rFonts w:hint="eastAsia" w:ascii="宋体" w:hAnsi="宋体" w:eastAsia="宋体" w:cs="宋体"/>
          <w:sz w:val="24"/>
          <w:highlight w:val="none"/>
        </w:rPr>
      </w:pPr>
    </w:p>
    <w:p w14:paraId="3BA5165A">
      <w:pPr>
        <w:jc w:val="center"/>
        <w:rPr>
          <w:rFonts w:hint="eastAsia" w:ascii="宋体" w:hAnsi="宋体" w:eastAsia="宋体" w:cs="宋体"/>
          <w:sz w:val="24"/>
          <w:highlight w:val="none"/>
        </w:rPr>
      </w:pPr>
    </w:p>
    <w:p w14:paraId="3874AC73">
      <w:pPr>
        <w:jc w:val="center"/>
        <w:rPr>
          <w:rFonts w:hint="eastAsia" w:ascii="宋体" w:hAnsi="宋体" w:eastAsia="宋体" w:cs="宋体"/>
          <w:sz w:val="24"/>
          <w:highlight w:val="none"/>
        </w:rPr>
      </w:pPr>
    </w:p>
    <w:p w14:paraId="7C490BD3">
      <w:pPr>
        <w:jc w:val="center"/>
        <w:rPr>
          <w:rFonts w:hint="eastAsia" w:ascii="宋体" w:hAnsi="宋体" w:eastAsia="宋体" w:cs="宋体"/>
          <w:sz w:val="24"/>
          <w:highlight w:val="none"/>
        </w:rPr>
      </w:pPr>
    </w:p>
    <w:p w14:paraId="3E3A7AA7">
      <w:pPr>
        <w:jc w:val="center"/>
        <w:rPr>
          <w:rFonts w:hint="eastAsia" w:ascii="宋体" w:hAnsi="宋体" w:eastAsia="宋体" w:cs="宋体"/>
          <w:sz w:val="24"/>
          <w:highlight w:val="none"/>
        </w:rPr>
      </w:pPr>
    </w:p>
    <w:p w14:paraId="4F653A4B">
      <w:pPr>
        <w:pStyle w:val="15"/>
        <w:rPr>
          <w:rFonts w:hint="eastAsia" w:ascii="宋体" w:hAnsi="宋体" w:eastAsia="宋体" w:cs="宋体"/>
          <w:highlight w:val="none"/>
        </w:rPr>
      </w:pPr>
    </w:p>
    <w:p w14:paraId="5FFC2340">
      <w:pPr>
        <w:pStyle w:val="15"/>
        <w:rPr>
          <w:rFonts w:hint="eastAsia" w:ascii="宋体" w:hAnsi="宋体" w:eastAsia="宋体" w:cs="宋体"/>
          <w:highlight w:val="none"/>
        </w:rPr>
      </w:pPr>
    </w:p>
    <w:p w14:paraId="17719E55">
      <w:pPr>
        <w:pStyle w:val="15"/>
        <w:rPr>
          <w:rFonts w:hint="eastAsia" w:ascii="宋体" w:hAnsi="宋体" w:eastAsia="宋体" w:cs="宋体"/>
          <w:highlight w:val="none"/>
        </w:rPr>
      </w:pPr>
    </w:p>
    <w:p w14:paraId="372CBA17">
      <w:pPr>
        <w:pStyle w:val="15"/>
        <w:rPr>
          <w:rFonts w:hint="eastAsia" w:ascii="宋体" w:hAnsi="宋体" w:eastAsia="宋体" w:cs="宋体"/>
          <w:highlight w:val="none"/>
        </w:rPr>
      </w:pPr>
    </w:p>
    <w:p w14:paraId="42769ADB">
      <w:pPr>
        <w:pStyle w:val="15"/>
        <w:rPr>
          <w:rFonts w:hint="eastAsia" w:ascii="宋体" w:hAnsi="宋体" w:eastAsia="宋体" w:cs="宋体"/>
          <w:highlight w:val="none"/>
        </w:rPr>
      </w:pPr>
    </w:p>
    <w:p w14:paraId="7C2AE57B">
      <w:pPr>
        <w:pStyle w:val="15"/>
        <w:rPr>
          <w:rFonts w:hint="eastAsia" w:ascii="宋体" w:hAnsi="宋体" w:eastAsia="宋体" w:cs="宋体"/>
          <w:highlight w:val="none"/>
        </w:rPr>
      </w:pPr>
    </w:p>
    <w:p w14:paraId="1E935D78">
      <w:pPr>
        <w:pStyle w:val="15"/>
        <w:rPr>
          <w:rFonts w:hint="eastAsia" w:ascii="宋体" w:hAnsi="宋体" w:eastAsia="宋体" w:cs="宋体"/>
          <w:highlight w:val="none"/>
        </w:rPr>
      </w:pPr>
    </w:p>
    <w:p w14:paraId="25C25B2F">
      <w:pPr>
        <w:jc w:val="center"/>
        <w:rPr>
          <w:rFonts w:hint="eastAsia" w:ascii="宋体" w:hAnsi="宋体" w:eastAsia="宋体" w:cs="宋体"/>
          <w:sz w:val="24"/>
          <w:highlight w:val="none"/>
        </w:rPr>
      </w:pPr>
    </w:p>
    <w:p w14:paraId="73F95633">
      <w:pPr>
        <w:jc w:val="center"/>
        <w:rPr>
          <w:rFonts w:hint="eastAsia" w:ascii="宋体" w:hAnsi="宋体" w:eastAsia="宋体" w:cs="宋体"/>
          <w:sz w:val="24"/>
          <w:highlight w:val="none"/>
        </w:rPr>
      </w:pPr>
    </w:p>
    <w:p w14:paraId="03316A73">
      <w:pPr>
        <w:jc w:val="center"/>
        <w:rPr>
          <w:rFonts w:hint="eastAsia" w:ascii="宋体" w:hAnsi="宋体" w:eastAsia="宋体" w:cs="宋体"/>
          <w:sz w:val="24"/>
          <w:highlight w:val="none"/>
        </w:rPr>
      </w:pPr>
    </w:p>
    <w:p w14:paraId="39082E59">
      <w:pPr>
        <w:jc w:val="center"/>
        <w:rPr>
          <w:rFonts w:hint="eastAsia" w:ascii="宋体" w:hAnsi="宋体" w:eastAsia="宋体" w:cs="宋体"/>
          <w:sz w:val="24"/>
          <w:highlight w:val="none"/>
        </w:rPr>
      </w:pPr>
    </w:p>
    <w:p w14:paraId="42E79D79">
      <w:pPr>
        <w:jc w:val="center"/>
        <w:rPr>
          <w:rFonts w:hint="eastAsia" w:ascii="宋体" w:hAnsi="宋体" w:eastAsia="宋体" w:cs="宋体"/>
          <w:sz w:val="24"/>
          <w:highlight w:val="none"/>
        </w:rPr>
      </w:pPr>
    </w:p>
    <w:p w14:paraId="1CE0F496">
      <w:pPr>
        <w:pStyle w:val="15"/>
        <w:rPr>
          <w:rFonts w:hint="eastAsia" w:ascii="宋体" w:hAnsi="宋体" w:eastAsia="宋体" w:cs="宋体"/>
          <w:highlight w:val="none"/>
        </w:rPr>
      </w:pPr>
    </w:p>
    <w:p w14:paraId="3236FCCE">
      <w:pPr>
        <w:pStyle w:val="15"/>
        <w:rPr>
          <w:rFonts w:hint="eastAsia" w:ascii="宋体" w:hAnsi="宋体" w:eastAsia="宋体" w:cs="宋体"/>
          <w:highlight w:val="none"/>
        </w:rPr>
      </w:pPr>
    </w:p>
    <w:p w14:paraId="3BEBA58A">
      <w:pPr>
        <w:pStyle w:val="4"/>
        <w:bidi w:val="0"/>
        <w:rPr>
          <w:rFonts w:hint="eastAsia"/>
          <w:highlight w:val="none"/>
        </w:rPr>
      </w:pPr>
      <w:r>
        <w:rPr>
          <w:rFonts w:hint="eastAsia"/>
          <w:highlight w:val="none"/>
        </w:rPr>
        <w:t>十</w:t>
      </w:r>
      <w:r>
        <w:rPr>
          <w:rFonts w:hint="eastAsia"/>
          <w:highlight w:val="none"/>
          <w:lang w:val="en-US" w:eastAsia="zh-CN"/>
        </w:rPr>
        <w:t>一</w:t>
      </w:r>
      <w:r>
        <w:rPr>
          <w:rFonts w:hint="eastAsia"/>
          <w:highlight w:val="none"/>
        </w:rPr>
        <w:t>、政府采购供应商诚信承诺书</w:t>
      </w:r>
    </w:p>
    <w:p w14:paraId="6560B0E4">
      <w:pPr>
        <w:spacing w:line="380" w:lineRule="exact"/>
        <w:jc w:val="center"/>
        <w:rPr>
          <w:rFonts w:hint="eastAsia" w:ascii="宋体" w:hAnsi="宋体" w:eastAsia="宋体" w:cs="宋体"/>
          <w:b/>
          <w:sz w:val="24"/>
          <w:highlight w:val="none"/>
        </w:rPr>
      </w:pPr>
    </w:p>
    <w:p w14:paraId="424C99FB">
      <w:pPr>
        <w:spacing w:line="38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CF79AD">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（一）提供虚假材料谋取中标;</w:t>
      </w:r>
    </w:p>
    <w:p w14:paraId="7DDD7A0F">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（二）采取不正当手段诋毁、排挤其他供应商;</w:t>
      </w:r>
    </w:p>
    <w:p w14:paraId="7C323423">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（三）与招标采购单位、其他</w:t>
      </w:r>
      <w:r>
        <w:rPr>
          <w:rFonts w:hint="eastAsia" w:ascii="宋体" w:hAnsi="宋体" w:cs="宋体"/>
          <w:sz w:val="24"/>
          <w:highlight w:val="none"/>
          <w:lang w:eastAsia="zh-CN"/>
        </w:rPr>
        <w:t>供应商</w:t>
      </w:r>
      <w:r>
        <w:rPr>
          <w:rFonts w:hint="eastAsia" w:ascii="宋体" w:hAnsi="宋体" w:eastAsia="宋体" w:cs="宋体"/>
          <w:sz w:val="24"/>
          <w:highlight w:val="none"/>
        </w:rPr>
        <w:t>恶意串通;</w:t>
      </w:r>
    </w:p>
    <w:p w14:paraId="195BF5EA">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（四）向招标采购单位或提供其他不正当利益;</w:t>
      </w:r>
    </w:p>
    <w:p w14:paraId="2CA83F42">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（五）在招标过程中与招标采购单位进行协商谈判、不按照招标文件和投标文件订立合同，或者与采购人另立背离合同实质性内容协议;</w:t>
      </w:r>
    </w:p>
    <w:p w14:paraId="03096CD5">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（六）开标后擅自撤销投标，影响招标继续进行的或领取招标文件纳投标保证金后不投标导致废标;</w:t>
      </w:r>
    </w:p>
    <w:p w14:paraId="6CFCEE56">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（七）中标后无正当理由，在规定时间内不与采购单位签订合同;</w:t>
      </w:r>
    </w:p>
    <w:p w14:paraId="403D51B3">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（八）将中标项目转让给他人或非法分包他人;</w:t>
      </w:r>
    </w:p>
    <w:p w14:paraId="5B62FF07">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（九）无正当理由，拒绝履行合同义务;</w:t>
      </w:r>
    </w:p>
    <w:p w14:paraId="573F2DCC">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（十）无正当理由放弃中标（成交）项目;</w:t>
      </w:r>
    </w:p>
    <w:p w14:paraId="74C9B1D2">
      <w:pPr>
        <w:spacing w:line="380" w:lineRule="exact"/>
        <w:ind w:firstLine="403" w:firstLineChars="168"/>
        <w:rPr>
          <w:rFonts w:hint="eastAsia" w:ascii="宋体" w:hAnsi="宋体" w:eastAsia="宋体" w:cs="宋体"/>
          <w:sz w:val="24"/>
          <w:highlight w:val="none"/>
        </w:rPr>
      </w:pPr>
      <w:r>
        <w:rPr>
          <w:rFonts w:hint="eastAsia" w:ascii="宋体" w:hAnsi="宋体" w:eastAsia="宋体" w:cs="宋体"/>
          <w:sz w:val="24"/>
          <w:highlight w:val="none"/>
        </w:rPr>
        <w:t>（十ー）擅自或与与采购人串通或接受采购人要求，在履约合同中通过减少</w:t>
      </w:r>
      <w:r>
        <w:rPr>
          <w:rFonts w:hint="eastAsia" w:ascii="宋体" w:hAnsi="宋体" w:eastAsia="宋体" w:cs="宋体"/>
          <w:sz w:val="24"/>
          <w:highlight w:val="none"/>
          <w:lang w:val="en-US" w:eastAsia="zh-CN"/>
        </w:rPr>
        <w:t>服务</w:t>
      </w:r>
      <w:r>
        <w:rPr>
          <w:rFonts w:hint="eastAsia" w:ascii="宋体" w:hAnsi="宋体" w:eastAsia="宋体" w:cs="宋体"/>
          <w:sz w:val="24"/>
          <w:highlight w:val="none"/>
        </w:rPr>
        <w:t>数量，更服务标准等，却仍按原合同进行虚假验收或终止政府采购合同;</w:t>
      </w:r>
    </w:p>
    <w:p w14:paraId="6735C4D5">
      <w:pPr>
        <w:spacing w:line="380" w:lineRule="exact"/>
        <w:ind w:firstLine="403" w:firstLineChars="168"/>
        <w:jc w:val="left"/>
        <w:rPr>
          <w:rFonts w:hint="eastAsia" w:ascii="宋体" w:hAnsi="宋体" w:eastAsia="宋体" w:cs="宋体"/>
          <w:sz w:val="24"/>
          <w:highlight w:val="none"/>
        </w:rPr>
      </w:pPr>
      <w:r>
        <w:rPr>
          <w:rFonts w:hint="eastAsia" w:ascii="宋体" w:hAnsi="宋体" w:eastAsia="宋体" w:cs="宋体"/>
          <w:sz w:val="24"/>
          <w:highlight w:val="none"/>
        </w:rPr>
        <w:t>（十二）与采购人串通，对尚未履约完毕的采购项目出具虚假验收报告；</w:t>
      </w:r>
    </w:p>
    <w:p w14:paraId="40593BCE">
      <w:pPr>
        <w:spacing w:line="380" w:lineRule="exact"/>
        <w:ind w:firstLine="403" w:firstLineChars="168"/>
        <w:jc w:val="left"/>
        <w:rPr>
          <w:rFonts w:hint="eastAsia" w:ascii="宋体" w:hAnsi="宋体" w:eastAsia="宋体" w:cs="宋体"/>
          <w:sz w:val="24"/>
          <w:highlight w:val="none"/>
        </w:rPr>
      </w:pPr>
      <w:r>
        <w:rPr>
          <w:rFonts w:hint="eastAsia" w:ascii="宋体" w:hAnsi="宋体" w:eastAsia="宋体" w:cs="宋体"/>
          <w:sz w:val="24"/>
          <w:highlight w:val="none"/>
        </w:rPr>
        <w:t>（十三）无不可抗力因素，拒绝提供售后服务、售后服务态度恶劣、故意提高维修配件价格（高于市场平均价）；</w:t>
      </w:r>
    </w:p>
    <w:p w14:paraId="283ED1DF">
      <w:pPr>
        <w:spacing w:line="380" w:lineRule="exact"/>
        <w:ind w:firstLine="360" w:firstLineChars="150"/>
        <w:jc w:val="left"/>
        <w:rPr>
          <w:rFonts w:hint="eastAsia" w:ascii="宋体" w:hAnsi="宋体" w:eastAsia="宋体" w:cs="宋体"/>
          <w:sz w:val="24"/>
          <w:highlight w:val="none"/>
        </w:rPr>
      </w:pPr>
      <w:r>
        <w:rPr>
          <w:rFonts w:hint="eastAsia" w:ascii="宋体" w:hAnsi="宋体" w:eastAsia="宋体" w:cs="宋体"/>
          <w:sz w:val="24"/>
          <w:highlight w:val="none"/>
        </w:rPr>
        <w:t>（十四）开标后对招标文件的相关内容再进行质疑；</w:t>
      </w:r>
    </w:p>
    <w:p w14:paraId="3A464F7B">
      <w:pPr>
        <w:spacing w:line="380" w:lineRule="exact"/>
        <w:ind w:firstLine="360" w:firstLineChars="150"/>
        <w:jc w:val="left"/>
        <w:rPr>
          <w:rFonts w:hint="eastAsia" w:ascii="宋体" w:hAnsi="宋体" w:eastAsia="宋体" w:cs="宋体"/>
          <w:sz w:val="24"/>
          <w:highlight w:val="none"/>
        </w:rPr>
      </w:pPr>
      <w:r>
        <w:rPr>
          <w:rFonts w:hint="eastAsia" w:ascii="宋体" w:hAnsi="宋体" w:eastAsia="宋体" w:cs="宋体"/>
          <w:sz w:val="24"/>
          <w:highlight w:val="none"/>
        </w:rPr>
        <w:t>（十五）恶意投诉的行为：投诉经查无实据的、捏造事实或者提供虚假设诉材料；</w:t>
      </w:r>
    </w:p>
    <w:p w14:paraId="456F15A4">
      <w:pPr>
        <w:spacing w:line="380" w:lineRule="exact"/>
        <w:ind w:firstLine="240" w:firstLineChars="100"/>
        <w:jc w:val="left"/>
        <w:rPr>
          <w:rFonts w:hint="eastAsia" w:ascii="宋体" w:hAnsi="宋体" w:eastAsia="宋体" w:cs="宋体"/>
          <w:sz w:val="24"/>
          <w:highlight w:val="none"/>
        </w:rPr>
      </w:pPr>
      <w:r>
        <w:rPr>
          <w:rFonts w:hint="eastAsia" w:ascii="宋体" w:hAnsi="宋体" w:eastAsia="宋体" w:cs="宋体"/>
          <w:sz w:val="24"/>
          <w:highlight w:val="none"/>
        </w:rPr>
        <w:t>（十六）拒绝有关部门监督检查或者提供虚假情况；</w:t>
      </w:r>
    </w:p>
    <w:p w14:paraId="0E6EC395">
      <w:pPr>
        <w:spacing w:line="380" w:lineRule="exact"/>
        <w:ind w:firstLine="240" w:firstLineChars="100"/>
        <w:jc w:val="left"/>
        <w:rPr>
          <w:rFonts w:hint="eastAsia" w:ascii="宋体" w:hAnsi="宋体" w:eastAsia="宋体" w:cs="宋体"/>
          <w:sz w:val="24"/>
          <w:highlight w:val="none"/>
        </w:rPr>
      </w:pPr>
      <w:r>
        <w:rPr>
          <w:rFonts w:hint="eastAsia" w:ascii="宋体" w:hAnsi="宋体" w:eastAsia="宋体" w:cs="宋体"/>
          <w:sz w:val="24"/>
          <w:highlight w:val="none"/>
        </w:rPr>
        <w:t>（十七）政府采购监管部门认定的其他政府采购活动中的不诚信行为。</w:t>
      </w:r>
    </w:p>
    <w:p w14:paraId="35B0D34B">
      <w:pPr>
        <w:spacing w:line="380" w:lineRule="exact"/>
        <w:jc w:val="center"/>
        <w:rPr>
          <w:rFonts w:hint="eastAsia" w:ascii="宋体" w:hAnsi="宋体" w:eastAsia="宋体" w:cs="宋体"/>
          <w:sz w:val="24"/>
          <w:highlight w:val="none"/>
        </w:rPr>
      </w:pPr>
    </w:p>
    <w:p w14:paraId="3FAB997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供应商名称：（电子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p>
    <w:p w14:paraId="63F0D2BD">
      <w:pPr>
        <w:spacing w:line="380" w:lineRule="exact"/>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w:t>
      </w:r>
    </w:p>
    <w:p w14:paraId="6A099A2A">
      <w:pPr>
        <w:spacing w:line="380" w:lineRule="exact"/>
        <w:jc w:val="center"/>
        <w:rPr>
          <w:rFonts w:hint="eastAsia" w:ascii="宋体" w:hAnsi="宋体" w:eastAsia="宋体" w:cs="宋体"/>
          <w:sz w:val="24"/>
          <w:highlight w:val="none"/>
        </w:rPr>
      </w:pPr>
    </w:p>
    <w:p w14:paraId="6F32BAFA">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法人代表</w:t>
      </w:r>
      <w:r>
        <w:rPr>
          <w:rFonts w:hint="eastAsia" w:ascii="宋体" w:hAnsi="宋体" w:cs="宋体"/>
          <w:sz w:val="24"/>
          <w:highlight w:val="none"/>
          <w:lang w:val="en-US" w:eastAsia="zh-CN"/>
        </w:rPr>
        <w:t>或</w:t>
      </w:r>
      <w:r>
        <w:rPr>
          <w:rFonts w:hint="eastAsia" w:ascii="宋体" w:hAnsi="宋体" w:eastAsia="宋体" w:cs="宋体"/>
          <w:sz w:val="24"/>
          <w:highlight w:val="none"/>
        </w:rPr>
        <w:t>授权委托人：（签</w:t>
      </w:r>
      <w:r>
        <w:rPr>
          <w:rFonts w:hint="eastAsia" w:ascii="宋体" w:hAnsi="宋体" w:cs="宋体"/>
          <w:sz w:val="24"/>
          <w:highlight w:val="none"/>
          <w:lang w:val="en-US" w:eastAsia="zh-CN"/>
        </w:rPr>
        <w:t>字</w:t>
      </w:r>
      <w:r>
        <w:rPr>
          <w:rFonts w:hint="eastAsia" w:ascii="宋体" w:hAnsi="宋体" w:eastAsia="宋体" w:cs="宋体"/>
          <w:sz w:val="24"/>
          <w:highlight w:val="none"/>
        </w:rPr>
        <w:t>）</w:t>
      </w:r>
    </w:p>
    <w:p w14:paraId="654FC8A2">
      <w:pPr>
        <w:spacing w:line="380" w:lineRule="exact"/>
        <w:jc w:val="center"/>
        <w:rPr>
          <w:rFonts w:hint="eastAsia" w:ascii="宋体" w:hAnsi="宋体" w:eastAsia="宋体" w:cs="宋体"/>
          <w:sz w:val="24"/>
          <w:highlight w:val="none"/>
        </w:rPr>
      </w:pPr>
    </w:p>
    <w:p w14:paraId="7E73DC71">
      <w:pPr>
        <w:jc w:val="center"/>
        <w:rPr>
          <w:rFonts w:hint="eastAsia" w:ascii="宋体" w:hAnsi="宋体" w:eastAsia="宋体" w:cs="宋体"/>
          <w:sz w:val="24"/>
          <w:highlight w:val="none"/>
        </w:rPr>
      </w:pPr>
      <w:r>
        <w:rPr>
          <w:rFonts w:hint="eastAsia" w:ascii="宋体" w:hAnsi="宋体" w:eastAsia="宋体" w:cs="宋体"/>
          <w:sz w:val="24"/>
          <w:highlight w:val="none"/>
        </w:rPr>
        <w:t xml:space="preserve">               日期：      年   月    日</w:t>
      </w:r>
    </w:p>
    <w:p w14:paraId="2A381049">
      <w:pPr>
        <w:pStyle w:val="25"/>
        <w:ind w:firstLine="210"/>
        <w:rPr>
          <w:rFonts w:hint="eastAsia" w:ascii="宋体" w:hAnsi="宋体" w:eastAsia="宋体" w:cs="宋体"/>
          <w:highlight w:val="none"/>
        </w:rPr>
      </w:pPr>
    </w:p>
    <w:p w14:paraId="3156DC39">
      <w:pPr>
        <w:pStyle w:val="25"/>
        <w:ind w:firstLine="210"/>
        <w:rPr>
          <w:rFonts w:hint="eastAsia" w:ascii="宋体" w:hAnsi="宋体" w:eastAsia="宋体" w:cs="宋体"/>
          <w:highlight w:val="none"/>
        </w:rPr>
      </w:pPr>
    </w:p>
    <w:p w14:paraId="69DBA6A4">
      <w:pPr>
        <w:pStyle w:val="25"/>
        <w:ind w:firstLine="210"/>
        <w:rPr>
          <w:rFonts w:hint="eastAsia" w:ascii="宋体" w:hAnsi="宋体" w:eastAsia="宋体" w:cs="宋体"/>
          <w:highlight w:val="none"/>
        </w:rPr>
      </w:pPr>
    </w:p>
    <w:p w14:paraId="3A890DF5">
      <w:pPr>
        <w:pStyle w:val="2"/>
        <w:bidi w:val="0"/>
        <w:rPr>
          <w:rFonts w:hint="eastAsia" w:ascii="宋体" w:hAnsi="宋体" w:eastAsia="宋体" w:cs="宋体"/>
          <w:highlight w:val="none"/>
        </w:rPr>
      </w:pPr>
      <w:bookmarkStart w:id="200" w:name="_Toc12913"/>
      <w:r>
        <w:rPr>
          <w:rFonts w:hint="eastAsia" w:ascii="宋体" w:hAnsi="宋体" w:eastAsia="宋体" w:cs="宋体"/>
          <w:highlight w:val="none"/>
        </w:rPr>
        <w:t>周口市政府采购合同融资政策告知函</w:t>
      </w:r>
      <w:bookmarkEnd w:id="200"/>
    </w:p>
    <w:p w14:paraId="1E085F52">
      <w:pPr>
        <w:pStyle w:val="25"/>
        <w:ind w:firstLine="240"/>
        <w:rPr>
          <w:rFonts w:hint="eastAsia" w:ascii="宋体" w:hAnsi="宋体" w:eastAsia="宋体" w:cs="宋体"/>
          <w:sz w:val="24"/>
          <w:szCs w:val="24"/>
          <w:highlight w:val="none"/>
        </w:rPr>
      </w:pPr>
    </w:p>
    <w:p w14:paraId="18531060">
      <w:pPr>
        <w:pStyle w:val="25"/>
        <w:ind w:firstLine="240"/>
        <w:rPr>
          <w:rFonts w:hint="eastAsia" w:ascii="宋体" w:hAnsi="宋体" w:eastAsia="宋体" w:cs="宋体"/>
          <w:sz w:val="24"/>
          <w:szCs w:val="24"/>
          <w:highlight w:val="none"/>
        </w:rPr>
      </w:pPr>
    </w:p>
    <w:p w14:paraId="6E89FDA2">
      <w:pPr>
        <w:pStyle w:val="25"/>
        <w:ind w:firstLine="240"/>
        <w:rPr>
          <w:rFonts w:hint="eastAsia" w:ascii="宋体" w:hAnsi="宋体" w:eastAsia="宋体" w:cs="宋体"/>
          <w:sz w:val="24"/>
          <w:szCs w:val="24"/>
          <w:highlight w:val="none"/>
        </w:rPr>
      </w:pPr>
    </w:p>
    <w:p w14:paraId="7587F911">
      <w:pPr>
        <w:pStyle w:val="25"/>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各供应商：</w:t>
      </w:r>
    </w:p>
    <w:p w14:paraId="1EBC1315">
      <w:pPr>
        <w:pStyle w:val="25"/>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欢迎贵公司参与周口市政府采购活动！</w:t>
      </w:r>
    </w:p>
    <w:p w14:paraId="1E46E193">
      <w:pPr>
        <w:pStyle w:val="25"/>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78E2687">
      <w:pPr>
        <w:pStyle w:val="17"/>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贷款渠道和提供贷款的金融机构，可在河南省政府采购网“河南省政府采购合同融资平台”查询联系。</w:t>
      </w:r>
    </w:p>
    <w:p w14:paraId="2CED0DF4">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0AD7BD1E">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236F09BD">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0DC2EC1C">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516AEF29">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6F996C0B">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2D9C601C">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7ED0DA99">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37FD9BF5">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102C0813">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52CF57B6">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0560C58F">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314DEFE6">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019601D8">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3FC1FB93">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7169E56E">
      <w:pPr>
        <w:pStyle w:val="25"/>
        <w:ind w:left="0" w:leftChars="0" w:firstLine="0" w:firstLineChars="0"/>
        <w:rPr>
          <w:rFonts w:hint="eastAsia" w:ascii="宋体" w:hAnsi="宋体" w:eastAsia="宋体" w:cs="宋体"/>
          <w:sz w:val="24"/>
          <w:szCs w:val="24"/>
          <w:highlight w:val="none"/>
        </w:rPr>
      </w:pPr>
    </w:p>
    <w:p w14:paraId="55FBF500">
      <w:pPr>
        <w:rPr>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19C8F">
    <w:pPr>
      <w:pStyle w:val="13"/>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0EB3F91">
                          <w:pPr>
                            <w:pStyle w:val="13"/>
                            <w:rPr>
                              <w:rStyle w:val="23"/>
                              <w:rFonts w:hint="eastAsia"/>
                            </w:rPr>
                          </w:pPr>
                          <w:r>
                            <w:fldChar w:fldCharType="begin"/>
                          </w:r>
                          <w:r>
                            <w:rPr>
                              <w:rStyle w:val="23"/>
                            </w:rPr>
                            <w:instrText xml:space="preserve">PAGE   \* MERGEFORMAT</w:instrText>
                          </w:r>
                          <w:r>
                            <w:fldChar w:fldCharType="separate"/>
                          </w:r>
                          <w:r>
                            <w:rPr>
                              <w:rStyle w:val="23"/>
                              <w:lang w:val="zh-CN"/>
                            </w:rPr>
                            <w:t>15</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40EB3F91">
                    <w:pPr>
                      <w:pStyle w:val="13"/>
                      <w:rPr>
                        <w:rStyle w:val="23"/>
                        <w:rFonts w:hint="eastAsia"/>
                      </w:rPr>
                    </w:pPr>
                    <w:r>
                      <w:fldChar w:fldCharType="begin"/>
                    </w:r>
                    <w:r>
                      <w:rPr>
                        <w:rStyle w:val="23"/>
                      </w:rPr>
                      <w:instrText xml:space="preserve">PAGE   \* MERGEFORMAT</w:instrText>
                    </w:r>
                    <w:r>
                      <w:fldChar w:fldCharType="separate"/>
                    </w:r>
                    <w:r>
                      <w:rPr>
                        <w:rStyle w:val="23"/>
                        <w:lang w:val="zh-CN"/>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29FB6D"/>
    <w:multiLevelType w:val="singleLevel"/>
    <w:tmpl w:val="FB29FB6D"/>
    <w:lvl w:ilvl="0" w:tentative="0">
      <w:start w:val="2"/>
      <w:numFmt w:val="decimal"/>
      <w:suff w:val="nothing"/>
      <w:lvlText w:val="%1、"/>
      <w:lvlJc w:val="left"/>
    </w:lvl>
  </w:abstractNum>
  <w:abstractNum w:abstractNumId="1">
    <w:nsid w:val="1223B73C"/>
    <w:multiLevelType w:val="singleLevel"/>
    <w:tmpl w:val="1223B73C"/>
    <w:lvl w:ilvl="0" w:tentative="0">
      <w:start w:val="1"/>
      <w:numFmt w:val="chineseCounting"/>
      <w:suff w:val="space"/>
      <w:lvlText w:val="第%1章"/>
      <w:lvlJc w:val="left"/>
      <w:rPr>
        <w:rFonts w:hint="eastAsia"/>
      </w:rPr>
    </w:lvl>
  </w:abstractNum>
  <w:abstractNum w:abstractNumId="2">
    <w:nsid w:val="228F13F0"/>
    <w:multiLevelType w:val="singleLevel"/>
    <w:tmpl w:val="228F13F0"/>
    <w:lvl w:ilvl="0" w:tentative="0">
      <w:start w:val="1"/>
      <w:numFmt w:val="decimal"/>
      <w:lvlText w:val="%1."/>
      <w:lvlJc w:val="left"/>
      <w:pPr>
        <w:tabs>
          <w:tab w:val="left" w:pos="312"/>
        </w:tabs>
      </w:pPr>
    </w:lvl>
  </w:abstractNum>
  <w:abstractNum w:abstractNumId="3">
    <w:nsid w:val="7EC8B12C"/>
    <w:multiLevelType w:val="singleLevel"/>
    <w:tmpl w:val="7EC8B12C"/>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72DD1FFC"/>
    <w:rsid w:val="05131EC6"/>
    <w:rsid w:val="0AED5310"/>
    <w:rsid w:val="1238092A"/>
    <w:rsid w:val="1BEB2B7A"/>
    <w:rsid w:val="20AC5329"/>
    <w:rsid w:val="24AA4A97"/>
    <w:rsid w:val="26037BCF"/>
    <w:rsid w:val="2A4F0ED4"/>
    <w:rsid w:val="333F20BA"/>
    <w:rsid w:val="35EE310A"/>
    <w:rsid w:val="3B475C61"/>
    <w:rsid w:val="41BE0687"/>
    <w:rsid w:val="4CE511D4"/>
    <w:rsid w:val="4EF03291"/>
    <w:rsid w:val="52B535CE"/>
    <w:rsid w:val="5AA35B76"/>
    <w:rsid w:val="60106D27"/>
    <w:rsid w:val="6873121C"/>
    <w:rsid w:val="6CAC33B5"/>
    <w:rsid w:val="72DD1FFC"/>
    <w:rsid w:val="75334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2">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rPr>
      <w:rFonts w:ascii="黑体" w:hAnsi="Arial" w:eastAsia="黑体"/>
      <w:b/>
      <w:sz w:val="28"/>
    </w:rPr>
  </w:style>
  <w:style w:type="paragraph" w:styleId="8">
    <w:name w:val="Body Text"/>
    <w:basedOn w:val="1"/>
    <w:next w:val="9"/>
    <w:qFormat/>
    <w:uiPriority w:val="0"/>
    <w:rPr>
      <w:rFonts w:ascii="宋体" w:hAnsi="Arial"/>
      <w:sz w:val="28"/>
    </w:rPr>
  </w:style>
  <w:style w:type="paragraph" w:styleId="9">
    <w:name w:val="Body Text 2"/>
    <w:basedOn w:val="1"/>
    <w:next w:val="8"/>
    <w:qFormat/>
    <w:uiPriority w:val="0"/>
    <w:pPr>
      <w:spacing w:line="360" w:lineRule="auto"/>
    </w:pPr>
    <w:rPr>
      <w:sz w:val="24"/>
      <w:szCs w:val="20"/>
    </w:rPr>
  </w:style>
  <w:style w:type="paragraph" w:styleId="10">
    <w:name w:val="Body Text Indent"/>
    <w:basedOn w:val="1"/>
    <w:next w:val="1"/>
    <w:qFormat/>
    <w:uiPriority w:val="0"/>
    <w:pPr>
      <w:ind w:firstLine="645"/>
    </w:pPr>
    <w:rPr>
      <w:rFonts w:ascii="楷体_GB2312" w:eastAsia="楷体_GB2312"/>
      <w:sz w:val="32"/>
    </w:rPr>
  </w:style>
  <w:style w:type="paragraph" w:styleId="11">
    <w:name w:val="Plain Text"/>
    <w:basedOn w:val="1"/>
    <w:next w:val="8"/>
    <w:qFormat/>
    <w:uiPriority w:val="0"/>
    <w:rPr>
      <w:rFonts w:ascii="宋体" w:hAnsi="Courier New"/>
    </w:rPr>
  </w:style>
  <w:style w:type="paragraph" w:styleId="12">
    <w:name w:val="Date"/>
    <w:basedOn w:val="1"/>
    <w:next w:val="1"/>
    <w:qFormat/>
    <w:uiPriority w:val="0"/>
    <w:rPr>
      <w:b/>
      <w:sz w:val="2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footnote text"/>
    <w:basedOn w:val="1"/>
    <w:qFormat/>
    <w:uiPriority w:val="99"/>
    <w:pPr>
      <w:snapToGrid w:val="0"/>
      <w:jc w:val="left"/>
    </w:pPr>
    <w:rPr>
      <w:sz w:val="18"/>
      <w:szCs w:val="18"/>
    </w:rPr>
  </w:style>
  <w:style w:type="paragraph" w:styleId="16">
    <w:name w:val="toc 2"/>
    <w:basedOn w:val="1"/>
    <w:next w:val="1"/>
    <w:qFormat/>
    <w:uiPriority w:val="39"/>
    <w:pPr>
      <w:ind w:left="210"/>
      <w:jc w:val="left"/>
    </w:pPr>
    <w:rPr>
      <w:smallCaps/>
      <w:sz w:val="28"/>
      <w:szCs w:val="24"/>
    </w:rPr>
  </w:style>
  <w:style w:type="paragraph" w:styleId="1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8">
    <w:name w:val="index 1"/>
    <w:basedOn w:val="1"/>
    <w:next w:val="1"/>
    <w:qFormat/>
    <w:uiPriority w:val="0"/>
    <w:pPr>
      <w:jc w:val="center"/>
    </w:pPr>
    <w:rPr>
      <w:rFonts w:ascii="仿宋_GB2312" w:eastAsia="仿宋_GB2312"/>
      <w:b/>
      <w:bCs/>
      <w:sz w:val="28"/>
    </w:rPr>
  </w:style>
  <w:style w:type="paragraph" w:styleId="19">
    <w:name w:val="Body Text First Indent"/>
    <w:basedOn w:val="8"/>
    <w:next w:val="20"/>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0">
    <w:name w:val="Body Text First Indent 2"/>
    <w:basedOn w:val="10"/>
    <w:next w:val="1"/>
    <w:qFormat/>
    <w:uiPriority w:val="0"/>
    <w:pPr>
      <w:spacing w:after="120"/>
      <w:ind w:left="420" w:firstLine="210"/>
    </w:pPr>
    <w:rPr>
      <w:rFonts w:ascii="Times New Roman"/>
    </w:rPr>
  </w:style>
  <w:style w:type="character" w:styleId="23">
    <w:name w:val="page number"/>
    <w:basedOn w:val="22"/>
    <w:qFormat/>
    <w:uiPriority w:val="0"/>
  </w:style>
  <w:style w:type="paragraph" w:customStyle="1" w:styleId="24">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正文格式"/>
    <w:basedOn w:val="8"/>
    <w:qFormat/>
    <w:uiPriority w:val="0"/>
    <w:pPr>
      <w:spacing w:line="360" w:lineRule="auto"/>
      <w:ind w:firstLine="200" w:firstLineChars="200"/>
    </w:pPr>
    <w:rPr>
      <w:rFonts w:ascii="宋体" w:hAnsi="宋体"/>
      <w:kern w:val="2"/>
      <w:sz w:val="28"/>
      <w:szCs w:val="22"/>
      <w:lang w:val="en-US" w:eastAsia="zh-CN" w:bidi="ar-SA"/>
    </w:rPr>
  </w:style>
  <w:style w:type="paragraph" w:customStyle="1" w:styleId="28">
    <w:name w:val="D&amp;L"/>
    <w:basedOn w:val="14"/>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9">
    <w:name w:val="Default"/>
    <w:basedOn w:val="11"/>
    <w:next w:val="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0">
    <w:name w:val="正文1"/>
    <w:basedOn w:val="1"/>
    <w:qFormat/>
    <w:uiPriority w:val="0"/>
    <w:pPr>
      <w:widowControl/>
      <w:topLinePunct/>
      <w:spacing w:before="156" w:beforeLines="50" w:after="156" w:afterLines="50" w:line="300" w:lineRule="auto"/>
      <w:ind w:left="420"/>
    </w:pPr>
    <w:rPr>
      <w:szCs w:val="24"/>
    </w:rPr>
  </w:style>
  <w:style w:type="paragraph" w:customStyle="1" w:styleId="31">
    <w:name w:val="Char Char Char Char Char Char Char1 Char"/>
    <w:basedOn w:val="1"/>
    <w:qFormat/>
    <w:uiPriority w:val="0"/>
    <w:rPr>
      <w:rFonts w:ascii="Tahoma" w:hAnsi="Tahoma"/>
      <w:sz w:val="24"/>
    </w:rPr>
  </w:style>
  <w:style w:type="paragraph" w:customStyle="1" w:styleId="32">
    <w:name w:val="Table Text"/>
    <w:qFormat/>
    <w:uiPriority w:val="0"/>
    <w:pPr>
      <w:snapToGrid w:val="0"/>
      <w:spacing w:before="80" w:after="80"/>
    </w:pPr>
    <w:rPr>
      <w:rFonts w:ascii="Arial" w:hAnsi="Arial" w:eastAsia="宋体" w:cs="Times New Roman"/>
      <w:kern w:val="2"/>
      <w:sz w:val="18"/>
      <w:szCs w:val="18"/>
      <w:lang w:val="en-US" w:eastAsia="zh-CN" w:bidi="ar-SA"/>
    </w:rPr>
  </w:style>
  <w:style w:type="table" w:customStyle="1" w:styleId="33">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10312</Words>
  <Characters>11078</Characters>
  <Lines>0</Lines>
  <Paragraphs>0</Paragraphs>
  <TotalTime>0</TotalTime>
  <ScaleCrop>false</ScaleCrop>
  <LinksUpToDate>false</LinksUpToDate>
  <CharactersWithSpaces>11355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2026-08-19T09:04:00Z</dcterms:created>
  <dc:creator>hengyue</dc:creator>
  <cp:lastModifiedBy>user</cp:lastModifiedBy>
  <dcterms:modified xsi:type="dcterms:W3CDTF">2026-08-25T07:03:44Z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AD8BA704F29A41B8AD96039CA00C37A0_13</vt:lpwstr>
  </property>
  <property fmtid="{D5CDD505-2E9C-101B-9397-08002B2CF9AE}" pid="4" name="KSOTemplateDocerSaveRecord">
    <vt:lpwstr>eyJoZGlkIjoiNTQ3MGY4OWEwYWQ5MGRhOTEyZDdjODBiNTM4ZTJjNzciLCJ1c2VySWQiOiIxMDg5MjYwMDExIn0=</vt:lpwstr>
  </property>
</Properties>
</file>