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EFE6A9">
      <w:pPr>
        <w:tabs>
          <w:tab w:val="left" w:pos="420"/>
        </w:tabs>
        <w:spacing w:line="1700" w:lineRule="exact"/>
        <w:jc w:val="center"/>
        <w:rPr>
          <w:rFonts w:hint="eastAsia" w:ascii="宋体" w:hAnsi="宋体" w:cs="宋体"/>
          <w:b/>
          <w:color w:val="auto"/>
          <w:spacing w:val="36"/>
          <w:sz w:val="72"/>
          <w:szCs w:val="72"/>
          <w:highlight w:val="none"/>
          <w14:shadow w14:blurRad="50800" w14:dist="38100" w14:dir="2700000" w14:sx="100000" w14:sy="100000" w14:kx="0" w14:ky="0" w14:algn="tl">
            <w14:srgbClr w14:val="000000">
              <w14:alpha w14:val="60000"/>
            </w14:srgbClr>
          </w14:shadow>
        </w:rPr>
      </w:pPr>
      <w:r>
        <w:rPr>
          <w:rFonts w:hint="eastAsia" w:ascii="宋体" w:hAnsi="宋体" w:cs="宋体"/>
          <w:b/>
          <w:bCs/>
          <w:color w:val="auto"/>
          <w:kern w:val="0"/>
          <w:sz w:val="72"/>
          <w:szCs w:val="72"/>
          <w:highlight w:val="none"/>
          <w14:shadow w14:blurRad="50800" w14:dist="38100" w14:dir="2700000" w14:sx="100000" w14:sy="100000" w14:kx="0" w14:ky="0" w14:algn="tl">
            <w14:srgbClr w14:val="000000">
              <w14:alpha w14:val="60000"/>
            </w14:srgbClr>
          </w14:shadow>
        </w:rPr>
        <w:t>周口市公共资源交易中心</w:t>
      </w:r>
    </w:p>
    <w:p w14:paraId="41A477F4">
      <w:pPr>
        <w:tabs>
          <w:tab w:val="left" w:pos="315"/>
          <w:tab w:val="left" w:pos="8820"/>
        </w:tabs>
        <w:spacing w:line="500" w:lineRule="exact"/>
        <w:ind w:right="267" w:rightChars="127"/>
        <w:jc w:val="center"/>
        <w:rPr>
          <w:rFonts w:hint="eastAsia" w:ascii="宋体" w:hAnsi="宋体" w:cs="宋体"/>
          <w:b/>
          <w:bCs/>
          <w:color w:val="auto"/>
          <w:sz w:val="48"/>
          <w:highlight w:val="none"/>
        </w:rPr>
      </w:pPr>
    </w:p>
    <w:p w14:paraId="4D1959A5">
      <w:pPr>
        <w:tabs>
          <w:tab w:val="left" w:pos="315"/>
          <w:tab w:val="left" w:pos="8820"/>
        </w:tabs>
        <w:spacing w:line="500" w:lineRule="exact"/>
        <w:ind w:right="267" w:rightChars="127"/>
        <w:jc w:val="center"/>
        <w:rPr>
          <w:rFonts w:hint="eastAsia" w:ascii="宋体" w:hAnsi="宋体" w:cs="宋体"/>
          <w:b/>
          <w:bCs/>
          <w:color w:val="auto"/>
          <w:sz w:val="52"/>
          <w:highlight w:val="none"/>
        </w:rPr>
      </w:pPr>
    </w:p>
    <w:p w14:paraId="3F4A7C7D">
      <w:pPr>
        <w:tabs>
          <w:tab w:val="left" w:pos="315"/>
          <w:tab w:val="left" w:pos="8820"/>
        </w:tabs>
        <w:spacing w:line="500" w:lineRule="exact"/>
        <w:ind w:right="267" w:rightChars="127"/>
        <w:jc w:val="center"/>
        <w:rPr>
          <w:rFonts w:hint="eastAsia" w:ascii="宋体" w:hAnsi="宋体" w:cs="宋体"/>
          <w:b/>
          <w:bCs/>
          <w:color w:val="auto"/>
          <w:sz w:val="52"/>
          <w:highlight w:val="none"/>
        </w:rPr>
      </w:pPr>
    </w:p>
    <w:p w14:paraId="2359C38F">
      <w:pPr>
        <w:tabs>
          <w:tab w:val="left" w:pos="315"/>
          <w:tab w:val="left" w:pos="8820"/>
        </w:tabs>
        <w:spacing w:line="500" w:lineRule="exact"/>
        <w:ind w:right="267" w:rightChars="127"/>
        <w:jc w:val="center"/>
        <w:rPr>
          <w:rFonts w:hint="eastAsia" w:ascii="宋体" w:hAnsi="宋体" w:cs="宋体"/>
          <w:b/>
          <w:bCs/>
          <w:color w:val="auto"/>
          <w:sz w:val="52"/>
          <w:highlight w:val="none"/>
        </w:rPr>
      </w:pPr>
    </w:p>
    <w:p w14:paraId="55B5D546">
      <w:pPr>
        <w:tabs>
          <w:tab w:val="left" w:pos="315"/>
          <w:tab w:val="left" w:pos="8820"/>
        </w:tabs>
        <w:spacing w:line="500" w:lineRule="exact"/>
        <w:ind w:right="267" w:rightChars="127"/>
        <w:jc w:val="center"/>
        <w:rPr>
          <w:rFonts w:hint="eastAsia" w:ascii="宋体" w:hAnsi="宋体" w:cs="宋体"/>
          <w:b/>
          <w:bCs/>
          <w:color w:val="auto"/>
          <w:sz w:val="52"/>
          <w:highlight w:val="none"/>
        </w:rPr>
      </w:pPr>
    </w:p>
    <w:p w14:paraId="556B5361">
      <w:pPr>
        <w:tabs>
          <w:tab w:val="left" w:pos="315"/>
          <w:tab w:val="left" w:pos="8820"/>
        </w:tabs>
        <w:spacing w:line="500" w:lineRule="exact"/>
        <w:ind w:right="267" w:rightChars="127"/>
        <w:jc w:val="center"/>
        <w:rPr>
          <w:rFonts w:hint="eastAsia" w:ascii="宋体" w:hAnsi="宋体" w:cs="宋体"/>
          <w:b/>
          <w:bCs/>
          <w:color w:val="auto"/>
          <w:sz w:val="52"/>
          <w:highlight w:val="none"/>
        </w:rPr>
      </w:pPr>
    </w:p>
    <w:p w14:paraId="7F8691FC">
      <w:pPr>
        <w:tabs>
          <w:tab w:val="left" w:pos="315"/>
          <w:tab w:val="left" w:pos="8820"/>
        </w:tabs>
        <w:spacing w:line="240" w:lineRule="auto"/>
        <w:ind w:right="267" w:rightChars="127"/>
        <w:jc w:val="center"/>
        <w:rPr>
          <w:rFonts w:hint="eastAsia" w:ascii="宋体" w:hAnsi="宋体" w:cs="宋体"/>
          <w:b/>
          <w:bCs/>
          <w:color w:val="auto"/>
          <w:sz w:val="52"/>
          <w:highlight w:val="none"/>
        </w:rPr>
      </w:pPr>
    </w:p>
    <w:p w14:paraId="4DE91AA1">
      <w:pPr>
        <w:tabs>
          <w:tab w:val="left" w:pos="315"/>
          <w:tab w:val="left" w:pos="8820"/>
        </w:tabs>
        <w:spacing w:line="240" w:lineRule="auto"/>
        <w:ind w:right="267" w:rightChars="127"/>
        <w:jc w:val="center"/>
        <w:rPr>
          <w:rFonts w:hint="eastAsia" w:ascii="宋体" w:hAnsi="宋体" w:cs="宋体"/>
          <w:b/>
          <w:bCs/>
          <w:color w:val="auto"/>
          <w:sz w:val="52"/>
          <w:highlight w:val="none"/>
        </w:rPr>
      </w:pPr>
      <w:r>
        <w:rPr>
          <w:rFonts w:hint="eastAsia" w:ascii="宋体" w:hAnsi="宋体" w:cs="宋体"/>
          <w:b/>
          <w:bCs/>
          <w:color w:val="auto"/>
          <w:sz w:val="52"/>
          <w:highlight w:val="none"/>
        </w:rPr>
        <w:t>政 府 采 购 招 标 文 件</w:t>
      </w:r>
    </w:p>
    <w:p w14:paraId="036E48DC">
      <w:pPr>
        <w:tabs>
          <w:tab w:val="left" w:pos="315"/>
          <w:tab w:val="left" w:pos="8820"/>
        </w:tabs>
        <w:spacing w:line="500" w:lineRule="exact"/>
        <w:ind w:right="267" w:rightChars="127"/>
        <w:jc w:val="center"/>
        <w:rPr>
          <w:rFonts w:hint="eastAsia" w:ascii="宋体" w:hAnsi="宋体" w:cs="宋体"/>
          <w:color w:val="auto"/>
          <w:sz w:val="44"/>
          <w:highlight w:val="none"/>
        </w:rPr>
      </w:pPr>
    </w:p>
    <w:p w14:paraId="223E7AF0">
      <w:pPr>
        <w:tabs>
          <w:tab w:val="left" w:pos="315"/>
          <w:tab w:val="left" w:pos="8820"/>
        </w:tabs>
        <w:ind w:right="267" w:rightChars="127"/>
        <w:rPr>
          <w:rFonts w:hint="eastAsia" w:ascii="宋体" w:hAnsi="宋体" w:cs="宋体"/>
          <w:color w:val="auto"/>
          <w:sz w:val="44"/>
          <w:highlight w:val="none"/>
        </w:rPr>
      </w:pPr>
    </w:p>
    <w:p w14:paraId="248ADF67">
      <w:pPr>
        <w:tabs>
          <w:tab w:val="left" w:pos="315"/>
          <w:tab w:val="left" w:pos="8820"/>
        </w:tabs>
        <w:ind w:right="267" w:rightChars="127"/>
        <w:rPr>
          <w:rFonts w:hint="eastAsia" w:ascii="宋体" w:hAnsi="宋体" w:cs="宋体"/>
          <w:color w:val="auto"/>
          <w:sz w:val="44"/>
          <w:highlight w:val="none"/>
        </w:rPr>
      </w:pPr>
    </w:p>
    <w:p w14:paraId="2F489BD0">
      <w:pPr>
        <w:tabs>
          <w:tab w:val="left" w:pos="315"/>
          <w:tab w:val="left" w:pos="8820"/>
        </w:tabs>
        <w:ind w:right="267" w:rightChars="127"/>
        <w:rPr>
          <w:rFonts w:hint="eastAsia" w:ascii="宋体" w:hAnsi="宋体" w:cs="宋体"/>
          <w:color w:val="auto"/>
          <w:sz w:val="44"/>
          <w:highlight w:val="none"/>
        </w:rPr>
      </w:pPr>
    </w:p>
    <w:p w14:paraId="4BA80181">
      <w:pPr>
        <w:tabs>
          <w:tab w:val="left" w:pos="315"/>
          <w:tab w:val="left" w:pos="8820"/>
        </w:tabs>
        <w:ind w:right="267" w:rightChars="127"/>
        <w:rPr>
          <w:rFonts w:hint="eastAsia" w:ascii="宋体" w:hAnsi="宋体" w:cs="宋体"/>
          <w:color w:val="auto"/>
          <w:sz w:val="44"/>
          <w:highlight w:val="none"/>
        </w:rPr>
      </w:pPr>
    </w:p>
    <w:p w14:paraId="5D65CC2F">
      <w:pPr>
        <w:tabs>
          <w:tab w:val="left" w:pos="315"/>
          <w:tab w:val="left" w:pos="8820"/>
        </w:tabs>
        <w:spacing w:line="500" w:lineRule="exact"/>
        <w:ind w:right="267" w:rightChars="127"/>
        <w:rPr>
          <w:rFonts w:hint="eastAsia" w:ascii="宋体" w:hAnsi="宋体" w:cs="宋体"/>
          <w:color w:val="auto"/>
          <w:sz w:val="36"/>
          <w:highlight w:val="none"/>
        </w:rPr>
      </w:pPr>
    </w:p>
    <w:p w14:paraId="222263C1">
      <w:pPr>
        <w:pStyle w:val="6"/>
        <w:spacing w:line="360" w:lineRule="auto"/>
        <w:rPr>
          <w:rFonts w:hint="eastAsia" w:ascii="宋体" w:hAnsi="宋体" w:eastAsia="宋体" w:cs="宋体"/>
          <w:color w:val="auto"/>
          <w:sz w:val="32"/>
          <w:szCs w:val="32"/>
          <w:highlight w:val="none"/>
        </w:rPr>
      </w:pPr>
    </w:p>
    <w:p w14:paraId="50CEA190">
      <w:pPr>
        <w:pStyle w:val="6"/>
        <w:spacing w:line="360" w:lineRule="auto"/>
        <w:rPr>
          <w:rFonts w:hint="eastAsia" w:ascii="宋体" w:hAnsi="宋体" w:eastAsia="宋体" w:cs="宋体"/>
          <w:color w:val="auto"/>
          <w:sz w:val="32"/>
          <w:szCs w:val="32"/>
          <w:highlight w:val="none"/>
        </w:rPr>
      </w:pPr>
    </w:p>
    <w:p w14:paraId="452E0E06">
      <w:pPr>
        <w:pStyle w:val="6"/>
        <w:spacing w:line="360" w:lineRule="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项目名称：</w:t>
      </w:r>
      <w:r>
        <w:rPr>
          <w:rFonts w:hint="eastAsia" w:ascii="宋体" w:hAnsi="宋体" w:eastAsia="宋体" w:cs="宋体"/>
          <w:color w:val="auto"/>
          <w:sz w:val="28"/>
          <w:szCs w:val="28"/>
          <w:highlight w:val="none"/>
          <w:lang w:eastAsia="zh-CN"/>
        </w:rPr>
        <w:t>郸城县民政局2026年特困供养保障物资采购项目</w:t>
      </w:r>
    </w:p>
    <w:p w14:paraId="5B94584B">
      <w:pPr>
        <w:pStyle w:val="6"/>
        <w:spacing w:line="360" w:lineRule="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eastAsia="zh-CN"/>
        </w:rPr>
        <w:t>项目编号：郸财招标采购-2026-31</w:t>
      </w:r>
    </w:p>
    <w:p w14:paraId="0D8D382A">
      <w:pPr>
        <w:pStyle w:val="6"/>
        <w:rPr>
          <w:rFonts w:hint="eastAsia" w:ascii="宋体" w:hAnsi="宋体" w:eastAsia="宋体" w:cs="宋体"/>
          <w:color w:val="auto"/>
          <w:sz w:val="32"/>
          <w:highlight w:val="none"/>
        </w:rPr>
      </w:pPr>
    </w:p>
    <w:p w14:paraId="73AEADE1">
      <w:pPr>
        <w:spacing w:line="360" w:lineRule="auto"/>
        <w:jc w:val="center"/>
        <w:rPr>
          <w:rFonts w:hint="eastAsia" w:ascii="宋体" w:hAnsi="宋体" w:eastAsia="宋体" w:cs="宋体"/>
          <w:b/>
          <w:color w:val="auto"/>
          <w:kern w:val="2"/>
          <w:sz w:val="28"/>
          <w:szCs w:val="28"/>
          <w:highlight w:val="none"/>
          <w:lang w:val="en-US" w:eastAsia="zh-CN" w:bidi="ar-SA"/>
        </w:rPr>
      </w:pPr>
      <w:r>
        <w:rPr>
          <w:rFonts w:hint="eastAsia" w:ascii="宋体" w:hAnsi="宋体" w:cs="宋体"/>
          <w:b/>
          <w:color w:val="auto"/>
          <w:kern w:val="2"/>
          <w:sz w:val="28"/>
          <w:szCs w:val="28"/>
          <w:highlight w:val="none"/>
          <w:lang w:val="en-US" w:eastAsia="zh-CN" w:bidi="ar-SA"/>
        </w:rPr>
        <w:t>2026</w:t>
      </w:r>
      <w:r>
        <w:rPr>
          <w:rFonts w:hint="eastAsia" w:ascii="宋体" w:hAnsi="宋体" w:eastAsia="宋体" w:cs="宋体"/>
          <w:b/>
          <w:color w:val="auto"/>
          <w:kern w:val="2"/>
          <w:sz w:val="28"/>
          <w:szCs w:val="28"/>
          <w:highlight w:val="none"/>
          <w:lang w:val="en-US" w:eastAsia="zh-CN" w:bidi="ar-SA"/>
        </w:rPr>
        <w:t>年</w:t>
      </w:r>
      <w:r>
        <w:rPr>
          <w:rFonts w:hint="eastAsia" w:ascii="宋体" w:hAnsi="宋体" w:cs="宋体"/>
          <w:b/>
          <w:color w:val="auto"/>
          <w:kern w:val="2"/>
          <w:sz w:val="28"/>
          <w:szCs w:val="28"/>
          <w:highlight w:val="none"/>
          <w:lang w:val="en-US" w:eastAsia="zh-CN" w:bidi="ar-SA"/>
        </w:rPr>
        <w:t>08</w:t>
      </w:r>
      <w:r>
        <w:rPr>
          <w:rFonts w:hint="eastAsia" w:ascii="宋体" w:hAnsi="宋体" w:eastAsia="宋体" w:cs="宋体"/>
          <w:b/>
          <w:color w:val="auto"/>
          <w:kern w:val="2"/>
          <w:sz w:val="28"/>
          <w:szCs w:val="28"/>
          <w:highlight w:val="none"/>
          <w:lang w:val="en-US" w:eastAsia="zh-CN" w:bidi="ar-SA"/>
        </w:rPr>
        <w:t>月</w:t>
      </w:r>
    </w:p>
    <w:p w14:paraId="7B4965FC">
      <w:pPr>
        <w:spacing w:line="360" w:lineRule="auto"/>
        <w:jc w:val="left"/>
        <w:rPr>
          <w:rFonts w:hint="eastAsia" w:ascii="宋体" w:hAnsi="宋体"/>
          <w:bCs/>
          <w:color w:val="auto"/>
          <w:spacing w:val="-4"/>
          <w:sz w:val="44"/>
          <w:highlight w:val="none"/>
        </w:rPr>
      </w:pPr>
    </w:p>
    <w:p w14:paraId="7DF56FF7">
      <w:pPr>
        <w:tabs>
          <w:tab w:val="left" w:pos="4620"/>
        </w:tabs>
        <w:spacing w:line="500" w:lineRule="exact"/>
        <w:jc w:val="center"/>
        <w:rPr>
          <w:rFonts w:hint="eastAsia" w:ascii="宋体" w:hAnsi="宋体" w:cs="宋体"/>
          <w:b/>
          <w:color w:val="auto"/>
          <w:sz w:val="32"/>
          <w:highlight w:val="none"/>
        </w:rPr>
      </w:pPr>
      <w:r>
        <w:rPr>
          <w:rFonts w:hint="eastAsia" w:ascii="宋体" w:hAnsi="宋体" w:cs="宋体"/>
          <w:b/>
          <w:color w:val="auto"/>
          <w:sz w:val="32"/>
          <w:highlight w:val="none"/>
        </w:rPr>
        <w:t>目  录</w:t>
      </w:r>
    </w:p>
    <w:p w14:paraId="2971DAB9">
      <w:pPr>
        <w:pStyle w:val="19"/>
        <w:tabs>
          <w:tab w:val="right" w:leader="dot" w:pos="8380"/>
        </w:tabs>
        <w:spacing w:line="360" w:lineRule="auto"/>
        <w:rPr>
          <w:rFonts w:hint="eastAsia" w:ascii="Times New Roman" w:hAnsi="Times New Roman" w:eastAsia="宋体" w:cs="Times New Roman"/>
          <w:b/>
          <w:smallCaps/>
          <w:color w:val="auto"/>
          <w:sz w:val="24"/>
          <w:szCs w:val="22"/>
          <w:highlight w:val="none"/>
        </w:rPr>
      </w:pPr>
      <w:bookmarkStart w:id="0" w:name="_Hlt533241375"/>
      <w:bookmarkEnd w:id="0"/>
      <w:bookmarkStart w:id="1" w:name="_Hlt526418134"/>
      <w:bookmarkEnd w:id="1"/>
      <w:bookmarkStart w:id="2" w:name="_Hlt519045295"/>
      <w:bookmarkEnd w:id="2"/>
    </w:p>
    <w:p w14:paraId="09A1F4FF">
      <w:pPr>
        <w:pStyle w:val="16"/>
        <w:tabs>
          <w:tab w:val="right" w:leader="dot" w:pos="8390"/>
        </w:tabs>
        <w:rPr>
          <w:color w:val="auto"/>
          <w:highlight w:val="none"/>
        </w:rPr>
      </w:pPr>
      <w:r>
        <w:rPr>
          <w:rFonts w:hint="eastAsia" w:ascii="Times New Roman" w:hAnsi="Times New Roman" w:eastAsia="宋体" w:cs="Times New Roman"/>
          <w:b/>
          <w:smallCaps/>
          <w:color w:val="auto"/>
          <w:sz w:val="24"/>
          <w:szCs w:val="22"/>
          <w:highlight w:val="none"/>
        </w:rPr>
        <w:fldChar w:fldCharType="begin"/>
      </w:r>
      <w:r>
        <w:rPr>
          <w:rFonts w:hint="eastAsia" w:ascii="Times New Roman" w:hAnsi="Times New Roman" w:eastAsia="宋体" w:cs="Times New Roman"/>
          <w:b/>
          <w:smallCaps/>
          <w:color w:val="auto"/>
          <w:sz w:val="24"/>
          <w:szCs w:val="22"/>
          <w:highlight w:val="none"/>
        </w:rPr>
        <w:instrText xml:space="preserve"> TOC \o "1-3" \h \z </w:instrText>
      </w:r>
      <w:r>
        <w:rPr>
          <w:rFonts w:hint="eastAsia" w:ascii="Times New Roman" w:hAnsi="Times New Roman" w:eastAsia="宋体" w:cs="Times New Roman"/>
          <w:b/>
          <w:smallCaps/>
          <w:color w:val="auto"/>
          <w:sz w:val="24"/>
          <w:szCs w:val="22"/>
          <w:highlight w:val="none"/>
        </w:rPr>
        <w:fldChar w:fldCharType="separate"/>
      </w:r>
      <w:r>
        <w:rPr>
          <w:rFonts w:hint="eastAsia" w:ascii="Times New Roman" w:hAnsi="Times New Roman" w:eastAsia="宋体" w:cs="Times New Roman"/>
          <w:smallCaps/>
          <w:color w:val="auto"/>
          <w:szCs w:val="22"/>
          <w:highlight w:val="none"/>
        </w:rPr>
        <w:fldChar w:fldCharType="begin"/>
      </w:r>
      <w:r>
        <w:rPr>
          <w:rFonts w:hint="eastAsia" w:ascii="Times New Roman" w:hAnsi="Times New Roman" w:eastAsia="宋体" w:cs="Times New Roman"/>
          <w:smallCaps/>
          <w:color w:val="auto"/>
          <w:szCs w:val="22"/>
          <w:highlight w:val="none"/>
        </w:rPr>
        <w:instrText xml:space="preserve"> HYPERLINK \l _Toc9487 </w:instrText>
      </w:r>
      <w:r>
        <w:rPr>
          <w:rFonts w:hint="eastAsia" w:ascii="Times New Roman" w:hAnsi="Times New Roman" w:eastAsia="宋体" w:cs="Times New Roman"/>
          <w:smallCaps/>
          <w:color w:val="auto"/>
          <w:szCs w:val="22"/>
          <w:highlight w:val="none"/>
        </w:rPr>
        <w:fldChar w:fldCharType="separate"/>
      </w:r>
      <w:r>
        <w:rPr>
          <w:rFonts w:hint="eastAsia"/>
          <w:color w:val="auto"/>
          <w:szCs w:val="44"/>
          <w:highlight w:val="none"/>
        </w:rPr>
        <w:t>第一章 招标公告</w:t>
      </w:r>
      <w:r>
        <w:rPr>
          <w:color w:val="auto"/>
          <w:highlight w:val="none"/>
        </w:rPr>
        <w:tab/>
      </w:r>
      <w:r>
        <w:rPr>
          <w:color w:val="auto"/>
          <w:highlight w:val="none"/>
        </w:rPr>
        <w:fldChar w:fldCharType="begin"/>
      </w:r>
      <w:r>
        <w:rPr>
          <w:color w:val="auto"/>
          <w:highlight w:val="none"/>
        </w:rPr>
        <w:instrText xml:space="preserve"> PAGEREF _Toc9487 \h </w:instrText>
      </w:r>
      <w:r>
        <w:rPr>
          <w:color w:val="auto"/>
          <w:highlight w:val="none"/>
        </w:rPr>
        <w:fldChar w:fldCharType="separate"/>
      </w:r>
      <w:r>
        <w:rPr>
          <w:color w:val="auto"/>
          <w:highlight w:val="none"/>
        </w:rPr>
        <w:t>3</w:t>
      </w:r>
      <w:r>
        <w:rPr>
          <w:color w:val="auto"/>
          <w:highlight w:val="none"/>
        </w:rPr>
        <w:fldChar w:fldCharType="end"/>
      </w:r>
      <w:r>
        <w:rPr>
          <w:rFonts w:hint="eastAsia" w:ascii="Times New Roman" w:hAnsi="Times New Roman" w:eastAsia="宋体" w:cs="Times New Roman"/>
          <w:smallCaps/>
          <w:color w:val="auto"/>
          <w:szCs w:val="22"/>
          <w:highlight w:val="none"/>
        </w:rPr>
        <w:fldChar w:fldCharType="end"/>
      </w:r>
    </w:p>
    <w:p w14:paraId="6B60F8E1">
      <w:pPr>
        <w:pStyle w:val="16"/>
        <w:tabs>
          <w:tab w:val="right" w:leader="dot" w:pos="8390"/>
        </w:tabs>
        <w:rPr>
          <w:color w:val="auto"/>
          <w:highlight w:val="none"/>
        </w:rPr>
      </w:pPr>
      <w:r>
        <w:rPr>
          <w:rFonts w:hint="eastAsia" w:ascii="Times New Roman" w:hAnsi="Times New Roman" w:eastAsia="宋体" w:cs="Times New Roman"/>
          <w:smallCaps/>
          <w:color w:val="auto"/>
          <w:szCs w:val="22"/>
          <w:highlight w:val="none"/>
        </w:rPr>
        <w:fldChar w:fldCharType="begin"/>
      </w:r>
      <w:r>
        <w:rPr>
          <w:rFonts w:hint="eastAsia" w:ascii="Times New Roman" w:hAnsi="Times New Roman" w:eastAsia="宋体" w:cs="Times New Roman"/>
          <w:smallCaps/>
          <w:color w:val="auto"/>
          <w:szCs w:val="22"/>
          <w:highlight w:val="none"/>
        </w:rPr>
        <w:instrText xml:space="preserve"> HYPERLINK \l _Toc7965 </w:instrText>
      </w:r>
      <w:r>
        <w:rPr>
          <w:rFonts w:hint="eastAsia" w:ascii="Times New Roman" w:hAnsi="Times New Roman" w:eastAsia="宋体" w:cs="Times New Roman"/>
          <w:smallCaps/>
          <w:color w:val="auto"/>
          <w:szCs w:val="22"/>
          <w:highlight w:val="none"/>
        </w:rPr>
        <w:fldChar w:fldCharType="separate"/>
      </w:r>
      <w:r>
        <w:rPr>
          <w:rFonts w:hint="eastAsia"/>
          <w:color w:val="auto"/>
          <w:highlight w:val="none"/>
        </w:rPr>
        <w:t>第二章 投标人须知前附表</w:t>
      </w:r>
      <w:r>
        <w:rPr>
          <w:color w:val="auto"/>
          <w:highlight w:val="none"/>
        </w:rPr>
        <w:tab/>
      </w:r>
      <w:r>
        <w:rPr>
          <w:color w:val="auto"/>
          <w:highlight w:val="none"/>
        </w:rPr>
        <w:fldChar w:fldCharType="begin"/>
      </w:r>
      <w:r>
        <w:rPr>
          <w:color w:val="auto"/>
          <w:highlight w:val="none"/>
        </w:rPr>
        <w:instrText xml:space="preserve"> PAGEREF _Toc7965 \h </w:instrText>
      </w:r>
      <w:r>
        <w:rPr>
          <w:color w:val="auto"/>
          <w:highlight w:val="none"/>
        </w:rPr>
        <w:fldChar w:fldCharType="separate"/>
      </w:r>
      <w:r>
        <w:rPr>
          <w:color w:val="auto"/>
          <w:highlight w:val="none"/>
        </w:rPr>
        <w:t>6</w:t>
      </w:r>
      <w:r>
        <w:rPr>
          <w:color w:val="auto"/>
          <w:highlight w:val="none"/>
        </w:rPr>
        <w:fldChar w:fldCharType="end"/>
      </w:r>
      <w:r>
        <w:rPr>
          <w:rFonts w:hint="eastAsia" w:ascii="Times New Roman" w:hAnsi="Times New Roman" w:eastAsia="宋体" w:cs="Times New Roman"/>
          <w:smallCaps/>
          <w:color w:val="auto"/>
          <w:szCs w:val="22"/>
          <w:highlight w:val="none"/>
        </w:rPr>
        <w:fldChar w:fldCharType="end"/>
      </w:r>
    </w:p>
    <w:p w14:paraId="619849AE">
      <w:pPr>
        <w:pStyle w:val="16"/>
        <w:tabs>
          <w:tab w:val="right" w:leader="dot" w:pos="8390"/>
        </w:tabs>
        <w:rPr>
          <w:color w:val="auto"/>
          <w:highlight w:val="none"/>
        </w:rPr>
      </w:pPr>
      <w:r>
        <w:rPr>
          <w:rFonts w:hint="eastAsia" w:ascii="Times New Roman" w:hAnsi="Times New Roman" w:eastAsia="宋体" w:cs="Times New Roman"/>
          <w:smallCaps/>
          <w:color w:val="auto"/>
          <w:szCs w:val="22"/>
          <w:highlight w:val="none"/>
        </w:rPr>
        <w:fldChar w:fldCharType="begin"/>
      </w:r>
      <w:r>
        <w:rPr>
          <w:rFonts w:hint="eastAsia" w:ascii="Times New Roman" w:hAnsi="Times New Roman" w:eastAsia="宋体" w:cs="Times New Roman"/>
          <w:smallCaps/>
          <w:color w:val="auto"/>
          <w:szCs w:val="22"/>
          <w:highlight w:val="none"/>
        </w:rPr>
        <w:instrText xml:space="preserve"> HYPERLINK \l _Toc21357 </w:instrText>
      </w:r>
      <w:r>
        <w:rPr>
          <w:rFonts w:hint="eastAsia" w:ascii="Times New Roman" w:hAnsi="Times New Roman" w:eastAsia="宋体" w:cs="Times New Roman"/>
          <w:smallCaps/>
          <w:color w:val="auto"/>
          <w:szCs w:val="22"/>
          <w:highlight w:val="none"/>
        </w:rPr>
        <w:fldChar w:fldCharType="separate"/>
      </w:r>
      <w:r>
        <w:rPr>
          <w:rFonts w:hint="eastAsia"/>
          <w:color w:val="auto"/>
          <w:highlight w:val="none"/>
        </w:rPr>
        <w:t>第三章 货物需求一览表</w:t>
      </w:r>
      <w:r>
        <w:rPr>
          <w:color w:val="auto"/>
          <w:highlight w:val="none"/>
        </w:rPr>
        <w:tab/>
      </w:r>
      <w:r>
        <w:rPr>
          <w:color w:val="auto"/>
          <w:highlight w:val="none"/>
        </w:rPr>
        <w:fldChar w:fldCharType="begin"/>
      </w:r>
      <w:r>
        <w:rPr>
          <w:color w:val="auto"/>
          <w:highlight w:val="none"/>
        </w:rPr>
        <w:instrText xml:space="preserve"> PAGEREF _Toc21357 \h </w:instrText>
      </w:r>
      <w:r>
        <w:rPr>
          <w:color w:val="auto"/>
          <w:highlight w:val="none"/>
        </w:rPr>
        <w:fldChar w:fldCharType="separate"/>
      </w:r>
      <w:r>
        <w:rPr>
          <w:color w:val="auto"/>
          <w:highlight w:val="none"/>
        </w:rPr>
        <w:t>8</w:t>
      </w:r>
      <w:r>
        <w:rPr>
          <w:color w:val="auto"/>
          <w:highlight w:val="none"/>
        </w:rPr>
        <w:fldChar w:fldCharType="end"/>
      </w:r>
      <w:r>
        <w:rPr>
          <w:rFonts w:hint="eastAsia" w:ascii="Times New Roman" w:hAnsi="Times New Roman" w:eastAsia="宋体" w:cs="Times New Roman"/>
          <w:smallCaps/>
          <w:color w:val="auto"/>
          <w:szCs w:val="22"/>
          <w:highlight w:val="none"/>
        </w:rPr>
        <w:fldChar w:fldCharType="end"/>
      </w:r>
    </w:p>
    <w:p w14:paraId="14B7E2A1">
      <w:pPr>
        <w:pStyle w:val="16"/>
        <w:tabs>
          <w:tab w:val="right" w:leader="dot" w:pos="8390"/>
        </w:tabs>
        <w:rPr>
          <w:color w:val="auto"/>
          <w:highlight w:val="none"/>
        </w:rPr>
      </w:pPr>
      <w:r>
        <w:rPr>
          <w:rFonts w:hint="eastAsia" w:ascii="Times New Roman" w:hAnsi="Times New Roman" w:eastAsia="宋体" w:cs="Times New Roman"/>
          <w:smallCaps/>
          <w:color w:val="auto"/>
          <w:szCs w:val="22"/>
          <w:highlight w:val="none"/>
        </w:rPr>
        <w:fldChar w:fldCharType="begin"/>
      </w:r>
      <w:r>
        <w:rPr>
          <w:rFonts w:hint="eastAsia" w:ascii="Times New Roman" w:hAnsi="Times New Roman" w:eastAsia="宋体" w:cs="Times New Roman"/>
          <w:smallCaps/>
          <w:color w:val="auto"/>
          <w:szCs w:val="22"/>
          <w:highlight w:val="none"/>
        </w:rPr>
        <w:instrText xml:space="preserve"> HYPERLINK \l _Toc18111 </w:instrText>
      </w:r>
      <w:r>
        <w:rPr>
          <w:rFonts w:hint="eastAsia" w:ascii="Times New Roman" w:hAnsi="Times New Roman" w:eastAsia="宋体" w:cs="Times New Roman"/>
          <w:smallCaps/>
          <w:color w:val="auto"/>
          <w:szCs w:val="22"/>
          <w:highlight w:val="none"/>
        </w:rPr>
        <w:fldChar w:fldCharType="separate"/>
      </w:r>
      <w:r>
        <w:rPr>
          <w:rFonts w:hint="eastAsia"/>
          <w:color w:val="auto"/>
          <w:highlight w:val="none"/>
        </w:rPr>
        <w:t>第四章 评标办法</w:t>
      </w:r>
      <w:r>
        <w:rPr>
          <w:color w:val="auto"/>
          <w:highlight w:val="none"/>
        </w:rPr>
        <w:tab/>
      </w:r>
      <w:r>
        <w:rPr>
          <w:color w:val="auto"/>
          <w:highlight w:val="none"/>
        </w:rPr>
        <w:fldChar w:fldCharType="begin"/>
      </w:r>
      <w:r>
        <w:rPr>
          <w:color w:val="auto"/>
          <w:highlight w:val="none"/>
        </w:rPr>
        <w:instrText xml:space="preserve"> PAGEREF _Toc18111 \h </w:instrText>
      </w:r>
      <w:r>
        <w:rPr>
          <w:color w:val="auto"/>
          <w:highlight w:val="none"/>
        </w:rPr>
        <w:fldChar w:fldCharType="separate"/>
      </w:r>
      <w:r>
        <w:rPr>
          <w:color w:val="auto"/>
          <w:highlight w:val="none"/>
        </w:rPr>
        <w:t>11</w:t>
      </w:r>
      <w:r>
        <w:rPr>
          <w:color w:val="auto"/>
          <w:highlight w:val="none"/>
        </w:rPr>
        <w:fldChar w:fldCharType="end"/>
      </w:r>
      <w:r>
        <w:rPr>
          <w:rFonts w:hint="eastAsia" w:ascii="Times New Roman" w:hAnsi="Times New Roman" w:eastAsia="宋体" w:cs="Times New Roman"/>
          <w:smallCaps/>
          <w:color w:val="auto"/>
          <w:szCs w:val="22"/>
          <w:highlight w:val="none"/>
        </w:rPr>
        <w:fldChar w:fldCharType="end"/>
      </w:r>
    </w:p>
    <w:p w14:paraId="7BAD0E5A">
      <w:pPr>
        <w:pStyle w:val="16"/>
        <w:tabs>
          <w:tab w:val="right" w:leader="dot" w:pos="8390"/>
        </w:tabs>
        <w:rPr>
          <w:color w:val="auto"/>
          <w:highlight w:val="none"/>
        </w:rPr>
      </w:pPr>
      <w:r>
        <w:rPr>
          <w:rFonts w:hint="eastAsia" w:ascii="Times New Roman" w:hAnsi="Times New Roman" w:eastAsia="宋体" w:cs="Times New Roman"/>
          <w:smallCaps/>
          <w:color w:val="auto"/>
          <w:szCs w:val="22"/>
          <w:highlight w:val="none"/>
        </w:rPr>
        <w:fldChar w:fldCharType="begin"/>
      </w:r>
      <w:r>
        <w:rPr>
          <w:rFonts w:hint="eastAsia" w:ascii="Times New Roman" w:hAnsi="Times New Roman" w:eastAsia="宋体" w:cs="Times New Roman"/>
          <w:smallCaps/>
          <w:color w:val="auto"/>
          <w:szCs w:val="22"/>
          <w:highlight w:val="none"/>
        </w:rPr>
        <w:instrText xml:space="preserve"> HYPERLINK \l _Toc26370 </w:instrText>
      </w:r>
      <w:r>
        <w:rPr>
          <w:rFonts w:hint="eastAsia" w:ascii="Times New Roman" w:hAnsi="Times New Roman" w:eastAsia="宋体" w:cs="Times New Roman"/>
          <w:smallCaps/>
          <w:color w:val="auto"/>
          <w:szCs w:val="22"/>
          <w:highlight w:val="none"/>
        </w:rPr>
        <w:fldChar w:fldCharType="separate"/>
      </w:r>
      <w:r>
        <w:rPr>
          <w:rFonts w:hint="eastAsia"/>
          <w:color w:val="auto"/>
          <w:highlight w:val="none"/>
        </w:rPr>
        <w:t>第五章 投标人须知</w:t>
      </w:r>
      <w:r>
        <w:rPr>
          <w:color w:val="auto"/>
          <w:highlight w:val="none"/>
        </w:rPr>
        <w:tab/>
      </w:r>
      <w:r>
        <w:rPr>
          <w:color w:val="auto"/>
          <w:highlight w:val="none"/>
        </w:rPr>
        <w:fldChar w:fldCharType="begin"/>
      </w:r>
      <w:r>
        <w:rPr>
          <w:color w:val="auto"/>
          <w:highlight w:val="none"/>
        </w:rPr>
        <w:instrText xml:space="preserve"> PAGEREF _Toc26370 \h </w:instrText>
      </w:r>
      <w:r>
        <w:rPr>
          <w:color w:val="auto"/>
          <w:highlight w:val="none"/>
        </w:rPr>
        <w:fldChar w:fldCharType="separate"/>
      </w:r>
      <w:r>
        <w:rPr>
          <w:color w:val="auto"/>
          <w:highlight w:val="none"/>
        </w:rPr>
        <w:t>18</w:t>
      </w:r>
      <w:r>
        <w:rPr>
          <w:color w:val="auto"/>
          <w:highlight w:val="none"/>
        </w:rPr>
        <w:fldChar w:fldCharType="end"/>
      </w:r>
      <w:r>
        <w:rPr>
          <w:rFonts w:hint="eastAsia" w:ascii="Times New Roman" w:hAnsi="Times New Roman" w:eastAsia="宋体" w:cs="Times New Roman"/>
          <w:smallCaps/>
          <w:color w:val="auto"/>
          <w:szCs w:val="22"/>
          <w:highlight w:val="none"/>
        </w:rPr>
        <w:fldChar w:fldCharType="end"/>
      </w:r>
    </w:p>
    <w:p w14:paraId="60390471">
      <w:pPr>
        <w:pStyle w:val="16"/>
        <w:tabs>
          <w:tab w:val="right" w:leader="dot" w:pos="8390"/>
        </w:tabs>
        <w:rPr>
          <w:color w:val="auto"/>
          <w:highlight w:val="none"/>
        </w:rPr>
      </w:pPr>
      <w:r>
        <w:rPr>
          <w:rFonts w:hint="eastAsia" w:ascii="Times New Roman" w:hAnsi="Times New Roman" w:eastAsia="宋体" w:cs="Times New Roman"/>
          <w:smallCaps/>
          <w:color w:val="auto"/>
          <w:szCs w:val="22"/>
          <w:highlight w:val="none"/>
        </w:rPr>
        <w:fldChar w:fldCharType="begin"/>
      </w:r>
      <w:r>
        <w:rPr>
          <w:rFonts w:hint="eastAsia" w:ascii="Times New Roman" w:hAnsi="Times New Roman" w:eastAsia="宋体" w:cs="Times New Roman"/>
          <w:smallCaps/>
          <w:color w:val="auto"/>
          <w:szCs w:val="22"/>
          <w:highlight w:val="none"/>
        </w:rPr>
        <w:instrText xml:space="preserve"> HYPERLINK \l _Toc8962 </w:instrText>
      </w:r>
      <w:r>
        <w:rPr>
          <w:rFonts w:hint="eastAsia" w:ascii="Times New Roman" w:hAnsi="Times New Roman" w:eastAsia="宋体" w:cs="Times New Roman"/>
          <w:smallCaps/>
          <w:color w:val="auto"/>
          <w:szCs w:val="22"/>
          <w:highlight w:val="none"/>
        </w:rPr>
        <w:fldChar w:fldCharType="separate"/>
      </w:r>
      <w:r>
        <w:rPr>
          <w:rFonts w:hint="eastAsia"/>
          <w:color w:val="auto"/>
          <w:highlight w:val="none"/>
        </w:rPr>
        <w:t xml:space="preserve">第六章 </w:t>
      </w:r>
      <w:r>
        <w:rPr>
          <w:rFonts w:hint="eastAsia"/>
          <w:color w:val="auto"/>
          <w:highlight w:val="none"/>
          <w:lang w:val="en-US"/>
        </w:rPr>
        <w:t>周口市政府采购合同（货物类）标准文本</w:t>
      </w:r>
      <w:r>
        <w:rPr>
          <w:color w:val="auto"/>
          <w:highlight w:val="none"/>
        </w:rPr>
        <w:tab/>
      </w:r>
      <w:r>
        <w:rPr>
          <w:color w:val="auto"/>
          <w:highlight w:val="none"/>
        </w:rPr>
        <w:fldChar w:fldCharType="begin"/>
      </w:r>
      <w:r>
        <w:rPr>
          <w:color w:val="auto"/>
          <w:highlight w:val="none"/>
        </w:rPr>
        <w:instrText xml:space="preserve"> PAGEREF _Toc8962 \h </w:instrText>
      </w:r>
      <w:r>
        <w:rPr>
          <w:color w:val="auto"/>
          <w:highlight w:val="none"/>
        </w:rPr>
        <w:fldChar w:fldCharType="separate"/>
      </w:r>
      <w:r>
        <w:rPr>
          <w:color w:val="auto"/>
          <w:highlight w:val="none"/>
        </w:rPr>
        <w:t>33</w:t>
      </w:r>
      <w:r>
        <w:rPr>
          <w:color w:val="auto"/>
          <w:highlight w:val="none"/>
        </w:rPr>
        <w:fldChar w:fldCharType="end"/>
      </w:r>
      <w:r>
        <w:rPr>
          <w:rFonts w:hint="eastAsia" w:ascii="Times New Roman" w:hAnsi="Times New Roman" w:eastAsia="宋体" w:cs="Times New Roman"/>
          <w:smallCaps/>
          <w:color w:val="auto"/>
          <w:szCs w:val="22"/>
          <w:highlight w:val="none"/>
        </w:rPr>
        <w:fldChar w:fldCharType="end"/>
      </w:r>
    </w:p>
    <w:p w14:paraId="323381C3">
      <w:pPr>
        <w:pStyle w:val="16"/>
        <w:tabs>
          <w:tab w:val="right" w:leader="dot" w:pos="8390"/>
        </w:tabs>
        <w:rPr>
          <w:color w:val="auto"/>
          <w:highlight w:val="none"/>
        </w:rPr>
      </w:pPr>
      <w:r>
        <w:rPr>
          <w:rFonts w:hint="eastAsia" w:ascii="Times New Roman" w:hAnsi="Times New Roman" w:eastAsia="宋体" w:cs="Times New Roman"/>
          <w:smallCaps/>
          <w:color w:val="auto"/>
          <w:szCs w:val="22"/>
          <w:highlight w:val="none"/>
        </w:rPr>
        <w:fldChar w:fldCharType="begin"/>
      </w:r>
      <w:r>
        <w:rPr>
          <w:rFonts w:hint="eastAsia" w:ascii="Times New Roman" w:hAnsi="Times New Roman" w:eastAsia="宋体" w:cs="Times New Roman"/>
          <w:smallCaps/>
          <w:color w:val="auto"/>
          <w:szCs w:val="22"/>
          <w:highlight w:val="none"/>
        </w:rPr>
        <w:instrText xml:space="preserve"> HYPERLINK \l _Toc16474 </w:instrText>
      </w:r>
      <w:r>
        <w:rPr>
          <w:rFonts w:hint="eastAsia" w:ascii="Times New Roman" w:hAnsi="Times New Roman" w:eastAsia="宋体" w:cs="Times New Roman"/>
          <w:smallCaps/>
          <w:color w:val="auto"/>
          <w:szCs w:val="22"/>
          <w:highlight w:val="none"/>
        </w:rPr>
        <w:fldChar w:fldCharType="separate"/>
      </w:r>
      <w:r>
        <w:rPr>
          <w:rFonts w:hint="eastAsia"/>
          <w:color w:val="auto"/>
          <w:highlight w:val="none"/>
        </w:rPr>
        <w:t>第七章 投标文件格式</w:t>
      </w:r>
      <w:r>
        <w:rPr>
          <w:color w:val="auto"/>
          <w:highlight w:val="none"/>
        </w:rPr>
        <w:tab/>
      </w:r>
      <w:r>
        <w:rPr>
          <w:color w:val="auto"/>
          <w:highlight w:val="none"/>
        </w:rPr>
        <w:fldChar w:fldCharType="begin"/>
      </w:r>
      <w:r>
        <w:rPr>
          <w:color w:val="auto"/>
          <w:highlight w:val="none"/>
        </w:rPr>
        <w:instrText xml:space="preserve"> PAGEREF _Toc16474 \h </w:instrText>
      </w:r>
      <w:r>
        <w:rPr>
          <w:color w:val="auto"/>
          <w:highlight w:val="none"/>
        </w:rPr>
        <w:fldChar w:fldCharType="separate"/>
      </w:r>
      <w:r>
        <w:rPr>
          <w:color w:val="auto"/>
          <w:highlight w:val="none"/>
        </w:rPr>
        <w:t>41</w:t>
      </w:r>
      <w:r>
        <w:rPr>
          <w:color w:val="auto"/>
          <w:highlight w:val="none"/>
        </w:rPr>
        <w:fldChar w:fldCharType="end"/>
      </w:r>
      <w:r>
        <w:rPr>
          <w:rFonts w:hint="eastAsia" w:ascii="Times New Roman" w:hAnsi="Times New Roman" w:eastAsia="宋体" w:cs="Times New Roman"/>
          <w:smallCaps/>
          <w:color w:val="auto"/>
          <w:szCs w:val="22"/>
          <w:highlight w:val="none"/>
        </w:rPr>
        <w:fldChar w:fldCharType="end"/>
      </w:r>
    </w:p>
    <w:p w14:paraId="6A30F49F">
      <w:pPr>
        <w:pStyle w:val="10"/>
        <w:tabs>
          <w:tab w:val="right" w:leader="dot" w:pos="8390"/>
        </w:tabs>
        <w:rPr>
          <w:color w:val="auto"/>
          <w:highlight w:val="none"/>
        </w:rPr>
      </w:pPr>
    </w:p>
    <w:p w14:paraId="493C3173">
      <w:pPr>
        <w:pStyle w:val="19"/>
        <w:tabs>
          <w:tab w:val="right" w:leader="dot" w:pos="8380"/>
        </w:tabs>
        <w:spacing w:line="360" w:lineRule="auto"/>
        <w:rPr>
          <w:rFonts w:hint="eastAsia" w:ascii="Times New Roman" w:hAnsi="Times New Roman" w:eastAsia="宋体" w:cs="Times New Roman"/>
          <w:b/>
          <w:smallCaps/>
          <w:color w:val="auto"/>
          <w:sz w:val="24"/>
          <w:szCs w:val="22"/>
          <w:highlight w:val="none"/>
        </w:rPr>
      </w:pPr>
      <w:r>
        <w:rPr>
          <w:rFonts w:hint="eastAsia" w:ascii="Times New Roman" w:hAnsi="Times New Roman" w:eastAsia="宋体" w:cs="Times New Roman"/>
          <w:smallCaps/>
          <w:color w:val="auto"/>
          <w:szCs w:val="22"/>
          <w:highlight w:val="none"/>
        </w:rPr>
        <w:fldChar w:fldCharType="end"/>
      </w:r>
    </w:p>
    <w:p w14:paraId="4CE02B2F">
      <w:pPr>
        <w:rPr>
          <w:rFonts w:hint="eastAsia" w:ascii="宋体" w:hAnsi="宋体" w:cs="宋体"/>
          <w:b/>
          <w:bCs/>
          <w:caps/>
          <w:color w:val="auto"/>
          <w:sz w:val="24"/>
          <w:szCs w:val="24"/>
          <w:highlight w:val="none"/>
        </w:rPr>
      </w:pPr>
    </w:p>
    <w:p w14:paraId="5EFA8809">
      <w:pPr>
        <w:rPr>
          <w:rFonts w:hint="eastAsia" w:ascii="宋体" w:hAnsi="宋体" w:cs="宋体"/>
          <w:b/>
          <w:bCs/>
          <w:caps/>
          <w:color w:val="auto"/>
          <w:sz w:val="24"/>
          <w:szCs w:val="24"/>
          <w:highlight w:val="none"/>
        </w:rPr>
      </w:pPr>
    </w:p>
    <w:p w14:paraId="1CE6F850">
      <w:pPr>
        <w:rPr>
          <w:rFonts w:hint="eastAsia" w:ascii="宋体" w:hAnsi="宋体" w:cs="宋体"/>
          <w:b/>
          <w:bCs/>
          <w:caps/>
          <w:color w:val="auto"/>
          <w:sz w:val="24"/>
          <w:szCs w:val="24"/>
          <w:highlight w:val="none"/>
        </w:rPr>
      </w:pPr>
    </w:p>
    <w:p w14:paraId="0EC9F84B">
      <w:pPr>
        <w:rPr>
          <w:rFonts w:hint="eastAsia" w:ascii="宋体" w:hAnsi="宋体" w:cs="宋体"/>
          <w:b/>
          <w:bCs/>
          <w:caps/>
          <w:color w:val="auto"/>
          <w:sz w:val="24"/>
          <w:szCs w:val="24"/>
          <w:highlight w:val="none"/>
        </w:rPr>
      </w:pPr>
    </w:p>
    <w:p w14:paraId="5920E505">
      <w:pPr>
        <w:rPr>
          <w:rFonts w:hint="eastAsia" w:ascii="宋体" w:hAnsi="宋体" w:cs="宋体"/>
          <w:b/>
          <w:bCs/>
          <w:caps/>
          <w:color w:val="auto"/>
          <w:sz w:val="24"/>
          <w:szCs w:val="24"/>
          <w:highlight w:val="none"/>
        </w:rPr>
      </w:pPr>
    </w:p>
    <w:p w14:paraId="650794A7">
      <w:pPr>
        <w:rPr>
          <w:rFonts w:hint="eastAsia" w:ascii="宋体" w:hAnsi="宋体" w:cs="宋体"/>
          <w:b/>
          <w:bCs/>
          <w:caps/>
          <w:color w:val="auto"/>
          <w:sz w:val="24"/>
          <w:szCs w:val="24"/>
          <w:highlight w:val="none"/>
        </w:rPr>
      </w:pPr>
    </w:p>
    <w:p w14:paraId="2FB9AA08">
      <w:pPr>
        <w:rPr>
          <w:rFonts w:hint="eastAsia" w:ascii="宋体" w:hAnsi="宋体" w:cs="宋体"/>
          <w:b/>
          <w:bCs/>
          <w:caps/>
          <w:color w:val="auto"/>
          <w:sz w:val="24"/>
          <w:szCs w:val="24"/>
          <w:highlight w:val="none"/>
        </w:rPr>
      </w:pPr>
    </w:p>
    <w:p w14:paraId="4B2C69C4">
      <w:pPr>
        <w:rPr>
          <w:rFonts w:hint="eastAsia" w:ascii="宋体" w:hAnsi="宋体" w:cs="宋体"/>
          <w:b/>
          <w:bCs/>
          <w:caps/>
          <w:color w:val="auto"/>
          <w:sz w:val="24"/>
          <w:szCs w:val="24"/>
          <w:highlight w:val="none"/>
        </w:rPr>
      </w:pPr>
    </w:p>
    <w:p w14:paraId="42E42FDE">
      <w:pPr>
        <w:rPr>
          <w:rFonts w:hint="eastAsia" w:ascii="宋体" w:hAnsi="宋体" w:cs="宋体"/>
          <w:b/>
          <w:bCs/>
          <w:caps/>
          <w:color w:val="auto"/>
          <w:sz w:val="24"/>
          <w:szCs w:val="24"/>
          <w:highlight w:val="none"/>
        </w:rPr>
      </w:pPr>
    </w:p>
    <w:p w14:paraId="1378E498">
      <w:pPr>
        <w:jc w:val="center"/>
        <w:rPr>
          <w:rFonts w:hint="eastAsia" w:ascii="宋体" w:hAnsi="宋体" w:cs="宋体"/>
          <w:b/>
          <w:bCs/>
          <w:caps/>
          <w:color w:val="auto"/>
          <w:sz w:val="24"/>
          <w:szCs w:val="24"/>
          <w:highlight w:val="none"/>
        </w:rPr>
      </w:pPr>
      <w:r>
        <w:rPr>
          <w:rFonts w:ascii="宋体" w:hAnsi="宋体" w:cs="宋体"/>
          <w:b/>
          <w:bCs/>
          <w:caps/>
          <w:color w:val="auto"/>
          <w:sz w:val="24"/>
          <w:szCs w:val="24"/>
          <w:highlight w:val="none"/>
        </w:rPr>
        <w:br w:type="page"/>
      </w:r>
    </w:p>
    <w:p w14:paraId="49139AEA">
      <w:pPr>
        <w:pStyle w:val="2"/>
        <w:bidi w:val="0"/>
        <w:spacing w:line="240" w:lineRule="auto"/>
        <w:jc w:val="center"/>
        <w:rPr>
          <w:rFonts w:hint="eastAsia" w:ascii="宋体" w:hAnsi="宋体" w:eastAsia="宋体" w:cs="宋体"/>
          <w:i w:val="0"/>
          <w:iCs w:val="0"/>
          <w:color w:val="auto"/>
          <w:kern w:val="2"/>
          <w:sz w:val="24"/>
          <w:szCs w:val="24"/>
          <w:highlight w:val="none"/>
          <w:lang w:val="en-US" w:eastAsia="zh-CN" w:bidi="ar-SA"/>
        </w:rPr>
      </w:pPr>
      <w:bookmarkStart w:id="3" w:name="_Toc28426_WPSOffice_Level1"/>
      <w:bookmarkStart w:id="4" w:name="_Toc40975436"/>
      <w:bookmarkStart w:id="5" w:name="_Toc9487"/>
      <w:r>
        <w:rPr>
          <w:rFonts w:hint="eastAsia"/>
          <w:color w:val="auto"/>
          <w:sz w:val="32"/>
          <w:szCs w:val="44"/>
          <w:highlight w:val="none"/>
        </w:rPr>
        <w:t>第一章  招标公告</w:t>
      </w:r>
      <w:bookmarkEnd w:id="3"/>
      <w:bookmarkEnd w:id="4"/>
      <w:bookmarkEnd w:id="5"/>
    </w:p>
    <w:p w14:paraId="496D151D">
      <w:pPr>
        <w:keepNext w:val="0"/>
        <w:keepLines w:val="0"/>
        <w:pageBreakBefore w:val="0"/>
        <w:widowControl w:val="0"/>
        <w:kinsoku/>
        <w:wordWrap/>
        <w:overflowPunct/>
        <w:topLinePunct w:val="0"/>
        <w:bidi w:val="0"/>
        <w:adjustRightInd w:val="0"/>
        <w:snapToGrid w:val="0"/>
        <w:spacing w:line="400" w:lineRule="atLeast"/>
        <w:ind w:firstLine="480" w:firstLineChars="200"/>
        <w:jc w:val="left"/>
        <w:textAlignment w:val="auto"/>
        <w:rPr>
          <w:rFonts w:hint="eastAsia" w:ascii="宋体" w:hAnsi="宋体" w:cs="宋体"/>
          <w:color w:val="auto"/>
          <w:sz w:val="24"/>
          <w:szCs w:val="24"/>
          <w:highlight w:val="none"/>
        </w:rPr>
      </w:pPr>
      <w:bookmarkStart w:id="6" w:name="_Toc35393621"/>
      <w:bookmarkStart w:id="7" w:name="_Toc35393790"/>
      <w:bookmarkStart w:id="8" w:name="_Toc28359079"/>
      <w:bookmarkStart w:id="9" w:name="_Toc28359002"/>
      <w:bookmarkStart w:id="10" w:name="_Hlk24379207"/>
      <w:bookmarkStart w:id="11" w:name="_Hlt510343011"/>
      <w:bookmarkStart w:id="12" w:name="_Hlt510342998"/>
      <w:bookmarkStart w:id="13" w:name="_Toc7329_WPSOffice_Level1"/>
      <w:r>
        <w:rPr>
          <w:rFonts w:hint="eastAsia" w:ascii="宋体" w:hAnsi="宋体" w:cs="宋体"/>
          <w:color w:val="auto"/>
          <w:sz w:val="24"/>
          <w:szCs w:val="24"/>
          <w:highlight w:val="none"/>
        </w:rPr>
        <w:t>项目概况</w:t>
      </w:r>
    </w:p>
    <w:p w14:paraId="694CB3B8">
      <w:pPr>
        <w:keepNext w:val="0"/>
        <w:keepLines w:val="0"/>
        <w:pageBreakBefore w:val="0"/>
        <w:widowControl w:val="0"/>
        <w:kinsoku/>
        <w:wordWrap/>
        <w:overflowPunct/>
        <w:topLinePunct w:val="0"/>
        <w:bidi w:val="0"/>
        <w:adjustRightInd w:val="0"/>
        <w:snapToGrid w:val="0"/>
        <w:spacing w:line="400" w:lineRule="atLeast"/>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郸城县民政局2026年特困供养保障物资采购项目</w:t>
      </w:r>
      <w:r>
        <w:rPr>
          <w:rFonts w:hint="eastAsia" w:ascii="宋体" w:hAnsi="宋体" w:cs="宋体"/>
          <w:color w:val="auto"/>
          <w:sz w:val="24"/>
          <w:szCs w:val="24"/>
          <w:highlight w:val="none"/>
        </w:rPr>
        <w:t>的潜在投标人应在周口市公共资源交易中心网（http://jyzx.zhoukou.gov.cn）获取招标文件，并于</w:t>
      </w:r>
      <w:r>
        <w:rPr>
          <w:rFonts w:hint="eastAsia" w:ascii="宋体" w:hAnsi="宋体" w:cs="宋体"/>
          <w:color w:val="auto"/>
          <w:sz w:val="24"/>
          <w:szCs w:val="24"/>
          <w:highlight w:val="none"/>
          <w:lang w:val="en-US" w:eastAsia="zh-CN"/>
        </w:rPr>
        <w:t>2026</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9</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16</w:t>
      </w:r>
      <w:r>
        <w:rPr>
          <w:rFonts w:hint="eastAsia" w:ascii="宋体" w:hAnsi="宋体" w:cs="宋体"/>
          <w:color w:val="auto"/>
          <w:sz w:val="24"/>
          <w:szCs w:val="24"/>
          <w:highlight w:val="none"/>
        </w:rPr>
        <w:t>日</w:t>
      </w:r>
      <w:r>
        <w:rPr>
          <w:rFonts w:hint="eastAsia" w:ascii="宋体" w:hAnsi="宋体" w:cs="宋体"/>
          <w:color w:val="auto"/>
          <w:sz w:val="24"/>
          <w:szCs w:val="24"/>
          <w:highlight w:val="none"/>
          <w:lang w:val="en-US" w:eastAsia="zh-CN"/>
        </w:rPr>
        <w:t>10</w:t>
      </w:r>
      <w:r>
        <w:rPr>
          <w:rFonts w:hint="eastAsia" w:ascii="宋体" w:hAnsi="宋体" w:cs="宋体"/>
          <w:color w:val="auto"/>
          <w:sz w:val="24"/>
          <w:szCs w:val="24"/>
          <w:highlight w:val="none"/>
        </w:rPr>
        <w:t>点</w:t>
      </w:r>
      <w:r>
        <w:rPr>
          <w:rFonts w:hint="eastAsia" w:ascii="宋体" w:hAnsi="宋体" w:cs="宋体"/>
          <w:color w:val="auto"/>
          <w:sz w:val="24"/>
          <w:szCs w:val="24"/>
          <w:highlight w:val="none"/>
          <w:lang w:val="en-US" w:eastAsia="zh-CN"/>
        </w:rPr>
        <w:t>00</w:t>
      </w:r>
      <w:r>
        <w:rPr>
          <w:rFonts w:hint="eastAsia" w:ascii="宋体" w:hAnsi="宋体" w:cs="宋体"/>
          <w:color w:val="auto"/>
          <w:sz w:val="24"/>
          <w:szCs w:val="24"/>
          <w:highlight w:val="none"/>
        </w:rPr>
        <w:t>分（北京时间）前递交投标文件。</w:t>
      </w:r>
    </w:p>
    <w:p w14:paraId="53A2ABE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一、项目基本情况</w:t>
      </w:r>
      <w:bookmarkEnd w:id="6"/>
      <w:bookmarkEnd w:id="7"/>
      <w:bookmarkEnd w:id="8"/>
      <w:bookmarkEnd w:id="9"/>
    </w:p>
    <w:p w14:paraId="19F2A2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项目编号：</w:t>
      </w:r>
      <w:r>
        <w:rPr>
          <w:rFonts w:hint="eastAsia" w:ascii="宋体" w:hAnsi="宋体" w:cs="宋体"/>
          <w:i w:val="0"/>
          <w:iCs w:val="0"/>
          <w:color w:val="auto"/>
          <w:kern w:val="2"/>
          <w:sz w:val="24"/>
          <w:szCs w:val="24"/>
          <w:highlight w:val="none"/>
          <w:lang w:val="en-US" w:eastAsia="zh-CN" w:bidi="ar-SA"/>
        </w:rPr>
        <w:t>郸财招标采购-2026-31</w:t>
      </w:r>
    </w:p>
    <w:p w14:paraId="0B4B123C">
      <w:pPr>
        <w:spacing w:line="360" w:lineRule="auto"/>
        <w:ind w:firstLine="480" w:firstLineChars="200"/>
        <w:rPr>
          <w:rFonts w:hint="eastAsia" w:cs="Times New Roman"/>
          <w:color w:val="auto"/>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bidi="ar-SA"/>
        </w:rPr>
        <w:t>项目名称</w:t>
      </w:r>
      <w:r>
        <w:rPr>
          <w:rFonts w:hint="eastAsia" w:ascii="Times New Roman" w:hAnsi="Times New Roman" w:eastAsia="宋体" w:cs="Times New Roman"/>
          <w:color w:val="auto"/>
          <w:sz w:val="24"/>
          <w:szCs w:val="24"/>
          <w:highlight w:val="none"/>
          <w:lang w:val="en-US" w:eastAsia="zh-CN"/>
        </w:rPr>
        <w:t>：</w:t>
      </w:r>
      <w:bookmarkEnd w:id="10"/>
      <w:r>
        <w:rPr>
          <w:rFonts w:hint="eastAsia" w:cs="Times New Roman"/>
          <w:color w:val="auto"/>
          <w:sz w:val="24"/>
          <w:szCs w:val="24"/>
          <w:highlight w:val="none"/>
          <w:lang w:val="en-US" w:eastAsia="zh-CN"/>
        </w:rPr>
        <w:t>郸城县民政局2026年特困供养保障物资采购项目</w:t>
      </w:r>
    </w:p>
    <w:p w14:paraId="3FEF1721">
      <w:pPr>
        <w:spacing w:line="360" w:lineRule="auto"/>
        <w:ind w:firstLine="480" w:firstLineChars="200"/>
        <w:rPr>
          <w:rFonts w:hint="default" w:ascii="宋体" w:hAnsi="宋体" w:eastAsia="宋体" w:cs="宋体"/>
          <w:i w:val="0"/>
          <w:iCs w:val="0"/>
          <w:color w:val="auto"/>
          <w:kern w:val="2"/>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rPr>
        <w:t>预</w:t>
      </w:r>
      <w:r>
        <w:rPr>
          <w:rFonts w:hint="eastAsia" w:ascii="宋体" w:hAnsi="宋体" w:eastAsia="宋体" w:cs="宋体"/>
          <w:i w:val="0"/>
          <w:iCs w:val="0"/>
          <w:color w:val="auto"/>
          <w:kern w:val="2"/>
          <w:sz w:val="24"/>
          <w:szCs w:val="24"/>
          <w:highlight w:val="none"/>
          <w:lang w:val="en-US" w:eastAsia="zh-CN" w:bidi="ar-SA"/>
        </w:rPr>
        <w:t>算金额：</w:t>
      </w:r>
      <w:r>
        <w:rPr>
          <w:rFonts w:hint="eastAsia" w:ascii="宋体" w:hAnsi="宋体" w:cs="宋体"/>
          <w:i w:val="0"/>
          <w:iCs w:val="0"/>
          <w:color w:val="auto"/>
          <w:kern w:val="2"/>
          <w:sz w:val="24"/>
          <w:szCs w:val="24"/>
          <w:highlight w:val="none"/>
          <w:lang w:val="en-US" w:eastAsia="zh-CN" w:bidi="ar-SA"/>
        </w:rPr>
        <w:t>355.60万元</w:t>
      </w:r>
    </w:p>
    <w:p w14:paraId="578AF357">
      <w:pPr>
        <w:spacing w:line="360" w:lineRule="auto"/>
        <w:ind w:firstLine="480" w:firstLineChars="200"/>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最高限价（如有）：</w:t>
      </w:r>
      <w:r>
        <w:rPr>
          <w:rFonts w:hint="eastAsia" w:ascii="宋体" w:hAnsi="宋体" w:cs="宋体"/>
          <w:i w:val="0"/>
          <w:iCs w:val="0"/>
          <w:color w:val="auto"/>
          <w:kern w:val="2"/>
          <w:sz w:val="24"/>
          <w:szCs w:val="24"/>
          <w:highlight w:val="none"/>
          <w:lang w:val="en-US" w:eastAsia="zh-CN" w:bidi="ar-SA"/>
        </w:rPr>
        <w:t>170.1万元</w:t>
      </w:r>
    </w:p>
    <w:p w14:paraId="0AC45AFB">
      <w:pPr>
        <w:spacing w:line="360" w:lineRule="auto"/>
        <w:ind w:firstLine="480" w:firstLineChars="200"/>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采购方式：公开招标</w:t>
      </w:r>
    </w:p>
    <w:p w14:paraId="429B6E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包别划分：</w:t>
      </w:r>
      <w:r>
        <w:rPr>
          <w:rFonts w:hint="eastAsia" w:ascii="宋体" w:hAnsi="宋体" w:cs="宋体"/>
          <w:i w:val="0"/>
          <w:iCs w:val="0"/>
          <w:color w:val="auto"/>
          <w:kern w:val="2"/>
          <w:sz w:val="24"/>
          <w:szCs w:val="24"/>
          <w:highlight w:val="none"/>
          <w:u w:val="single"/>
          <w:lang w:val="en-US" w:eastAsia="zh-CN" w:bidi="ar-SA"/>
        </w:rPr>
        <w:t>1</w:t>
      </w:r>
      <w:r>
        <w:rPr>
          <w:rFonts w:hint="eastAsia"/>
          <w:color w:val="auto"/>
          <w:sz w:val="24"/>
          <w:szCs w:val="24"/>
          <w:highlight w:val="none"/>
          <w:lang w:val="en-US" w:eastAsia="zh-CN"/>
        </w:rPr>
        <w:t>个包</w:t>
      </w:r>
    </w:p>
    <w:tbl>
      <w:tblPr>
        <w:tblStyle w:val="24"/>
        <w:tblpPr w:leftFromText="180" w:rightFromText="180" w:vertAnchor="text" w:horzAnchor="margin" w:tblpXSpec="center" w:tblpY="154"/>
        <w:tblW w:w="9418" w:type="dxa"/>
        <w:tblInd w:w="2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6379"/>
        <w:gridCol w:w="2161"/>
      </w:tblGrid>
      <w:tr w14:paraId="5F6D3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878" w:type="dxa"/>
            <w:noWrap w:val="0"/>
            <w:vAlign w:val="center"/>
          </w:tcPr>
          <w:p w14:paraId="06C982D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包号</w:t>
            </w:r>
          </w:p>
        </w:tc>
        <w:tc>
          <w:tcPr>
            <w:tcW w:w="6379" w:type="dxa"/>
            <w:noWrap w:val="0"/>
            <w:vAlign w:val="center"/>
          </w:tcPr>
          <w:p w14:paraId="3A74B69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包名称</w:t>
            </w:r>
          </w:p>
        </w:tc>
        <w:tc>
          <w:tcPr>
            <w:tcW w:w="2161" w:type="dxa"/>
            <w:noWrap w:val="0"/>
            <w:vAlign w:val="center"/>
          </w:tcPr>
          <w:p w14:paraId="0291B25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包最高限价</w:t>
            </w:r>
            <w:r>
              <w:rPr>
                <w:rFonts w:hint="eastAsia" w:ascii="宋体" w:hAnsi="宋体" w:cs="宋体"/>
                <w:i w:val="0"/>
                <w:iCs w:val="0"/>
                <w:color w:val="auto"/>
                <w:kern w:val="2"/>
                <w:sz w:val="24"/>
                <w:szCs w:val="24"/>
                <w:highlight w:val="none"/>
                <w:lang w:val="en-US" w:eastAsia="zh-CN" w:bidi="ar-SA"/>
              </w:rPr>
              <w:t>(万</w:t>
            </w:r>
            <w:r>
              <w:rPr>
                <w:rFonts w:hint="eastAsia" w:ascii="宋体" w:hAnsi="宋体" w:eastAsia="宋体" w:cs="宋体"/>
                <w:i w:val="0"/>
                <w:iCs w:val="0"/>
                <w:color w:val="auto"/>
                <w:kern w:val="2"/>
                <w:sz w:val="24"/>
                <w:szCs w:val="24"/>
                <w:highlight w:val="none"/>
                <w:lang w:val="en-US" w:eastAsia="zh-CN" w:bidi="ar-SA"/>
              </w:rPr>
              <w:t>元</w:t>
            </w:r>
            <w:r>
              <w:rPr>
                <w:rFonts w:hint="eastAsia" w:ascii="宋体" w:hAnsi="宋体" w:cs="宋体"/>
                <w:i w:val="0"/>
                <w:iCs w:val="0"/>
                <w:color w:val="auto"/>
                <w:kern w:val="2"/>
                <w:sz w:val="24"/>
                <w:szCs w:val="24"/>
                <w:highlight w:val="none"/>
                <w:lang w:val="en-US" w:eastAsia="zh-CN" w:bidi="ar-SA"/>
              </w:rPr>
              <w:t>)</w:t>
            </w:r>
          </w:p>
        </w:tc>
      </w:tr>
      <w:tr w14:paraId="685CB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878" w:type="dxa"/>
            <w:noWrap w:val="0"/>
            <w:vAlign w:val="center"/>
          </w:tcPr>
          <w:p w14:paraId="1C3072A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i w:val="0"/>
                <w:iCs w:val="0"/>
                <w:color w:val="auto"/>
                <w:kern w:val="2"/>
                <w:sz w:val="24"/>
                <w:szCs w:val="24"/>
                <w:highlight w:val="none"/>
                <w:lang w:val="en-US" w:eastAsia="zh-CN" w:bidi="ar-SA"/>
              </w:rPr>
            </w:pPr>
            <w:r>
              <w:rPr>
                <w:rFonts w:hint="eastAsia" w:ascii="宋体" w:hAnsi="宋体" w:cs="宋体"/>
                <w:i w:val="0"/>
                <w:iCs w:val="0"/>
                <w:color w:val="auto"/>
                <w:kern w:val="2"/>
                <w:sz w:val="24"/>
                <w:szCs w:val="24"/>
                <w:highlight w:val="none"/>
                <w:lang w:val="en-US" w:eastAsia="zh-CN" w:bidi="ar-SA"/>
              </w:rPr>
              <w:t>2</w:t>
            </w:r>
          </w:p>
        </w:tc>
        <w:tc>
          <w:tcPr>
            <w:tcW w:w="6379" w:type="dxa"/>
            <w:noWrap w:val="0"/>
            <w:vAlign w:val="center"/>
          </w:tcPr>
          <w:p w14:paraId="1F17FEE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cs="Times New Roman"/>
                <w:color w:val="auto"/>
                <w:sz w:val="24"/>
                <w:szCs w:val="24"/>
                <w:highlight w:val="none"/>
                <w:lang w:val="en-US" w:eastAsia="zh-CN"/>
              </w:rPr>
            </w:pPr>
            <w:r>
              <w:rPr>
                <w:rFonts w:hint="eastAsia" w:cs="Times New Roman"/>
                <w:color w:val="auto"/>
                <w:sz w:val="24"/>
                <w:szCs w:val="24"/>
                <w:highlight w:val="none"/>
                <w:lang w:val="en-US" w:eastAsia="zh-CN"/>
              </w:rPr>
              <w:t>郸城县民政局2026年特困供养保障物资采购项目2包</w:t>
            </w:r>
          </w:p>
        </w:tc>
        <w:tc>
          <w:tcPr>
            <w:tcW w:w="2161" w:type="dxa"/>
            <w:noWrap w:val="0"/>
            <w:vAlign w:val="center"/>
          </w:tcPr>
          <w:p w14:paraId="30D6508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i w:val="0"/>
                <w:iCs w:val="0"/>
                <w:color w:val="auto"/>
                <w:kern w:val="2"/>
                <w:sz w:val="24"/>
                <w:szCs w:val="24"/>
                <w:highlight w:val="none"/>
                <w:lang w:val="en-US" w:eastAsia="zh-CN" w:bidi="ar-SA"/>
              </w:rPr>
            </w:pPr>
            <w:r>
              <w:rPr>
                <w:rFonts w:hint="eastAsia" w:ascii="宋体" w:hAnsi="宋体" w:cs="宋体"/>
                <w:i w:val="0"/>
                <w:iCs w:val="0"/>
                <w:color w:val="auto"/>
                <w:kern w:val="2"/>
                <w:sz w:val="24"/>
                <w:szCs w:val="24"/>
                <w:highlight w:val="none"/>
                <w:lang w:val="en-US" w:eastAsia="zh-CN" w:bidi="ar-SA"/>
              </w:rPr>
              <w:t>170.1</w:t>
            </w:r>
          </w:p>
        </w:tc>
      </w:tr>
    </w:tbl>
    <w:p w14:paraId="440AA7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采购需求：</w:t>
      </w:r>
      <w:r>
        <w:rPr>
          <w:rFonts w:hint="eastAsia" w:cs="Times New Roman"/>
          <w:color w:val="auto"/>
          <w:sz w:val="24"/>
          <w:szCs w:val="24"/>
          <w:highlight w:val="none"/>
          <w:lang w:val="en-US" w:eastAsia="zh-CN"/>
        </w:rPr>
        <w:t>郸城县民政局2026年特困供养保障物资采购项目</w:t>
      </w:r>
      <w:r>
        <w:rPr>
          <w:rFonts w:hint="eastAsia" w:ascii="宋体" w:hAnsi="宋体" w:cs="宋体"/>
          <w:i w:val="0"/>
          <w:iCs w:val="0"/>
          <w:color w:val="auto"/>
          <w:kern w:val="2"/>
          <w:sz w:val="24"/>
          <w:szCs w:val="24"/>
          <w:highlight w:val="none"/>
          <w:lang w:val="en-US" w:eastAsia="zh-CN" w:bidi="ar-SA"/>
        </w:rPr>
        <w:t>（包括但不限于标的的名称、数量、简要技术需求或服务要求等）</w:t>
      </w:r>
    </w:p>
    <w:p w14:paraId="4EF938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合同履行期限：</w:t>
      </w:r>
      <w:r>
        <w:rPr>
          <w:rFonts w:hint="eastAsia" w:ascii="宋体" w:hAnsi="宋体" w:cs="宋体"/>
          <w:color w:val="auto"/>
          <w:sz w:val="24"/>
          <w:highlight w:val="none"/>
          <w:lang w:eastAsia="zh-CN"/>
        </w:rPr>
        <w:t>合同签订后15日历天内</w:t>
      </w:r>
      <w:r>
        <w:rPr>
          <w:rFonts w:hint="eastAsia" w:ascii="宋体" w:hAnsi="宋体" w:eastAsia="宋体" w:cs="宋体"/>
          <w:color w:val="auto"/>
          <w:sz w:val="24"/>
          <w:highlight w:val="none"/>
          <w:lang w:eastAsia="zh-CN"/>
        </w:rPr>
        <w:t>。</w:t>
      </w:r>
    </w:p>
    <w:p w14:paraId="59AE07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14" w:name="_Toc28359080"/>
      <w:bookmarkStart w:id="15" w:name="_Toc35393622"/>
      <w:bookmarkStart w:id="16" w:name="_Toc28359003"/>
      <w:bookmarkStart w:id="17" w:name="_Toc35393791"/>
      <w:r>
        <w:rPr>
          <w:rFonts w:hint="eastAsia" w:ascii="宋体" w:hAnsi="宋体" w:eastAsia="宋体" w:cs="宋体"/>
          <w:i w:val="0"/>
          <w:iCs w:val="0"/>
          <w:color w:val="auto"/>
          <w:sz w:val="24"/>
          <w:szCs w:val="24"/>
          <w:highlight w:val="none"/>
        </w:rPr>
        <w:t>是否接受进口产品：否</w:t>
      </w:r>
    </w:p>
    <w:p w14:paraId="12DEB2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30A01F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u w:val="none"/>
          <w:lang w:val="en-US" w:eastAsia="zh-CN"/>
        </w:rPr>
      </w:pPr>
      <w:r>
        <w:rPr>
          <w:rFonts w:hint="eastAsia" w:ascii="宋体" w:hAnsi="宋体" w:eastAsia="宋体" w:cs="宋体"/>
          <w:b w:val="0"/>
          <w:bCs w:val="0"/>
          <w:i w:val="0"/>
          <w:iCs w:val="0"/>
          <w:color w:val="auto"/>
          <w:sz w:val="24"/>
          <w:szCs w:val="24"/>
          <w:highlight w:val="none"/>
        </w:rPr>
        <w:t>本项目</w:t>
      </w:r>
      <w:r>
        <w:rPr>
          <w:rFonts w:hint="eastAsia" w:ascii="宋体" w:hAnsi="宋体" w:eastAsia="宋体" w:cs="宋体"/>
          <w:b w:val="0"/>
          <w:bCs w:val="0"/>
          <w:i w:val="0"/>
          <w:iCs w:val="0"/>
          <w:color w:val="auto"/>
          <w:sz w:val="24"/>
          <w:szCs w:val="24"/>
          <w:highlight w:val="none"/>
          <w:lang w:val="en-US" w:eastAsia="zh-CN"/>
        </w:rPr>
        <w:t>是否为只面向中小企业采购：</w:t>
      </w:r>
      <w:r>
        <w:rPr>
          <w:rFonts w:hint="eastAsia" w:ascii="宋体" w:hAnsi="宋体" w:cs="宋体"/>
          <w:b w:val="0"/>
          <w:bCs w:val="0"/>
          <w:i w:val="0"/>
          <w:iCs w:val="0"/>
          <w:color w:val="auto"/>
          <w:sz w:val="24"/>
          <w:szCs w:val="24"/>
          <w:highlight w:val="none"/>
          <w:lang w:val="en-US" w:eastAsia="zh-CN"/>
        </w:rPr>
        <w:t>否</w:t>
      </w:r>
    </w:p>
    <w:p w14:paraId="6DB239E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二、申请人的资格要求：</w:t>
      </w:r>
      <w:bookmarkEnd w:id="14"/>
      <w:bookmarkEnd w:id="15"/>
      <w:bookmarkEnd w:id="16"/>
      <w:bookmarkEnd w:id="17"/>
    </w:p>
    <w:p w14:paraId="4D509C8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i w:val="0"/>
          <w:iCs w:val="0"/>
          <w:color w:val="auto"/>
          <w:sz w:val="24"/>
          <w:szCs w:val="24"/>
          <w:highlight w:val="none"/>
        </w:rPr>
        <w:t>1.满足《中华人民共和国政府采购法》第二十二条规定；</w:t>
      </w:r>
    </w:p>
    <w:p w14:paraId="53B7007A">
      <w:pPr>
        <w:pStyle w:val="7"/>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（1）具有独立承担民事责任的能力（企业营业执照等证明文件）；</w:t>
      </w:r>
    </w:p>
    <w:p w14:paraId="06D259D5">
      <w:pPr>
        <w:pStyle w:val="7"/>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（2）具有良好的商业信誉和健全的财务会计制度；</w:t>
      </w:r>
    </w:p>
    <w:p w14:paraId="0EA30AA8">
      <w:pPr>
        <w:pStyle w:val="7"/>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（3）具有履行合同所必需的设备和专业技术能力；</w:t>
      </w:r>
    </w:p>
    <w:p w14:paraId="5BB59EAE">
      <w:pPr>
        <w:pStyle w:val="7"/>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（4）有依法缴纳税收和社会保障资金的良好记录（缴纳的税收凭据、社会保险凭据，依法免税或不需要缴纳社会保障资金的供应商应提供相应的证明文件）；</w:t>
      </w:r>
    </w:p>
    <w:p w14:paraId="0DF97619">
      <w:pPr>
        <w:pStyle w:val="7"/>
        <w:adjustRightInd w:val="0"/>
        <w:snapToGrid w:val="0"/>
        <w:spacing w:line="360" w:lineRule="auto"/>
        <w:ind w:firstLine="480" w:firstLineChars="200"/>
        <w:rPr>
          <w:rFonts w:hint="eastAsia"/>
          <w:color w:val="auto"/>
          <w:highlight w:val="none"/>
        </w:rPr>
      </w:pPr>
      <w:r>
        <w:rPr>
          <w:rFonts w:hint="eastAsia" w:ascii="宋体" w:hAnsi="宋体" w:eastAsia="宋体" w:cs="宋体"/>
          <w:color w:val="auto"/>
          <w:sz w:val="24"/>
          <w:szCs w:val="24"/>
          <w:highlight w:val="none"/>
        </w:rPr>
        <w:t>（5）参加政府采购活动前三年内，在经营活动中没有重大违法记录（提供没有重大违法记录的书面声明函，格式自拟）；</w:t>
      </w:r>
    </w:p>
    <w:p w14:paraId="7CDE1B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18" w:name="_Toc28359004"/>
      <w:bookmarkStart w:id="19" w:name="_Toc28359081"/>
      <w:r>
        <w:rPr>
          <w:rFonts w:hint="eastAsia" w:ascii="宋体" w:hAnsi="宋体" w:eastAsia="宋体" w:cs="宋体"/>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2916240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color w:val="auto"/>
          <w:sz w:val="24"/>
          <w:szCs w:val="24"/>
          <w:highlight w:val="none"/>
        </w:rPr>
      </w:pPr>
      <w:r>
        <w:rPr>
          <w:rFonts w:hint="eastAsia" w:ascii="宋体" w:hAnsi="宋体" w:eastAsia="宋体" w:cs="宋体"/>
          <w:i w:val="0"/>
          <w:iCs w:val="0"/>
          <w:color w:val="auto"/>
          <w:sz w:val="24"/>
          <w:szCs w:val="24"/>
          <w:highlight w:val="none"/>
        </w:rPr>
        <w:t>3.本项目的特定资格要求：</w:t>
      </w:r>
      <w:r>
        <w:rPr>
          <w:rFonts w:hint="eastAsia"/>
          <w:color w:val="auto"/>
          <w:sz w:val="24"/>
          <w:szCs w:val="24"/>
          <w:highlight w:val="none"/>
        </w:rPr>
        <w:t>（1）</w:t>
      </w:r>
      <w:r>
        <w:rPr>
          <w:rFonts w:hint="eastAsia" w:ascii="宋体" w:hAnsi="宋体" w:cs="宋体"/>
          <w:color w:val="auto"/>
          <w:sz w:val="24"/>
          <w:szCs w:val="24"/>
          <w:highlight w:val="none"/>
        </w:rPr>
        <w:t>根据《关于在政府采购活动中查询及使用信用记录有关问题的通知》(财库[2016]125号)和豫财购【2016】15号的规定，对列入“信用中国”网站（www.creditchina.gov.cn）的“失信被执行人”、“重大税收违法案件当事人名单（重大税收违法失信主体）”</w:t>
      </w:r>
      <w:r>
        <w:rPr>
          <w:rFonts w:hint="eastAsia" w:ascii="宋体" w:hAnsi="宋体" w:eastAsia="宋体" w:cs="宋体"/>
          <w:i w:val="0"/>
          <w:iCs w:val="0"/>
          <w:color w:val="auto"/>
          <w:sz w:val="24"/>
          <w:szCs w:val="24"/>
          <w:highlight w:val="none"/>
          <w:lang w:eastAsia="zh-CN"/>
        </w:rPr>
        <w:t>的供应商和法定代表人</w:t>
      </w:r>
      <w:r>
        <w:rPr>
          <w:rFonts w:hint="eastAsia" w:ascii="宋体" w:hAnsi="宋体" w:cs="宋体"/>
          <w:color w:val="auto"/>
          <w:sz w:val="24"/>
          <w:szCs w:val="24"/>
          <w:highlight w:val="none"/>
        </w:rPr>
        <w:t>和“中国政府采购”网站(www.ccgp.gov.cn)的“政府采购严重违法失信行为记录名单”的</w:t>
      </w:r>
      <w:r>
        <w:rPr>
          <w:rFonts w:hint="eastAsia" w:ascii="宋体" w:hAnsi="宋体" w:cs="宋体"/>
          <w:b w:val="0"/>
          <w:bCs w:val="0"/>
          <w:color w:val="auto"/>
          <w:sz w:val="24"/>
          <w:szCs w:val="24"/>
          <w:highlight w:val="none"/>
        </w:rPr>
        <w:t>供应商，将拒绝其参加政府采购活动；</w:t>
      </w:r>
      <w:r>
        <w:rPr>
          <w:rFonts w:hint="eastAsia" w:ascii="宋体" w:hAnsi="宋体" w:eastAsia="宋体" w:cs="宋体"/>
          <w:i w:val="0"/>
          <w:iCs w:val="0"/>
          <w:color w:val="auto"/>
          <w:sz w:val="24"/>
          <w:szCs w:val="24"/>
          <w:highlight w:val="none"/>
        </w:rPr>
        <w:t>在标书中附加盖公章的</w:t>
      </w:r>
      <w:r>
        <w:rPr>
          <w:rFonts w:hint="eastAsia" w:ascii="宋体" w:hAnsi="宋体" w:eastAsia="宋体" w:cs="宋体"/>
          <w:i w:val="0"/>
          <w:iCs w:val="0"/>
          <w:color w:val="auto"/>
          <w:sz w:val="24"/>
          <w:szCs w:val="24"/>
          <w:highlight w:val="none"/>
          <w:lang w:val="en-US" w:eastAsia="zh-CN"/>
        </w:rPr>
        <w:t>供应商及法定代表人</w:t>
      </w:r>
      <w:r>
        <w:rPr>
          <w:rFonts w:hint="eastAsia" w:ascii="宋体" w:hAnsi="宋体" w:eastAsia="宋体" w:cs="宋体"/>
          <w:i w:val="0"/>
          <w:iCs w:val="0"/>
          <w:color w:val="auto"/>
          <w:sz w:val="24"/>
          <w:szCs w:val="24"/>
          <w:highlight w:val="none"/>
        </w:rPr>
        <w:t>网页查询扫描件</w:t>
      </w:r>
      <w:r>
        <w:rPr>
          <w:rFonts w:hint="eastAsia" w:ascii="宋体" w:hAnsi="宋体" w:cs="宋体"/>
          <w:b w:val="0"/>
          <w:bCs w:val="0"/>
          <w:color w:val="auto"/>
          <w:sz w:val="24"/>
          <w:szCs w:val="24"/>
          <w:highlight w:val="none"/>
        </w:rPr>
        <w:t>，查询日期为公告发布之日起至投标截止之日止。</w:t>
      </w:r>
    </w:p>
    <w:p w14:paraId="0FFF01BB">
      <w:pPr>
        <w:keepNext w:val="0"/>
        <w:keepLines w:val="0"/>
        <w:pageBreakBefore w:val="0"/>
        <w:widowControl w:val="0"/>
        <w:kinsoku/>
        <w:wordWrap/>
        <w:overflowPunct/>
        <w:topLinePunct w:val="0"/>
        <w:bidi w:val="0"/>
        <w:adjustRightInd w:val="0"/>
        <w:snapToGrid w:val="0"/>
        <w:spacing w:line="400" w:lineRule="atLeast"/>
        <w:ind w:firstLine="480" w:firstLineChars="200"/>
        <w:jc w:val="left"/>
        <w:textAlignment w:val="auto"/>
        <w:rPr>
          <w:rFonts w:ascii="宋体" w:hAnsi="宋体" w:cs="宋体"/>
          <w:color w:val="auto"/>
          <w:sz w:val="24"/>
          <w:szCs w:val="24"/>
          <w:highlight w:val="none"/>
        </w:rPr>
      </w:pPr>
      <w:r>
        <w:rPr>
          <w:rFonts w:hint="eastAsia" w:ascii="宋体" w:hAnsi="宋体" w:eastAsia="宋体" w:cs="宋体"/>
          <w:i w:val="0"/>
          <w:iCs w:val="0"/>
          <w:color w:val="auto"/>
          <w:sz w:val="24"/>
          <w:szCs w:val="24"/>
          <w:highlight w:val="none"/>
          <w:lang w:val="en-US" w:eastAsia="zh-CN"/>
        </w:rPr>
        <w:t>（2）</w:t>
      </w:r>
      <w:r>
        <w:rPr>
          <w:rFonts w:hint="eastAsia" w:asciiTheme="minorEastAsia" w:hAnsiTheme="minorEastAsia" w:cstheme="minorEastAsia"/>
          <w:color w:val="auto"/>
          <w:sz w:val="24"/>
          <w:szCs w:val="24"/>
          <w:highlight w:val="none"/>
        </w:rPr>
        <w:t>投标单位负责人为同一人或存在直接控股、管理关系的不同投标人，不得参加同一合同项下的政府采购活动（提供国家企业信用信息系统查询截图，包括公司基础信息和股东信息，投标文件中提供网站查询公告后</w:t>
      </w:r>
      <w:r>
        <w:rPr>
          <w:rFonts w:hint="eastAsia" w:asciiTheme="minorEastAsia" w:hAnsiTheme="minorEastAsia" w:cstheme="minorEastAsia"/>
          <w:color w:val="auto"/>
          <w:sz w:val="24"/>
          <w:szCs w:val="24"/>
          <w:highlight w:val="none"/>
          <w:lang w:eastAsia="zh-CN"/>
        </w:rPr>
        <w:t>的</w:t>
      </w:r>
      <w:r>
        <w:rPr>
          <w:rFonts w:hint="eastAsia" w:asciiTheme="minorEastAsia" w:hAnsiTheme="minorEastAsia" w:cstheme="minorEastAsia"/>
          <w:color w:val="auto"/>
          <w:sz w:val="24"/>
          <w:szCs w:val="24"/>
          <w:highlight w:val="none"/>
        </w:rPr>
        <w:t>扫描件）。</w:t>
      </w:r>
      <w:r>
        <w:rPr>
          <w:rFonts w:ascii="宋体" w:hAnsi="宋体" w:cs="宋体"/>
          <w:color w:val="auto"/>
          <w:sz w:val="24"/>
          <w:szCs w:val="24"/>
          <w:highlight w:val="none"/>
        </w:rPr>
        <w:t>（查询日期为公告发布之后）；</w:t>
      </w:r>
    </w:p>
    <w:p w14:paraId="5892D94C">
      <w:pPr>
        <w:keepNext w:val="0"/>
        <w:keepLines w:val="0"/>
        <w:pageBreakBefore w:val="0"/>
        <w:widowControl w:val="0"/>
        <w:kinsoku/>
        <w:wordWrap/>
        <w:overflowPunct/>
        <w:topLinePunct w:val="0"/>
        <w:bidi w:val="0"/>
        <w:adjustRightInd w:val="0"/>
        <w:snapToGrid w:val="0"/>
        <w:spacing w:line="400" w:lineRule="atLeast"/>
        <w:ind w:firstLine="480" w:firstLineChars="200"/>
        <w:jc w:val="left"/>
        <w:textAlignment w:val="auto"/>
        <w:rPr>
          <w:rFonts w:ascii="宋体" w:hAnsi="宋体" w:cs="宋体"/>
          <w:color w:val="auto"/>
          <w:sz w:val="24"/>
          <w:szCs w:val="24"/>
          <w:highlight w:val="none"/>
        </w:rPr>
      </w:pPr>
      <w:r>
        <w:rPr>
          <w:rFonts w:ascii="宋体" w:hAnsi="宋体" w:cs="宋体"/>
          <w:color w:val="auto"/>
          <w:sz w:val="24"/>
          <w:szCs w:val="24"/>
          <w:highlight w:val="none"/>
        </w:rPr>
        <w:t>（3）法定代表人为同一个人的两个及两个以上法人，母公司、全资子公司及其控股公司，都不得在同一货物招标中同时投标。</w:t>
      </w:r>
    </w:p>
    <w:p w14:paraId="2A33BA3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20" w:name="_Toc35393792"/>
      <w:bookmarkStart w:id="21" w:name="_Toc35393623"/>
      <w:r>
        <w:rPr>
          <w:rFonts w:hint="eastAsia" w:ascii="宋体" w:hAnsi="宋体" w:eastAsia="宋体" w:cs="宋体"/>
          <w:i w:val="0"/>
          <w:iCs w:val="0"/>
          <w:color w:val="auto"/>
          <w:sz w:val="24"/>
          <w:szCs w:val="24"/>
          <w:highlight w:val="none"/>
        </w:rPr>
        <w:t>三、获取招标文件</w:t>
      </w:r>
      <w:bookmarkEnd w:id="18"/>
      <w:bookmarkEnd w:id="19"/>
      <w:bookmarkEnd w:id="20"/>
      <w:bookmarkEnd w:id="21"/>
    </w:p>
    <w:p w14:paraId="2355B76A">
      <w:pPr>
        <w:spacing w:line="360" w:lineRule="auto"/>
        <w:ind w:firstLine="54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时间：</w:t>
      </w:r>
      <w:r>
        <w:rPr>
          <w:rFonts w:hint="eastAsia" w:ascii="宋体" w:hAnsi="宋体" w:cs="宋体"/>
          <w:i w:val="0"/>
          <w:iCs w:val="0"/>
          <w:color w:val="auto"/>
          <w:sz w:val="24"/>
          <w:szCs w:val="24"/>
          <w:highlight w:val="none"/>
          <w:lang w:val="en-US" w:eastAsia="zh-CN"/>
        </w:rPr>
        <w:t>2026</w:t>
      </w:r>
      <w:r>
        <w:rPr>
          <w:rFonts w:hint="eastAsia" w:ascii="宋体" w:hAnsi="宋体" w:eastAsia="宋体" w:cs="宋体"/>
          <w:i w:val="0"/>
          <w:iCs w:val="0"/>
          <w:color w:val="auto"/>
          <w:sz w:val="24"/>
          <w:szCs w:val="24"/>
          <w:highlight w:val="none"/>
          <w:lang w:val="en-US" w:eastAsia="zh-CN"/>
        </w:rPr>
        <w:t>年</w:t>
      </w:r>
      <w:r>
        <w:rPr>
          <w:rFonts w:hint="eastAsia" w:ascii="宋体" w:hAnsi="宋体" w:cs="宋体"/>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26</w:t>
      </w:r>
      <w:r>
        <w:rPr>
          <w:rFonts w:hint="eastAsia" w:ascii="宋体" w:hAnsi="宋体" w:eastAsia="宋体" w:cs="宋体"/>
          <w:i w:val="0"/>
          <w:iCs w:val="0"/>
          <w:color w:val="auto"/>
          <w:sz w:val="24"/>
          <w:szCs w:val="24"/>
          <w:highlight w:val="none"/>
        </w:rPr>
        <w:t>日至</w:t>
      </w:r>
      <w:r>
        <w:rPr>
          <w:rFonts w:hint="eastAsia" w:ascii="宋体" w:hAnsi="宋体" w:cs="宋体"/>
          <w:i w:val="0"/>
          <w:iCs w:val="0"/>
          <w:color w:val="auto"/>
          <w:sz w:val="24"/>
          <w:szCs w:val="24"/>
          <w:highlight w:val="none"/>
          <w:lang w:val="en-US" w:eastAsia="zh-CN"/>
        </w:rPr>
        <w:t>2026</w:t>
      </w:r>
      <w:r>
        <w:rPr>
          <w:rFonts w:hint="eastAsia" w:ascii="宋体" w:hAnsi="宋体" w:eastAsia="宋体" w:cs="宋体"/>
          <w:i w:val="0"/>
          <w:iCs w:val="0"/>
          <w:color w:val="auto"/>
          <w:sz w:val="24"/>
          <w:szCs w:val="24"/>
          <w:highlight w:val="none"/>
          <w:lang w:val="en-US" w:eastAsia="zh-CN"/>
        </w:rPr>
        <w:t>年</w:t>
      </w:r>
      <w:r>
        <w:rPr>
          <w:rFonts w:hint="eastAsia" w:ascii="宋体" w:hAnsi="宋体" w:cs="宋体"/>
          <w:i w:val="0"/>
          <w:iCs w:val="0"/>
          <w:color w:val="auto"/>
          <w:sz w:val="24"/>
          <w:szCs w:val="24"/>
          <w:highlight w:val="none"/>
          <w:lang w:val="en-US" w:eastAsia="zh-CN"/>
        </w:rPr>
        <w:t>9</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日</w:t>
      </w:r>
      <w:r>
        <w:rPr>
          <w:rFonts w:hint="eastAsia" w:ascii="宋体" w:hAnsi="宋体" w:cs="宋体"/>
          <w:i w:val="0"/>
          <w:iCs w:val="0"/>
          <w:color w:val="auto"/>
          <w:sz w:val="24"/>
          <w:szCs w:val="24"/>
          <w:highlight w:val="none"/>
          <w:lang w:eastAsia="zh-CN"/>
        </w:rPr>
        <w:t>，</w:t>
      </w:r>
      <w:r>
        <w:rPr>
          <w:rFonts w:hint="eastAsia" w:ascii="宋体" w:hAnsi="宋体" w:cs="宋体"/>
          <w:color w:val="auto"/>
          <w:sz w:val="24"/>
          <w:szCs w:val="24"/>
          <w:highlight w:val="none"/>
        </w:rPr>
        <w:t>每天上午00：00至12：00，下午12：00　至23：59（北京时间，法定节假日除外）</w:t>
      </w:r>
    </w:p>
    <w:p w14:paraId="30D11D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3CCD8FD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73EA31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售价：</w:t>
      </w:r>
      <w:r>
        <w:rPr>
          <w:rFonts w:hint="eastAsia" w:ascii="宋体" w:hAnsi="宋体" w:eastAsia="宋体" w:cs="宋体"/>
          <w:i w:val="0"/>
          <w:iCs w:val="0"/>
          <w:color w:val="auto"/>
          <w:sz w:val="24"/>
          <w:szCs w:val="24"/>
          <w:highlight w:val="none"/>
          <w:lang w:val="en-US" w:eastAsia="zh-CN"/>
        </w:rPr>
        <w:t>0</w:t>
      </w:r>
    </w:p>
    <w:p w14:paraId="156294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22" w:name="_Toc28359082"/>
      <w:bookmarkStart w:id="23" w:name="_Toc28359005"/>
      <w:bookmarkStart w:id="24" w:name="_Toc35393793"/>
      <w:bookmarkStart w:id="25" w:name="_Toc35393624"/>
      <w:r>
        <w:rPr>
          <w:rFonts w:hint="eastAsia" w:ascii="宋体" w:hAnsi="宋体" w:eastAsia="宋体" w:cs="宋体"/>
          <w:i w:val="0"/>
          <w:iCs w:val="0"/>
          <w:color w:val="auto"/>
          <w:sz w:val="24"/>
          <w:szCs w:val="24"/>
          <w:highlight w:val="none"/>
        </w:rPr>
        <w:t>四、提交投标文件</w:t>
      </w:r>
      <w:bookmarkEnd w:id="22"/>
      <w:bookmarkEnd w:id="23"/>
      <w:r>
        <w:rPr>
          <w:rFonts w:hint="eastAsia" w:ascii="宋体" w:hAnsi="宋体" w:eastAsia="宋体" w:cs="宋体"/>
          <w:i w:val="0"/>
          <w:iCs w:val="0"/>
          <w:color w:val="auto"/>
          <w:sz w:val="24"/>
          <w:szCs w:val="24"/>
          <w:highlight w:val="none"/>
        </w:rPr>
        <w:t>截止时间、开标时间和地点</w:t>
      </w:r>
      <w:bookmarkEnd w:id="24"/>
      <w:bookmarkEnd w:id="25"/>
    </w:p>
    <w:p w14:paraId="6609DC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时间：</w:t>
      </w:r>
      <w:r>
        <w:rPr>
          <w:rFonts w:hint="eastAsia" w:ascii="宋体" w:hAnsi="宋体" w:cs="宋体"/>
          <w:i w:val="0"/>
          <w:iCs w:val="0"/>
          <w:color w:val="auto"/>
          <w:sz w:val="24"/>
          <w:szCs w:val="24"/>
          <w:highlight w:val="none"/>
          <w:lang w:val="en-US" w:eastAsia="zh-CN"/>
        </w:rPr>
        <w:t>2026年9月16日10点00分</w:t>
      </w:r>
      <w:r>
        <w:rPr>
          <w:rFonts w:hint="eastAsia" w:ascii="宋体" w:hAnsi="宋体" w:eastAsia="宋体" w:cs="宋体"/>
          <w:i w:val="0"/>
          <w:iCs w:val="0"/>
          <w:color w:val="auto"/>
          <w:sz w:val="24"/>
          <w:szCs w:val="24"/>
          <w:highlight w:val="none"/>
        </w:rPr>
        <w:t>（北京时间）</w:t>
      </w:r>
    </w:p>
    <w:p w14:paraId="638F92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rPr>
      </w:pPr>
      <w:r>
        <w:rPr>
          <w:rFonts w:hint="eastAsia" w:ascii="宋体" w:hAnsi="宋体" w:eastAsia="宋体" w:cs="宋体"/>
          <w:i w:val="0"/>
          <w:iCs w:val="0"/>
          <w:color w:val="auto"/>
          <w:sz w:val="24"/>
          <w:szCs w:val="24"/>
          <w:highlight w:val="none"/>
        </w:rPr>
        <w:t>地点：周口市公共资源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7ADD40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26" w:name="_Toc28359007"/>
      <w:bookmarkStart w:id="27" w:name="_Toc28359084"/>
      <w:bookmarkStart w:id="28" w:name="_Toc35393794"/>
      <w:bookmarkStart w:id="29" w:name="_Toc35393625"/>
      <w:r>
        <w:rPr>
          <w:rFonts w:hint="eastAsia" w:ascii="宋体" w:hAnsi="宋体" w:eastAsia="宋体" w:cs="宋体"/>
          <w:i w:val="0"/>
          <w:iCs w:val="0"/>
          <w:color w:val="auto"/>
          <w:sz w:val="24"/>
          <w:szCs w:val="24"/>
          <w:highlight w:val="none"/>
        </w:rPr>
        <w:t>五、公告期限</w:t>
      </w:r>
      <w:bookmarkEnd w:id="26"/>
      <w:bookmarkEnd w:id="27"/>
      <w:bookmarkEnd w:id="28"/>
      <w:bookmarkEnd w:id="29"/>
    </w:p>
    <w:p w14:paraId="7C3F13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自本公告发布之日起5个工作日。</w:t>
      </w:r>
    </w:p>
    <w:p w14:paraId="3E3B4C8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30" w:name="_Toc35393795"/>
      <w:bookmarkStart w:id="31" w:name="_Toc35393626"/>
      <w:r>
        <w:rPr>
          <w:rFonts w:hint="eastAsia" w:ascii="宋体" w:hAnsi="宋体" w:eastAsia="宋体" w:cs="宋体"/>
          <w:i w:val="0"/>
          <w:iCs w:val="0"/>
          <w:color w:val="auto"/>
          <w:sz w:val="24"/>
          <w:szCs w:val="24"/>
          <w:highlight w:val="none"/>
        </w:rPr>
        <w:t>六、其他补充事宜</w:t>
      </w:r>
      <w:bookmarkEnd w:id="30"/>
      <w:bookmarkEnd w:id="31"/>
    </w:p>
    <w:p w14:paraId="52135BC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32" w:name="_Toc35393627"/>
      <w:bookmarkStart w:id="33" w:name="_Toc35393796"/>
      <w:bookmarkStart w:id="34" w:name="_Toc28359085"/>
      <w:bookmarkStart w:id="35" w:name="_Toc28359008"/>
      <w:r>
        <w:rPr>
          <w:rFonts w:hint="eastAsia" w:ascii="宋体" w:hAnsi="宋体" w:eastAsia="宋体" w:cs="宋体"/>
          <w:i w:val="0"/>
          <w:iCs w:val="0"/>
          <w:color w:val="auto"/>
          <w:sz w:val="24"/>
          <w:szCs w:val="24"/>
          <w:highlight w:val="none"/>
          <w:lang w:val="en-US" w:eastAsia="zh-CN"/>
        </w:rPr>
        <w:t>无</w:t>
      </w:r>
    </w:p>
    <w:p w14:paraId="7075566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七、对本次招标提出询问，请按以下方式联系。</w:t>
      </w:r>
      <w:bookmarkEnd w:id="32"/>
      <w:bookmarkEnd w:id="33"/>
      <w:bookmarkEnd w:id="34"/>
      <w:bookmarkEnd w:id="35"/>
    </w:p>
    <w:p w14:paraId="13B7A9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4C8293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w:t>
      </w:r>
      <w:r>
        <w:rPr>
          <w:rFonts w:hint="eastAsia" w:ascii="宋体" w:hAnsi="宋体" w:cs="宋体"/>
          <w:i w:val="0"/>
          <w:iCs w:val="0"/>
          <w:color w:val="auto"/>
          <w:sz w:val="24"/>
          <w:szCs w:val="24"/>
          <w:highlight w:val="none"/>
          <w:lang w:eastAsia="zh-CN"/>
        </w:rPr>
        <w:t>郸城县民政局</w:t>
      </w:r>
      <w:r>
        <w:rPr>
          <w:rFonts w:hint="eastAsia" w:ascii="宋体" w:hAnsi="宋体" w:eastAsia="宋体" w:cs="宋体"/>
          <w:i w:val="0"/>
          <w:iCs w:val="0"/>
          <w:color w:val="auto"/>
          <w:sz w:val="24"/>
          <w:szCs w:val="24"/>
          <w:highlight w:val="none"/>
        </w:rPr>
        <w:t>　　　　　　　　　　　　</w:t>
      </w:r>
    </w:p>
    <w:p w14:paraId="7583F67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w:t>
      </w:r>
      <w:r>
        <w:rPr>
          <w:rFonts w:hint="eastAsia" w:ascii="宋体" w:hAnsi="宋体" w:cs="宋体"/>
          <w:i w:val="0"/>
          <w:iCs w:val="0"/>
          <w:color w:val="auto"/>
          <w:sz w:val="24"/>
          <w:szCs w:val="24"/>
          <w:highlight w:val="none"/>
          <w:lang w:eastAsia="zh-CN"/>
        </w:rPr>
        <w:t>郸城县</w:t>
      </w:r>
      <w:r>
        <w:rPr>
          <w:rFonts w:hint="eastAsia" w:ascii="宋体" w:hAnsi="宋体" w:eastAsia="宋体" w:cs="宋体"/>
          <w:i w:val="0"/>
          <w:iCs w:val="0"/>
          <w:color w:val="auto"/>
          <w:sz w:val="24"/>
          <w:szCs w:val="24"/>
          <w:highlight w:val="none"/>
        </w:rPr>
        <w:t>　　　　　　　　　　　</w:t>
      </w:r>
    </w:p>
    <w:p w14:paraId="1E53A8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项目联系人：</w:t>
      </w:r>
      <w:r>
        <w:rPr>
          <w:rFonts w:hint="eastAsia" w:ascii="宋体" w:hAnsi="宋体" w:cs="宋体"/>
          <w:i w:val="0"/>
          <w:iCs w:val="0"/>
          <w:color w:val="auto"/>
          <w:sz w:val="24"/>
          <w:szCs w:val="24"/>
          <w:highlight w:val="none"/>
          <w:lang w:eastAsia="zh-CN"/>
        </w:rPr>
        <w:t>周军</w:t>
      </w:r>
      <w:r>
        <w:rPr>
          <w:rFonts w:hint="eastAsia" w:ascii="宋体" w:hAnsi="宋体" w:eastAsia="宋体" w:cs="宋体"/>
          <w:i w:val="0"/>
          <w:iCs w:val="0"/>
          <w:color w:val="auto"/>
          <w:sz w:val="24"/>
          <w:szCs w:val="24"/>
          <w:highlight w:val="none"/>
          <w:lang w:val="en-US" w:eastAsia="zh-CN"/>
        </w:rPr>
        <w:t xml:space="preserve">    </w:t>
      </w:r>
    </w:p>
    <w:p w14:paraId="5FD5C2D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联系方式：</w:t>
      </w:r>
      <w:r>
        <w:rPr>
          <w:rFonts w:hint="eastAsia" w:ascii="宋体" w:hAnsi="宋体" w:cs="宋体"/>
          <w:i w:val="0"/>
          <w:iCs w:val="0"/>
          <w:color w:val="auto"/>
          <w:sz w:val="24"/>
          <w:szCs w:val="24"/>
          <w:highlight w:val="none"/>
          <w:lang w:val="en-US" w:eastAsia="zh-CN"/>
        </w:rPr>
        <w:t>15639499616</w:t>
      </w:r>
      <w:r>
        <w:rPr>
          <w:rFonts w:hint="eastAsia" w:ascii="宋体" w:hAnsi="宋体" w:eastAsia="宋体" w:cs="宋体"/>
          <w:i w:val="0"/>
          <w:iCs w:val="0"/>
          <w:color w:val="auto"/>
          <w:sz w:val="24"/>
          <w:szCs w:val="24"/>
          <w:highlight w:val="none"/>
        </w:rPr>
        <w:t xml:space="preserve">　　　　　　　　　　 </w:t>
      </w:r>
      <w:bookmarkStart w:id="36" w:name="_Toc28359009"/>
      <w:bookmarkStart w:id="37" w:name="_Toc28359086"/>
    </w:p>
    <w:p w14:paraId="492918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6"/>
      <w:bookmarkEnd w:id="37"/>
    </w:p>
    <w:p w14:paraId="7964B80E">
      <w:pPr>
        <w:pStyle w:val="7"/>
        <w:adjustRightInd w:val="0"/>
        <w:snapToGrid w:val="0"/>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w:t>
      </w:r>
      <w:r>
        <w:rPr>
          <w:rFonts w:hint="eastAsia" w:ascii="宋体" w:hAnsi="宋体" w:eastAsia="宋体" w:cs="宋体"/>
          <w:color w:val="auto"/>
          <w:sz w:val="24"/>
          <w:szCs w:val="24"/>
          <w:highlight w:val="none"/>
        </w:rPr>
        <w:t>周口市公共资源交易中心政府采购中心</w:t>
      </w:r>
      <w:r>
        <w:rPr>
          <w:rFonts w:hint="eastAsia" w:ascii="宋体" w:hAnsi="宋体" w:eastAsia="宋体" w:cs="宋体"/>
          <w:i w:val="0"/>
          <w:iCs w:val="0"/>
          <w:color w:val="auto"/>
          <w:sz w:val="24"/>
          <w:szCs w:val="24"/>
          <w:highlight w:val="none"/>
        </w:rPr>
        <w:t>　　　　　　　　　　　　</w:t>
      </w:r>
    </w:p>
    <w:p w14:paraId="1308C8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　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29A866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项目联系人：</w:t>
      </w:r>
      <w:r>
        <w:rPr>
          <w:rFonts w:hint="eastAsia" w:ascii="宋体" w:hAnsi="宋体" w:cs="宋体"/>
          <w:i w:val="0"/>
          <w:iCs w:val="0"/>
          <w:color w:val="auto"/>
          <w:sz w:val="24"/>
          <w:szCs w:val="24"/>
          <w:highlight w:val="none"/>
          <w:lang w:val="en-US" w:eastAsia="zh-CN"/>
        </w:rPr>
        <w:t xml:space="preserve">郝冰        </w:t>
      </w:r>
      <w:r>
        <w:rPr>
          <w:rFonts w:hint="eastAsia" w:ascii="宋体" w:hAnsi="宋体" w:eastAsia="宋体" w:cs="宋体"/>
          <w:i w:val="0"/>
          <w:iCs w:val="0"/>
          <w:color w:val="auto"/>
          <w:sz w:val="24"/>
          <w:szCs w:val="24"/>
          <w:highlight w:val="none"/>
        </w:rPr>
        <w:t>联系方式：</w:t>
      </w:r>
      <w:bookmarkStart w:id="38" w:name="_Toc28359087"/>
      <w:bookmarkStart w:id="39" w:name="_Toc28359010"/>
      <w:r>
        <w:rPr>
          <w:rFonts w:hint="eastAsia" w:ascii="宋体" w:hAnsi="宋体" w:cs="宋体"/>
          <w:i w:val="0"/>
          <w:iCs w:val="0"/>
          <w:color w:val="auto"/>
          <w:sz w:val="24"/>
          <w:szCs w:val="24"/>
          <w:highlight w:val="none"/>
          <w:lang w:val="en-US" w:eastAsia="zh-CN"/>
        </w:rPr>
        <w:t xml:space="preserve">0394-8106517、13513878800      </w:t>
      </w:r>
      <w:r>
        <w:rPr>
          <w:rFonts w:hint="eastAsia" w:ascii="宋体" w:hAnsi="宋体" w:eastAsia="宋体" w:cs="宋体"/>
          <w:i w:val="0"/>
          <w:iCs w:val="0"/>
          <w:color w:val="auto"/>
          <w:sz w:val="24"/>
          <w:szCs w:val="24"/>
          <w:highlight w:val="none"/>
        </w:rPr>
        <w:t>　　　　　　</w:t>
      </w:r>
    </w:p>
    <w:bookmarkEnd w:id="38"/>
    <w:bookmarkEnd w:id="39"/>
    <w:p w14:paraId="0E1C965F">
      <w:pPr>
        <w:spacing w:line="360" w:lineRule="auto"/>
        <w:ind w:firstLine="480" w:firstLineChars="200"/>
        <w:jc w:val="left"/>
        <w:rPr>
          <w:rFonts w:hint="eastAsia" w:ascii="宋体" w:hAnsi="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w:t>
      </w:r>
      <w:r>
        <w:rPr>
          <w:rFonts w:hint="eastAsia" w:ascii="宋体" w:hAnsi="宋体" w:cs="宋体"/>
          <w:i w:val="0"/>
          <w:iCs w:val="0"/>
          <w:color w:val="auto"/>
          <w:sz w:val="24"/>
          <w:szCs w:val="24"/>
          <w:highlight w:val="none"/>
          <w:lang w:val="en-US" w:eastAsia="zh-CN"/>
        </w:rPr>
        <w:t>监督单位：郸城县政府采购办</w:t>
      </w:r>
    </w:p>
    <w:p w14:paraId="34537194">
      <w:pPr>
        <w:pStyle w:val="40"/>
        <w:ind w:firstLine="480" w:firstLineChars="200"/>
        <w:rPr>
          <w:rFonts w:hint="eastAsia" w:eastAsia="宋体"/>
          <w:color w:val="auto"/>
          <w:highlight w:val="none"/>
          <w:lang w:eastAsia="zh-CN"/>
        </w:rPr>
      </w:pPr>
      <w:r>
        <w:rPr>
          <w:rFonts w:hint="eastAsia" w:ascii="宋体" w:hAnsi="宋体" w:eastAsia="宋体" w:cs="宋体"/>
          <w:color w:val="auto"/>
          <w:sz w:val="24"/>
          <w:szCs w:val="24"/>
          <w:highlight w:val="none"/>
        </w:rPr>
        <w:t>联系方式：</w:t>
      </w:r>
      <w:r>
        <w:rPr>
          <w:rFonts w:hint="eastAsia" w:ascii="宋体" w:hAnsi="宋体" w:cs="宋体"/>
          <w:color w:val="auto"/>
          <w:sz w:val="24"/>
          <w:szCs w:val="24"/>
          <w:highlight w:val="none"/>
          <w:lang w:eastAsia="zh-CN"/>
        </w:rPr>
        <w:t>0394-3298829</w:t>
      </w:r>
    </w:p>
    <w:p w14:paraId="04B98594">
      <w:pPr>
        <w:pStyle w:val="40"/>
        <w:ind w:firstLine="480" w:firstLineChars="200"/>
        <w:rPr>
          <w:rFonts w:hint="default"/>
          <w:color w:val="auto"/>
          <w:highlight w:val="none"/>
          <w:lang w:val="en-US" w:eastAsia="zh-CN"/>
        </w:rPr>
      </w:pPr>
      <w:r>
        <w:rPr>
          <w:rFonts w:hint="eastAsia" w:ascii="宋体" w:hAnsi="宋体" w:eastAsia="宋体" w:cs="宋体"/>
          <w:i w:val="0"/>
          <w:iCs w:val="0"/>
          <w:color w:val="auto"/>
          <w:sz w:val="24"/>
          <w:szCs w:val="24"/>
          <w:highlight w:val="none"/>
          <w:lang w:val="en-US" w:eastAsia="zh-CN"/>
        </w:rPr>
        <w:t xml:space="preserve"> </w:t>
      </w:r>
    </w:p>
    <w:p w14:paraId="48B7D7D1">
      <w:pPr>
        <w:pStyle w:val="40"/>
        <w:numPr>
          <w:ilvl w:val="0"/>
          <w:numId w:val="0"/>
        </w:numPr>
        <w:rPr>
          <w:rFonts w:hint="default"/>
          <w:color w:val="auto"/>
          <w:highlight w:val="none"/>
          <w:lang w:val="en-US" w:eastAsia="zh-CN"/>
        </w:rPr>
      </w:pPr>
    </w:p>
    <w:p w14:paraId="2F807B81">
      <w:pPr>
        <w:pStyle w:val="7"/>
        <w:adjustRightInd w:val="0"/>
        <w:snapToGrid w:val="0"/>
        <w:spacing w:line="360" w:lineRule="auto"/>
        <w:ind w:firstLine="2040" w:firstLineChars="8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54F75430">
      <w:pPr>
        <w:pStyle w:val="18"/>
        <w:adjustRightInd w:val="0"/>
        <w:spacing w:line="360" w:lineRule="auto"/>
        <w:ind w:firstLine="3360" w:firstLineChars="1400"/>
        <w:rPr>
          <w:rFonts w:hint="eastAsia" w:ascii="宋体" w:hAnsi="宋体" w:eastAsia="宋体" w:cs="宋体"/>
          <w:color w:val="auto"/>
          <w:highlight w:val="none"/>
        </w:rPr>
      </w:pPr>
      <w:r>
        <w:rPr>
          <w:rFonts w:hint="eastAsia" w:ascii="宋体" w:hAnsi="宋体" w:cs="宋体"/>
          <w:color w:val="auto"/>
          <w:sz w:val="24"/>
          <w:szCs w:val="24"/>
          <w:highlight w:val="none"/>
          <w:lang w:val="en-US" w:eastAsia="zh-CN"/>
        </w:rPr>
        <w:t>2026年8月26日</w:t>
      </w:r>
      <w:r>
        <w:rPr>
          <w:rFonts w:hint="eastAsia" w:ascii="宋体" w:hAnsi="宋体" w:eastAsia="宋体" w:cs="宋体"/>
          <w:i w:val="0"/>
          <w:iCs w:val="0"/>
          <w:color w:val="auto"/>
          <w:sz w:val="24"/>
          <w:szCs w:val="24"/>
          <w:highlight w:val="none"/>
        </w:rPr>
        <w:t>　　</w:t>
      </w:r>
    </w:p>
    <w:p w14:paraId="194B120A">
      <w:pPr>
        <w:pStyle w:val="18"/>
        <w:adjustRightInd w:val="0"/>
        <w:spacing w:line="360" w:lineRule="auto"/>
        <w:rPr>
          <w:rFonts w:hint="eastAsia"/>
          <w:color w:val="auto"/>
          <w:highlight w:val="none"/>
        </w:rPr>
      </w:pPr>
    </w:p>
    <w:p w14:paraId="1306F81E">
      <w:pPr>
        <w:pStyle w:val="18"/>
        <w:adjustRightInd w:val="0"/>
        <w:spacing w:line="360" w:lineRule="auto"/>
        <w:rPr>
          <w:rFonts w:hint="eastAsia"/>
          <w:color w:val="auto"/>
          <w:highlight w:val="none"/>
        </w:rPr>
      </w:pPr>
    </w:p>
    <w:p w14:paraId="510207F2">
      <w:pPr>
        <w:pStyle w:val="18"/>
        <w:adjustRightInd w:val="0"/>
        <w:spacing w:line="360" w:lineRule="auto"/>
        <w:rPr>
          <w:rFonts w:hint="eastAsia"/>
          <w:color w:val="auto"/>
          <w:highlight w:val="none"/>
        </w:rPr>
      </w:pPr>
    </w:p>
    <w:p w14:paraId="16BE9400">
      <w:pPr>
        <w:pStyle w:val="18"/>
        <w:adjustRightInd w:val="0"/>
        <w:spacing w:line="360" w:lineRule="auto"/>
        <w:rPr>
          <w:rFonts w:hint="eastAsia"/>
          <w:color w:val="auto"/>
          <w:highlight w:val="none"/>
        </w:rPr>
      </w:pPr>
    </w:p>
    <w:p w14:paraId="46E75A77">
      <w:pPr>
        <w:pStyle w:val="18"/>
        <w:adjustRightInd w:val="0"/>
        <w:spacing w:line="360" w:lineRule="auto"/>
        <w:rPr>
          <w:rFonts w:hint="eastAsia"/>
          <w:color w:val="auto"/>
          <w:highlight w:val="none"/>
        </w:rPr>
      </w:pPr>
    </w:p>
    <w:p w14:paraId="5D2554FA">
      <w:pPr>
        <w:pStyle w:val="18"/>
        <w:adjustRightInd w:val="0"/>
        <w:spacing w:line="360" w:lineRule="auto"/>
        <w:rPr>
          <w:rFonts w:hint="eastAsia"/>
          <w:color w:val="auto"/>
          <w:highlight w:val="none"/>
        </w:rPr>
      </w:pPr>
    </w:p>
    <w:p w14:paraId="68086ECD">
      <w:pPr>
        <w:pStyle w:val="18"/>
        <w:adjustRightInd w:val="0"/>
        <w:spacing w:line="360" w:lineRule="auto"/>
        <w:rPr>
          <w:rFonts w:hint="eastAsia"/>
          <w:color w:val="auto"/>
          <w:highlight w:val="none"/>
        </w:rPr>
      </w:pPr>
    </w:p>
    <w:p w14:paraId="6281F576">
      <w:pPr>
        <w:pStyle w:val="18"/>
        <w:adjustRightInd w:val="0"/>
        <w:spacing w:line="360" w:lineRule="auto"/>
        <w:rPr>
          <w:rFonts w:hint="eastAsia"/>
          <w:color w:val="auto"/>
          <w:highlight w:val="none"/>
        </w:rPr>
      </w:pPr>
    </w:p>
    <w:p w14:paraId="031EF365">
      <w:pPr>
        <w:pStyle w:val="18"/>
        <w:adjustRightInd w:val="0"/>
        <w:spacing w:line="360" w:lineRule="auto"/>
        <w:rPr>
          <w:rFonts w:hint="eastAsia"/>
          <w:color w:val="auto"/>
          <w:highlight w:val="none"/>
        </w:rPr>
      </w:pPr>
    </w:p>
    <w:p w14:paraId="240D3830">
      <w:pPr>
        <w:pStyle w:val="18"/>
        <w:adjustRightInd w:val="0"/>
        <w:spacing w:line="360" w:lineRule="auto"/>
        <w:rPr>
          <w:rFonts w:hint="eastAsia"/>
          <w:color w:val="auto"/>
          <w:highlight w:val="none"/>
        </w:rPr>
      </w:pPr>
    </w:p>
    <w:p w14:paraId="109CABD1">
      <w:pPr>
        <w:pStyle w:val="18"/>
        <w:adjustRightInd w:val="0"/>
        <w:spacing w:line="360" w:lineRule="auto"/>
        <w:rPr>
          <w:rFonts w:hint="eastAsia"/>
          <w:color w:val="auto"/>
          <w:highlight w:val="none"/>
        </w:rPr>
      </w:pPr>
    </w:p>
    <w:p w14:paraId="0CF7549B">
      <w:pPr>
        <w:pStyle w:val="18"/>
        <w:adjustRightInd w:val="0"/>
        <w:spacing w:line="360" w:lineRule="auto"/>
        <w:rPr>
          <w:rFonts w:hint="eastAsia"/>
          <w:color w:val="auto"/>
          <w:highlight w:val="none"/>
        </w:rPr>
      </w:pPr>
    </w:p>
    <w:p w14:paraId="56D5A77F">
      <w:pPr>
        <w:pStyle w:val="18"/>
        <w:adjustRightInd w:val="0"/>
        <w:spacing w:line="360" w:lineRule="auto"/>
        <w:rPr>
          <w:rFonts w:hint="eastAsia"/>
          <w:color w:val="auto"/>
          <w:highlight w:val="none"/>
        </w:rPr>
        <w:sectPr>
          <w:footerReference r:id="rId3" w:type="default"/>
          <w:pgSz w:w="11906" w:h="16838"/>
          <w:pgMar w:top="1440" w:right="1528" w:bottom="1440" w:left="1558" w:header="851" w:footer="992" w:gutter="0"/>
          <w:cols w:space="720" w:num="1"/>
          <w:docGrid w:linePitch="312" w:charSpace="0"/>
        </w:sectPr>
      </w:pPr>
    </w:p>
    <w:p w14:paraId="12B44BEB">
      <w:pPr>
        <w:pStyle w:val="2"/>
        <w:bidi w:val="0"/>
        <w:spacing w:line="240" w:lineRule="auto"/>
        <w:jc w:val="center"/>
        <w:rPr>
          <w:rFonts w:hint="eastAsia" w:ascii="宋体" w:hAnsi="宋体" w:eastAsia="宋体" w:cs="宋体"/>
          <w:color w:val="auto"/>
          <w:highlight w:val="none"/>
        </w:rPr>
      </w:pPr>
      <w:bookmarkStart w:id="40" w:name="_Toc40975437"/>
      <w:bookmarkStart w:id="41" w:name="_Toc7965"/>
      <w:r>
        <w:rPr>
          <w:rFonts w:hint="eastAsia"/>
          <w:color w:val="auto"/>
          <w:highlight w:val="none"/>
        </w:rPr>
        <w:t>第二章 投标人须</w:t>
      </w:r>
      <w:bookmarkEnd w:id="11"/>
      <w:r>
        <w:rPr>
          <w:rFonts w:hint="eastAsia"/>
          <w:color w:val="auto"/>
          <w:highlight w:val="none"/>
        </w:rPr>
        <w:t>知前</w:t>
      </w:r>
      <w:bookmarkEnd w:id="12"/>
      <w:r>
        <w:rPr>
          <w:rFonts w:hint="eastAsia"/>
          <w:color w:val="auto"/>
          <w:highlight w:val="none"/>
        </w:rPr>
        <w:t>附表</w:t>
      </w:r>
      <w:bookmarkEnd w:id="13"/>
      <w:bookmarkEnd w:id="40"/>
      <w:bookmarkEnd w:id="41"/>
    </w:p>
    <w:tbl>
      <w:tblPr>
        <w:tblStyle w:val="24"/>
        <w:tblW w:w="99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7"/>
        <w:gridCol w:w="2421"/>
        <w:gridCol w:w="6580"/>
      </w:tblGrid>
      <w:tr w14:paraId="3B6DE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937" w:type="dxa"/>
            <w:noWrap w:val="0"/>
            <w:vAlign w:val="center"/>
          </w:tcPr>
          <w:p w14:paraId="43A49EBE">
            <w:pPr>
              <w:jc w:val="center"/>
              <w:rPr>
                <w:rFonts w:hint="eastAsia" w:ascii="宋体" w:hAnsi="宋体" w:eastAsia="宋体" w:cs="宋体"/>
                <w:color w:val="auto"/>
                <w:sz w:val="24"/>
                <w:szCs w:val="24"/>
                <w:highlight w:val="none"/>
              </w:rPr>
            </w:pPr>
            <w:bookmarkStart w:id="42" w:name="_Hlt519045778"/>
            <w:bookmarkEnd w:id="42"/>
            <w:bookmarkStart w:id="43" w:name="_Hlt516969057"/>
            <w:bookmarkEnd w:id="43"/>
            <w:bookmarkStart w:id="44" w:name="_Hlt509650027"/>
            <w:bookmarkEnd w:id="44"/>
            <w:bookmarkStart w:id="45" w:name="_Hlt509650351"/>
            <w:bookmarkEnd w:id="45"/>
            <w:bookmarkStart w:id="46" w:name="_Toc220232390"/>
            <w:bookmarkStart w:id="47" w:name="_Toc450_WPSOffice_Level1"/>
            <w:r>
              <w:rPr>
                <w:rFonts w:hint="eastAsia" w:ascii="宋体" w:hAnsi="宋体" w:eastAsia="宋体" w:cs="宋体"/>
                <w:color w:val="auto"/>
                <w:sz w:val="24"/>
                <w:szCs w:val="24"/>
                <w:highlight w:val="none"/>
              </w:rPr>
              <w:t>序号</w:t>
            </w:r>
          </w:p>
        </w:tc>
        <w:tc>
          <w:tcPr>
            <w:tcW w:w="2421" w:type="dxa"/>
            <w:noWrap w:val="0"/>
            <w:vAlign w:val="center"/>
          </w:tcPr>
          <w:p w14:paraId="084B59D1">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内容</w:t>
            </w:r>
          </w:p>
        </w:tc>
        <w:tc>
          <w:tcPr>
            <w:tcW w:w="6580" w:type="dxa"/>
            <w:noWrap w:val="0"/>
            <w:vAlign w:val="center"/>
          </w:tcPr>
          <w:p w14:paraId="6E6548C2">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说明与要求</w:t>
            </w:r>
          </w:p>
        </w:tc>
      </w:tr>
      <w:tr w14:paraId="4BC81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trPr>
        <w:tc>
          <w:tcPr>
            <w:tcW w:w="937" w:type="dxa"/>
            <w:noWrap w:val="0"/>
            <w:vAlign w:val="center"/>
          </w:tcPr>
          <w:p w14:paraId="3011B896">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421" w:type="dxa"/>
            <w:noWrap w:val="0"/>
            <w:vAlign w:val="center"/>
          </w:tcPr>
          <w:p w14:paraId="6EA4A84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w:t>
            </w:r>
          </w:p>
        </w:tc>
        <w:tc>
          <w:tcPr>
            <w:tcW w:w="6580" w:type="dxa"/>
            <w:noWrap w:val="0"/>
            <w:vAlign w:val="center"/>
          </w:tcPr>
          <w:p w14:paraId="31CC7DBE">
            <w:pPr>
              <w:jc w:val="both"/>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郸城县民政局</w:t>
            </w:r>
          </w:p>
          <w:p w14:paraId="12630A14">
            <w:pPr>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cs="宋体"/>
                <w:color w:val="auto"/>
                <w:sz w:val="24"/>
                <w:szCs w:val="24"/>
                <w:highlight w:val="none"/>
                <w:lang w:eastAsia="zh-CN"/>
              </w:rPr>
              <w:t>郸城县</w:t>
            </w:r>
            <w:r>
              <w:rPr>
                <w:rFonts w:hint="eastAsia" w:ascii="宋体" w:hAnsi="宋体" w:eastAsia="宋体" w:cs="宋体"/>
                <w:color w:val="auto"/>
                <w:sz w:val="24"/>
                <w:szCs w:val="24"/>
                <w:highlight w:val="none"/>
              </w:rPr>
              <w:t>　　　　　　　　　　　</w:t>
            </w:r>
          </w:p>
          <w:p w14:paraId="1950C7B7">
            <w:pPr>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项目联系人：</w:t>
            </w:r>
            <w:r>
              <w:rPr>
                <w:rFonts w:hint="eastAsia" w:ascii="宋体" w:hAnsi="宋体" w:cs="宋体"/>
                <w:color w:val="auto"/>
                <w:sz w:val="24"/>
                <w:szCs w:val="24"/>
                <w:highlight w:val="none"/>
                <w:lang w:eastAsia="zh-CN"/>
              </w:rPr>
              <w:t>周军</w:t>
            </w:r>
            <w:r>
              <w:rPr>
                <w:rFonts w:hint="eastAsia" w:ascii="宋体" w:hAnsi="宋体" w:eastAsia="宋体" w:cs="宋体"/>
                <w:color w:val="auto"/>
                <w:sz w:val="24"/>
                <w:szCs w:val="24"/>
                <w:highlight w:val="none"/>
                <w:lang w:val="en-US" w:eastAsia="zh-CN"/>
              </w:rPr>
              <w:t xml:space="preserve">    </w:t>
            </w:r>
          </w:p>
          <w:p w14:paraId="68DC8243">
            <w:pPr>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联系方式：</w:t>
            </w:r>
            <w:r>
              <w:rPr>
                <w:rFonts w:hint="eastAsia" w:ascii="宋体" w:hAnsi="宋体" w:cs="宋体"/>
                <w:color w:val="auto"/>
                <w:sz w:val="24"/>
                <w:szCs w:val="24"/>
                <w:highlight w:val="none"/>
                <w:lang w:val="en-US" w:eastAsia="zh-CN"/>
              </w:rPr>
              <w:t>15639499616</w:t>
            </w:r>
            <w:r>
              <w:rPr>
                <w:rFonts w:hint="eastAsia" w:ascii="宋体" w:hAnsi="宋体" w:eastAsia="宋体" w:cs="宋体"/>
                <w:color w:val="auto"/>
                <w:sz w:val="24"/>
                <w:szCs w:val="24"/>
                <w:highlight w:val="none"/>
              </w:rPr>
              <w:t>　　</w:t>
            </w:r>
          </w:p>
        </w:tc>
      </w:tr>
      <w:tr w14:paraId="32369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937" w:type="dxa"/>
            <w:noWrap w:val="0"/>
            <w:vAlign w:val="center"/>
          </w:tcPr>
          <w:p w14:paraId="2808E4D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421" w:type="dxa"/>
            <w:noWrap w:val="0"/>
            <w:vAlign w:val="center"/>
          </w:tcPr>
          <w:p w14:paraId="21289020">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委托人</w:t>
            </w:r>
          </w:p>
        </w:tc>
        <w:tc>
          <w:tcPr>
            <w:tcW w:w="6580" w:type="dxa"/>
            <w:noWrap w:val="0"/>
            <w:vAlign w:val="center"/>
          </w:tcPr>
          <w:p w14:paraId="498AA00F">
            <w:pPr>
              <w:jc w:val="both"/>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郸城县民政局</w:t>
            </w:r>
          </w:p>
        </w:tc>
      </w:tr>
      <w:tr w14:paraId="23B45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937" w:type="dxa"/>
            <w:noWrap w:val="0"/>
            <w:vAlign w:val="center"/>
          </w:tcPr>
          <w:p w14:paraId="73470E1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421" w:type="dxa"/>
            <w:noWrap w:val="0"/>
            <w:vAlign w:val="center"/>
          </w:tcPr>
          <w:p w14:paraId="2ABBCF6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采购代理机构</w:t>
            </w:r>
          </w:p>
        </w:tc>
        <w:tc>
          <w:tcPr>
            <w:tcW w:w="6580" w:type="dxa"/>
            <w:noWrap w:val="0"/>
            <w:vAlign w:val="center"/>
          </w:tcPr>
          <w:p w14:paraId="500A783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称：周口市公共资源交易中心政府采购中心</w:t>
            </w:r>
          </w:p>
          <w:p w14:paraId="3423D3E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址：周口市光明路与政通路交叉口</w:t>
            </w:r>
            <w:r>
              <w:rPr>
                <w:rFonts w:hint="eastAsia" w:ascii="宋体" w:hAnsi="宋体" w:eastAsia="宋体" w:cs="宋体"/>
                <w:color w:val="auto"/>
                <w:sz w:val="24"/>
                <w:szCs w:val="24"/>
                <w:highlight w:val="none"/>
                <w:lang w:val="en-US" w:eastAsia="zh-CN"/>
              </w:rPr>
              <w:t>向北100米路东</w:t>
            </w:r>
          </w:p>
        </w:tc>
      </w:tr>
      <w:tr w14:paraId="5C947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14ABCE4D">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421" w:type="dxa"/>
            <w:noWrap w:val="0"/>
            <w:vAlign w:val="center"/>
          </w:tcPr>
          <w:p w14:paraId="281802F4">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6580" w:type="dxa"/>
            <w:noWrap w:val="0"/>
            <w:vAlign w:val="center"/>
          </w:tcPr>
          <w:p w14:paraId="75B9D8AB">
            <w:pP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郸城县民政局2026年特困供养保障物资采购项目</w:t>
            </w:r>
          </w:p>
        </w:tc>
      </w:tr>
      <w:tr w14:paraId="65688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937" w:type="dxa"/>
            <w:noWrap w:val="0"/>
            <w:vAlign w:val="center"/>
          </w:tcPr>
          <w:p w14:paraId="3D28D20F">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421" w:type="dxa"/>
            <w:noWrap w:val="0"/>
            <w:vAlign w:val="center"/>
          </w:tcPr>
          <w:p w14:paraId="679CF6F9">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项目编号</w:t>
            </w:r>
          </w:p>
        </w:tc>
        <w:tc>
          <w:tcPr>
            <w:tcW w:w="6580" w:type="dxa"/>
            <w:noWrap w:val="0"/>
            <w:vAlign w:val="center"/>
          </w:tcPr>
          <w:p w14:paraId="1F3A2030">
            <w:pP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郸财招标采购-2026-31</w:t>
            </w:r>
          </w:p>
        </w:tc>
      </w:tr>
      <w:tr w14:paraId="66B55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937" w:type="dxa"/>
            <w:noWrap w:val="0"/>
            <w:vAlign w:val="center"/>
          </w:tcPr>
          <w:p w14:paraId="4DC7B90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421" w:type="dxa"/>
            <w:noWrap w:val="0"/>
            <w:vAlign w:val="center"/>
          </w:tcPr>
          <w:p w14:paraId="1AF8F3A0">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项目性质</w:t>
            </w:r>
          </w:p>
        </w:tc>
        <w:tc>
          <w:tcPr>
            <w:tcW w:w="6580" w:type="dxa"/>
            <w:noWrap w:val="0"/>
            <w:vAlign w:val="center"/>
          </w:tcPr>
          <w:p w14:paraId="1BB8F98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货物类</w:t>
            </w:r>
          </w:p>
        </w:tc>
      </w:tr>
      <w:tr w14:paraId="33526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3F7FBB9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421" w:type="dxa"/>
            <w:noWrap w:val="0"/>
            <w:vAlign w:val="center"/>
          </w:tcPr>
          <w:p w14:paraId="175A1A4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资金来源</w:t>
            </w:r>
          </w:p>
        </w:tc>
        <w:tc>
          <w:tcPr>
            <w:tcW w:w="6580" w:type="dxa"/>
            <w:noWrap w:val="0"/>
            <w:vAlign w:val="center"/>
          </w:tcPr>
          <w:p w14:paraId="3C1C1E1C">
            <w:pPr>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国库集中</w:t>
            </w:r>
            <w:r>
              <w:rPr>
                <w:rFonts w:hint="eastAsia" w:ascii="宋体" w:hAnsi="宋体" w:eastAsia="宋体" w:cs="宋体"/>
                <w:color w:val="auto"/>
                <w:sz w:val="24"/>
                <w:szCs w:val="24"/>
                <w:highlight w:val="none"/>
                <w:lang w:val="en-US" w:eastAsia="zh-CN"/>
              </w:rPr>
              <w:t>支付</w:t>
            </w:r>
          </w:p>
        </w:tc>
      </w:tr>
      <w:tr w14:paraId="5036F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4F9463D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421" w:type="dxa"/>
            <w:noWrap w:val="0"/>
            <w:vAlign w:val="center"/>
          </w:tcPr>
          <w:p w14:paraId="4A83C5F6">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包别划分</w:t>
            </w:r>
          </w:p>
        </w:tc>
        <w:tc>
          <w:tcPr>
            <w:tcW w:w="6580" w:type="dxa"/>
            <w:noWrap w:val="0"/>
            <w:vAlign w:val="center"/>
          </w:tcPr>
          <w:p w14:paraId="69335F92">
            <w:pPr>
              <w:jc w:val="left"/>
              <w:rPr>
                <w:rFonts w:hint="eastAsia"/>
                <w:color w:val="auto"/>
                <w:highlight w:val="none"/>
              </w:rPr>
            </w:pPr>
            <w:r>
              <w:rPr>
                <w:rFonts w:hint="eastAsia" w:ascii="宋体" w:hAnsi="宋体" w:eastAsia="宋体" w:cs="宋体"/>
                <w:color w:val="auto"/>
                <w:sz w:val="24"/>
                <w:szCs w:val="24"/>
                <w:highlight w:val="none"/>
              </w:rPr>
              <w:t>本次招标为</w:t>
            </w:r>
            <w:r>
              <w:rPr>
                <w:rFonts w:hint="eastAsia" w:ascii="宋体" w:hAnsi="宋体" w:cs="宋体"/>
                <w:color w:val="auto"/>
                <w:sz w:val="24"/>
                <w:szCs w:val="24"/>
                <w:highlight w:val="none"/>
                <w:lang w:val="en-US" w:eastAsia="zh-CN"/>
              </w:rPr>
              <w:t>1</w:t>
            </w:r>
            <w:bookmarkStart w:id="204" w:name="_GoBack"/>
            <w:bookmarkEnd w:id="204"/>
            <w:r>
              <w:rPr>
                <w:rFonts w:hint="eastAsia" w:ascii="宋体" w:hAnsi="宋体" w:eastAsia="宋体" w:cs="宋体"/>
                <w:color w:val="auto"/>
                <w:sz w:val="24"/>
                <w:szCs w:val="24"/>
                <w:highlight w:val="none"/>
              </w:rPr>
              <w:t>个包</w:t>
            </w:r>
          </w:p>
        </w:tc>
      </w:tr>
      <w:tr w14:paraId="264DD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187F67C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421" w:type="dxa"/>
            <w:noWrap w:val="0"/>
            <w:vAlign w:val="center"/>
          </w:tcPr>
          <w:p w14:paraId="1E2ED22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w:t>
            </w:r>
          </w:p>
        </w:tc>
        <w:tc>
          <w:tcPr>
            <w:tcW w:w="6580" w:type="dxa"/>
            <w:noWrap w:val="0"/>
            <w:vAlign w:val="center"/>
          </w:tcPr>
          <w:p w14:paraId="1075C1F7">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货到验收合格后一次性付清</w:t>
            </w:r>
            <w:r>
              <w:rPr>
                <w:rFonts w:hint="eastAsia" w:ascii="宋体" w:hAnsi="宋体" w:cs="宋体"/>
                <w:color w:val="auto"/>
                <w:sz w:val="24"/>
                <w:szCs w:val="24"/>
                <w:highlight w:val="none"/>
                <w:lang w:val="en-US" w:eastAsia="zh-CN"/>
              </w:rPr>
              <w:t>。</w:t>
            </w:r>
          </w:p>
        </w:tc>
      </w:tr>
      <w:tr w14:paraId="5A4C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3F678973">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421" w:type="dxa"/>
            <w:noWrap w:val="0"/>
            <w:vAlign w:val="center"/>
          </w:tcPr>
          <w:p w14:paraId="24AB499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联合体投标</w:t>
            </w:r>
          </w:p>
        </w:tc>
        <w:tc>
          <w:tcPr>
            <w:tcW w:w="6580" w:type="dxa"/>
            <w:noWrap w:val="0"/>
            <w:vAlign w:val="center"/>
          </w:tcPr>
          <w:p w14:paraId="22494B8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不允许</w:t>
            </w:r>
          </w:p>
        </w:tc>
      </w:tr>
      <w:tr w14:paraId="2307A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45BB3DA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421" w:type="dxa"/>
            <w:noWrap w:val="0"/>
            <w:vAlign w:val="center"/>
          </w:tcPr>
          <w:p w14:paraId="550B786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w:t>
            </w:r>
          </w:p>
        </w:tc>
        <w:tc>
          <w:tcPr>
            <w:tcW w:w="6580" w:type="dxa"/>
            <w:noWrap w:val="0"/>
            <w:vAlign w:val="center"/>
          </w:tcPr>
          <w:p w14:paraId="7E18595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开标后60天</w:t>
            </w:r>
          </w:p>
        </w:tc>
      </w:tr>
      <w:tr w14:paraId="10C6B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69F0432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421" w:type="dxa"/>
            <w:noWrap w:val="0"/>
            <w:vAlign w:val="center"/>
          </w:tcPr>
          <w:p w14:paraId="3123DA29">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供货地点</w:t>
            </w:r>
          </w:p>
        </w:tc>
        <w:tc>
          <w:tcPr>
            <w:tcW w:w="6580" w:type="dxa"/>
            <w:noWrap w:val="0"/>
            <w:vAlign w:val="center"/>
          </w:tcPr>
          <w:p w14:paraId="04A222D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采购人指定地点</w:t>
            </w:r>
          </w:p>
        </w:tc>
      </w:tr>
      <w:tr w14:paraId="017DC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5E8033A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2421" w:type="dxa"/>
            <w:noWrap w:val="0"/>
            <w:vAlign w:val="center"/>
          </w:tcPr>
          <w:p w14:paraId="39C57FD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供货期限</w:t>
            </w:r>
          </w:p>
        </w:tc>
        <w:tc>
          <w:tcPr>
            <w:tcW w:w="6580" w:type="dxa"/>
            <w:noWrap w:val="0"/>
            <w:vAlign w:val="center"/>
          </w:tcPr>
          <w:p w14:paraId="53BB2AC7">
            <w:pP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合同签订后15日历天内</w:t>
            </w:r>
            <w:r>
              <w:rPr>
                <w:rFonts w:hint="eastAsia" w:ascii="宋体" w:hAnsi="宋体" w:eastAsia="宋体" w:cs="宋体"/>
                <w:color w:val="auto"/>
                <w:sz w:val="24"/>
                <w:szCs w:val="24"/>
                <w:highlight w:val="none"/>
                <w:lang w:eastAsia="zh-CN"/>
              </w:rPr>
              <w:t>。</w:t>
            </w:r>
          </w:p>
        </w:tc>
      </w:tr>
      <w:tr w14:paraId="3B438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1A529BF0">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2421" w:type="dxa"/>
            <w:noWrap w:val="0"/>
            <w:vAlign w:val="center"/>
          </w:tcPr>
          <w:p w14:paraId="5E733525">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投标保证金金额</w:t>
            </w:r>
          </w:p>
        </w:tc>
        <w:tc>
          <w:tcPr>
            <w:tcW w:w="6580" w:type="dxa"/>
            <w:noWrap w:val="0"/>
            <w:vAlign w:val="center"/>
          </w:tcPr>
          <w:p w14:paraId="789D514B">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不需要缴纳投标保证金</w:t>
            </w:r>
          </w:p>
        </w:tc>
      </w:tr>
      <w:tr w14:paraId="197FB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4139EE00">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2421" w:type="dxa"/>
            <w:noWrap w:val="0"/>
            <w:vAlign w:val="center"/>
          </w:tcPr>
          <w:p w14:paraId="3162F3C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答疑</w:t>
            </w:r>
          </w:p>
        </w:tc>
        <w:tc>
          <w:tcPr>
            <w:tcW w:w="6580" w:type="dxa"/>
            <w:noWrap w:val="0"/>
            <w:vAlign w:val="center"/>
          </w:tcPr>
          <w:p w14:paraId="3BAD42D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疑问的提出与答疑获取详见招标文件第二部分第五章投标人须知第36条。</w:t>
            </w:r>
          </w:p>
          <w:p w14:paraId="7FE9CA0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42D6E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937" w:type="dxa"/>
            <w:noWrap w:val="0"/>
            <w:vAlign w:val="center"/>
          </w:tcPr>
          <w:p w14:paraId="3C0642A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2421" w:type="dxa"/>
            <w:noWrap w:val="0"/>
            <w:vAlign w:val="center"/>
          </w:tcPr>
          <w:p w14:paraId="58EED18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勘察现场</w:t>
            </w:r>
          </w:p>
        </w:tc>
        <w:tc>
          <w:tcPr>
            <w:tcW w:w="6580" w:type="dxa"/>
            <w:noWrap w:val="0"/>
            <w:vAlign w:val="center"/>
          </w:tcPr>
          <w:p w14:paraId="434093A5">
            <w:pPr>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不组织</w:t>
            </w:r>
          </w:p>
        </w:tc>
      </w:tr>
      <w:tr w14:paraId="3CD1E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trPr>
        <w:tc>
          <w:tcPr>
            <w:tcW w:w="937" w:type="dxa"/>
            <w:noWrap w:val="0"/>
            <w:vAlign w:val="center"/>
          </w:tcPr>
          <w:p w14:paraId="24EE412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2421" w:type="dxa"/>
            <w:noWrap w:val="0"/>
            <w:vAlign w:val="center"/>
          </w:tcPr>
          <w:p w14:paraId="1823D8B3">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w:t>
            </w:r>
          </w:p>
        </w:tc>
        <w:tc>
          <w:tcPr>
            <w:tcW w:w="6580" w:type="dxa"/>
            <w:noWrap w:val="0"/>
            <w:vAlign w:val="center"/>
          </w:tcPr>
          <w:p w14:paraId="5F498E8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为使用周口市公共资源交易中心提供的电子标书制作工具软件（http://jyzx.zhoukou.gov.cn网上下载）制作生成的电子加密文件，应在投标截止时间前通过周口市公共资源交易中心会员系统上传。投标截止时间前不上传电子投标文件或者在开标时间不进行电子投标文件解密，均视为自动放弃投标。</w:t>
            </w:r>
          </w:p>
          <w:p w14:paraId="41D74705">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2、本项目实行网上远程开标无须到现场提交响应文件，未加密的电子投标文件和纸质文件不再提交。</w:t>
            </w:r>
          </w:p>
        </w:tc>
      </w:tr>
      <w:tr w14:paraId="30526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1" w:hRule="atLeast"/>
        </w:trPr>
        <w:tc>
          <w:tcPr>
            <w:tcW w:w="937" w:type="dxa"/>
            <w:noWrap w:val="0"/>
            <w:vAlign w:val="center"/>
          </w:tcPr>
          <w:p w14:paraId="6C08501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2421" w:type="dxa"/>
            <w:noWrap w:val="0"/>
            <w:vAlign w:val="center"/>
          </w:tcPr>
          <w:p w14:paraId="232FEE84">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投标时间及地点</w:t>
            </w:r>
          </w:p>
        </w:tc>
        <w:tc>
          <w:tcPr>
            <w:tcW w:w="6580" w:type="dxa"/>
            <w:noWrap w:val="0"/>
            <w:vAlign w:val="center"/>
          </w:tcPr>
          <w:p w14:paraId="2AE565C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投标截止时间</w:t>
            </w:r>
            <w:r>
              <w:rPr>
                <w:rFonts w:hint="eastAsia" w:ascii="宋体" w:hAnsi="宋体" w:eastAsia="宋体" w:cs="宋体"/>
                <w:color w:val="auto"/>
                <w:sz w:val="24"/>
                <w:szCs w:val="24"/>
                <w:highlight w:val="none"/>
                <w:lang w:eastAsia="zh-CN"/>
              </w:rPr>
              <w:t>：***年***月***日</w:t>
            </w:r>
            <w:r>
              <w:rPr>
                <w:rFonts w:hint="eastAsia" w:ascii="宋体" w:hAnsi="宋体" w:eastAsia="宋体" w:cs="宋体"/>
                <w:color w:val="auto"/>
                <w:sz w:val="24"/>
                <w:szCs w:val="24"/>
                <w:highlight w:val="none"/>
              </w:rPr>
              <w:t xml:space="preserve">（见招标公告）      </w:t>
            </w:r>
          </w:p>
          <w:p w14:paraId="6DDA4FAB">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标书递交地点：周口市公共资源交易中心</w:t>
            </w:r>
            <w:r>
              <w:rPr>
                <w:rFonts w:hint="eastAsia" w:ascii="宋体" w:hAnsi="宋体" w:eastAsia="宋体" w:cs="宋体"/>
                <w:color w:val="auto"/>
                <w:sz w:val="24"/>
                <w:szCs w:val="24"/>
                <w:highlight w:val="none"/>
                <w:lang w:val="en-US" w:eastAsia="zh-CN"/>
              </w:rPr>
              <w:t>网</w:t>
            </w:r>
          </w:p>
          <w:p w14:paraId="7DEF7DF3">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网址：周口市公共资源电子交易服务平台会员系统（网址http://jyzx.zhoukou.gov.cn</w:t>
            </w:r>
            <w:r>
              <w:rPr>
                <w:rFonts w:hint="eastAsia" w:ascii="宋体" w:hAnsi="宋体" w:eastAsia="宋体" w:cs="宋体"/>
                <w:color w:val="auto"/>
                <w:sz w:val="24"/>
                <w:szCs w:val="24"/>
                <w:highlight w:val="none"/>
                <w:lang w:eastAsia="zh-CN"/>
              </w:rPr>
              <w:t>）</w:t>
            </w:r>
          </w:p>
          <w:p w14:paraId="6EC037E5">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（本项目实行网上远程开标无须到现场提交响应文件）</w:t>
            </w:r>
          </w:p>
        </w:tc>
      </w:tr>
      <w:tr w14:paraId="7C9F2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trPr>
        <w:tc>
          <w:tcPr>
            <w:tcW w:w="937" w:type="dxa"/>
            <w:noWrap w:val="0"/>
            <w:vAlign w:val="center"/>
          </w:tcPr>
          <w:p w14:paraId="78E9C88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2421" w:type="dxa"/>
            <w:noWrap w:val="0"/>
            <w:vAlign w:val="center"/>
          </w:tcPr>
          <w:p w14:paraId="582D5B41">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开标时间及地点</w:t>
            </w:r>
          </w:p>
        </w:tc>
        <w:tc>
          <w:tcPr>
            <w:tcW w:w="6580" w:type="dxa"/>
            <w:noWrap w:val="0"/>
            <w:vAlign w:val="center"/>
          </w:tcPr>
          <w:p w14:paraId="5184780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开标时间：</w:t>
            </w:r>
            <w:r>
              <w:rPr>
                <w:rFonts w:hint="eastAsia" w:ascii="宋体" w:hAnsi="宋体" w:eastAsia="宋体" w:cs="宋体"/>
                <w:color w:val="auto"/>
                <w:sz w:val="24"/>
                <w:szCs w:val="24"/>
                <w:highlight w:val="none"/>
                <w:lang w:eastAsia="zh-CN"/>
              </w:rPr>
              <w:t>***年***月***日</w:t>
            </w:r>
            <w:r>
              <w:rPr>
                <w:rFonts w:hint="eastAsia" w:ascii="宋体" w:hAnsi="宋体" w:eastAsia="宋体" w:cs="宋体"/>
                <w:color w:val="auto"/>
                <w:sz w:val="24"/>
                <w:szCs w:val="24"/>
                <w:highlight w:val="none"/>
              </w:rPr>
              <w:t xml:space="preserve">（见招标公告）      </w:t>
            </w:r>
          </w:p>
          <w:p w14:paraId="4ACA45E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开标地点：周口市东新区光明路市行政中心西侧南楼房间（本项目实行网上远程开标无须到现场提交响应文件）</w:t>
            </w:r>
          </w:p>
        </w:tc>
      </w:tr>
      <w:tr w14:paraId="78E31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937" w:type="dxa"/>
            <w:noWrap w:val="0"/>
            <w:vAlign w:val="center"/>
          </w:tcPr>
          <w:p w14:paraId="351AFB9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c>
          <w:tcPr>
            <w:tcW w:w="2421" w:type="dxa"/>
            <w:noWrap w:val="0"/>
            <w:vAlign w:val="center"/>
          </w:tcPr>
          <w:p w14:paraId="55B3213F">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评标办法</w:t>
            </w:r>
          </w:p>
        </w:tc>
        <w:tc>
          <w:tcPr>
            <w:tcW w:w="6580" w:type="dxa"/>
            <w:noWrap w:val="0"/>
            <w:vAlign w:val="center"/>
          </w:tcPr>
          <w:p w14:paraId="4D3372F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综合评分法 详见招标文件第一部分第四章评标办法</w:t>
            </w:r>
          </w:p>
        </w:tc>
      </w:tr>
      <w:tr w14:paraId="2BE52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937" w:type="dxa"/>
            <w:noWrap w:val="0"/>
            <w:vAlign w:val="center"/>
          </w:tcPr>
          <w:p w14:paraId="7ACB7B10">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2421" w:type="dxa"/>
            <w:noWrap w:val="0"/>
            <w:vAlign w:val="center"/>
          </w:tcPr>
          <w:p w14:paraId="734DA38D">
            <w:pPr>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财务审计报告</w:t>
            </w:r>
          </w:p>
        </w:tc>
        <w:tc>
          <w:tcPr>
            <w:tcW w:w="6580" w:type="dxa"/>
            <w:noWrap w:val="0"/>
            <w:vAlign w:val="center"/>
          </w:tcPr>
          <w:p w14:paraId="54E64118">
            <w:pP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提供2024年度财务审计报告或2025年度财务审计报告（新成立公司提供资产负债表、现金流量表、利润表、财务制度等证明材料）</w:t>
            </w:r>
          </w:p>
        </w:tc>
      </w:tr>
      <w:tr w14:paraId="24AA4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937" w:type="dxa"/>
            <w:noWrap w:val="0"/>
            <w:vAlign w:val="center"/>
          </w:tcPr>
          <w:p w14:paraId="540C0989">
            <w:pPr>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22</w:t>
            </w:r>
          </w:p>
        </w:tc>
        <w:tc>
          <w:tcPr>
            <w:tcW w:w="2421" w:type="dxa"/>
            <w:noWrap w:val="0"/>
            <w:vAlign w:val="center"/>
          </w:tcPr>
          <w:p w14:paraId="451358AA">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其它</w:t>
            </w:r>
          </w:p>
        </w:tc>
        <w:tc>
          <w:tcPr>
            <w:tcW w:w="6580" w:type="dxa"/>
            <w:noWrap w:val="0"/>
            <w:vAlign w:val="center"/>
          </w:tcPr>
          <w:p w14:paraId="3752011F">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采购人验收如需第三方质检部门介入，第三方质检验收所需费用由中标人负担。</w:t>
            </w:r>
          </w:p>
        </w:tc>
      </w:tr>
      <w:tr w14:paraId="5D9F9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37" w:type="dxa"/>
            <w:noWrap w:val="0"/>
            <w:vAlign w:val="center"/>
          </w:tcPr>
          <w:p w14:paraId="4D545A22">
            <w:pPr>
              <w:jc w:val="center"/>
              <w:rPr>
                <w:rFonts w:hint="default" w:ascii="宋体" w:hAnsi="宋体" w:cs="宋体"/>
                <w:color w:val="auto"/>
                <w:sz w:val="24"/>
                <w:szCs w:val="24"/>
                <w:highlight w:val="none"/>
                <w:lang w:val="en-US" w:eastAsia="zh-CN"/>
              </w:rPr>
            </w:pPr>
            <w:bookmarkStart w:id="48" w:name="_Toc40975438"/>
            <w:r>
              <w:rPr>
                <w:rFonts w:hint="eastAsia" w:ascii="宋体" w:hAnsi="宋体" w:cs="宋体"/>
                <w:color w:val="auto"/>
                <w:sz w:val="24"/>
                <w:szCs w:val="24"/>
                <w:highlight w:val="none"/>
                <w:lang w:val="en-US" w:eastAsia="zh-CN"/>
              </w:rPr>
              <w:t>23</w:t>
            </w:r>
          </w:p>
        </w:tc>
        <w:tc>
          <w:tcPr>
            <w:tcW w:w="2421" w:type="dxa"/>
            <w:noWrap w:val="0"/>
            <w:vAlign w:val="center"/>
          </w:tcPr>
          <w:p w14:paraId="0D1E8024">
            <w:pPr>
              <w:jc w:val="center"/>
              <w:rPr>
                <w:rFonts w:hint="eastAsia" w:ascii="宋体" w:hAnsi="宋体" w:eastAsia="宋体" w:cs="宋体"/>
                <w:color w:val="auto"/>
                <w:sz w:val="24"/>
                <w:szCs w:val="24"/>
                <w:highlight w:val="none"/>
              </w:rPr>
            </w:pPr>
            <w:r>
              <w:rPr>
                <w:rFonts w:hint="eastAsia" w:ascii="宋体" w:hAnsi="宋体"/>
                <w:color w:val="auto"/>
                <w:sz w:val="24"/>
                <w:szCs w:val="24"/>
                <w:highlight w:val="none"/>
              </w:rPr>
              <w:t>质保期</w:t>
            </w:r>
          </w:p>
        </w:tc>
        <w:tc>
          <w:tcPr>
            <w:tcW w:w="6580" w:type="dxa"/>
            <w:noWrap w:val="0"/>
            <w:vAlign w:val="center"/>
          </w:tcPr>
          <w:p w14:paraId="63E71248">
            <w:pPr>
              <w:rPr>
                <w:rFonts w:hint="eastAsia" w:ascii="宋体" w:hAnsi="宋体" w:eastAsia="宋体" w:cs="宋体"/>
                <w:color w:val="auto"/>
                <w:sz w:val="24"/>
                <w:szCs w:val="24"/>
                <w:highlight w:val="none"/>
              </w:rPr>
            </w:pPr>
            <w:r>
              <w:rPr>
                <w:rFonts w:hint="eastAsia" w:ascii="宋体" w:hAnsi="宋体"/>
                <w:color w:val="auto"/>
                <w:sz w:val="24"/>
                <w:szCs w:val="24"/>
                <w:highlight w:val="none"/>
              </w:rPr>
              <w:t>按</w:t>
            </w:r>
            <w:r>
              <w:rPr>
                <w:rFonts w:ascii="宋体" w:hAnsi="宋体"/>
                <w:color w:val="auto"/>
                <w:sz w:val="24"/>
                <w:szCs w:val="24"/>
                <w:highlight w:val="none"/>
              </w:rPr>
              <w:t>国家</w:t>
            </w:r>
            <w:r>
              <w:rPr>
                <w:rFonts w:hint="eastAsia" w:ascii="宋体" w:hAnsi="宋体"/>
                <w:color w:val="auto"/>
                <w:sz w:val="24"/>
                <w:szCs w:val="24"/>
                <w:highlight w:val="none"/>
              </w:rPr>
              <w:t>及</w:t>
            </w:r>
            <w:r>
              <w:rPr>
                <w:rFonts w:ascii="宋体" w:hAnsi="宋体"/>
                <w:color w:val="auto"/>
                <w:sz w:val="24"/>
                <w:szCs w:val="24"/>
                <w:highlight w:val="none"/>
              </w:rPr>
              <w:t>行业标准</w:t>
            </w:r>
          </w:p>
        </w:tc>
      </w:tr>
      <w:tr w14:paraId="51E6F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937" w:type="dxa"/>
            <w:noWrap w:val="0"/>
            <w:vAlign w:val="center"/>
          </w:tcPr>
          <w:p w14:paraId="783DF1F5">
            <w:pPr>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24</w:t>
            </w:r>
          </w:p>
        </w:tc>
        <w:tc>
          <w:tcPr>
            <w:tcW w:w="2421" w:type="dxa"/>
            <w:noWrap w:val="0"/>
            <w:vAlign w:val="center"/>
          </w:tcPr>
          <w:p w14:paraId="431CA49C">
            <w:pPr>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所属行业</w:t>
            </w:r>
          </w:p>
        </w:tc>
        <w:tc>
          <w:tcPr>
            <w:tcW w:w="6580" w:type="dxa"/>
            <w:noWrap w:val="0"/>
            <w:vAlign w:val="center"/>
          </w:tcPr>
          <w:p w14:paraId="5E9CC3C1">
            <w:pP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工业</w:t>
            </w:r>
          </w:p>
        </w:tc>
      </w:tr>
      <w:tr w14:paraId="64689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937" w:type="dxa"/>
            <w:noWrap w:val="0"/>
            <w:vAlign w:val="center"/>
          </w:tcPr>
          <w:p w14:paraId="39087BFB">
            <w:pPr>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25</w:t>
            </w:r>
          </w:p>
        </w:tc>
        <w:tc>
          <w:tcPr>
            <w:tcW w:w="9001" w:type="dxa"/>
            <w:gridSpan w:val="2"/>
            <w:shd w:val="clear" w:color="auto" w:fill="auto"/>
            <w:noWrap w:val="0"/>
            <w:vAlign w:val="center"/>
          </w:tcPr>
          <w:p w14:paraId="06569646">
            <w:pPr>
              <w:spacing w:line="40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本项目招标文件最终解释权归采购人所有。</w:t>
            </w:r>
          </w:p>
        </w:tc>
      </w:tr>
      <w:tr w14:paraId="560AB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937" w:type="dxa"/>
            <w:noWrap w:val="0"/>
            <w:vAlign w:val="center"/>
          </w:tcPr>
          <w:p w14:paraId="273C0B22">
            <w:pPr>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26</w:t>
            </w:r>
          </w:p>
        </w:tc>
        <w:tc>
          <w:tcPr>
            <w:tcW w:w="9001" w:type="dxa"/>
            <w:gridSpan w:val="2"/>
            <w:shd w:val="clear" w:color="auto" w:fill="auto"/>
            <w:noWrap w:val="0"/>
            <w:vAlign w:val="center"/>
          </w:tcPr>
          <w:p w14:paraId="6EC9DFC6">
            <w:pPr>
              <w:spacing w:line="40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shd w:val="clear" w:color="auto" w:fill="FFFFFF"/>
              </w:rPr>
              <w:t>供应商对其提供的产品请出具《关于符合本国产品标准的声明函》或财政部会同有关部门规定的有关证明文件”。</w:t>
            </w:r>
          </w:p>
        </w:tc>
      </w:tr>
    </w:tbl>
    <w:p w14:paraId="2E73C5A5">
      <w:pPr>
        <w:bidi w:val="0"/>
        <w:rPr>
          <w:rFonts w:hint="eastAsia"/>
          <w:color w:val="auto"/>
          <w:highlight w:val="none"/>
        </w:rPr>
      </w:pPr>
    </w:p>
    <w:p w14:paraId="070B0CC5">
      <w:pPr>
        <w:pStyle w:val="3"/>
        <w:ind w:firstLine="0"/>
        <w:rPr>
          <w:rFonts w:hint="eastAsia" w:ascii="宋体" w:hAnsi="宋体" w:eastAsia="宋体" w:cs="宋体"/>
          <w:color w:val="auto"/>
          <w:highlight w:val="none"/>
        </w:rPr>
        <w:sectPr>
          <w:pgSz w:w="11906" w:h="16838"/>
          <w:pgMar w:top="1440" w:right="1080" w:bottom="1440" w:left="1080" w:header="851" w:footer="992" w:gutter="0"/>
          <w:cols w:space="720" w:num="1"/>
          <w:docGrid w:linePitch="312" w:charSpace="0"/>
        </w:sectPr>
      </w:pPr>
    </w:p>
    <w:p w14:paraId="708CA62D">
      <w:pPr>
        <w:pStyle w:val="2"/>
        <w:bidi w:val="0"/>
        <w:spacing w:line="240" w:lineRule="auto"/>
        <w:jc w:val="center"/>
        <w:rPr>
          <w:rFonts w:hint="eastAsia"/>
          <w:color w:val="auto"/>
          <w:highlight w:val="none"/>
        </w:rPr>
      </w:pPr>
      <w:bookmarkStart w:id="49" w:name="_Toc21357"/>
      <w:r>
        <w:rPr>
          <w:rFonts w:hint="eastAsia"/>
          <w:color w:val="auto"/>
          <w:highlight w:val="none"/>
        </w:rPr>
        <w:t>第三章 货物需求一览表</w:t>
      </w:r>
      <w:bookmarkEnd w:id="46"/>
      <w:bookmarkEnd w:id="47"/>
      <w:bookmarkEnd w:id="48"/>
      <w:bookmarkEnd w:id="49"/>
    </w:p>
    <w:p w14:paraId="0A5FAA89">
      <w:pPr>
        <w:spacing w:line="360" w:lineRule="auto"/>
        <w:ind w:firstLine="480" w:firstLineChars="200"/>
        <w:rPr>
          <w:rFonts w:hint="eastAsia" w:ascii="宋体" w:hAnsi="宋体" w:cs="宋体"/>
          <w:color w:val="auto"/>
          <w:sz w:val="24"/>
          <w:szCs w:val="28"/>
          <w:highlight w:val="none"/>
        </w:rPr>
      </w:pPr>
      <w:bookmarkStart w:id="50" w:name="_Hlt509716920"/>
      <w:bookmarkEnd w:id="50"/>
      <w:r>
        <w:rPr>
          <w:rFonts w:hint="eastAsia" w:ascii="宋体" w:hAnsi="宋体" w:cs="宋体"/>
          <w:color w:val="auto"/>
          <w:sz w:val="24"/>
          <w:szCs w:val="28"/>
          <w:highlight w:val="none"/>
        </w:rPr>
        <w:t>前注：1）本需求中提出的技术方案仅为参考，如无明确限制，投标人可以进行优化，提供满足用户实际需要的更优（或者性能实质上不低于的）</w:t>
      </w:r>
      <w:r>
        <w:rPr>
          <w:rFonts w:hint="eastAsia" w:ascii="宋体" w:hAnsi="宋体" w:cs="宋体"/>
          <w:color w:val="auto"/>
          <w:sz w:val="24"/>
          <w:szCs w:val="24"/>
          <w:highlight w:val="none"/>
        </w:rPr>
        <w:t>技术方案或者设备配置，且此方案或配置须经评委会审核认可；</w:t>
      </w:r>
      <w:r>
        <w:rPr>
          <w:rFonts w:hint="eastAsia" w:ascii="宋体" w:hAnsi="宋体" w:cs="宋体"/>
          <w:color w:val="auto"/>
          <w:sz w:val="24"/>
          <w:szCs w:val="24"/>
          <w:highlight w:val="none"/>
        </w:rPr>
        <w:cr/>
      </w:r>
      <w:r>
        <w:rPr>
          <w:rFonts w:hint="eastAsia" w:ascii="宋体" w:hAnsi="宋体" w:cs="宋体"/>
          <w:color w:val="auto"/>
          <w:sz w:val="24"/>
          <w:szCs w:val="24"/>
          <w:highlight w:val="none"/>
        </w:rPr>
        <w:t xml:space="preserve">    2）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11037254">
      <w:pPr>
        <w:numPr>
          <w:ilvl w:val="0"/>
          <w:numId w:val="1"/>
        </w:numPr>
        <w:spacing w:line="360" w:lineRule="auto"/>
        <w:ind w:firstLine="480" w:firstLineChars="200"/>
        <w:rPr>
          <w:rFonts w:hint="eastAsia" w:ascii="宋体" w:hAnsi="宋体" w:cs="宋体"/>
          <w:color w:val="auto"/>
          <w:sz w:val="24"/>
          <w:szCs w:val="28"/>
          <w:highlight w:val="none"/>
        </w:rPr>
      </w:pPr>
      <w:r>
        <w:rPr>
          <w:rFonts w:hint="eastAsia" w:ascii="宋体" w:hAnsi="宋体" w:cs="宋体"/>
          <w:color w:val="auto"/>
          <w:sz w:val="24"/>
          <w:szCs w:val="28"/>
          <w:highlight w:val="none"/>
        </w:rPr>
        <w:t>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color w:val="auto"/>
          <w:sz w:val="24"/>
          <w:szCs w:val="28"/>
          <w:highlight w:val="none"/>
        </w:rPr>
        <w:cr/>
      </w:r>
      <w:r>
        <w:rPr>
          <w:rFonts w:hint="eastAsia" w:ascii="宋体" w:hAnsi="宋体" w:cs="宋体"/>
          <w:color w:val="auto"/>
          <w:sz w:val="24"/>
          <w:szCs w:val="28"/>
          <w:highlight w:val="none"/>
        </w:rPr>
        <w:t xml:space="preserve">    4）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14:paraId="28456E31">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 xml:space="preserve"> 5）</w:t>
      </w:r>
      <w:r>
        <w:rPr>
          <w:rFonts w:hint="eastAsia" w:ascii="宋体" w:hAnsi="宋体" w:eastAsia="宋体" w:cs="宋体"/>
          <w:color w:val="auto"/>
          <w:sz w:val="24"/>
          <w:szCs w:val="24"/>
          <w:highlight w:val="none"/>
          <w:lang w:val="en-US" w:eastAsia="zh-CN"/>
        </w:rPr>
        <w:t>为了有助于项目的顺利实施，投标人应作出</w:t>
      </w:r>
      <w:r>
        <w:rPr>
          <w:rFonts w:hint="eastAsia" w:ascii="宋体" w:hAnsi="宋体" w:cs="宋体"/>
          <w:color w:val="auto"/>
          <w:sz w:val="24"/>
          <w:szCs w:val="24"/>
          <w:highlight w:val="none"/>
          <w:lang w:val="en-US" w:eastAsia="zh-CN"/>
        </w:rPr>
        <w:t>供货</w:t>
      </w:r>
      <w:r>
        <w:rPr>
          <w:rFonts w:hint="eastAsia" w:ascii="宋体" w:hAnsi="宋体" w:eastAsia="宋体" w:cs="宋体"/>
          <w:color w:val="auto"/>
          <w:sz w:val="24"/>
          <w:szCs w:val="24"/>
          <w:highlight w:val="none"/>
          <w:lang w:val="en-US" w:eastAsia="zh-CN"/>
        </w:rPr>
        <w:t>期限的承诺，否则视为无效。</w:t>
      </w:r>
    </w:p>
    <w:p w14:paraId="709C5A6D">
      <w:pPr>
        <w:numPr>
          <w:ilvl w:val="0"/>
          <w:numId w:val="0"/>
        </w:numPr>
        <w:spacing w:line="360" w:lineRule="auto"/>
        <w:rPr>
          <w:rFonts w:hint="eastAsia" w:ascii="宋体" w:hAnsi="宋体" w:cs="宋体"/>
          <w:color w:val="auto"/>
          <w:sz w:val="24"/>
          <w:szCs w:val="28"/>
          <w:highlight w:val="none"/>
        </w:rPr>
      </w:pPr>
      <w:r>
        <w:rPr>
          <w:rFonts w:hint="eastAsia" w:ascii="宋体" w:hAnsi="宋体" w:cs="宋体"/>
          <w:color w:val="auto"/>
          <w:sz w:val="24"/>
          <w:szCs w:val="28"/>
          <w:highlight w:val="none"/>
        </w:rPr>
        <w:t xml:space="preserve">    </w:t>
      </w:r>
      <w:r>
        <w:rPr>
          <w:rFonts w:hint="eastAsia" w:ascii="宋体" w:hAnsi="宋体" w:cs="宋体"/>
          <w:color w:val="auto"/>
          <w:sz w:val="24"/>
          <w:szCs w:val="28"/>
          <w:highlight w:val="none"/>
          <w:lang w:val="en-US" w:eastAsia="zh-CN"/>
        </w:rPr>
        <w:t>6</w:t>
      </w:r>
      <w:r>
        <w:rPr>
          <w:rFonts w:hint="eastAsia" w:ascii="宋体" w:hAnsi="宋体" w:cs="宋体"/>
          <w:color w:val="auto"/>
          <w:sz w:val="24"/>
          <w:szCs w:val="28"/>
          <w:highlight w:val="none"/>
        </w:rPr>
        <w:t>）如对本招标文件有任何疑问或澄清要求，请按本招标文件“投标人须知前附表”中约定联系周口市公共交资源交易中心政府采购中心，或接受答疑截止时间前联系采购人。否则视同理解和接受。</w:t>
      </w:r>
      <w:bookmarkStart w:id="51" w:name="_Toc6821_WPSOffice_Level2"/>
    </w:p>
    <w:p w14:paraId="42B535F8">
      <w:pPr>
        <w:spacing w:line="360" w:lineRule="auto"/>
        <w:ind w:firstLine="643" w:firstLineChars="200"/>
        <w:rPr>
          <w:rFonts w:hint="eastAsia" w:ascii="宋体" w:hAnsi="宋体" w:cs="宋体"/>
          <w:b/>
          <w:color w:val="auto"/>
          <w:sz w:val="32"/>
          <w:szCs w:val="32"/>
          <w:highlight w:val="none"/>
        </w:rPr>
      </w:pPr>
    </w:p>
    <w:p w14:paraId="53242A93">
      <w:pPr>
        <w:spacing w:line="360" w:lineRule="auto"/>
        <w:ind w:firstLine="643" w:firstLineChars="200"/>
        <w:rPr>
          <w:rFonts w:hint="eastAsia" w:ascii="宋体" w:hAnsi="宋体" w:cs="宋体"/>
          <w:b/>
          <w:color w:val="auto"/>
          <w:sz w:val="32"/>
          <w:szCs w:val="32"/>
          <w:highlight w:val="none"/>
        </w:rPr>
      </w:pPr>
    </w:p>
    <w:bookmarkEnd w:id="51"/>
    <w:p w14:paraId="03B5E878">
      <w:pPr>
        <w:pStyle w:val="20"/>
        <w:spacing w:before="0" w:beforeAutospacing="0" w:after="0" w:afterAutospacing="0"/>
        <w:contextualSpacing/>
        <w:jc w:val="both"/>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cs="宋体"/>
          <w:color w:val="auto"/>
          <w:highlight w:val="none"/>
        </w:rPr>
        <w:br w:type="page"/>
      </w:r>
    </w:p>
    <w:p w14:paraId="0EEC06CD">
      <w:pPr>
        <w:rPr>
          <w:rFonts w:hint="eastAsia" w:ascii="宋体" w:hAnsi="宋体" w:cs="宋体"/>
          <w:color w:val="auto"/>
          <w:highlight w:val="none"/>
        </w:rPr>
        <w:sectPr>
          <w:pgSz w:w="11906" w:h="16838"/>
          <w:pgMar w:top="1440" w:right="1758" w:bottom="1440" w:left="1758" w:header="851" w:footer="992" w:gutter="0"/>
          <w:cols w:space="720" w:num="1"/>
          <w:docGrid w:linePitch="312" w:charSpace="0"/>
        </w:sectPr>
      </w:pPr>
    </w:p>
    <w:tbl>
      <w:tblPr>
        <w:tblStyle w:val="24"/>
        <w:tblW w:w="97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1"/>
        <w:gridCol w:w="531"/>
        <w:gridCol w:w="1791"/>
        <w:gridCol w:w="4430"/>
        <w:gridCol w:w="1020"/>
        <w:gridCol w:w="625"/>
        <w:gridCol w:w="772"/>
      </w:tblGrid>
      <w:tr w14:paraId="0163B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2" w:hRule="atLeast"/>
        </w:trPr>
        <w:tc>
          <w:tcPr>
            <w:tcW w:w="9700" w:type="dxa"/>
            <w:gridSpan w:val="7"/>
            <w:tcBorders>
              <w:top w:val="nil"/>
              <w:left w:val="nil"/>
              <w:bottom w:val="nil"/>
              <w:right w:val="nil"/>
            </w:tcBorders>
            <w:noWrap/>
            <w:vAlign w:val="center"/>
          </w:tcPr>
          <w:p w14:paraId="77CDD179">
            <w:pPr>
              <w:jc w:val="center"/>
              <w:rPr>
                <w:rFonts w:hint="eastAsia" w:ascii="宋体" w:hAnsi="宋体" w:eastAsia="宋体" w:cs="宋体"/>
                <w:b w:val="0"/>
                <w:bCs w:val="0"/>
                <w:i w:val="0"/>
                <w:iCs w:val="0"/>
                <w:color w:val="auto"/>
                <w:sz w:val="40"/>
                <w:szCs w:val="40"/>
                <w:highlight w:val="none"/>
                <w:u w:val="none"/>
              </w:rPr>
            </w:pPr>
            <w:r>
              <w:rPr>
                <w:rFonts w:hint="eastAsia" w:cs="Times New Roman"/>
                <w:b/>
                <w:bCs/>
                <w:color w:val="auto"/>
                <w:sz w:val="36"/>
                <w:szCs w:val="36"/>
                <w:highlight w:val="none"/>
                <w:lang w:val="en-US" w:eastAsia="zh-CN"/>
              </w:rPr>
              <w:t>郸城县民政局2026年特困供养保障物资采购项目-清单</w:t>
            </w:r>
          </w:p>
        </w:tc>
      </w:tr>
      <w:tr w14:paraId="4C3DA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trPr>
        <w:tc>
          <w:tcPr>
            <w:tcW w:w="1062" w:type="dxa"/>
            <w:gridSpan w:val="2"/>
            <w:tcBorders>
              <w:top w:val="single" w:color="000000" w:sz="4" w:space="0"/>
              <w:left w:val="single" w:color="000000" w:sz="4" w:space="0"/>
              <w:bottom w:val="single" w:color="000000" w:sz="4" w:space="0"/>
              <w:right w:val="single" w:color="000000" w:sz="4" w:space="0"/>
            </w:tcBorders>
            <w:noWrap/>
            <w:vAlign w:val="center"/>
          </w:tcPr>
          <w:p w14:paraId="5AF3F167">
            <w:pPr>
              <w:keepNext w:val="0"/>
              <w:keepLines w:val="0"/>
              <w:widowControl/>
              <w:suppressLineNumbers w:val="0"/>
              <w:jc w:val="center"/>
              <w:textAlignment w:val="center"/>
              <w:rPr>
                <w:rFonts w:hint="eastAsia" w:ascii="宋体" w:hAnsi="宋体" w:eastAsia="宋体" w:cs="宋体"/>
                <w:b w:val="0"/>
                <w:bCs w:val="0"/>
                <w:i w:val="0"/>
                <w:iCs w:val="0"/>
                <w:color w:val="auto"/>
                <w:sz w:val="32"/>
                <w:szCs w:val="32"/>
                <w:highlight w:val="none"/>
                <w:u w:val="none"/>
              </w:rPr>
            </w:pPr>
            <w:r>
              <w:rPr>
                <w:rFonts w:hint="eastAsia" w:ascii="宋体" w:hAnsi="宋体" w:eastAsia="宋体" w:cs="宋体"/>
                <w:b w:val="0"/>
                <w:bCs w:val="0"/>
                <w:i w:val="0"/>
                <w:iCs w:val="0"/>
                <w:color w:val="auto"/>
                <w:kern w:val="0"/>
                <w:sz w:val="32"/>
                <w:szCs w:val="32"/>
                <w:highlight w:val="none"/>
                <w:u w:val="none"/>
                <w:lang w:val="en-US" w:eastAsia="zh-CN" w:bidi="ar"/>
              </w:rPr>
              <w:t>名称</w:t>
            </w:r>
          </w:p>
        </w:tc>
        <w:tc>
          <w:tcPr>
            <w:tcW w:w="1791" w:type="dxa"/>
            <w:tcBorders>
              <w:top w:val="single" w:color="000000" w:sz="4" w:space="0"/>
              <w:left w:val="single" w:color="000000" w:sz="4" w:space="0"/>
              <w:bottom w:val="single" w:color="000000" w:sz="4" w:space="0"/>
              <w:right w:val="single" w:color="000000" w:sz="4" w:space="0"/>
            </w:tcBorders>
            <w:noWrap/>
            <w:vAlign w:val="center"/>
          </w:tcPr>
          <w:p w14:paraId="219B855F">
            <w:pPr>
              <w:keepNext w:val="0"/>
              <w:keepLines w:val="0"/>
              <w:widowControl/>
              <w:suppressLineNumbers w:val="0"/>
              <w:jc w:val="center"/>
              <w:textAlignment w:val="center"/>
              <w:rPr>
                <w:rFonts w:hint="eastAsia" w:ascii="宋体" w:hAnsi="宋体" w:eastAsia="宋体" w:cs="宋体"/>
                <w:b w:val="0"/>
                <w:bCs w:val="0"/>
                <w:i w:val="0"/>
                <w:iCs w:val="0"/>
                <w:color w:val="auto"/>
                <w:sz w:val="32"/>
                <w:szCs w:val="32"/>
                <w:highlight w:val="none"/>
                <w:u w:val="none"/>
              </w:rPr>
            </w:pPr>
            <w:r>
              <w:rPr>
                <w:rFonts w:hint="eastAsia" w:ascii="宋体" w:hAnsi="宋体" w:eastAsia="宋体" w:cs="宋体"/>
                <w:b w:val="0"/>
                <w:bCs w:val="0"/>
                <w:i w:val="0"/>
                <w:iCs w:val="0"/>
                <w:color w:val="auto"/>
                <w:kern w:val="0"/>
                <w:sz w:val="32"/>
                <w:szCs w:val="32"/>
                <w:highlight w:val="none"/>
                <w:u w:val="none"/>
                <w:lang w:val="en-US" w:eastAsia="zh-CN" w:bidi="ar"/>
              </w:rPr>
              <w:t>规格型号</w:t>
            </w:r>
          </w:p>
        </w:tc>
        <w:tc>
          <w:tcPr>
            <w:tcW w:w="4430" w:type="dxa"/>
            <w:tcBorders>
              <w:top w:val="single" w:color="000000" w:sz="4" w:space="0"/>
              <w:left w:val="single" w:color="000000" w:sz="4" w:space="0"/>
              <w:bottom w:val="single" w:color="000000" w:sz="4" w:space="0"/>
              <w:right w:val="single" w:color="000000" w:sz="4" w:space="0"/>
            </w:tcBorders>
            <w:noWrap/>
            <w:vAlign w:val="center"/>
          </w:tcPr>
          <w:p w14:paraId="68A79157">
            <w:pPr>
              <w:keepNext w:val="0"/>
              <w:keepLines w:val="0"/>
              <w:widowControl/>
              <w:suppressLineNumbers w:val="0"/>
              <w:jc w:val="center"/>
              <w:textAlignment w:val="center"/>
              <w:rPr>
                <w:rFonts w:hint="eastAsia" w:ascii="宋体" w:hAnsi="宋体" w:eastAsia="宋体" w:cs="宋体"/>
                <w:b w:val="0"/>
                <w:bCs w:val="0"/>
                <w:i w:val="0"/>
                <w:iCs w:val="0"/>
                <w:color w:val="auto"/>
                <w:sz w:val="32"/>
                <w:szCs w:val="32"/>
                <w:highlight w:val="none"/>
                <w:u w:val="none"/>
              </w:rPr>
            </w:pPr>
            <w:r>
              <w:rPr>
                <w:rFonts w:hint="eastAsia" w:ascii="宋体" w:hAnsi="宋体" w:eastAsia="宋体" w:cs="宋体"/>
                <w:b w:val="0"/>
                <w:bCs w:val="0"/>
                <w:i w:val="0"/>
                <w:iCs w:val="0"/>
                <w:color w:val="auto"/>
                <w:kern w:val="0"/>
                <w:sz w:val="32"/>
                <w:szCs w:val="32"/>
                <w:highlight w:val="none"/>
                <w:u w:val="none"/>
                <w:lang w:val="en-US" w:eastAsia="zh-CN" w:bidi="ar"/>
              </w:rPr>
              <w:t>技术参数</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6213D7D9">
            <w:pPr>
              <w:keepNext w:val="0"/>
              <w:keepLines w:val="0"/>
              <w:widowControl/>
              <w:suppressLineNumbers w:val="0"/>
              <w:jc w:val="center"/>
              <w:textAlignment w:val="center"/>
              <w:rPr>
                <w:rFonts w:hint="eastAsia" w:ascii="宋体" w:hAnsi="宋体" w:eastAsia="宋体" w:cs="宋体"/>
                <w:b w:val="0"/>
                <w:bCs w:val="0"/>
                <w:i w:val="0"/>
                <w:iCs w:val="0"/>
                <w:color w:val="auto"/>
                <w:kern w:val="0"/>
                <w:sz w:val="32"/>
                <w:szCs w:val="32"/>
                <w:highlight w:val="none"/>
                <w:u w:val="none"/>
                <w:lang w:val="en-US" w:eastAsia="zh-CN" w:bidi="ar"/>
              </w:rPr>
            </w:pPr>
            <w:r>
              <w:rPr>
                <w:rFonts w:hint="eastAsia" w:ascii="宋体" w:hAnsi="宋体" w:eastAsia="宋体" w:cs="宋体"/>
                <w:b w:val="0"/>
                <w:bCs w:val="0"/>
                <w:i w:val="0"/>
                <w:iCs w:val="0"/>
                <w:color w:val="auto"/>
                <w:kern w:val="0"/>
                <w:sz w:val="32"/>
                <w:szCs w:val="32"/>
                <w:highlight w:val="none"/>
                <w:u w:val="none"/>
                <w:lang w:val="en-US" w:eastAsia="zh-CN" w:bidi="ar"/>
              </w:rPr>
              <w:t>数量</w:t>
            </w:r>
          </w:p>
          <w:p w14:paraId="3BE12F8A">
            <w:pPr>
              <w:keepNext w:val="0"/>
              <w:keepLines w:val="0"/>
              <w:widowControl/>
              <w:suppressLineNumbers w:val="0"/>
              <w:jc w:val="center"/>
              <w:textAlignment w:val="center"/>
              <w:rPr>
                <w:rFonts w:hint="default" w:ascii="宋体" w:hAnsi="宋体" w:eastAsia="宋体" w:cs="宋体"/>
                <w:b w:val="0"/>
                <w:bCs w:val="0"/>
                <w:i w:val="0"/>
                <w:iCs w:val="0"/>
                <w:color w:val="auto"/>
                <w:kern w:val="0"/>
                <w:sz w:val="32"/>
                <w:szCs w:val="32"/>
                <w:highlight w:val="none"/>
                <w:u w:val="none"/>
                <w:lang w:val="en-US" w:eastAsia="zh-CN" w:bidi="ar"/>
              </w:rPr>
            </w:pPr>
            <w:r>
              <w:rPr>
                <w:rFonts w:hint="eastAsia" w:ascii="宋体" w:hAnsi="宋体" w:cs="宋体"/>
                <w:b w:val="0"/>
                <w:bCs w:val="0"/>
                <w:i w:val="0"/>
                <w:iCs w:val="0"/>
                <w:color w:val="auto"/>
                <w:kern w:val="0"/>
                <w:sz w:val="32"/>
                <w:szCs w:val="32"/>
                <w:highlight w:val="none"/>
                <w:u w:val="none"/>
                <w:lang w:val="en-US" w:eastAsia="zh-CN" w:bidi="ar"/>
              </w:rPr>
              <w:t>（套）</w:t>
            </w:r>
          </w:p>
        </w:tc>
        <w:tc>
          <w:tcPr>
            <w:tcW w:w="625" w:type="dxa"/>
            <w:tcBorders>
              <w:top w:val="single" w:color="000000" w:sz="4" w:space="0"/>
              <w:left w:val="single" w:color="000000" w:sz="4" w:space="0"/>
              <w:bottom w:val="single" w:color="000000" w:sz="4" w:space="0"/>
              <w:right w:val="single" w:color="000000" w:sz="4" w:space="0"/>
            </w:tcBorders>
            <w:noWrap/>
            <w:vAlign w:val="center"/>
          </w:tcPr>
          <w:p w14:paraId="0E491FA4">
            <w:pPr>
              <w:keepNext w:val="0"/>
              <w:keepLines w:val="0"/>
              <w:widowControl/>
              <w:suppressLineNumbers w:val="0"/>
              <w:jc w:val="center"/>
              <w:textAlignment w:val="center"/>
              <w:rPr>
                <w:rFonts w:hint="eastAsia" w:ascii="宋体" w:hAnsi="宋体" w:eastAsia="宋体" w:cs="宋体"/>
                <w:b w:val="0"/>
                <w:bCs w:val="0"/>
                <w:i w:val="0"/>
                <w:iCs w:val="0"/>
                <w:color w:val="auto"/>
                <w:sz w:val="32"/>
                <w:szCs w:val="32"/>
                <w:highlight w:val="none"/>
                <w:u w:val="none"/>
              </w:rPr>
            </w:pPr>
            <w:r>
              <w:rPr>
                <w:rFonts w:hint="eastAsia" w:ascii="宋体" w:hAnsi="宋体" w:eastAsia="宋体" w:cs="宋体"/>
                <w:b w:val="0"/>
                <w:bCs w:val="0"/>
                <w:i w:val="0"/>
                <w:iCs w:val="0"/>
                <w:color w:val="auto"/>
                <w:kern w:val="0"/>
                <w:sz w:val="32"/>
                <w:szCs w:val="32"/>
                <w:highlight w:val="none"/>
                <w:u w:val="none"/>
                <w:lang w:val="en-US" w:eastAsia="zh-CN" w:bidi="ar"/>
              </w:rPr>
              <w:t>单价</w:t>
            </w:r>
          </w:p>
        </w:tc>
        <w:tc>
          <w:tcPr>
            <w:tcW w:w="772" w:type="dxa"/>
            <w:tcBorders>
              <w:top w:val="single" w:color="000000" w:sz="4" w:space="0"/>
              <w:left w:val="single" w:color="000000" w:sz="4" w:space="0"/>
              <w:bottom w:val="single" w:color="000000" w:sz="4" w:space="0"/>
              <w:right w:val="single" w:color="000000" w:sz="4" w:space="0"/>
            </w:tcBorders>
            <w:noWrap/>
            <w:vAlign w:val="center"/>
          </w:tcPr>
          <w:p w14:paraId="29376087">
            <w:pPr>
              <w:keepNext w:val="0"/>
              <w:keepLines w:val="0"/>
              <w:widowControl/>
              <w:suppressLineNumbers w:val="0"/>
              <w:jc w:val="center"/>
              <w:textAlignment w:val="center"/>
              <w:rPr>
                <w:rFonts w:hint="eastAsia" w:ascii="宋体" w:hAnsi="宋体" w:eastAsia="宋体" w:cs="宋体"/>
                <w:b w:val="0"/>
                <w:bCs w:val="0"/>
                <w:i w:val="0"/>
                <w:iCs w:val="0"/>
                <w:color w:val="auto"/>
                <w:sz w:val="32"/>
                <w:szCs w:val="32"/>
                <w:highlight w:val="none"/>
                <w:u w:val="none"/>
              </w:rPr>
            </w:pPr>
            <w:r>
              <w:rPr>
                <w:rFonts w:hint="eastAsia" w:ascii="宋体" w:hAnsi="宋体" w:eastAsia="宋体" w:cs="宋体"/>
                <w:b w:val="0"/>
                <w:bCs w:val="0"/>
                <w:i w:val="0"/>
                <w:iCs w:val="0"/>
                <w:color w:val="auto"/>
                <w:kern w:val="0"/>
                <w:sz w:val="32"/>
                <w:szCs w:val="32"/>
                <w:highlight w:val="none"/>
                <w:u w:val="none"/>
                <w:lang w:val="en-US" w:eastAsia="zh-CN" w:bidi="ar"/>
              </w:rPr>
              <w:t>金额</w:t>
            </w:r>
          </w:p>
        </w:tc>
      </w:tr>
      <w:tr w14:paraId="3F42C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31" w:type="dxa"/>
            <w:vMerge w:val="restart"/>
            <w:tcBorders>
              <w:top w:val="single" w:color="000000" w:sz="4" w:space="0"/>
              <w:left w:val="single" w:color="000000" w:sz="4" w:space="0"/>
              <w:bottom w:val="single" w:color="000000" w:sz="4" w:space="0"/>
              <w:right w:val="single" w:color="000000" w:sz="4" w:space="0"/>
            </w:tcBorders>
            <w:noWrap/>
            <w:vAlign w:val="center"/>
          </w:tcPr>
          <w:p w14:paraId="288126D6">
            <w:pPr>
              <w:keepNext w:val="0"/>
              <w:keepLines w:val="0"/>
              <w:widowControl/>
              <w:suppressLineNumbers w:val="0"/>
              <w:jc w:val="center"/>
              <w:textAlignment w:val="center"/>
              <w:rPr>
                <w:rFonts w:hint="eastAsia" w:ascii="宋体" w:hAnsi="宋体" w:eastAsia="宋体" w:cs="宋体"/>
                <w:b w:val="0"/>
                <w:bCs w:val="0"/>
                <w:i w:val="0"/>
                <w:iCs w:val="0"/>
                <w:color w:val="auto"/>
                <w:sz w:val="28"/>
                <w:szCs w:val="28"/>
                <w:highlight w:val="none"/>
                <w:u w:val="none"/>
              </w:rPr>
            </w:pPr>
            <w:r>
              <w:rPr>
                <w:rFonts w:hint="eastAsia" w:ascii="宋体" w:hAnsi="宋体" w:cs="宋体"/>
                <w:b w:val="0"/>
                <w:bCs w:val="0"/>
                <w:i w:val="0"/>
                <w:iCs w:val="0"/>
                <w:color w:val="auto"/>
                <w:kern w:val="0"/>
                <w:sz w:val="28"/>
                <w:szCs w:val="28"/>
                <w:highlight w:val="none"/>
                <w:u w:val="none"/>
                <w:lang w:val="en-US" w:eastAsia="zh-CN" w:bidi="ar"/>
              </w:rPr>
              <w:t>二标</w:t>
            </w:r>
          </w:p>
        </w:tc>
        <w:tc>
          <w:tcPr>
            <w:tcW w:w="531" w:type="dxa"/>
            <w:vMerge w:val="restart"/>
            <w:tcBorders>
              <w:top w:val="single" w:color="000000" w:sz="4" w:space="0"/>
              <w:left w:val="single" w:color="000000" w:sz="4" w:space="0"/>
              <w:bottom w:val="single" w:color="000000" w:sz="4" w:space="0"/>
              <w:right w:val="single" w:color="000000" w:sz="4" w:space="0"/>
            </w:tcBorders>
            <w:noWrap/>
            <w:vAlign w:val="center"/>
          </w:tcPr>
          <w:p w14:paraId="33043D63">
            <w:pPr>
              <w:keepNext w:val="0"/>
              <w:keepLines w:val="0"/>
              <w:widowControl/>
              <w:suppressLineNumbers w:val="0"/>
              <w:jc w:val="center"/>
              <w:textAlignment w:val="center"/>
              <w:rPr>
                <w:rFonts w:hint="default" w:ascii="宋体" w:hAnsi="宋体" w:eastAsia="宋体" w:cs="宋体"/>
                <w:b w:val="0"/>
                <w:bCs w:val="0"/>
                <w:i w:val="0"/>
                <w:iCs w:val="0"/>
                <w:color w:val="auto"/>
                <w:kern w:val="0"/>
                <w:sz w:val="28"/>
                <w:szCs w:val="28"/>
                <w:highlight w:val="none"/>
                <w:u w:val="none"/>
                <w:lang w:val="en-US" w:eastAsia="zh-CN" w:bidi="ar"/>
              </w:rPr>
            </w:pPr>
            <w:r>
              <w:rPr>
                <w:rFonts w:hint="eastAsia" w:ascii="宋体" w:hAnsi="宋体" w:cs="宋体"/>
                <w:b w:val="0"/>
                <w:bCs w:val="0"/>
                <w:i w:val="0"/>
                <w:iCs w:val="0"/>
                <w:color w:val="auto"/>
                <w:kern w:val="0"/>
                <w:sz w:val="28"/>
                <w:szCs w:val="28"/>
                <w:highlight w:val="none"/>
                <w:u w:val="none"/>
                <w:lang w:val="en-US" w:eastAsia="zh-CN" w:bidi="ar"/>
              </w:rPr>
              <w:t>休闲装</w:t>
            </w:r>
          </w:p>
        </w:tc>
        <w:tc>
          <w:tcPr>
            <w:tcW w:w="1791" w:type="dxa"/>
            <w:vMerge w:val="restart"/>
            <w:tcBorders>
              <w:top w:val="single" w:color="000000" w:sz="4" w:space="0"/>
              <w:left w:val="single" w:color="000000" w:sz="4" w:space="0"/>
              <w:bottom w:val="single" w:color="000000" w:sz="4" w:space="0"/>
              <w:right w:val="single" w:color="000000" w:sz="4" w:space="0"/>
            </w:tcBorders>
            <w:noWrap w:val="0"/>
            <w:vAlign w:val="center"/>
          </w:tcPr>
          <w:p w14:paraId="0EF898EA">
            <w:pPr>
              <w:keepNext w:val="0"/>
              <w:keepLines w:val="0"/>
              <w:widowControl/>
              <w:suppressLineNumbers w:val="0"/>
              <w:jc w:val="left"/>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男款:XL、XXL、XXXL、XXXXL、5XL、6XL</w:t>
            </w:r>
          </w:p>
          <w:p w14:paraId="34FCA22C">
            <w:pPr>
              <w:keepNext w:val="0"/>
              <w:keepLines w:val="0"/>
              <w:widowControl/>
              <w:suppressLineNumbers w:val="0"/>
              <w:jc w:val="left"/>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女款:M、L、XL、XXL、XXXL</w:t>
            </w:r>
            <w:r>
              <w:rPr>
                <w:rFonts w:hint="eastAsia" w:ascii="宋体" w:hAnsi="宋体" w:cs="宋体"/>
                <w:b w:val="0"/>
                <w:bCs w:val="0"/>
                <w:i w:val="0"/>
                <w:iCs w:val="0"/>
                <w:color w:val="auto"/>
                <w:kern w:val="0"/>
                <w:sz w:val="24"/>
                <w:szCs w:val="24"/>
                <w:highlight w:val="none"/>
                <w:u w:val="none"/>
                <w:lang w:val="en-US" w:eastAsia="zh-CN" w:bidi="ar"/>
              </w:rPr>
              <w:t>、</w:t>
            </w:r>
            <w:r>
              <w:rPr>
                <w:rFonts w:hint="eastAsia" w:ascii="宋体" w:hAnsi="宋体" w:eastAsia="宋体" w:cs="宋体"/>
                <w:b w:val="0"/>
                <w:bCs w:val="0"/>
                <w:i w:val="0"/>
                <w:iCs w:val="0"/>
                <w:color w:val="auto"/>
                <w:kern w:val="0"/>
                <w:sz w:val="24"/>
                <w:szCs w:val="24"/>
                <w:highlight w:val="none"/>
                <w:u w:val="none"/>
                <w:lang w:val="en-US" w:eastAsia="zh-CN" w:bidi="ar"/>
              </w:rPr>
              <w:t>XXXXL</w:t>
            </w:r>
            <w:r>
              <w:rPr>
                <w:rFonts w:hint="eastAsia" w:ascii="宋体" w:hAnsi="宋体" w:cs="宋体"/>
                <w:b w:val="0"/>
                <w:bCs w:val="0"/>
                <w:i w:val="0"/>
                <w:iCs w:val="0"/>
                <w:color w:val="auto"/>
                <w:kern w:val="0"/>
                <w:sz w:val="24"/>
                <w:szCs w:val="24"/>
                <w:highlight w:val="none"/>
                <w:u w:val="none"/>
                <w:lang w:val="en-US" w:eastAsia="zh-CN" w:bidi="ar"/>
              </w:rPr>
              <w:t>、</w:t>
            </w:r>
            <w:r>
              <w:rPr>
                <w:rFonts w:hint="eastAsia" w:ascii="宋体" w:hAnsi="宋体" w:eastAsia="宋体" w:cs="宋体"/>
                <w:b w:val="0"/>
                <w:bCs w:val="0"/>
                <w:i w:val="0"/>
                <w:iCs w:val="0"/>
                <w:color w:val="auto"/>
                <w:kern w:val="0"/>
                <w:sz w:val="24"/>
                <w:szCs w:val="24"/>
                <w:highlight w:val="none"/>
                <w:u w:val="none"/>
                <w:lang w:val="en-US" w:eastAsia="zh-CN" w:bidi="ar"/>
              </w:rPr>
              <w:t>XXXXXL</w:t>
            </w:r>
          </w:p>
        </w:tc>
        <w:tc>
          <w:tcPr>
            <w:tcW w:w="4430" w:type="dxa"/>
            <w:vMerge w:val="restart"/>
            <w:tcBorders>
              <w:top w:val="single" w:color="000000" w:sz="4" w:space="0"/>
              <w:left w:val="single" w:color="000000" w:sz="4" w:space="0"/>
              <w:bottom w:val="single" w:color="000000" w:sz="4" w:space="0"/>
              <w:right w:val="single" w:color="000000" w:sz="4" w:space="0"/>
            </w:tcBorders>
            <w:noWrap w:val="0"/>
            <w:vAlign w:val="center"/>
          </w:tcPr>
          <w:p w14:paraId="7337CB7F">
            <w:pPr>
              <w:keepNext w:val="0"/>
              <w:keepLines w:val="0"/>
              <w:widowControl/>
              <w:suppressLineNumbers w:val="0"/>
              <w:jc w:val="left"/>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面料:含聚酯纤维70.1%，含棉26.3%，含氨纶3.6%。</w:t>
            </w:r>
          </w:p>
          <w:p w14:paraId="3740B654">
            <w:pPr>
              <w:keepNext w:val="0"/>
              <w:keepLines w:val="0"/>
              <w:widowControl/>
              <w:suppressLineNumbers w:val="0"/>
              <w:jc w:val="left"/>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符合FZ/T01057.2-2007</w:t>
            </w:r>
          </w:p>
          <w:p w14:paraId="592EE7E6">
            <w:pPr>
              <w:keepNext w:val="0"/>
              <w:keepLines w:val="0"/>
              <w:widowControl/>
              <w:suppressLineNumbers w:val="0"/>
              <w:jc w:val="left"/>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FZ/T01057.3-2007</w:t>
            </w:r>
          </w:p>
          <w:p w14:paraId="07CF4CBE">
            <w:pPr>
              <w:keepNext w:val="0"/>
              <w:keepLines w:val="0"/>
              <w:widowControl/>
              <w:suppressLineNumbers w:val="0"/>
              <w:jc w:val="left"/>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FZ/T01057.4-2007</w:t>
            </w:r>
          </w:p>
          <w:p w14:paraId="281E91BA">
            <w:pPr>
              <w:keepNext w:val="0"/>
              <w:keepLines w:val="0"/>
              <w:widowControl/>
              <w:suppressLineNumbers w:val="0"/>
              <w:jc w:val="left"/>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GB/T2910.2-2009</w:t>
            </w:r>
          </w:p>
          <w:p w14:paraId="69CA00B5">
            <w:pPr>
              <w:keepNext w:val="0"/>
              <w:keepLines w:val="0"/>
              <w:widowControl/>
              <w:suppressLineNumbers w:val="0"/>
              <w:jc w:val="left"/>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耐水色</w:t>
            </w:r>
            <w:r>
              <w:rPr>
                <w:rFonts w:hint="eastAsia" w:ascii="宋体" w:hAnsi="宋体" w:cs="宋体"/>
                <w:b w:val="0"/>
                <w:bCs w:val="0"/>
                <w:i w:val="0"/>
                <w:iCs w:val="0"/>
                <w:color w:val="auto"/>
                <w:kern w:val="0"/>
                <w:sz w:val="24"/>
                <w:szCs w:val="24"/>
                <w:highlight w:val="none"/>
                <w:u w:val="none"/>
                <w:lang w:val="en-US" w:eastAsia="zh-CN" w:bidi="ar"/>
              </w:rPr>
              <w:t>牢</w:t>
            </w:r>
            <w:r>
              <w:rPr>
                <w:rFonts w:hint="eastAsia" w:ascii="宋体" w:hAnsi="宋体" w:eastAsia="宋体" w:cs="宋体"/>
                <w:b w:val="0"/>
                <w:bCs w:val="0"/>
                <w:i w:val="0"/>
                <w:iCs w:val="0"/>
                <w:color w:val="auto"/>
                <w:kern w:val="0"/>
                <w:sz w:val="24"/>
                <w:szCs w:val="24"/>
                <w:highlight w:val="none"/>
                <w:u w:val="none"/>
                <w:lang w:val="en-US" w:eastAsia="zh-CN" w:bidi="ar"/>
              </w:rPr>
              <w:t>度符合≥3GB/T5713-2013</w:t>
            </w:r>
          </w:p>
          <w:p w14:paraId="759DC19F">
            <w:pPr>
              <w:keepNext w:val="0"/>
              <w:keepLines w:val="0"/>
              <w:widowControl/>
              <w:suppressLineNumbers w:val="0"/>
              <w:jc w:val="left"/>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耐酸汗渍色牢度≥3符合</w:t>
            </w:r>
            <w:r>
              <w:rPr>
                <w:rFonts w:hint="eastAsia" w:ascii="宋体" w:hAnsi="宋体" w:cs="宋体"/>
                <w:b w:val="0"/>
                <w:bCs w:val="0"/>
                <w:i w:val="0"/>
                <w:iCs w:val="0"/>
                <w:color w:val="auto"/>
                <w:kern w:val="0"/>
                <w:sz w:val="24"/>
                <w:szCs w:val="24"/>
                <w:highlight w:val="none"/>
                <w:u w:val="none"/>
                <w:lang w:val="en-US" w:eastAsia="zh-CN" w:bidi="ar"/>
              </w:rPr>
              <w:t>G</w:t>
            </w:r>
            <w:r>
              <w:rPr>
                <w:rFonts w:hint="eastAsia" w:ascii="宋体" w:hAnsi="宋体" w:eastAsia="宋体" w:cs="宋体"/>
                <w:b w:val="0"/>
                <w:bCs w:val="0"/>
                <w:i w:val="0"/>
                <w:iCs w:val="0"/>
                <w:color w:val="auto"/>
                <w:kern w:val="0"/>
                <w:sz w:val="24"/>
                <w:szCs w:val="24"/>
                <w:highlight w:val="none"/>
                <w:u w:val="none"/>
                <w:lang w:val="en-US" w:eastAsia="zh-CN" w:bidi="ar"/>
              </w:rPr>
              <w:t>B/T3922-2013</w:t>
            </w:r>
          </w:p>
          <w:p w14:paraId="3A0B9AA8">
            <w:pPr>
              <w:keepNext w:val="0"/>
              <w:keepLines w:val="0"/>
              <w:widowControl/>
              <w:suppressLineNumbers w:val="0"/>
              <w:jc w:val="left"/>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耐碱汗渍色牢度≥3符合GB/T3922-2013</w:t>
            </w:r>
          </w:p>
          <w:p w14:paraId="78002BD2">
            <w:pPr>
              <w:keepNext w:val="0"/>
              <w:keepLines w:val="0"/>
              <w:widowControl/>
              <w:suppressLineNumbers w:val="0"/>
              <w:jc w:val="left"/>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耐摩擦色牢度(≥3(干摩)、≥2-3(湿摩)符合GB/T3920</w:t>
            </w:r>
            <w:r>
              <w:rPr>
                <w:rFonts w:hint="eastAsia" w:ascii="宋体" w:hAnsi="宋体" w:cs="宋体"/>
                <w:b w:val="0"/>
                <w:bCs w:val="0"/>
                <w:i w:val="0"/>
                <w:iCs w:val="0"/>
                <w:color w:val="auto"/>
                <w:kern w:val="0"/>
                <w:sz w:val="24"/>
                <w:szCs w:val="24"/>
                <w:highlight w:val="none"/>
                <w:u w:val="none"/>
                <w:lang w:val="en-US" w:eastAsia="zh-CN" w:bidi="ar"/>
              </w:rPr>
              <w:t>-</w:t>
            </w:r>
            <w:r>
              <w:rPr>
                <w:rFonts w:hint="eastAsia" w:ascii="宋体" w:hAnsi="宋体" w:eastAsia="宋体" w:cs="宋体"/>
                <w:b w:val="0"/>
                <w:bCs w:val="0"/>
                <w:i w:val="0"/>
                <w:iCs w:val="0"/>
                <w:color w:val="auto"/>
                <w:kern w:val="0"/>
                <w:sz w:val="24"/>
                <w:szCs w:val="24"/>
                <w:highlight w:val="none"/>
                <w:u w:val="none"/>
                <w:lang w:val="en-US" w:eastAsia="zh-CN" w:bidi="ar"/>
              </w:rPr>
              <w:t>2008</w:t>
            </w:r>
          </w:p>
          <w:p w14:paraId="1A012931">
            <w:pPr>
              <w:keepNext w:val="0"/>
              <w:keepLines w:val="0"/>
              <w:widowControl/>
              <w:suppressLineNumbers w:val="0"/>
              <w:jc w:val="left"/>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PH值符合GB/T7573-2009 4.0-8.5</w:t>
            </w:r>
          </w:p>
          <w:p w14:paraId="1FA16032">
            <w:pPr>
              <w:keepNext w:val="0"/>
              <w:keepLines w:val="0"/>
              <w:widowControl/>
              <w:suppressLineNumbers w:val="0"/>
              <w:jc w:val="left"/>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甲醛含量≤75符合GB/T2912.1-2009</w:t>
            </w:r>
          </w:p>
          <w:p w14:paraId="31AB7807">
            <w:pPr>
              <w:keepNext w:val="0"/>
              <w:keepLines w:val="0"/>
              <w:widowControl/>
              <w:suppressLineNumbers w:val="0"/>
              <w:jc w:val="left"/>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无异味符合GB18401-2010</w:t>
            </w:r>
          </w:p>
          <w:p w14:paraId="1C1A1C6C">
            <w:pPr>
              <w:keepNext w:val="0"/>
              <w:keepLines w:val="0"/>
              <w:widowControl/>
              <w:suppressLineNumbers w:val="0"/>
              <w:jc w:val="left"/>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可分解致癌芳香胺染料≤20</w:t>
            </w:r>
          </w:p>
          <w:p w14:paraId="21857E9D">
            <w:pPr>
              <w:keepNext w:val="0"/>
              <w:keepLines w:val="0"/>
              <w:widowControl/>
              <w:suppressLineNumbers w:val="0"/>
              <w:jc w:val="left"/>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符合GB/T17592-2024</w:t>
            </w:r>
          </w:p>
          <w:p w14:paraId="535A02EF">
            <w:pPr>
              <w:keepNext w:val="0"/>
              <w:keepLines w:val="0"/>
              <w:widowControl/>
              <w:suppressLineNumbers w:val="0"/>
              <w:jc w:val="left"/>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产品B类，符合GB/T22849-2024标准和GB18401-2010标准</w:t>
            </w:r>
          </w:p>
        </w:tc>
        <w:tc>
          <w:tcPr>
            <w:tcW w:w="1020" w:type="dxa"/>
            <w:vMerge w:val="restart"/>
            <w:tcBorders>
              <w:top w:val="single" w:color="000000" w:sz="4" w:space="0"/>
              <w:left w:val="single" w:color="000000" w:sz="4" w:space="0"/>
              <w:bottom w:val="single" w:color="000000" w:sz="4" w:space="0"/>
              <w:right w:val="single" w:color="000000" w:sz="4" w:space="0"/>
            </w:tcBorders>
            <w:noWrap/>
            <w:vAlign w:val="center"/>
          </w:tcPr>
          <w:p w14:paraId="2B1F0B84">
            <w:pPr>
              <w:keepNext w:val="0"/>
              <w:keepLines w:val="0"/>
              <w:widowControl/>
              <w:suppressLineNumbers w:val="0"/>
              <w:jc w:val="center"/>
              <w:textAlignment w:val="center"/>
              <w:rPr>
                <w:rFonts w:hint="eastAsia" w:ascii="宋体" w:hAnsi="宋体" w:eastAsia="宋体" w:cs="宋体"/>
                <w:b w:val="0"/>
                <w:bCs w:val="0"/>
                <w:i w:val="0"/>
                <w:iCs w:val="0"/>
                <w:color w:val="auto"/>
                <w:sz w:val="28"/>
                <w:szCs w:val="28"/>
                <w:highlight w:val="none"/>
                <w:u w:val="none"/>
              </w:rPr>
            </w:pPr>
            <w:r>
              <w:rPr>
                <w:rFonts w:hint="eastAsia" w:ascii="宋体" w:hAnsi="宋体" w:cs="宋体"/>
                <w:b w:val="0"/>
                <w:bCs w:val="0"/>
                <w:i w:val="0"/>
                <w:iCs w:val="0"/>
                <w:color w:val="auto"/>
                <w:kern w:val="0"/>
                <w:sz w:val="28"/>
                <w:szCs w:val="28"/>
                <w:highlight w:val="none"/>
                <w:u w:val="none"/>
                <w:lang w:val="en-US" w:eastAsia="zh-CN" w:bidi="ar"/>
              </w:rPr>
              <w:t>9</w:t>
            </w:r>
            <w:r>
              <w:rPr>
                <w:rFonts w:hint="eastAsia" w:ascii="宋体" w:hAnsi="宋体" w:eastAsia="宋体" w:cs="宋体"/>
                <w:b w:val="0"/>
                <w:bCs w:val="0"/>
                <w:i w:val="0"/>
                <w:iCs w:val="0"/>
                <w:color w:val="auto"/>
                <w:kern w:val="0"/>
                <w:sz w:val="28"/>
                <w:szCs w:val="28"/>
                <w:highlight w:val="none"/>
                <w:u w:val="none"/>
                <w:lang w:val="en-US" w:eastAsia="zh-CN" w:bidi="ar"/>
              </w:rPr>
              <w:t>000</w:t>
            </w:r>
          </w:p>
        </w:tc>
        <w:tc>
          <w:tcPr>
            <w:tcW w:w="625" w:type="dxa"/>
            <w:vMerge w:val="restart"/>
            <w:tcBorders>
              <w:top w:val="single" w:color="000000" w:sz="4" w:space="0"/>
              <w:left w:val="single" w:color="000000" w:sz="4" w:space="0"/>
              <w:bottom w:val="single" w:color="000000" w:sz="4" w:space="0"/>
              <w:right w:val="single" w:color="000000" w:sz="4" w:space="0"/>
            </w:tcBorders>
            <w:noWrap/>
            <w:vAlign w:val="center"/>
          </w:tcPr>
          <w:p w14:paraId="16127276">
            <w:pPr>
              <w:keepNext w:val="0"/>
              <w:keepLines w:val="0"/>
              <w:widowControl/>
              <w:suppressLineNumbers w:val="0"/>
              <w:jc w:val="center"/>
              <w:textAlignment w:val="center"/>
              <w:rPr>
                <w:rFonts w:hint="eastAsia" w:ascii="宋体" w:hAnsi="宋体" w:eastAsia="宋体" w:cs="宋体"/>
                <w:b w:val="0"/>
                <w:bCs w:val="0"/>
                <w:i w:val="0"/>
                <w:iCs w:val="0"/>
                <w:color w:val="auto"/>
                <w:sz w:val="28"/>
                <w:szCs w:val="28"/>
                <w:highlight w:val="none"/>
                <w:u w:val="none"/>
              </w:rPr>
            </w:pPr>
          </w:p>
        </w:tc>
        <w:tc>
          <w:tcPr>
            <w:tcW w:w="772" w:type="dxa"/>
            <w:vMerge w:val="restart"/>
            <w:tcBorders>
              <w:top w:val="single" w:color="000000" w:sz="4" w:space="0"/>
              <w:left w:val="single" w:color="000000" w:sz="4" w:space="0"/>
              <w:bottom w:val="single" w:color="000000" w:sz="4" w:space="0"/>
              <w:right w:val="single" w:color="000000" w:sz="4" w:space="0"/>
            </w:tcBorders>
            <w:noWrap/>
            <w:vAlign w:val="center"/>
          </w:tcPr>
          <w:p w14:paraId="0439CB50">
            <w:pPr>
              <w:keepNext w:val="0"/>
              <w:keepLines w:val="0"/>
              <w:widowControl/>
              <w:suppressLineNumbers w:val="0"/>
              <w:jc w:val="center"/>
              <w:textAlignment w:val="center"/>
              <w:rPr>
                <w:rFonts w:hint="eastAsia" w:ascii="宋体" w:hAnsi="宋体" w:eastAsia="宋体" w:cs="宋体"/>
                <w:b w:val="0"/>
                <w:bCs w:val="0"/>
                <w:i w:val="0"/>
                <w:iCs w:val="0"/>
                <w:color w:val="auto"/>
                <w:sz w:val="28"/>
                <w:szCs w:val="28"/>
                <w:highlight w:val="none"/>
                <w:u w:val="none"/>
              </w:rPr>
            </w:pPr>
          </w:p>
        </w:tc>
      </w:tr>
      <w:tr w14:paraId="2B44A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31" w:type="dxa"/>
            <w:vMerge w:val="continue"/>
            <w:tcBorders>
              <w:top w:val="single" w:color="000000" w:sz="4" w:space="0"/>
              <w:left w:val="single" w:color="000000" w:sz="4" w:space="0"/>
              <w:bottom w:val="single" w:color="000000" w:sz="4" w:space="0"/>
              <w:right w:val="single" w:color="000000" w:sz="4" w:space="0"/>
            </w:tcBorders>
            <w:noWrap/>
            <w:vAlign w:val="center"/>
          </w:tcPr>
          <w:p w14:paraId="070D7E44">
            <w:pPr>
              <w:jc w:val="center"/>
              <w:rPr>
                <w:rFonts w:hint="eastAsia" w:ascii="宋体" w:hAnsi="宋体" w:eastAsia="宋体" w:cs="宋体"/>
                <w:b w:val="0"/>
                <w:bCs w:val="0"/>
                <w:i w:val="0"/>
                <w:iCs w:val="0"/>
                <w:color w:val="auto"/>
                <w:sz w:val="28"/>
                <w:szCs w:val="28"/>
                <w:highlight w:val="none"/>
                <w:u w:val="none"/>
              </w:rPr>
            </w:pPr>
          </w:p>
        </w:tc>
        <w:tc>
          <w:tcPr>
            <w:tcW w:w="531" w:type="dxa"/>
            <w:vMerge w:val="continue"/>
            <w:tcBorders>
              <w:top w:val="single" w:color="000000" w:sz="4" w:space="0"/>
              <w:left w:val="single" w:color="000000" w:sz="4" w:space="0"/>
              <w:bottom w:val="single" w:color="000000" w:sz="4" w:space="0"/>
              <w:right w:val="single" w:color="000000" w:sz="4" w:space="0"/>
            </w:tcBorders>
            <w:noWrap/>
            <w:vAlign w:val="center"/>
          </w:tcPr>
          <w:p w14:paraId="037509D3">
            <w:pPr>
              <w:jc w:val="center"/>
              <w:rPr>
                <w:rFonts w:hint="eastAsia" w:ascii="宋体" w:hAnsi="宋体" w:eastAsia="宋体" w:cs="宋体"/>
                <w:b w:val="0"/>
                <w:bCs w:val="0"/>
                <w:i w:val="0"/>
                <w:iCs w:val="0"/>
                <w:color w:val="auto"/>
                <w:sz w:val="28"/>
                <w:szCs w:val="28"/>
                <w:highlight w:val="none"/>
                <w:u w:val="none"/>
              </w:rPr>
            </w:pPr>
          </w:p>
        </w:tc>
        <w:tc>
          <w:tcPr>
            <w:tcW w:w="17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A77AAC">
            <w:pPr>
              <w:jc w:val="center"/>
              <w:rPr>
                <w:rFonts w:hint="eastAsia" w:ascii="宋体" w:hAnsi="宋体" w:eastAsia="宋体" w:cs="宋体"/>
                <w:b w:val="0"/>
                <w:bCs w:val="0"/>
                <w:i w:val="0"/>
                <w:iCs w:val="0"/>
                <w:color w:val="auto"/>
                <w:sz w:val="24"/>
                <w:szCs w:val="24"/>
                <w:highlight w:val="none"/>
                <w:u w:val="none"/>
              </w:rPr>
            </w:pPr>
          </w:p>
        </w:tc>
        <w:tc>
          <w:tcPr>
            <w:tcW w:w="44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D88DA3">
            <w:pPr>
              <w:jc w:val="left"/>
              <w:rPr>
                <w:rFonts w:hint="eastAsia" w:ascii="宋体" w:hAnsi="宋体" w:eastAsia="宋体" w:cs="宋体"/>
                <w:b w:val="0"/>
                <w:bCs w:val="0"/>
                <w:i w:val="0"/>
                <w:iCs w:val="0"/>
                <w:color w:val="auto"/>
                <w:sz w:val="24"/>
                <w:szCs w:val="24"/>
                <w:highlight w:val="none"/>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ign w:val="center"/>
          </w:tcPr>
          <w:p w14:paraId="08C6BAD0">
            <w:pPr>
              <w:jc w:val="center"/>
              <w:rPr>
                <w:rFonts w:hint="eastAsia" w:ascii="宋体" w:hAnsi="宋体" w:eastAsia="宋体" w:cs="宋体"/>
                <w:b w:val="0"/>
                <w:bCs w:val="0"/>
                <w:i w:val="0"/>
                <w:iCs w:val="0"/>
                <w:color w:val="auto"/>
                <w:sz w:val="28"/>
                <w:szCs w:val="28"/>
                <w:highlight w:val="none"/>
                <w:u w:val="none"/>
              </w:rPr>
            </w:pPr>
          </w:p>
        </w:tc>
        <w:tc>
          <w:tcPr>
            <w:tcW w:w="625" w:type="dxa"/>
            <w:vMerge w:val="continue"/>
            <w:tcBorders>
              <w:top w:val="single" w:color="000000" w:sz="4" w:space="0"/>
              <w:left w:val="single" w:color="000000" w:sz="4" w:space="0"/>
              <w:bottom w:val="single" w:color="000000" w:sz="4" w:space="0"/>
              <w:right w:val="single" w:color="000000" w:sz="4" w:space="0"/>
            </w:tcBorders>
            <w:noWrap/>
            <w:vAlign w:val="center"/>
          </w:tcPr>
          <w:p w14:paraId="46054AFC">
            <w:pPr>
              <w:jc w:val="center"/>
              <w:rPr>
                <w:rFonts w:hint="eastAsia" w:ascii="宋体" w:hAnsi="宋体" w:eastAsia="宋体" w:cs="宋体"/>
                <w:b w:val="0"/>
                <w:bCs w:val="0"/>
                <w:i w:val="0"/>
                <w:iCs w:val="0"/>
                <w:color w:val="auto"/>
                <w:sz w:val="28"/>
                <w:szCs w:val="28"/>
                <w:highlight w:val="none"/>
                <w:u w:val="none"/>
              </w:rPr>
            </w:pPr>
          </w:p>
        </w:tc>
        <w:tc>
          <w:tcPr>
            <w:tcW w:w="772" w:type="dxa"/>
            <w:vMerge w:val="continue"/>
            <w:tcBorders>
              <w:top w:val="single" w:color="000000" w:sz="4" w:space="0"/>
              <w:left w:val="single" w:color="000000" w:sz="4" w:space="0"/>
              <w:bottom w:val="single" w:color="000000" w:sz="4" w:space="0"/>
              <w:right w:val="single" w:color="000000" w:sz="4" w:space="0"/>
            </w:tcBorders>
            <w:noWrap/>
            <w:vAlign w:val="center"/>
          </w:tcPr>
          <w:p w14:paraId="7D499A89">
            <w:pPr>
              <w:jc w:val="center"/>
              <w:rPr>
                <w:rFonts w:hint="eastAsia" w:ascii="宋体" w:hAnsi="宋体" w:eastAsia="宋体" w:cs="宋体"/>
                <w:b w:val="0"/>
                <w:bCs w:val="0"/>
                <w:i w:val="0"/>
                <w:iCs w:val="0"/>
                <w:color w:val="auto"/>
                <w:sz w:val="28"/>
                <w:szCs w:val="28"/>
                <w:highlight w:val="none"/>
                <w:u w:val="none"/>
              </w:rPr>
            </w:pPr>
          </w:p>
        </w:tc>
      </w:tr>
      <w:tr w14:paraId="4159B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31" w:type="dxa"/>
            <w:vMerge w:val="continue"/>
            <w:tcBorders>
              <w:top w:val="single" w:color="000000" w:sz="4" w:space="0"/>
              <w:left w:val="single" w:color="000000" w:sz="4" w:space="0"/>
              <w:bottom w:val="single" w:color="000000" w:sz="4" w:space="0"/>
              <w:right w:val="single" w:color="000000" w:sz="4" w:space="0"/>
            </w:tcBorders>
            <w:noWrap/>
            <w:vAlign w:val="center"/>
          </w:tcPr>
          <w:p w14:paraId="6FD5C0C8">
            <w:pPr>
              <w:jc w:val="center"/>
              <w:rPr>
                <w:rFonts w:hint="eastAsia" w:ascii="宋体" w:hAnsi="宋体" w:eastAsia="宋体" w:cs="宋体"/>
                <w:b w:val="0"/>
                <w:bCs w:val="0"/>
                <w:i w:val="0"/>
                <w:iCs w:val="0"/>
                <w:color w:val="auto"/>
                <w:sz w:val="28"/>
                <w:szCs w:val="28"/>
                <w:highlight w:val="none"/>
                <w:u w:val="none"/>
              </w:rPr>
            </w:pPr>
          </w:p>
        </w:tc>
        <w:tc>
          <w:tcPr>
            <w:tcW w:w="531" w:type="dxa"/>
            <w:vMerge w:val="continue"/>
            <w:tcBorders>
              <w:top w:val="single" w:color="000000" w:sz="4" w:space="0"/>
              <w:left w:val="single" w:color="000000" w:sz="4" w:space="0"/>
              <w:bottom w:val="single" w:color="000000" w:sz="4" w:space="0"/>
              <w:right w:val="single" w:color="000000" w:sz="4" w:space="0"/>
            </w:tcBorders>
            <w:noWrap/>
            <w:vAlign w:val="center"/>
          </w:tcPr>
          <w:p w14:paraId="37954CD4">
            <w:pPr>
              <w:jc w:val="center"/>
              <w:rPr>
                <w:rFonts w:hint="eastAsia" w:ascii="宋体" w:hAnsi="宋体" w:eastAsia="宋体" w:cs="宋体"/>
                <w:b w:val="0"/>
                <w:bCs w:val="0"/>
                <w:i w:val="0"/>
                <w:iCs w:val="0"/>
                <w:color w:val="auto"/>
                <w:sz w:val="28"/>
                <w:szCs w:val="28"/>
                <w:highlight w:val="none"/>
                <w:u w:val="none"/>
              </w:rPr>
            </w:pPr>
          </w:p>
        </w:tc>
        <w:tc>
          <w:tcPr>
            <w:tcW w:w="17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0CA3B4">
            <w:pPr>
              <w:jc w:val="center"/>
              <w:rPr>
                <w:rFonts w:hint="eastAsia" w:ascii="宋体" w:hAnsi="宋体" w:eastAsia="宋体" w:cs="宋体"/>
                <w:b w:val="0"/>
                <w:bCs w:val="0"/>
                <w:i w:val="0"/>
                <w:iCs w:val="0"/>
                <w:color w:val="auto"/>
                <w:sz w:val="24"/>
                <w:szCs w:val="24"/>
                <w:highlight w:val="none"/>
                <w:u w:val="none"/>
              </w:rPr>
            </w:pPr>
          </w:p>
        </w:tc>
        <w:tc>
          <w:tcPr>
            <w:tcW w:w="44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DF8D17">
            <w:pPr>
              <w:jc w:val="left"/>
              <w:rPr>
                <w:rFonts w:hint="eastAsia" w:ascii="宋体" w:hAnsi="宋体" w:eastAsia="宋体" w:cs="宋体"/>
                <w:b w:val="0"/>
                <w:bCs w:val="0"/>
                <w:i w:val="0"/>
                <w:iCs w:val="0"/>
                <w:color w:val="auto"/>
                <w:sz w:val="24"/>
                <w:szCs w:val="24"/>
                <w:highlight w:val="none"/>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ign w:val="center"/>
          </w:tcPr>
          <w:p w14:paraId="034D8FBA">
            <w:pPr>
              <w:jc w:val="center"/>
              <w:rPr>
                <w:rFonts w:hint="eastAsia" w:ascii="宋体" w:hAnsi="宋体" w:eastAsia="宋体" w:cs="宋体"/>
                <w:b w:val="0"/>
                <w:bCs w:val="0"/>
                <w:i w:val="0"/>
                <w:iCs w:val="0"/>
                <w:color w:val="auto"/>
                <w:sz w:val="28"/>
                <w:szCs w:val="28"/>
                <w:highlight w:val="none"/>
                <w:u w:val="none"/>
              </w:rPr>
            </w:pPr>
          </w:p>
        </w:tc>
        <w:tc>
          <w:tcPr>
            <w:tcW w:w="625" w:type="dxa"/>
            <w:vMerge w:val="continue"/>
            <w:tcBorders>
              <w:top w:val="single" w:color="000000" w:sz="4" w:space="0"/>
              <w:left w:val="single" w:color="000000" w:sz="4" w:space="0"/>
              <w:bottom w:val="single" w:color="000000" w:sz="4" w:space="0"/>
              <w:right w:val="single" w:color="000000" w:sz="4" w:space="0"/>
            </w:tcBorders>
            <w:noWrap/>
            <w:vAlign w:val="center"/>
          </w:tcPr>
          <w:p w14:paraId="401FE20C">
            <w:pPr>
              <w:jc w:val="center"/>
              <w:rPr>
                <w:rFonts w:hint="eastAsia" w:ascii="宋体" w:hAnsi="宋体" w:eastAsia="宋体" w:cs="宋体"/>
                <w:b w:val="0"/>
                <w:bCs w:val="0"/>
                <w:i w:val="0"/>
                <w:iCs w:val="0"/>
                <w:color w:val="auto"/>
                <w:sz w:val="28"/>
                <w:szCs w:val="28"/>
                <w:highlight w:val="none"/>
                <w:u w:val="none"/>
              </w:rPr>
            </w:pPr>
          </w:p>
        </w:tc>
        <w:tc>
          <w:tcPr>
            <w:tcW w:w="772" w:type="dxa"/>
            <w:vMerge w:val="continue"/>
            <w:tcBorders>
              <w:top w:val="single" w:color="000000" w:sz="4" w:space="0"/>
              <w:left w:val="single" w:color="000000" w:sz="4" w:space="0"/>
              <w:bottom w:val="single" w:color="000000" w:sz="4" w:space="0"/>
              <w:right w:val="single" w:color="000000" w:sz="4" w:space="0"/>
            </w:tcBorders>
            <w:noWrap/>
            <w:vAlign w:val="center"/>
          </w:tcPr>
          <w:p w14:paraId="46260D88">
            <w:pPr>
              <w:jc w:val="center"/>
              <w:rPr>
                <w:rFonts w:hint="eastAsia" w:ascii="宋体" w:hAnsi="宋体" w:eastAsia="宋体" w:cs="宋体"/>
                <w:b w:val="0"/>
                <w:bCs w:val="0"/>
                <w:i w:val="0"/>
                <w:iCs w:val="0"/>
                <w:color w:val="auto"/>
                <w:sz w:val="28"/>
                <w:szCs w:val="28"/>
                <w:highlight w:val="none"/>
                <w:u w:val="none"/>
              </w:rPr>
            </w:pPr>
          </w:p>
        </w:tc>
      </w:tr>
      <w:tr w14:paraId="045E8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31" w:type="dxa"/>
            <w:vMerge w:val="continue"/>
            <w:tcBorders>
              <w:top w:val="single" w:color="000000" w:sz="4" w:space="0"/>
              <w:left w:val="single" w:color="000000" w:sz="4" w:space="0"/>
              <w:bottom w:val="single" w:color="000000" w:sz="4" w:space="0"/>
              <w:right w:val="single" w:color="000000" w:sz="4" w:space="0"/>
            </w:tcBorders>
            <w:noWrap/>
            <w:vAlign w:val="center"/>
          </w:tcPr>
          <w:p w14:paraId="26D7FF06">
            <w:pPr>
              <w:jc w:val="center"/>
              <w:rPr>
                <w:rFonts w:hint="eastAsia" w:ascii="宋体" w:hAnsi="宋体" w:eastAsia="宋体" w:cs="宋体"/>
                <w:b w:val="0"/>
                <w:bCs w:val="0"/>
                <w:i w:val="0"/>
                <w:iCs w:val="0"/>
                <w:color w:val="auto"/>
                <w:sz w:val="28"/>
                <w:szCs w:val="28"/>
                <w:highlight w:val="none"/>
                <w:u w:val="none"/>
              </w:rPr>
            </w:pPr>
          </w:p>
        </w:tc>
        <w:tc>
          <w:tcPr>
            <w:tcW w:w="531" w:type="dxa"/>
            <w:vMerge w:val="continue"/>
            <w:tcBorders>
              <w:top w:val="single" w:color="000000" w:sz="4" w:space="0"/>
              <w:left w:val="single" w:color="000000" w:sz="4" w:space="0"/>
              <w:bottom w:val="single" w:color="000000" w:sz="4" w:space="0"/>
              <w:right w:val="single" w:color="000000" w:sz="4" w:space="0"/>
            </w:tcBorders>
            <w:noWrap/>
            <w:vAlign w:val="center"/>
          </w:tcPr>
          <w:p w14:paraId="63244729">
            <w:pPr>
              <w:jc w:val="center"/>
              <w:rPr>
                <w:rFonts w:hint="eastAsia" w:ascii="宋体" w:hAnsi="宋体" w:eastAsia="宋体" w:cs="宋体"/>
                <w:b w:val="0"/>
                <w:bCs w:val="0"/>
                <w:i w:val="0"/>
                <w:iCs w:val="0"/>
                <w:color w:val="auto"/>
                <w:sz w:val="28"/>
                <w:szCs w:val="28"/>
                <w:highlight w:val="none"/>
                <w:u w:val="none"/>
              </w:rPr>
            </w:pPr>
          </w:p>
        </w:tc>
        <w:tc>
          <w:tcPr>
            <w:tcW w:w="17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5723F9">
            <w:pPr>
              <w:jc w:val="center"/>
              <w:rPr>
                <w:rFonts w:hint="eastAsia" w:ascii="宋体" w:hAnsi="宋体" w:eastAsia="宋体" w:cs="宋体"/>
                <w:b w:val="0"/>
                <w:bCs w:val="0"/>
                <w:i w:val="0"/>
                <w:iCs w:val="0"/>
                <w:color w:val="auto"/>
                <w:sz w:val="24"/>
                <w:szCs w:val="24"/>
                <w:highlight w:val="none"/>
                <w:u w:val="none"/>
              </w:rPr>
            </w:pPr>
          </w:p>
        </w:tc>
        <w:tc>
          <w:tcPr>
            <w:tcW w:w="44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C392E9">
            <w:pPr>
              <w:jc w:val="left"/>
              <w:rPr>
                <w:rFonts w:hint="eastAsia" w:ascii="宋体" w:hAnsi="宋体" w:eastAsia="宋体" w:cs="宋体"/>
                <w:b w:val="0"/>
                <w:bCs w:val="0"/>
                <w:i w:val="0"/>
                <w:iCs w:val="0"/>
                <w:color w:val="auto"/>
                <w:sz w:val="24"/>
                <w:szCs w:val="24"/>
                <w:highlight w:val="none"/>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ign w:val="center"/>
          </w:tcPr>
          <w:p w14:paraId="083B6FBC">
            <w:pPr>
              <w:jc w:val="center"/>
              <w:rPr>
                <w:rFonts w:hint="eastAsia" w:ascii="宋体" w:hAnsi="宋体" w:eastAsia="宋体" w:cs="宋体"/>
                <w:b w:val="0"/>
                <w:bCs w:val="0"/>
                <w:i w:val="0"/>
                <w:iCs w:val="0"/>
                <w:color w:val="auto"/>
                <w:sz w:val="28"/>
                <w:szCs w:val="28"/>
                <w:highlight w:val="none"/>
                <w:u w:val="none"/>
              </w:rPr>
            </w:pPr>
          </w:p>
        </w:tc>
        <w:tc>
          <w:tcPr>
            <w:tcW w:w="625" w:type="dxa"/>
            <w:vMerge w:val="continue"/>
            <w:tcBorders>
              <w:top w:val="single" w:color="000000" w:sz="4" w:space="0"/>
              <w:left w:val="single" w:color="000000" w:sz="4" w:space="0"/>
              <w:bottom w:val="single" w:color="000000" w:sz="4" w:space="0"/>
              <w:right w:val="single" w:color="000000" w:sz="4" w:space="0"/>
            </w:tcBorders>
            <w:noWrap/>
            <w:vAlign w:val="center"/>
          </w:tcPr>
          <w:p w14:paraId="27703EC2">
            <w:pPr>
              <w:jc w:val="center"/>
              <w:rPr>
                <w:rFonts w:hint="eastAsia" w:ascii="宋体" w:hAnsi="宋体" w:eastAsia="宋体" w:cs="宋体"/>
                <w:b w:val="0"/>
                <w:bCs w:val="0"/>
                <w:i w:val="0"/>
                <w:iCs w:val="0"/>
                <w:color w:val="auto"/>
                <w:sz w:val="28"/>
                <w:szCs w:val="28"/>
                <w:highlight w:val="none"/>
                <w:u w:val="none"/>
              </w:rPr>
            </w:pPr>
          </w:p>
        </w:tc>
        <w:tc>
          <w:tcPr>
            <w:tcW w:w="772" w:type="dxa"/>
            <w:vMerge w:val="continue"/>
            <w:tcBorders>
              <w:top w:val="single" w:color="000000" w:sz="4" w:space="0"/>
              <w:left w:val="single" w:color="000000" w:sz="4" w:space="0"/>
              <w:bottom w:val="single" w:color="000000" w:sz="4" w:space="0"/>
              <w:right w:val="single" w:color="000000" w:sz="4" w:space="0"/>
            </w:tcBorders>
            <w:noWrap/>
            <w:vAlign w:val="center"/>
          </w:tcPr>
          <w:p w14:paraId="1F3FE85B">
            <w:pPr>
              <w:jc w:val="center"/>
              <w:rPr>
                <w:rFonts w:hint="eastAsia" w:ascii="宋体" w:hAnsi="宋体" w:eastAsia="宋体" w:cs="宋体"/>
                <w:b w:val="0"/>
                <w:bCs w:val="0"/>
                <w:i w:val="0"/>
                <w:iCs w:val="0"/>
                <w:color w:val="auto"/>
                <w:sz w:val="28"/>
                <w:szCs w:val="28"/>
                <w:highlight w:val="none"/>
                <w:u w:val="none"/>
              </w:rPr>
            </w:pPr>
          </w:p>
        </w:tc>
      </w:tr>
      <w:tr w14:paraId="3244A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31" w:type="dxa"/>
            <w:vMerge w:val="continue"/>
            <w:tcBorders>
              <w:top w:val="single" w:color="000000" w:sz="4" w:space="0"/>
              <w:left w:val="single" w:color="000000" w:sz="4" w:space="0"/>
              <w:bottom w:val="single" w:color="000000" w:sz="4" w:space="0"/>
              <w:right w:val="single" w:color="000000" w:sz="4" w:space="0"/>
            </w:tcBorders>
            <w:noWrap/>
            <w:vAlign w:val="center"/>
          </w:tcPr>
          <w:p w14:paraId="6FF037CC">
            <w:pPr>
              <w:jc w:val="center"/>
              <w:rPr>
                <w:rFonts w:hint="eastAsia" w:ascii="宋体" w:hAnsi="宋体" w:eastAsia="宋体" w:cs="宋体"/>
                <w:b w:val="0"/>
                <w:bCs w:val="0"/>
                <w:i w:val="0"/>
                <w:iCs w:val="0"/>
                <w:color w:val="auto"/>
                <w:sz w:val="28"/>
                <w:szCs w:val="28"/>
                <w:highlight w:val="none"/>
                <w:u w:val="none"/>
              </w:rPr>
            </w:pPr>
          </w:p>
        </w:tc>
        <w:tc>
          <w:tcPr>
            <w:tcW w:w="531" w:type="dxa"/>
            <w:vMerge w:val="continue"/>
            <w:tcBorders>
              <w:top w:val="single" w:color="000000" w:sz="4" w:space="0"/>
              <w:left w:val="single" w:color="000000" w:sz="4" w:space="0"/>
              <w:bottom w:val="single" w:color="000000" w:sz="4" w:space="0"/>
              <w:right w:val="single" w:color="000000" w:sz="4" w:space="0"/>
            </w:tcBorders>
            <w:noWrap/>
            <w:vAlign w:val="center"/>
          </w:tcPr>
          <w:p w14:paraId="40C12B95">
            <w:pPr>
              <w:jc w:val="center"/>
              <w:rPr>
                <w:rFonts w:hint="eastAsia" w:ascii="宋体" w:hAnsi="宋体" w:eastAsia="宋体" w:cs="宋体"/>
                <w:b w:val="0"/>
                <w:bCs w:val="0"/>
                <w:i w:val="0"/>
                <w:iCs w:val="0"/>
                <w:color w:val="auto"/>
                <w:sz w:val="28"/>
                <w:szCs w:val="28"/>
                <w:highlight w:val="none"/>
                <w:u w:val="none"/>
              </w:rPr>
            </w:pPr>
          </w:p>
        </w:tc>
        <w:tc>
          <w:tcPr>
            <w:tcW w:w="17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B3C4D0">
            <w:pPr>
              <w:jc w:val="center"/>
              <w:rPr>
                <w:rFonts w:hint="eastAsia" w:ascii="宋体" w:hAnsi="宋体" w:eastAsia="宋体" w:cs="宋体"/>
                <w:b w:val="0"/>
                <w:bCs w:val="0"/>
                <w:i w:val="0"/>
                <w:iCs w:val="0"/>
                <w:color w:val="auto"/>
                <w:sz w:val="24"/>
                <w:szCs w:val="24"/>
                <w:highlight w:val="none"/>
                <w:u w:val="none"/>
              </w:rPr>
            </w:pPr>
          </w:p>
        </w:tc>
        <w:tc>
          <w:tcPr>
            <w:tcW w:w="44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CF25B4">
            <w:pPr>
              <w:jc w:val="left"/>
              <w:rPr>
                <w:rFonts w:hint="eastAsia" w:ascii="宋体" w:hAnsi="宋体" w:eastAsia="宋体" w:cs="宋体"/>
                <w:b w:val="0"/>
                <w:bCs w:val="0"/>
                <w:i w:val="0"/>
                <w:iCs w:val="0"/>
                <w:color w:val="auto"/>
                <w:sz w:val="24"/>
                <w:szCs w:val="24"/>
                <w:highlight w:val="none"/>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ign w:val="center"/>
          </w:tcPr>
          <w:p w14:paraId="70BF44CB">
            <w:pPr>
              <w:jc w:val="center"/>
              <w:rPr>
                <w:rFonts w:hint="eastAsia" w:ascii="宋体" w:hAnsi="宋体" w:eastAsia="宋体" w:cs="宋体"/>
                <w:b w:val="0"/>
                <w:bCs w:val="0"/>
                <w:i w:val="0"/>
                <w:iCs w:val="0"/>
                <w:color w:val="auto"/>
                <w:sz w:val="28"/>
                <w:szCs w:val="28"/>
                <w:highlight w:val="none"/>
                <w:u w:val="none"/>
              </w:rPr>
            </w:pPr>
          </w:p>
        </w:tc>
        <w:tc>
          <w:tcPr>
            <w:tcW w:w="625" w:type="dxa"/>
            <w:vMerge w:val="continue"/>
            <w:tcBorders>
              <w:top w:val="single" w:color="000000" w:sz="4" w:space="0"/>
              <w:left w:val="single" w:color="000000" w:sz="4" w:space="0"/>
              <w:bottom w:val="single" w:color="000000" w:sz="4" w:space="0"/>
              <w:right w:val="single" w:color="000000" w:sz="4" w:space="0"/>
            </w:tcBorders>
            <w:noWrap/>
            <w:vAlign w:val="center"/>
          </w:tcPr>
          <w:p w14:paraId="683E0D78">
            <w:pPr>
              <w:jc w:val="center"/>
              <w:rPr>
                <w:rFonts w:hint="eastAsia" w:ascii="宋体" w:hAnsi="宋体" w:eastAsia="宋体" w:cs="宋体"/>
                <w:b w:val="0"/>
                <w:bCs w:val="0"/>
                <w:i w:val="0"/>
                <w:iCs w:val="0"/>
                <w:color w:val="auto"/>
                <w:sz w:val="28"/>
                <w:szCs w:val="28"/>
                <w:highlight w:val="none"/>
                <w:u w:val="none"/>
              </w:rPr>
            </w:pPr>
          </w:p>
        </w:tc>
        <w:tc>
          <w:tcPr>
            <w:tcW w:w="772" w:type="dxa"/>
            <w:vMerge w:val="continue"/>
            <w:tcBorders>
              <w:top w:val="single" w:color="000000" w:sz="4" w:space="0"/>
              <w:left w:val="single" w:color="000000" w:sz="4" w:space="0"/>
              <w:bottom w:val="single" w:color="000000" w:sz="4" w:space="0"/>
              <w:right w:val="single" w:color="000000" w:sz="4" w:space="0"/>
            </w:tcBorders>
            <w:noWrap/>
            <w:vAlign w:val="center"/>
          </w:tcPr>
          <w:p w14:paraId="5950A73C">
            <w:pPr>
              <w:jc w:val="center"/>
              <w:rPr>
                <w:rFonts w:hint="eastAsia" w:ascii="宋体" w:hAnsi="宋体" w:eastAsia="宋体" w:cs="宋体"/>
                <w:b w:val="0"/>
                <w:bCs w:val="0"/>
                <w:i w:val="0"/>
                <w:iCs w:val="0"/>
                <w:color w:val="auto"/>
                <w:sz w:val="28"/>
                <w:szCs w:val="28"/>
                <w:highlight w:val="none"/>
                <w:u w:val="none"/>
              </w:rPr>
            </w:pPr>
          </w:p>
        </w:tc>
      </w:tr>
      <w:tr w14:paraId="13DFB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31" w:type="dxa"/>
            <w:vMerge w:val="continue"/>
            <w:tcBorders>
              <w:top w:val="single" w:color="000000" w:sz="4" w:space="0"/>
              <w:left w:val="single" w:color="000000" w:sz="4" w:space="0"/>
              <w:bottom w:val="single" w:color="000000" w:sz="4" w:space="0"/>
              <w:right w:val="single" w:color="000000" w:sz="4" w:space="0"/>
            </w:tcBorders>
            <w:noWrap/>
            <w:vAlign w:val="center"/>
          </w:tcPr>
          <w:p w14:paraId="4D78BF80">
            <w:pPr>
              <w:jc w:val="center"/>
              <w:rPr>
                <w:rFonts w:hint="eastAsia" w:ascii="宋体" w:hAnsi="宋体" w:eastAsia="宋体" w:cs="宋体"/>
                <w:b w:val="0"/>
                <w:bCs w:val="0"/>
                <w:i w:val="0"/>
                <w:iCs w:val="0"/>
                <w:color w:val="auto"/>
                <w:sz w:val="28"/>
                <w:szCs w:val="28"/>
                <w:highlight w:val="none"/>
                <w:u w:val="none"/>
              </w:rPr>
            </w:pPr>
          </w:p>
        </w:tc>
        <w:tc>
          <w:tcPr>
            <w:tcW w:w="531" w:type="dxa"/>
            <w:vMerge w:val="continue"/>
            <w:tcBorders>
              <w:top w:val="single" w:color="000000" w:sz="4" w:space="0"/>
              <w:left w:val="single" w:color="000000" w:sz="4" w:space="0"/>
              <w:bottom w:val="single" w:color="000000" w:sz="4" w:space="0"/>
              <w:right w:val="single" w:color="000000" w:sz="4" w:space="0"/>
            </w:tcBorders>
            <w:noWrap/>
            <w:vAlign w:val="center"/>
          </w:tcPr>
          <w:p w14:paraId="397A1F95">
            <w:pPr>
              <w:jc w:val="center"/>
              <w:rPr>
                <w:rFonts w:hint="eastAsia" w:ascii="宋体" w:hAnsi="宋体" w:eastAsia="宋体" w:cs="宋体"/>
                <w:b w:val="0"/>
                <w:bCs w:val="0"/>
                <w:i w:val="0"/>
                <w:iCs w:val="0"/>
                <w:color w:val="auto"/>
                <w:sz w:val="28"/>
                <w:szCs w:val="28"/>
                <w:highlight w:val="none"/>
                <w:u w:val="none"/>
              </w:rPr>
            </w:pPr>
          </w:p>
        </w:tc>
        <w:tc>
          <w:tcPr>
            <w:tcW w:w="17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8AC5E8">
            <w:pPr>
              <w:jc w:val="center"/>
              <w:rPr>
                <w:rFonts w:hint="eastAsia" w:ascii="宋体" w:hAnsi="宋体" w:eastAsia="宋体" w:cs="宋体"/>
                <w:b w:val="0"/>
                <w:bCs w:val="0"/>
                <w:i w:val="0"/>
                <w:iCs w:val="0"/>
                <w:color w:val="auto"/>
                <w:sz w:val="24"/>
                <w:szCs w:val="24"/>
                <w:highlight w:val="none"/>
                <w:u w:val="none"/>
              </w:rPr>
            </w:pPr>
          </w:p>
        </w:tc>
        <w:tc>
          <w:tcPr>
            <w:tcW w:w="44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C67C65">
            <w:pPr>
              <w:jc w:val="left"/>
              <w:rPr>
                <w:rFonts w:hint="eastAsia" w:ascii="宋体" w:hAnsi="宋体" w:eastAsia="宋体" w:cs="宋体"/>
                <w:b w:val="0"/>
                <w:bCs w:val="0"/>
                <w:i w:val="0"/>
                <w:iCs w:val="0"/>
                <w:color w:val="auto"/>
                <w:sz w:val="24"/>
                <w:szCs w:val="24"/>
                <w:highlight w:val="none"/>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ign w:val="center"/>
          </w:tcPr>
          <w:p w14:paraId="0EFC7566">
            <w:pPr>
              <w:jc w:val="center"/>
              <w:rPr>
                <w:rFonts w:hint="eastAsia" w:ascii="宋体" w:hAnsi="宋体" w:eastAsia="宋体" w:cs="宋体"/>
                <w:b w:val="0"/>
                <w:bCs w:val="0"/>
                <w:i w:val="0"/>
                <w:iCs w:val="0"/>
                <w:color w:val="auto"/>
                <w:sz w:val="28"/>
                <w:szCs w:val="28"/>
                <w:highlight w:val="none"/>
                <w:u w:val="none"/>
              </w:rPr>
            </w:pPr>
          </w:p>
        </w:tc>
        <w:tc>
          <w:tcPr>
            <w:tcW w:w="625" w:type="dxa"/>
            <w:vMerge w:val="continue"/>
            <w:tcBorders>
              <w:top w:val="single" w:color="000000" w:sz="4" w:space="0"/>
              <w:left w:val="single" w:color="000000" w:sz="4" w:space="0"/>
              <w:bottom w:val="single" w:color="000000" w:sz="4" w:space="0"/>
              <w:right w:val="single" w:color="000000" w:sz="4" w:space="0"/>
            </w:tcBorders>
            <w:noWrap/>
            <w:vAlign w:val="center"/>
          </w:tcPr>
          <w:p w14:paraId="1520EE04">
            <w:pPr>
              <w:jc w:val="center"/>
              <w:rPr>
                <w:rFonts w:hint="eastAsia" w:ascii="宋体" w:hAnsi="宋体" w:eastAsia="宋体" w:cs="宋体"/>
                <w:b w:val="0"/>
                <w:bCs w:val="0"/>
                <w:i w:val="0"/>
                <w:iCs w:val="0"/>
                <w:color w:val="auto"/>
                <w:sz w:val="28"/>
                <w:szCs w:val="28"/>
                <w:highlight w:val="none"/>
                <w:u w:val="none"/>
              </w:rPr>
            </w:pPr>
          </w:p>
        </w:tc>
        <w:tc>
          <w:tcPr>
            <w:tcW w:w="772" w:type="dxa"/>
            <w:vMerge w:val="continue"/>
            <w:tcBorders>
              <w:top w:val="single" w:color="000000" w:sz="4" w:space="0"/>
              <w:left w:val="single" w:color="000000" w:sz="4" w:space="0"/>
              <w:bottom w:val="single" w:color="000000" w:sz="4" w:space="0"/>
              <w:right w:val="single" w:color="000000" w:sz="4" w:space="0"/>
            </w:tcBorders>
            <w:noWrap/>
            <w:vAlign w:val="center"/>
          </w:tcPr>
          <w:p w14:paraId="05C7D230">
            <w:pPr>
              <w:jc w:val="center"/>
              <w:rPr>
                <w:rFonts w:hint="eastAsia" w:ascii="宋体" w:hAnsi="宋体" w:eastAsia="宋体" w:cs="宋体"/>
                <w:b w:val="0"/>
                <w:bCs w:val="0"/>
                <w:i w:val="0"/>
                <w:iCs w:val="0"/>
                <w:color w:val="auto"/>
                <w:sz w:val="28"/>
                <w:szCs w:val="28"/>
                <w:highlight w:val="none"/>
                <w:u w:val="none"/>
              </w:rPr>
            </w:pPr>
          </w:p>
        </w:tc>
      </w:tr>
      <w:tr w14:paraId="05BAF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31" w:type="dxa"/>
            <w:vMerge w:val="continue"/>
            <w:tcBorders>
              <w:top w:val="single" w:color="000000" w:sz="4" w:space="0"/>
              <w:left w:val="single" w:color="000000" w:sz="4" w:space="0"/>
              <w:bottom w:val="single" w:color="000000" w:sz="4" w:space="0"/>
              <w:right w:val="single" w:color="000000" w:sz="4" w:space="0"/>
            </w:tcBorders>
            <w:noWrap/>
            <w:vAlign w:val="center"/>
          </w:tcPr>
          <w:p w14:paraId="6886C115">
            <w:pPr>
              <w:jc w:val="center"/>
              <w:rPr>
                <w:rFonts w:hint="eastAsia" w:ascii="宋体" w:hAnsi="宋体" w:eastAsia="宋体" w:cs="宋体"/>
                <w:b w:val="0"/>
                <w:bCs w:val="0"/>
                <w:i w:val="0"/>
                <w:iCs w:val="0"/>
                <w:color w:val="auto"/>
                <w:sz w:val="28"/>
                <w:szCs w:val="28"/>
                <w:highlight w:val="none"/>
                <w:u w:val="none"/>
              </w:rPr>
            </w:pPr>
          </w:p>
        </w:tc>
        <w:tc>
          <w:tcPr>
            <w:tcW w:w="531" w:type="dxa"/>
            <w:vMerge w:val="continue"/>
            <w:tcBorders>
              <w:top w:val="single" w:color="000000" w:sz="4" w:space="0"/>
              <w:left w:val="single" w:color="000000" w:sz="4" w:space="0"/>
              <w:bottom w:val="single" w:color="000000" w:sz="4" w:space="0"/>
              <w:right w:val="single" w:color="000000" w:sz="4" w:space="0"/>
            </w:tcBorders>
            <w:noWrap/>
            <w:vAlign w:val="center"/>
          </w:tcPr>
          <w:p w14:paraId="324412A7">
            <w:pPr>
              <w:jc w:val="center"/>
              <w:rPr>
                <w:rFonts w:hint="eastAsia" w:ascii="宋体" w:hAnsi="宋体" w:eastAsia="宋体" w:cs="宋体"/>
                <w:b w:val="0"/>
                <w:bCs w:val="0"/>
                <w:i w:val="0"/>
                <w:iCs w:val="0"/>
                <w:color w:val="auto"/>
                <w:sz w:val="28"/>
                <w:szCs w:val="28"/>
                <w:highlight w:val="none"/>
                <w:u w:val="none"/>
              </w:rPr>
            </w:pPr>
          </w:p>
        </w:tc>
        <w:tc>
          <w:tcPr>
            <w:tcW w:w="17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EB6A36">
            <w:pPr>
              <w:jc w:val="center"/>
              <w:rPr>
                <w:rFonts w:hint="eastAsia" w:ascii="宋体" w:hAnsi="宋体" w:eastAsia="宋体" w:cs="宋体"/>
                <w:b w:val="0"/>
                <w:bCs w:val="0"/>
                <w:i w:val="0"/>
                <w:iCs w:val="0"/>
                <w:color w:val="auto"/>
                <w:sz w:val="24"/>
                <w:szCs w:val="24"/>
                <w:highlight w:val="none"/>
                <w:u w:val="none"/>
              </w:rPr>
            </w:pPr>
          </w:p>
        </w:tc>
        <w:tc>
          <w:tcPr>
            <w:tcW w:w="44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92977F">
            <w:pPr>
              <w:jc w:val="left"/>
              <w:rPr>
                <w:rFonts w:hint="eastAsia" w:ascii="宋体" w:hAnsi="宋体" w:eastAsia="宋体" w:cs="宋体"/>
                <w:b w:val="0"/>
                <w:bCs w:val="0"/>
                <w:i w:val="0"/>
                <w:iCs w:val="0"/>
                <w:color w:val="auto"/>
                <w:sz w:val="24"/>
                <w:szCs w:val="24"/>
                <w:highlight w:val="none"/>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ign w:val="center"/>
          </w:tcPr>
          <w:p w14:paraId="2ADCFE0E">
            <w:pPr>
              <w:jc w:val="center"/>
              <w:rPr>
                <w:rFonts w:hint="eastAsia" w:ascii="宋体" w:hAnsi="宋体" w:eastAsia="宋体" w:cs="宋体"/>
                <w:b w:val="0"/>
                <w:bCs w:val="0"/>
                <w:i w:val="0"/>
                <w:iCs w:val="0"/>
                <w:color w:val="auto"/>
                <w:sz w:val="28"/>
                <w:szCs w:val="28"/>
                <w:highlight w:val="none"/>
                <w:u w:val="none"/>
              </w:rPr>
            </w:pPr>
          </w:p>
        </w:tc>
        <w:tc>
          <w:tcPr>
            <w:tcW w:w="625" w:type="dxa"/>
            <w:vMerge w:val="continue"/>
            <w:tcBorders>
              <w:top w:val="single" w:color="000000" w:sz="4" w:space="0"/>
              <w:left w:val="single" w:color="000000" w:sz="4" w:space="0"/>
              <w:bottom w:val="single" w:color="000000" w:sz="4" w:space="0"/>
              <w:right w:val="single" w:color="000000" w:sz="4" w:space="0"/>
            </w:tcBorders>
            <w:noWrap/>
            <w:vAlign w:val="center"/>
          </w:tcPr>
          <w:p w14:paraId="0C21CE26">
            <w:pPr>
              <w:jc w:val="center"/>
              <w:rPr>
                <w:rFonts w:hint="eastAsia" w:ascii="宋体" w:hAnsi="宋体" w:eastAsia="宋体" w:cs="宋体"/>
                <w:b w:val="0"/>
                <w:bCs w:val="0"/>
                <w:i w:val="0"/>
                <w:iCs w:val="0"/>
                <w:color w:val="auto"/>
                <w:sz w:val="28"/>
                <w:szCs w:val="28"/>
                <w:highlight w:val="none"/>
                <w:u w:val="none"/>
              </w:rPr>
            </w:pPr>
          </w:p>
        </w:tc>
        <w:tc>
          <w:tcPr>
            <w:tcW w:w="772" w:type="dxa"/>
            <w:vMerge w:val="continue"/>
            <w:tcBorders>
              <w:top w:val="single" w:color="000000" w:sz="4" w:space="0"/>
              <w:left w:val="single" w:color="000000" w:sz="4" w:space="0"/>
              <w:bottom w:val="single" w:color="000000" w:sz="4" w:space="0"/>
              <w:right w:val="single" w:color="000000" w:sz="4" w:space="0"/>
            </w:tcBorders>
            <w:noWrap/>
            <w:vAlign w:val="center"/>
          </w:tcPr>
          <w:p w14:paraId="4175402C">
            <w:pPr>
              <w:jc w:val="center"/>
              <w:rPr>
                <w:rFonts w:hint="eastAsia" w:ascii="宋体" w:hAnsi="宋体" w:eastAsia="宋体" w:cs="宋体"/>
                <w:b w:val="0"/>
                <w:bCs w:val="0"/>
                <w:i w:val="0"/>
                <w:iCs w:val="0"/>
                <w:color w:val="auto"/>
                <w:sz w:val="28"/>
                <w:szCs w:val="28"/>
                <w:highlight w:val="none"/>
                <w:u w:val="none"/>
              </w:rPr>
            </w:pPr>
          </w:p>
        </w:tc>
      </w:tr>
      <w:tr w14:paraId="0E139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31" w:type="dxa"/>
            <w:vMerge w:val="continue"/>
            <w:tcBorders>
              <w:top w:val="single" w:color="000000" w:sz="4" w:space="0"/>
              <w:left w:val="single" w:color="000000" w:sz="4" w:space="0"/>
              <w:bottom w:val="single" w:color="000000" w:sz="4" w:space="0"/>
              <w:right w:val="single" w:color="000000" w:sz="4" w:space="0"/>
            </w:tcBorders>
            <w:noWrap/>
            <w:vAlign w:val="center"/>
          </w:tcPr>
          <w:p w14:paraId="749603C0">
            <w:pPr>
              <w:jc w:val="center"/>
              <w:rPr>
                <w:rFonts w:hint="eastAsia" w:ascii="宋体" w:hAnsi="宋体" w:eastAsia="宋体" w:cs="宋体"/>
                <w:b w:val="0"/>
                <w:bCs w:val="0"/>
                <w:i w:val="0"/>
                <w:iCs w:val="0"/>
                <w:color w:val="auto"/>
                <w:sz w:val="28"/>
                <w:szCs w:val="28"/>
                <w:highlight w:val="none"/>
                <w:u w:val="none"/>
              </w:rPr>
            </w:pPr>
          </w:p>
        </w:tc>
        <w:tc>
          <w:tcPr>
            <w:tcW w:w="531" w:type="dxa"/>
            <w:vMerge w:val="continue"/>
            <w:tcBorders>
              <w:top w:val="single" w:color="000000" w:sz="4" w:space="0"/>
              <w:left w:val="single" w:color="000000" w:sz="4" w:space="0"/>
              <w:bottom w:val="single" w:color="000000" w:sz="4" w:space="0"/>
              <w:right w:val="single" w:color="000000" w:sz="4" w:space="0"/>
            </w:tcBorders>
            <w:noWrap/>
            <w:vAlign w:val="center"/>
          </w:tcPr>
          <w:p w14:paraId="468F732B">
            <w:pPr>
              <w:jc w:val="center"/>
              <w:rPr>
                <w:rFonts w:hint="eastAsia" w:ascii="宋体" w:hAnsi="宋体" w:eastAsia="宋体" w:cs="宋体"/>
                <w:b w:val="0"/>
                <w:bCs w:val="0"/>
                <w:i w:val="0"/>
                <w:iCs w:val="0"/>
                <w:color w:val="auto"/>
                <w:sz w:val="28"/>
                <w:szCs w:val="28"/>
                <w:highlight w:val="none"/>
                <w:u w:val="none"/>
              </w:rPr>
            </w:pPr>
          </w:p>
        </w:tc>
        <w:tc>
          <w:tcPr>
            <w:tcW w:w="17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9C3112">
            <w:pPr>
              <w:jc w:val="center"/>
              <w:rPr>
                <w:rFonts w:hint="eastAsia" w:ascii="宋体" w:hAnsi="宋体" w:eastAsia="宋体" w:cs="宋体"/>
                <w:b w:val="0"/>
                <w:bCs w:val="0"/>
                <w:i w:val="0"/>
                <w:iCs w:val="0"/>
                <w:color w:val="auto"/>
                <w:sz w:val="24"/>
                <w:szCs w:val="24"/>
                <w:highlight w:val="none"/>
                <w:u w:val="none"/>
              </w:rPr>
            </w:pPr>
          </w:p>
        </w:tc>
        <w:tc>
          <w:tcPr>
            <w:tcW w:w="44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67EDCD">
            <w:pPr>
              <w:jc w:val="left"/>
              <w:rPr>
                <w:rFonts w:hint="eastAsia" w:ascii="宋体" w:hAnsi="宋体" w:eastAsia="宋体" w:cs="宋体"/>
                <w:b w:val="0"/>
                <w:bCs w:val="0"/>
                <w:i w:val="0"/>
                <w:iCs w:val="0"/>
                <w:color w:val="auto"/>
                <w:sz w:val="24"/>
                <w:szCs w:val="24"/>
                <w:highlight w:val="none"/>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ign w:val="center"/>
          </w:tcPr>
          <w:p w14:paraId="02BFA881">
            <w:pPr>
              <w:jc w:val="center"/>
              <w:rPr>
                <w:rFonts w:hint="eastAsia" w:ascii="宋体" w:hAnsi="宋体" w:eastAsia="宋体" w:cs="宋体"/>
                <w:b w:val="0"/>
                <w:bCs w:val="0"/>
                <w:i w:val="0"/>
                <w:iCs w:val="0"/>
                <w:color w:val="auto"/>
                <w:sz w:val="28"/>
                <w:szCs w:val="28"/>
                <w:highlight w:val="none"/>
                <w:u w:val="none"/>
              </w:rPr>
            </w:pPr>
          </w:p>
        </w:tc>
        <w:tc>
          <w:tcPr>
            <w:tcW w:w="625" w:type="dxa"/>
            <w:vMerge w:val="continue"/>
            <w:tcBorders>
              <w:top w:val="single" w:color="000000" w:sz="4" w:space="0"/>
              <w:left w:val="single" w:color="000000" w:sz="4" w:space="0"/>
              <w:bottom w:val="single" w:color="000000" w:sz="4" w:space="0"/>
              <w:right w:val="single" w:color="000000" w:sz="4" w:space="0"/>
            </w:tcBorders>
            <w:noWrap/>
            <w:vAlign w:val="center"/>
          </w:tcPr>
          <w:p w14:paraId="6E114143">
            <w:pPr>
              <w:jc w:val="center"/>
              <w:rPr>
                <w:rFonts w:hint="eastAsia" w:ascii="宋体" w:hAnsi="宋体" w:eastAsia="宋体" w:cs="宋体"/>
                <w:b w:val="0"/>
                <w:bCs w:val="0"/>
                <w:i w:val="0"/>
                <w:iCs w:val="0"/>
                <w:color w:val="auto"/>
                <w:sz w:val="28"/>
                <w:szCs w:val="28"/>
                <w:highlight w:val="none"/>
                <w:u w:val="none"/>
              </w:rPr>
            </w:pPr>
          </w:p>
        </w:tc>
        <w:tc>
          <w:tcPr>
            <w:tcW w:w="772" w:type="dxa"/>
            <w:vMerge w:val="continue"/>
            <w:tcBorders>
              <w:top w:val="single" w:color="000000" w:sz="4" w:space="0"/>
              <w:left w:val="single" w:color="000000" w:sz="4" w:space="0"/>
              <w:bottom w:val="single" w:color="000000" w:sz="4" w:space="0"/>
              <w:right w:val="single" w:color="000000" w:sz="4" w:space="0"/>
            </w:tcBorders>
            <w:noWrap/>
            <w:vAlign w:val="center"/>
          </w:tcPr>
          <w:p w14:paraId="1CECD7A0">
            <w:pPr>
              <w:jc w:val="center"/>
              <w:rPr>
                <w:rFonts w:hint="eastAsia" w:ascii="宋体" w:hAnsi="宋体" w:eastAsia="宋体" w:cs="宋体"/>
                <w:b w:val="0"/>
                <w:bCs w:val="0"/>
                <w:i w:val="0"/>
                <w:iCs w:val="0"/>
                <w:color w:val="auto"/>
                <w:sz w:val="28"/>
                <w:szCs w:val="28"/>
                <w:highlight w:val="none"/>
                <w:u w:val="none"/>
              </w:rPr>
            </w:pPr>
          </w:p>
        </w:tc>
      </w:tr>
      <w:tr w14:paraId="54E37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31" w:type="dxa"/>
            <w:vMerge w:val="continue"/>
            <w:tcBorders>
              <w:top w:val="single" w:color="000000" w:sz="4" w:space="0"/>
              <w:left w:val="single" w:color="000000" w:sz="4" w:space="0"/>
              <w:bottom w:val="single" w:color="000000" w:sz="4" w:space="0"/>
              <w:right w:val="single" w:color="000000" w:sz="4" w:space="0"/>
            </w:tcBorders>
            <w:noWrap/>
            <w:vAlign w:val="center"/>
          </w:tcPr>
          <w:p w14:paraId="38FD658A">
            <w:pPr>
              <w:jc w:val="center"/>
              <w:rPr>
                <w:rFonts w:hint="eastAsia" w:ascii="宋体" w:hAnsi="宋体" w:eastAsia="宋体" w:cs="宋体"/>
                <w:b w:val="0"/>
                <w:bCs w:val="0"/>
                <w:i w:val="0"/>
                <w:iCs w:val="0"/>
                <w:color w:val="auto"/>
                <w:sz w:val="28"/>
                <w:szCs w:val="28"/>
                <w:highlight w:val="none"/>
                <w:u w:val="none"/>
              </w:rPr>
            </w:pPr>
          </w:p>
        </w:tc>
        <w:tc>
          <w:tcPr>
            <w:tcW w:w="531" w:type="dxa"/>
            <w:vMerge w:val="continue"/>
            <w:tcBorders>
              <w:top w:val="single" w:color="000000" w:sz="4" w:space="0"/>
              <w:left w:val="single" w:color="000000" w:sz="4" w:space="0"/>
              <w:bottom w:val="single" w:color="000000" w:sz="4" w:space="0"/>
              <w:right w:val="single" w:color="000000" w:sz="4" w:space="0"/>
            </w:tcBorders>
            <w:noWrap/>
            <w:vAlign w:val="center"/>
          </w:tcPr>
          <w:p w14:paraId="28B5419C">
            <w:pPr>
              <w:jc w:val="center"/>
              <w:rPr>
                <w:rFonts w:hint="eastAsia" w:ascii="宋体" w:hAnsi="宋体" w:eastAsia="宋体" w:cs="宋体"/>
                <w:b w:val="0"/>
                <w:bCs w:val="0"/>
                <w:i w:val="0"/>
                <w:iCs w:val="0"/>
                <w:color w:val="auto"/>
                <w:sz w:val="28"/>
                <w:szCs w:val="28"/>
                <w:highlight w:val="none"/>
                <w:u w:val="none"/>
              </w:rPr>
            </w:pPr>
          </w:p>
        </w:tc>
        <w:tc>
          <w:tcPr>
            <w:tcW w:w="17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810C8E">
            <w:pPr>
              <w:jc w:val="center"/>
              <w:rPr>
                <w:rFonts w:hint="eastAsia" w:ascii="宋体" w:hAnsi="宋体" w:eastAsia="宋体" w:cs="宋体"/>
                <w:b w:val="0"/>
                <w:bCs w:val="0"/>
                <w:i w:val="0"/>
                <w:iCs w:val="0"/>
                <w:color w:val="auto"/>
                <w:sz w:val="24"/>
                <w:szCs w:val="24"/>
                <w:highlight w:val="none"/>
                <w:u w:val="none"/>
              </w:rPr>
            </w:pPr>
          </w:p>
        </w:tc>
        <w:tc>
          <w:tcPr>
            <w:tcW w:w="44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81BC6F">
            <w:pPr>
              <w:jc w:val="left"/>
              <w:rPr>
                <w:rFonts w:hint="eastAsia" w:ascii="宋体" w:hAnsi="宋体" w:eastAsia="宋体" w:cs="宋体"/>
                <w:b w:val="0"/>
                <w:bCs w:val="0"/>
                <w:i w:val="0"/>
                <w:iCs w:val="0"/>
                <w:color w:val="auto"/>
                <w:sz w:val="24"/>
                <w:szCs w:val="24"/>
                <w:highlight w:val="none"/>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ign w:val="center"/>
          </w:tcPr>
          <w:p w14:paraId="13171E5E">
            <w:pPr>
              <w:jc w:val="center"/>
              <w:rPr>
                <w:rFonts w:hint="eastAsia" w:ascii="宋体" w:hAnsi="宋体" w:eastAsia="宋体" w:cs="宋体"/>
                <w:b w:val="0"/>
                <w:bCs w:val="0"/>
                <w:i w:val="0"/>
                <w:iCs w:val="0"/>
                <w:color w:val="auto"/>
                <w:sz w:val="28"/>
                <w:szCs w:val="28"/>
                <w:highlight w:val="none"/>
                <w:u w:val="none"/>
              </w:rPr>
            </w:pPr>
          </w:p>
        </w:tc>
        <w:tc>
          <w:tcPr>
            <w:tcW w:w="625" w:type="dxa"/>
            <w:vMerge w:val="continue"/>
            <w:tcBorders>
              <w:top w:val="single" w:color="000000" w:sz="4" w:space="0"/>
              <w:left w:val="single" w:color="000000" w:sz="4" w:space="0"/>
              <w:bottom w:val="single" w:color="000000" w:sz="4" w:space="0"/>
              <w:right w:val="single" w:color="000000" w:sz="4" w:space="0"/>
            </w:tcBorders>
            <w:noWrap/>
            <w:vAlign w:val="center"/>
          </w:tcPr>
          <w:p w14:paraId="71774D0A">
            <w:pPr>
              <w:jc w:val="center"/>
              <w:rPr>
                <w:rFonts w:hint="eastAsia" w:ascii="宋体" w:hAnsi="宋体" w:eastAsia="宋体" w:cs="宋体"/>
                <w:b w:val="0"/>
                <w:bCs w:val="0"/>
                <w:i w:val="0"/>
                <w:iCs w:val="0"/>
                <w:color w:val="auto"/>
                <w:sz w:val="28"/>
                <w:szCs w:val="28"/>
                <w:highlight w:val="none"/>
                <w:u w:val="none"/>
              </w:rPr>
            </w:pPr>
          </w:p>
        </w:tc>
        <w:tc>
          <w:tcPr>
            <w:tcW w:w="772" w:type="dxa"/>
            <w:vMerge w:val="continue"/>
            <w:tcBorders>
              <w:top w:val="single" w:color="000000" w:sz="4" w:space="0"/>
              <w:left w:val="single" w:color="000000" w:sz="4" w:space="0"/>
              <w:bottom w:val="single" w:color="000000" w:sz="4" w:space="0"/>
              <w:right w:val="single" w:color="000000" w:sz="4" w:space="0"/>
            </w:tcBorders>
            <w:noWrap/>
            <w:vAlign w:val="center"/>
          </w:tcPr>
          <w:p w14:paraId="35DB3452">
            <w:pPr>
              <w:jc w:val="center"/>
              <w:rPr>
                <w:rFonts w:hint="eastAsia" w:ascii="宋体" w:hAnsi="宋体" w:eastAsia="宋体" w:cs="宋体"/>
                <w:b w:val="0"/>
                <w:bCs w:val="0"/>
                <w:i w:val="0"/>
                <w:iCs w:val="0"/>
                <w:color w:val="auto"/>
                <w:sz w:val="28"/>
                <w:szCs w:val="28"/>
                <w:highlight w:val="none"/>
                <w:u w:val="none"/>
              </w:rPr>
            </w:pPr>
          </w:p>
        </w:tc>
      </w:tr>
      <w:tr w14:paraId="4685A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31" w:type="dxa"/>
            <w:vMerge w:val="continue"/>
            <w:tcBorders>
              <w:top w:val="single" w:color="000000" w:sz="4" w:space="0"/>
              <w:left w:val="single" w:color="000000" w:sz="4" w:space="0"/>
              <w:bottom w:val="single" w:color="000000" w:sz="4" w:space="0"/>
              <w:right w:val="single" w:color="000000" w:sz="4" w:space="0"/>
            </w:tcBorders>
            <w:noWrap/>
            <w:vAlign w:val="center"/>
          </w:tcPr>
          <w:p w14:paraId="0BF5CDE3">
            <w:pPr>
              <w:jc w:val="center"/>
              <w:rPr>
                <w:rFonts w:hint="eastAsia" w:ascii="宋体" w:hAnsi="宋体" w:eastAsia="宋体" w:cs="宋体"/>
                <w:b w:val="0"/>
                <w:bCs w:val="0"/>
                <w:i w:val="0"/>
                <w:iCs w:val="0"/>
                <w:color w:val="auto"/>
                <w:sz w:val="28"/>
                <w:szCs w:val="28"/>
                <w:highlight w:val="none"/>
                <w:u w:val="none"/>
              </w:rPr>
            </w:pPr>
          </w:p>
        </w:tc>
        <w:tc>
          <w:tcPr>
            <w:tcW w:w="531" w:type="dxa"/>
            <w:vMerge w:val="continue"/>
            <w:tcBorders>
              <w:top w:val="single" w:color="000000" w:sz="4" w:space="0"/>
              <w:left w:val="single" w:color="000000" w:sz="4" w:space="0"/>
              <w:bottom w:val="single" w:color="000000" w:sz="4" w:space="0"/>
              <w:right w:val="single" w:color="000000" w:sz="4" w:space="0"/>
            </w:tcBorders>
            <w:noWrap/>
            <w:vAlign w:val="center"/>
          </w:tcPr>
          <w:p w14:paraId="00BF8EE2">
            <w:pPr>
              <w:jc w:val="center"/>
              <w:rPr>
                <w:rFonts w:hint="eastAsia" w:ascii="宋体" w:hAnsi="宋体" w:eastAsia="宋体" w:cs="宋体"/>
                <w:b w:val="0"/>
                <w:bCs w:val="0"/>
                <w:i w:val="0"/>
                <w:iCs w:val="0"/>
                <w:color w:val="auto"/>
                <w:sz w:val="28"/>
                <w:szCs w:val="28"/>
                <w:highlight w:val="none"/>
                <w:u w:val="none"/>
              </w:rPr>
            </w:pPr>
          </w:p>
        </w:tc>
        <w:tc>
          <w:tcPr>
            <w:tcW w:w="17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97729F">
            <w:pPr>
              <w:jc w:val="center"/>
              <w:rPr>
                <w:rFonts w:hint="eastAsia" w:ascii="宋体" w:hAnsi="宋体" w:eastAsia="宋体" w:cs="宋体"/>
                <w:b w:val="0"/>
                <w:bCs w:val="0"/>
                <w:i w:val="0"/>
                <w:iCs w:val="0"/>
                <w:color w:val="auto"/>
                <w:sz w:val="24"/>
                <w:szCs w:val="24"/>
                <w:highlight w:val="none"/>
                <w:u w:val="none"/>
              </w:rPr>
            </w:pPr>
          </w:p>
        </w:tc>
        <w:tc>
          <w:tcPr>
            <w:tcW w:w="44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0B3472">
            <w:pPr>
              <w:jc w:val="left"/>
              <w:rPr>
                <w:rFonts w:hint="eastAsia" w:ascii="宋体" w:hAnsi="宋体" w:eastAsia="宋体" w:cs="宋体"/>
                <w:b w:val="0"/>
                <w:bCs w:val="0"/>
                <w:i w:val="0"/>
                <w:iCs w:val="0"/>
                <w:color w:val="auto"/>
                <w:sz w:val="24"/>
                <w:szCs w:val="24"/>
                <w:highlight w:val="none"/>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ign w:val="center"/>
          </w:tcPr>
          <w:p w14:paraId="1E4D132F">
            <w:pPr>
              <w:jc w:val="center"/>
              <w:rPr>
                <w:rFonts w:hint="eastAsia" w:ascii="宋体" w:hAnsi="宋体" w:eastAsia="宋体" w:cs="宋体"/>
                <w:b w:val="0"/>
                <w:bCs w:val="0"/>
                <w:i w:val="0"/>
                <w:iCs w:val="0"/>
                <w:color w:val="auto"/>
                <w:sz w:val="28"/>
                <w:szCs w:val="28"/>
                <w:highlight w:val="none"/>
                <w:u w:val="none"/>
              </w:rPr>
            </w:pPr>
          </w:p>
        </w:tc>
        <w:tc>
          <w:tcPr>
            <w:tcW w:w="625" w:type="dxa"/>
            <w:vMerge w:val="continue"/>
            <w:tcBorders>
              <w:top w:val="single" w:color="000000" w:sz="4" w:space="0"/>
              <w:left w:val="single" w:color="000000" w:sz="4" w:space="0"/>
              <w:bottom w:val="single" w:color="000000" w:sz="4" w:space="0"/>
              <w:right w:val="single" w:color="000000" w:sz="4" w:space="0"/>
            </w:tcBorders>
            <w:noWrap/>
            <w:vAlign w:val="center"/>
          </w:tcPr>
          <w:p w14:paraId="4C841882">
            <w:pPr>
              <w:jc w:val="center"/>
              <w:rPr>
                <w:rFonts w:hint="eastAsia" w:ascii="宋体" w:hAnsi="宋体" w:eastAsia="宋体" w:cs="宋体"/>
                <w:b w:val="0"/>
                <w:bCs w:val="0"/>
                <w:i w:val="0"/>
                <w:iCs w:val="0"/>
                <w:color w:val="auto"/>
                <w:sz w:val="28"/>
                <w:szCs w:val="28"/>
                <w:highlight w:val="none"/>
                <w:u w:val="none"/>
              </w:rPr>
            </w:pPr>
          </w:p>
        </w:tc>
        <w:tc>
          <w:tcPr>
            <w:tcW w:w="772" w:type="dxa"/>
            <w:vMerge w:val="continue"/>
            <w:tcBorders>
              <w:top w:val="single" w:color="000000" w:sz="4" w:space="0"/>
              <w:left w:val="single" w:color="000000" w:sz="4" w:space="0"/>
              <w:bottom w:val="single" w:color="000000" w:sz="4" w:space="0"/>
              <w:right w:val="single" w:color="000000" w:sz="4" w:space="0"/>
            </w:tcBorders>
            <w:noWrap/>
            <w:vAlign w:val="center"/>
          </w:tcPr>
          <w:p w14:paraId="72AF6364">
            <w:pPr>
              <w:jc w:val="center"/>
              <w:rPr>
                <w:rFonts w:hint="eastAsia" w:ascii="宋体" w:hAnsi="宋体" w:eastAsia="宋体" w:cs="宋体"/>
                <w:b w:val="0"/>
                <w:bCs w:val="0"/>
                <w:i w:val="0"/>
                <w:iCs w:val="0"/>
                <w:color w:val="auto"/>
                <w:sz w:val="28"/>
                <w:szCs w:val="28"/>
                <w:highlight w:val="none"/>
                <w:u w:val="none"/>
              </w:rPr>
            </w:pPr>
          </w:p>
        </w:tc>
      </w:tr>
      <w:tr w14:paraId="6CA51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31" w:type="dxa"/>
            <w:vMerge w:val="continue"/>
            <w:tcBorders>
              <w:top w:val="single" w:color="000000" w:sz="4" w:space="0"/>
              <w:left w:val="single" w:color="000000" w:sz="4" w:space="0"/>
              <w:bottom w:val="single" w:color="000000" w:sz="4" w:space="0"/>
              <w:right w:val="single" w:color="000000" w:sz="4" w:space="0"/>
            </w:tcBorders>
            <w:noWrap/>
            <w:vAlign w:val="center"/>
          </w:tcPr>
          <w:p w14:paraId="1096666D">
            <w:pPr>
              <w:jc w:val="center"/>
              <w:rPr>
                <w:rFonts w:hint="eastAsia" w:ascii="宋体" w:hAnsi="宋体" w:eastAsia="宋体" w:cs="宋体"/>
                <w:b w:val="0"/>
                <w:bCs w:val="0"/>
                <w:i w:val="0"/>
                <w:iCs w:val="0"/>
                <w:color w:val="auto"/>
                <w:sz w:val="28"/>
                <w:szCs w:val="28"/>
                <w:highlight w:val="none"/>
                <w:u w:val="none"/>
              </w:rPr>
            </w:pPr>
          </w:p>
        </w:tc>
        <w:tc>
          <w:tcPr>
            <w:tcW w:w="531" w:type="dxa"/>
            <w:vMerge w:val="continue"/>
            <w:tcBorders>
              <w:top w:val="single" w:color="000000" w:sz="4" w:space="0"/>
              <w:left w:val="single" w:color="000000" w:sz="4" w:space="0"/>
              <w:bottom w:val="single" w:color="000000" w:sz="4" w:space="0"/>
              <w:right w:val="single" w:color="000000" w:sz="4" w:space="0"/>
            </w:tcBorders>
            <w:noWrap/>
            <w:vAlign w:val="center"/>
          </w:tcPr>
          <w:p w14:paraId="7A3F3B6A">
            <w:pPr>
              <w:jc w:val="center"/>
              <w:rPr>
                <w:rFonts w:hint="eastAsia" w:ascii="宋体" w:hAnsi="宋体" w:eastAsia="宋体" w:cs="宋体"/>
                <w:b w:val="0"/>
                <w:bCs w:val="0"/>
                <w:i w:val="0"/>
                <w:iCs w:val="0"/>
                <w:color w:val="auto"/>
                <w:sz w:val="28"/>
                <w:szCs w:val="28"/>
                <w:highlight w:val="none"/>
                <w:u w:val="none"/>
              </w:rPr>
            </w:pPr>
          </w:p>
        </w:tc>
        <w:tc>
          <w:tcPr>
            <w:tcW w:w="17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43AB48">
            <w:pPr>
              <w:jc w:val="center"/>
              <w:rPr>
                <w:rFonts w:hint="eastAsia" w:ascii="宋体" w:hAnsi="宋体" w:eastAsia="宋体" w:cs="宋体"/>
                <w:b w:val="0"/>
                <w:bCs w:val="0"/>
                <w:i w:val="0"/>
                <w:iCs w:val="0"/>
                <w:color w:val="auto"/>
                <w:sz w:val="24"/>
                <w:szCs w:val="24"/>
                <w:highlight w:val="none"/>
                <w:u w:val="none"/>
              </w:rPr>
            </w:pPr>
          </w:p>
        </w:tc>
        <w:tc>
          <w:tcPr>
            <w:tcW w:w="44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70EDB6">
            <w:pPr>
              <w:jc w:val="left"/>
              <w:rPr>
                <w:rFonts w:hint="eastAsia" w:ascii="宋体" w:hAnsi="宋体" w:eastAsia="宋体" w:cs="宋体"/>
                <w:b w:val="0"/>
                <w:bCs w:val="0"/>
                <w:i w:val="0"/>
                <w:iCs w:val="0"/>
                <w:color w:val="auto"/>
                <w:sz w:val="24"/>
                <w:szCs w:val="24"/>
                <w:highlight w:val="none"/>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ign w:val="center"/>
          </w:tcPr>
          <w:p w14:paraId="4C205956">
            <w:pPr>
              <w:jc w:val="center"/>
              <w:rPr>
                <w:rFonts w:hint="eastAsia" w:ascii="宋体" w:hAnsi="宋体" w:eastAsia="宋体" w:cs="宋体"/>
                <w:b w:val="0"/>
                <w:bCs w:val="0"/>
                <w:i w:val="0"/>
                <w:iCs w:val="0"/>
                <w:color w:val="auto"/>
                <w:sz w:val="28"/>
                <w:szCs w:val="28"/>
                <w:highlight w:val="none"/>
                <w:u w:val="none"/>
              </w:rPr>
            </w:pPr>
          </w:p>
        </w:tc>
        <w:tc>
          <w:tcPr>
            <w:tcW w:w="625" w:type="dxa"/>
            <w:vMerge w:val="continue"/>
            <w:tcBorders>
              <w:top w:val="single" w:color="000000" w:sz="4" w:space="0"/>
              <w:left w:val="single" w:color="000000" w:sz="4" w:space="0"/>
              <w:bottom w:val="single" w:color="000000" w:sz="4" w:space="0"/>
              <w:right w:val="single" w:color="000000" w:sz="4" w:space="0"/>
            </w:tcBorders>
            <w:noWrap/>
            <w:vAlign w:val="center"/>
          </w:tcPr>
          <w:p w14:paraId="5A14B00C">
            <w:pPr>
              <w:jc w:val="center"/>
              <w:rPr>
                <w:rFonts w:hint="eastAsia" w:ascii="宋体" w:hAnsi="宋体" w:eastAsia="宋体" w:cs="宋体"/>
                <w:b w:val="0"/>
                <w:bCs w:val="0"/>
                <w:i w:val="0"/>
                <w:iCs w:val="0"/>
                <w:color w:val="auto"/>
                <w:sz w:val="28"/>
                <w:szCs w:val="28"/>
                <w:highlight w:val="none"/>
                <w:u w:val="none"/>
              </w:rPr>
            </w:pPr>
          </w:p>
        </w:tc>
        <w:tc>
          <w:tcPr>
            <w:tcW w:w="772" w:type="dxa"/>
            <w:vMerge w:val="continue"/>
            <w:tcBorders>
              <w:top w:val="single" w:color="000000" w:sz="4" w:space="0"/>
              <w:left w:val="single" w:color="000000" w:sz="4" w:space="0"/>
              <w:bottom w:val="single" w:color="000000" w:sz="4" w:space="0"/>
              <w:right w:val="single" w:color="000000" w:sz="4" w:space="0"/>
            </w:tcBorders>
            <w:noWrap/>
            <w:vAlign w:val="center"/>
          </w:tcPr>
          <w:p w14:paraId="1A908143">
            <w:pPr>
              <w:jc w:val="center"/>
              <w:rPr>
                <w:rFonts w:hint="eastAsia" w:ascii="宋体" w:hAnsi="宋体" w:eastAsia="宋体" w:cs="宋体"/>
                <w:b w:val="0"/>
                <w:bCs w:val="0"/>
                <w:i w:val="0"/>
                <w:iCs w:val="0"/>
                <w:color w:val="auto"/>
                <w:sz w:val="28"/>
                <w:szCs w:val="28"/>
                <w:highlight w:val="none"/>
                <w:u w:val="none"/>
              </w:rPr>
            </w:pPr>
          </w:p>
        </w:tc>
      </w:tr>
      <w:tr w14:paraId="494B0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31" w:type="dxa"/>
            <w:vMerge w:val="continue"/>
            <w:tcBorders>
              <w:top w:val="single" w:color="000000" w:sz="4" w:space="0"/>
              <w:left w:val="single" w:color="000000" w:sz="4" w:space="0"/>
              <w:bottom w:val="single" w:color="000000" w:sz="4" w:space="0"/>
              <w:right w:val="single" w:color="000000" w:sz="4" w:space="0"/>
            </w:tcBorders>
            <w:noWrap/>
            <w:vAlign w:val="center"/>
          </w:tcPr>
          <w:p w14:paraId="55B14C77">
            <w:pPr>
              <w:jc w:val="center"/>
              <w:rPr>
                <w:rFonts w:hint="eastAsia" w:ascii="宋体" w:hAnsi="宋体" w:eastAsia="宋体" w:cs="宋体"/>
                <w:b w:val="0"/>
                <w:bCs w:val="0"/>
                <w:i w:val="0"/>
                <w:iCs w:val="0"/>
                <w:color w:val="auto"/>
                <w:sz w:val="28"/>
                <w:szCs w:val="28"/>
                <w:highlight w:val="none"/>
                <w:u w:val="none"/>
              </w:rPr>
            </w:pPr>
          </w:p>
        </w:tc>
        <w:tc>
          <w:tcPr>
            <w:tcW w:w="531" w:type="dxa"/>
            <w:vMerge w:val="continue"/>
            <w:tcBorders>
              <w:top w:val="single" w:color="000000" w:sz="4" w:space="0"/>
              <w:left w:val="single" w:color="000000" w:sz="4" w:space="0"/>
              <w:bottom w:val="single" w:color="000000" w:sz="4" w:space="0"/>
              <w:right w:val="single" w:color="000000" w:sz="4" w:space="0"/>
            </w:tcBorders>
            <w:noWrap/>
            <w:vAlign w:val="center"/>
          </w:tcPr>
          <w:p w14:paraId="0EB5E323">
            <w:pPr>
              <w:jc w:val="center"/>
              <w:rPr>
                <w:rFonts w:hint="eastAsia" w:ascii="宋体" w:hAnsi="宋体" w:eastAsia="宋体" w:cs="宋体"/>
                <w:b w:val="0"/>
                <w:bCs w:val="0"/>
                <w:i w:val="0"/>
                <w:iCs w:val="0"/>
                <w:color w:val="auto"/>
                <w:sz w:val="28"/>
                <w:szCs w:val="28"/>
                <w:highlight w:val="none"/>
                <w:u w:val="none"/>
              </w:rPr>
            </w:pPr>
          </w:p>
        </w:tc>
        <w:tc>
          <w:tcPr>
            <w:tcW w:w="17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FC67CC">
            <w:pPr>
              <w:jc w:val="center"/>
              <w:rPr>
                <w:rFonts w:hint="eastAsia" w:ascii="宋体" w:hAnsi="宋体" w:eastAsia="宋体" w:cs="宋体"/>
                <w:b w:val="0"/>
                <w:bCs w:val="0"/>
                <w:i w:val="0"/>
                <w:iCs w:val="0"/>
                <w:color w:val="auto"/>
                <w:sz w:val="24"/>
                <w:szCs w:val="24"/>
                <w:highlight w:val="none"/>
                <w:u w:val="none"/>
              </w:rPr>
            </w:pPr>
          </w:p>
        </w:tc>
        <w:tc>
          <w:tcPr>
            <w:tcW w:w="44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E7F7D7">
            <w:pPr>
              <w:jc w:val="left"/>
              <w:rPr>
                <w:rFonts w:hint="eastAsia" w:ascii="宋体" w:hAnsi="宋体" w:eastAsia="宋体" w:cs="宋体"/>
                <w:b w:val="0"/>
                <w:bCs w:val="0"/>
                <w:i w:val="0"/>
                <w:iCs w:val="0"/>
                <w:color w:val="auto"/>
                <w:sz w:val="24"/>
                <w:szCs w:val="24"/>
                <w:highlight w:val="none"/>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ign w:val="center"/>
          </w:tcPr>
          <w:p w14:paraId="2ABE8C5E">
            <w:pPr>
              <w:jc w:val="center"/>
              <w:rPr>
                <w:rFonts w:hint="eastAsia" w:ascii="宋体" w:hAnsi="宋体" w:eastAsia="宋体" w:cs="宋体"/>
                <w:b w:val="0"/>
                <w:bCs w:val="0"/>
                <w:i w:val="0"/>
                <w:iCs w:val="0"/>
                <w:color w:val="auto"/>
                <w:sz w:val="28"/>
                <w:szCs w:val="28"/>
                <w:highlight w:val="none"/>
                <w:u w:val="none"/>
              </w:rPr>
            </w:pPr>
          </w:p>
        </w:tc>
        <w:tc>
          <w:tcPr>
            <w:tcW w:w="625" w:type="dxa"/>
            <w:vMerge w:val="continue"/>
            <w:tcBorders>
              <w:top w:val="single" w:color="000000" w:sz="4" w:space="0"/>
              <w:left w:val="single" w:color="000000" w:sz="4" w:space="0"/>
              <w:bottom w:val="single" w:color="000000" w:sz="4" w:space="0"/>
              <w:right w:val="single" w:color="000000" w:sz="4" w:space="0"/>
            </w:tcBorders>
            <w:noWrap/>
            <w:vAlign w:val="center"/>
          </w:tcPr>
          <w:p w14:paraId="100BADDB">
            <w:pPr>
              <w:jc w:val="center"/>
              <w:rPr>
                <w:rFonts w:hint="eastAsia" w:ascii="宋体" w:hAnsi="宋体" w:eastAsia="宋体" w:cs="宋体"/>
                <w:b w:val="0"/>
                <w:bCs w:val="0"/>
                <w:i w:val="0"/>
                <w:iCs w:val="0"/>
                <w:color w:val="auto"/>
                <w:sz w:val="28"/>
                <w:szCs w:val="28"/>
                <w:highlight w:val="none"/>
                <w:u w:val="none"/>
              </w:rPr>
            </w:pPr>
          </w:p>
        </w:tc>
        <w:tc>
          <w:tcPr>
            <w:tcW w:w="772" w:type="dxa"/>
            <w:vMerge w:val="continue"/>
            <w:tcBorders>
              <w:top w:val="single" w:color="000000" w:sz="4" w:space="0"/>
              <w:left w:val="single" w:color="000000" w:sz="4" w:space="0"/>
              <w:bottom w:val="single" w:color="000000" w:sz="4" w:space="0"/>
              <w:right w:val="single" w:color="000000" w:sz="4" w:space="0"/>
            </w:tcBorders>
            <w:noWrap/>
            <w:vAlign w:val="center"/>
          </w:tcPr>
          <w:p w14:paraId="1D747B49">
            <w:pPr>
              <w:jc w:val="center"/>
              <w:rPr>
                <w:rFonts w:hint="eastAsia" w:ascii="宋体" w:hAnsi="宋体" w:eastAsia="宋体" w:cs="宋体"/>
                <w:b w:val="0"/>
                <w:bCs w:val="0"/>
                <w:i w:val="0"/>
                <w:iCs w:val="0"/>
                <w:color w:val="auto"/>
                <w:sz w:val="28"/>
                <w:szCs w:val="28"/>
                <w:highlight w:val="none"/>
                <w:u w:val="none"/>
              </w:rPr>
            </w:pPr>
          </w:p>
        </w:tc>
      </w:tr>
      <w:tr w14:paraId="4A7E1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31" w:type="dxa"/>
            <w:vMerge w:val="continue"/>
            <w:tcBorders>
              <w:top w:val="single" w:color="000000" w:sz="4" w:space="0"/>
              <w:left w:val="single" w:color="000000" w:sz="4" w:space="0"/>
              <w:bottom w:val="single" w:color="000000" w:sz="4" w:space="0"/>
              <w:right w:val="single" w:color="000000" w:sz="4" w:space="0"/>
            </w:tcBorders>
            <w:noWrap/>
            <w:vAlign w:val="center"/>
          </w:tcPr>
          <w:p w14:paraId="05956A1E">
            <w:pPr>
              <w:jc w:val="center"/>
              <w:rPr>
                <w:rFonts w:hint="eastAsia" w:ascii="宋体" w:hAnsi="宋体" w:eastAsia="宋体" w:cs="宋体"/>
                <w:b w:val="0"/>
                <w:bCs w:val="0"/>
                <w:i w:val="0"/>
                <w:iCs w:val="0"/>
                <w:color w:val="auto"/>
                <w:sz w:val="28"/>
                <w:szCs w:val="28"/>
                <w:highlight w:val="none"/>
                <w:u w:val="none"/>
              </w:rPr>
            </w:pPr>
          </w:p>
        </w:tc>
        <w:tc>
          <w:tcPr>
            <w:tcW w:w="531" w:type="dxa"/>
            <w:vMerge w:val="continue"/>
            <w:tcBorders>
              <w:top w:val="single" w:color="000000" w:sz="4" w:space="0"/>
              <w:left w:val="single" w:color="000000" w:sz="4" w:space="0"/>
              <w:bottom w:val="single" w:color="000000" w:sz="4" w:space="0"/>
              <w:right w:val="single" w:color="000000" w:sz="4" w:space="0"/>
            </w:tcBorders>
            <w:noWrap/>
            <w:vAlign w:val="center"/>
          </w:tcPr>
          <w:p w14:paraId="1AD0F23C">
            <w:pPr>
              <w:jc w:val="center"/>
              <w:rPr>
                <w:rFonts w:hint="eastAsia" w:ascii="宋体" w:hAnsi="宋体" w:eastAsia="宋体" w:cs="宋体"/>
                <w:b w:val="0"/>
                <w:bCs w:val="0"/>
                <w:i w:val="0"/>
                <w:iCs w:val="0"/>
                <w:color w:val="auto"/>
                <w:sz w:val="28"/>
                <w:szCs w:val="28"/>
                <w:highlight w:val="none"/>
                <w:u w:val="none"/>
              </w:rPr>
            </w:pPr>
          </w:p>
        </w:tc>
        <w:tc>
          <w:tcPr>
            <w:tcW w:w="17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C1C256">
            <w:pPr>
              <w:jc w:val="center"/>
              <w:rPr>
                <w:rFonts w:hint="eastAsia" w:ascii="宋体" w:hAnsi="宋体" w:eastAsia="宋体" w:cs="宋体"/>
                <w:b w:val="0"/>
                <w:bCs w:val="0"/>
                <w:i w:val="0"/>
                <w:iCs w:val="0"/>
                <w:color w:val="auto"/>
                <w:sz w:val="24"/>
                <w:szCs w:val="24"/>
                <w:highlight w:val="none"/>
                <w:u w:val="none"/>
              </w:rPr>
            </w:pPr>
          </w:p>
        </w:tc>
        <w:tc>
          <w:tcPr>
            <w:tcW w:w="44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BC9C8B">
            <w:pPr>
              <w:jc w:val="left"/>
              <w:rPr>
                <w:rFonts w:hint="eastAsia" w:ascii="宋体" w:hAnsi="宋体" w:eastAsia="宋体" w:cs="宋体"/>
                <w:b w:val="0"/>
                <w:bCs w:val="0"/>
                <w:i w:val="0"/>
                <w:iCs w:val="0"/>
                <w:color w:val="auto"/>
                <w:sz w:val="24"/>
                <w:szCs w:val="24"/>
                <w:highlight w:val="none"/>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ign w:val="center"/>
          </w:tcPr>
          <w:p w14:paraId="119B0E81">
            <w:pPr>
              <w:jc w:val="center"/>
              <w:rPr>
                <w:rFonts w:hint="eastAsia" w:ascii="宋体" w:hAnsi="宋体" w:eastAsia="宋体" w:cs="宋体"/>
                <w:b w:val="0"/>
                <w:bCs w:val="0"/>
                <w:i w:val="0"/>
                <w:iCs w:val="0"/>
                <w:color w:val="auto"/>
                <w:sz w:val="28"/>
                <w:szCs w:val="28"/>
                <w:highlight w:val="none"/>
                <w:u w:val="none"/>
              </w:rPr>
            </w:pPr>
          </w:p>
        </w:tc>
        <w:tc>
          <w:tcPr>
            <w:tcW w:w="625" w:type="dxa"/>
            <w:vMerge w:val="continue"/>
            <w:tcBorders>
              <w:top w:val="single" w:color="000000" w:sz="4" w:space="0"/>
              <w:left w:val="single" w:color="000000" w:sz="4" w:space="0"/>
              <w:bottom w:val="single" w:color="000000" w:sz="4" w:space="0"/>
              <w:right w:val="single" w:color="000000" w:sz="4" w:space="0"/>
            </w:tcBorders>
            <w:noWrap/>
            <w:vAlign w:val="center"/>
          </w:tcPr>
          <w:p w14:paraId="07FF1F64">
            <w:pPr>
              <w:jc w:val="center"/>
              <w:rPr>
                <w:rFonts w:hint="eastAsia" w:ascii="宋体" w:hAnsi="宋体" w:eastAsia="宋体" w:cs="宋体"/>
                <w:b w:val="0"/>
                <w:bCs w:val="0"/>
                <w:i w:val="0"/>
                <w:iCs w:val="0"/>
                <w:color w:val="auto"/>
                <w:sz w:val="28"/>
                <w:szCs w:val="28"/>
                <w:highlight w:val="none"/>
                <w:u w:val="none"/>
              </w:rPr>
            </w:pPr>
          </w:p>
        </w:tc>
        <w:tc>
          <w:tcPr>
            <w:tcW w:w="772" w:type="dxa"/>
            <w:vMerge w:val="continue"/>
            <w:tcBorders>
              <w:top w:val="single" w:color="000000" w:sz="4" w:space="0"/>
              <w:left w:val="single" w:color="000000" w:sz="4" w:space="0"/>
              <w:bottom w:val="single" w:color="000000" w:sz="4" w:space="0"/>
              <w:right w:val="single" w:color="000000" w:sz="4" w:space="0"/>
            </w:tcBorders>
            <w:noWrap/>
            <w:vAlign w:val="center"/>
          </w:tcPr>
          <w:p w14:paraId="63229FC5">
            <w:pPr>
              <w:jc w:val="center"/>
              <w:rPr>
                <w:rFonts w:hint="eastAsia" w:ascii="宋体" w:hAnsi="宋体" w:eastAsia="宋体" w:cs="宋体"/>
                <w:b w:val="0"/>
                <w:bCs w:val="0"/>
                <w:i w:val="0"/>
                <w:iCs w:val="0"/>
                <w:color w:val="auto"/>
                <w:sz w:val="28"/>
                <w:szCs w:val="28"/>
                <w:highlight w:val="none"/>
                <w:u w:val="none"/>
              </w:rPr>
            </w:pPr>
          </w:p>
        </w:tc>
      </w:tr>
      <w:tr w14:paraId="54686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31" w:type="dxa"/>
            <w:vMerge w:val="continue"/>
            <w:tcBorders>
              <w:top w:val="single" w:color="000000" w:sz="4" w:space="0"/>
              <w:left w:val="single" w:color="000000" w:sz="4" w:space="0"/>
              <w:bottom w:val="single" w:color="000000" w:sz="4" w:space="0"/>
              <w:right w:val="single" w:color="000000" w:sz="4" w:space="0"/>
            </w:tcBorders>
            <w:noWrap/>
            <w:vAlign w:val="center"/>
          </w:tcPr>
          <w:p w14:paraId="18EEB8C9">
            <w:pPr>
              <w:jc w:val="center"/>
              <w:rPr>
                <w:rFonts w:hint="eastAsia" w:ascii="宋体" w:hAnsi="宋体" w:eastAsia="宋体" w:cs="宋体"/>
                <w:b w:val="0"/>
                <w:bCs w:val="0"/>
                <w:i w:val="0"/>
                <w:iCs w:val="0"/>
                <w:color w:val="auto"/>
                <w:sz w:val="28"/>
                <w:szCs w:val="28"/>
                <w:highlight w:val="none"/>
                <w:u w:val="none"/>
              </w:rPr>
            </w:pPr>
          </w:p>
        </w:tc>
        <w:tc>
          <w:tcPr>
            <w:tcW w:w="531" w:type="dxa"/>
            <w:vMerge w:val="continue"/>
            <w:tcBorders>
              <w:top w:val="single" w:color="000000" w:sz="4" w:space="0"/>
              <w:left w:val="single" w:color="000000" w:sz="4" w:space="0"/>
              <w:bottom w:val="single" w:color="000000" w:sz="4" w:space="0"/>
              <w:right w:val="single" w:color="000000" w:sz="4" w:space="0"/>
            </w:tcBorders>
            <w:noWrap/>
            <w:vAlign w:val="center"/>
          </w:tcPr>
          <w:p w14:paraId="76059AAB">
            <w:pPr>
              <w:jc w:val="center"/>
              <w:rPr>
                <w:rFonts w:hint="eastAsia" w:ascii="宋体" w:hAnsi="宋体" w:eastAsia="宋体" w:cs="宋体"/>
                <w:b w:val="0"/>
                <w:bCs w:val="0"/>
                <w:i w:val="0"/>
                <w:iCs w:val="0"/>
                <w:color w:val="auto"/>
                <w:sz w:val="28"/>
                <w:szCs w:val="28"/>
                <w:highlight w:val="none"/>
                <w:u w:val="none"/>
              </w:rPr>
            </w:pPr>
          </w:p>
        </w:tc>
        <w:tc>
          <w:tcPr>
            <w:tcW w:w="17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70B9D3">
            <w:pPr>
              <w:jc w:val="center"/>
              <w:rPr>
                <w:rFonts w:hint="eastAsia" w:ascii="宋体" w:hAnsi="宋体" w:eastAsia="宋体" w:cs="宋体"/>
                <w:b w:val="0"/>
                <w:bCs w:val="0"/>
                <w:i w:val="0"/>
                <w:iCs w:val="0"/>
                <w:color w:val="auto"/>
                <w:sz w:val="24"/>
                <w:szCs w:val="24"/>
                <w:highlight w:val="none"/>
                <w:u w:val="none"/>
              </w:rPr>
            </w:pPr>
          </w:p>
        </w:tc>
        <w:tc>
          <w:tcPr>
            <w:tcW w:w="44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9C9945">
            <w:pPr>
              <w:jc w:val="left"/>
              <w:rPr>
                <w:rFonts w:hint="eastAsia" w:ascii="宋体" w:hAnsi="宋体" w:eastAsia="宋体" w:cs="宋体"/>
                <w:b w:val="0"/>
                <w:bCs w:val="0"/>
                <w:i w:val="0"/>
                <w:iCs w:val="0"/>
                <w:color w:val="auto"/>
                <w:sz w:val="24"/>
                <w:szCs w:val="24"/>
                <w:highlight w:val="none"/>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ign w:val="center"/>
          </w:tcPr>
          <w:p w14:paraId="05489E3E">
            <w:pPr>
              <w:jc w:val="center"/>
              <w:rPr>
                <w:rFonts w:hint="eastAsia" w:ascii="宋体" w:hAnsi="宋体" w:eastAsia="宋体" w:cs="宋体"/>
                <w:b w:val="0"/>
                <w:bCs w:val="0"/>
                <w:i w:val="0"/>
                <w:iCs w:val="0"/>
                <w:color w:val="auto"/>
                <w:sz w:val="28"/>
                <w:szCs w:val="28"/>
                <w:highlight w:val="none"/>
                <w:u w:val="none"/>
              </w:rPr>
            </w:pPr>
          </w:p>
        </w:tc>
        <w:tc>
          <w:tcPr>
            <w:tcW w:w="625" w:type="dxa"/>
            <w:vMerge w:val="continue"/>
            <w:tcBorders>
              <w:top w:val="single" w:color="000000" w:sz="4" w:space="0"/>
              <w:left w:val="single" w:color="000000" w:sz="4" w:space="0"/>
              <w:bottom w:val="single" w:color="000000" w:sz="4" w:space="0"/>
              <w:right w:val="single" w:color="000000" w:sz="4" w:space="0"/>
            </w:tcBorders>
            <w:noWrap/>
            <w:vAlign w:val="center"/>
          </w:tcPr>
          <w:p w14:paraId="41117E04">
            <w:pPr>
              <w:jc w:val="center"/>
              <w:rPr>
                <w:rFonts w:hint="eastAsia" w:ascii="宋体" w:hAnsi="宋体" w:eastAsia="宋体" w:cs="宋体"/>
                <w:b w:val="0"/>
                <w:bCs w:val="0"/>
                <w:i w:val="0"/>
                <w:iCs w:val="0"/>
                <w:color w:val="auto"/>
                <w:sz w:val="28"/>
                <w:szCs w:val="28"/>
                <w:highlight w:val="none"/>
                <w:u w:val="none"/>
              </w:rPr>
            </w:pPr>
          </w:p>
        </w:tc>
        <w:tc>
          <w:tcPr>
            <w:tcW w:w="772" w:type="dxa"/>
            <w:vMerge w:val="continue"/>
            <w:tcBorders>
              <w:top w:val="single" w:color="000000" w:sz="4" w:space="0"/>
              <w:left w:val="single" w:color="000000" w:sz="4" w:space="0"/>
              <w:bottom w:val="single" w:color="000000" w:sz="4" w:space="0"/>
              <w:right w:val="single" w:color="000000" w:sz="4" w:space="0"/>
            </w:tcBorders>
            <w:noWrap/>
            <w:vAlign w:val="center"/>
          </w:tcPr>
          <w:p w14:paraId="28B51F7E">
            <w:pPr>
              <w:jc w:val="center"/>
              <w:rPr>
                <w:rFonts w:hint="eastAsia" w:ascii="宋体" w:hAnsi="宋体" w:eastAsia="宋体" w:cs="宋体"/>
                <w:b w:val="0"/>
                <w:bCs w:val="0"/>
                <w:i w:val="0"/>
                <w:iCs w:val="0"/>
                <w:color w:val="auto"/>
                <w:sz w:val="28"/>
                <w:szCs w:val="28"/>
                <w:highlight w:val="none"/>
                <w:u w:val="none"/>
              </w:rPr>
            </w:pPr>
          </w:p>
        </w:tc>
      </w:tr>
      <w:tr w14:paraId="59CFF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6" w:hRule="atLeast"/>
        </w:trPr>
        <w:tc>
          <w:tcPr>
            <w:tcW w:w="1062" w:type="dxa"/>
            <w:gridSpan w:val="2"/>
            <w:tcBorders>
              <w:top w:val="single" w:color="000000" w:sz="4" w:space="0"/>
              <w:left w:val="single" w:color="000000" w:sz="4" w:space="0"/>
              <w:bottom w:val="single" w:color="000000" w:sz="4" w:space="0"/>
              <w:right w:val="single" w:color="000000" w:sz="4" w:space="0"/>
            </w:tcBorders>
            <w:noWrap/>
            <w:vAlign w:val="center"/>
          </w:tcPr>
          <w:p w14:paraId="008BEF82">
            <w:pPr>
              <w:keepNext w:val="0"/>
              <w:keepLines w:val="0"/>
              <w:widowControl/>
              <w:suppressLineNumbers w:val="0"/>
              <w:jc w:val="left"/>
              <w:textAlignment w:val="center"/>
              <w:rPr>
                <w:rFonts w:hint="eastAsia" w:ascii="宋体" w:hAnsi="宋体" w:eastAsia="宋体" w:cs="宋体"/>
                <w:b w:val="0"/>
                <w:bCs w:val="0"/>
                <w:i w:val="0"/>
                <w:iCs w:val="0"/>
                <w:color w:val="auto"/>
                <w:sz w:val="28"/>
                <w:szCs w:val="28"/>
                <w:highlight w:val="none"/>
                <w:u w:val="none"/>
              </w:rPr>
            </w:pPr>
            <w:r>
              <w:rPr>
                <w:rFonts w:hint="eastAsia" w:ascii="宋体" w:hAnsi="宋体" w:eastAsia="宋体" w:cs="宋体"/>
                <w:b w:val="0"/>
                <w:bCs w:val="0"/>
                <w:i w:val="0"/>
                <w:iCs w:val="0"/>
                <w:color w:val="auto"/>
                <w:kern w:val="0"/>
                <w:sz w:val="28"/>
                <w:szCs w:val="28"/>
                <w:highlight w:val="none"/>
                <w:u w:val="none"/>
                <w:lang w:val="en-US" w:eastAsia="zh-CN" w:bidi="ar"/>
              </w:rPr>
              <w:t>合计</w:t>
            </w:r>
          </w:p>
        </w:tc>
        <w:tc>
          <w:tcPr>
            <w:tcW w:w="6221" w:type="dxa"/>
            <w:gridSpan w:val="2"/>
            <w:tcBorders>
              <w:top w:val="single" w:color="000000" w:sz="4" w:space="0"/>
              <w:left w:val="single" w:color="000000" w:sz="4" w:space="0"/>
              <w:bottom w:val="single" w:color="000000" w:sz="4" w:space="0"/>
              <w:right w:val="single" w:color="000000" w:sz="4" w:space="0"/>
            </w:tcBorders>
            <w:noWrap/>
            <w:vAlign w:val="center"/>
          </w:tcPr>
          <w:p w14:paraId="2FDB4C21">
            <w:pPr>
              <w:keepNext w:val="0"/>
              <w:keepLines w:val="0"/>
              <w:widowControl/>
              <w:suppressLineNumbers w:val="0"/>
              <w:jc w:val="center"/>
              <w:textAlignment w:val="center"/>
              <w:rPr>
                <w:rFonts w:hint="eastAsia" w:ascii="宋体" w:hAnsi="宋体" w:eastAsia="宋体" w:cs="宋体"/>
                <w:b w:val="0"/>
                <w:bCs w:val="0"/>
                <w:i w:val="0"/>
                <w:iCs w:val="0"/>
                <w:color w:val="auto"/>
                <w:sz w:val="28"/>
                <w:szCs w:val="2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45537A81">
            <w:pPr>
              <w:jc w:val="center"/>
              <w:rPr>
                <w:rFonts w:hint="eastAsia" w:ascii="宋体" w:hAnsi="宋体" w:eastAsia="宋体" w:cs="宋体"/>
                <w:b w:val="0"/>
                <w:bCs w:val="0"/>
                <w:i w:val="0"/>
                <w:iCs w:val="0"/>
                <w:color w:val="auto"/>
                <w:sz w:val="28"/>
                <w:szCs w:val="28"/>
                <w:highlight w:val="none"/>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14:paraId="2600C708">
            <w:pPr>
              <w:jc w:val="center"/>
              <w:rPr>
                <w:rFonts w:hint="eastAsia" w:ascii="宋体" w:hAnsi="宋体" w:eastAsia="宋体" w:cs="宋体"/>
                <w:b w:val="0"/>
                <w:bCs w:val="0"/>
                <w:i w:val="0"/>
                <w:iCs w:val="0"/>
                <w:color w:val="auto"/>
                <w:sz w:val="28"/>
                <w:szCs w:val="28"/>
                <w:highlight w:val="none"/>
                <w:u w:val="none"/>
              </w:rPr>
            </w:pPr>
          </w:p>
        </w:tc>
        <w:tc>
          <w:tcPr>
            <w:tcW w:w="772" w:type="dxa"/>
            <w:tcBorders>
              <w:top w:val="single" w:color="000000" w:sz="4" w:space="0"/>
              <w:left w:val="single" w:color="000000" w:sz="4" w:space="0"/>
              <w:bottom w:val="single" w:color="000000" w:sz="4" w:space="0"/>
              <w:right w:val="single" w:color="000000" w:sz="4" w:space="0"/>
            </w:tcBorders>
            <w:noWrap/>
            <w:vAlign w:val="center"/>
          </w:tcPr>
          <w:p w14:paraId="7B92E401">
            <w:pPr>
              <w:keepNext w:val="0"/>
              <w:keepLines w:val="0"/>
              <w:widowControl/>
              <w:suppressLineNumbers w:val="0"/>
              <w:jc w:val="center"/>
              <w:textAlignment w:val="center"/>
              <w:rPr>
                <w:rFonts w:hint="eastAsia" w:ascii="宋体" w:hAnsi="宋体" w:eastAsia="宋体" w:cs="宋体"/>
                <w:b w:val="0"/>
                <w:bCs w:val="0"/>
                <w:i w:val="0"/>
                <w:iCs w:val="0"/>
                <w:color w:val="auto"/>
                <w:sz w:val="28"/>
                <w:szCs w:val="28"/>
                <w:highlight w:val="none"/>
                <w:u w:val="none"/>
              </w:rPr>
            </w:pPr>
          </w:p>
        </w:tc>
      </w:tr>
    </w:tbl>
    <w:p w14:paraId="43BE0B92">
      <w:pPr>
        <w:rPr>
          <w:rFonts w:ascii="宋体" w:hAnsi="宋体" w:eastAsia="宋体" w:cs="宋体"/>
          <w:color w:val="auto"/>
          <w:sz w:val="24"/>
          <w:highlight w:val="none"/>
        </w:rPr>
      </w:pPr>
    </w:p>
    <w:p w14:paraId="12E4A5FE">
      <w:pPr>
        <w:rPr>
          <w:rFonts w:ascii="宋体" w:hAnsi="宋体" w:eastAsia="宋体" w:cs="宋体"/>
          <w:color w:val="auto"/>
          <w:sz w:val="24"/>
          <w:highlight w:val="none"/>
        </w:rPr>
      </w:pPr>
      <w:r>
        <w:rPr>
          <w:rFonts w:ascii="宋体" w:hAnsi="宋体" w:eastAsia="宋体" w:cs="宋体"/>
          <w:color w:val="auto"/>
          <w:sz w:val="24"/>
          <w:highlight w:val="none"/>
        </w:rPr>
        <w:t>2、售后服务内容及要求：</w:t>
      </w:r>
    </w:p>
    <w:p w14:paraId="7C138B2B">
      <w:pPr>
        <w:spacing w:line="420" w:lineRule="auto"/>
        <w:ind w:firstLine="480"/>
        <w:rPr>
          <w:rFonts w:hint="eastAsia" w:ascii="宋体" w:hAnsi="宋体" w:eastAsia="宋体" w:cs="宋体"/>
          <w:color w:val="auto"/>
          <w:sz w:val="24"/>
          <w:highlight w:val="none"/>
          <w:lang w:eastAsia="zh-CN"/>
        </w:rPr>
      </w:pPr>
      <w:r>
        <w:rPr>
          <w:rFonts w:ascii="宋体" w:hAnsi="宋体" w:eastAsia="宋体" w:cs="宋体"/>
          <w:color w:val="auto"/>
          <w:sz w:val="24"/>
          <w:highlight w:val="none"/>
        </w:rPr>
        <w:t>2.1质量保证：按本项目的行业规则或双方签订合同时的约定执行。质保期内如果出现质量问题，成交供应商应当无条件更换，由于质量问题造成的损失由成交供应商负全部责任</w:t>
      </w:r>
      <w:r>
        <w:rPr>
          <w:rFonts w:hint="eastAsia" w:ascii="宋体" w:hAnsi="宋体" w:eastAsia="宋体" w:cs="宋体"/>
          <w:color w:val="auto"/>
          <w:sz w:val="24"/>
          <w:highlight w:val="none"/>
          <w:lang w:eastAsia="zh-CN"/>
        </w:rPr>
        <w:t>。</w:t>
      </w:r>
    </w:p>
    <w:p w14:paraId="43B5F191">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2.2售后服务：</w:t>
      </w:r>
      <w:r>
        <w:rPr>
          <w:rFonts w:hint="eastAsia" w:ascii="宋体" w:hAnsi="宋体" w:eastAsia="宋体" w:cs="宋体"/>
          <w:color w:val="auto"/>
          <w:sz w:val="24"/>
          <w:highlight w:val="none"/>
        </w:rPr>
        <w:t>质保期</w:t>
      </w:r>
      <w:r>
        <w:rPr>
          <w:rFonts w:hint="eastAsia" w:ascii="宋体" w:hAnsi="宋体" w:cs="宋体"/>
          <w:color w:val="auto"/>
          <w:sz w:val="24"/>
          <w:highlight w:val="none"/>
          <w:lang w:eastAsia="zh-CN"/>
        </w:rPr>
        <w:t>：按国家及行业标准</w:t>
      </w:r>
      <w:r>
        <w:rPr>
          <w:rFonts w:ascii="宋体" w:hAnsi="宋体" w:eastAsia="宋体" w:cs="宋体"/>
          <w:color w:val="auto"/>
          <w:sz w:val="24"/>
          <w:highlight w:val="none"/>
        </w:rPr>
        <w:t>,质保期内提供免费上门服务，质保期外的收费按相关行业规则或由双方协商收取。</w:t>
      </w:r>
    </w:p>
    <w:p w14:paraId="68B4CFCC">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2.3交货地点：采购人指定地点。</w:t>
      </w:r>
    </w:p>
    <w:p w14:paraId="12662C6F">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2.4交货日期：双方签订合同后</w:t>
      </w:r>
      <w:r>
        <w:rPr>
          <w:rFonts w:hint="eastAsia" w:ascii="宋体" w:hAnsi="宋体" w:cs="宋体"/>
          <w:color w:val="auto"/>
          <w:sz w:val="24"/>
          <w:highlight w:val="none"/>
          <w:u w:val="single"/>
          <w:lang w:val="en-US" w:eastAsia="zh-CN"/>
        </w:rPr>
        <w:t xml:space="preserve"> 15</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日内。</w:t>
      </w:r>
    </w:p>
    <w:p w14:paraId="1E41DD35">
      <w:pPr>
        <w:spacing w:line="360" w:lineRule="auto"/>
        <w:ind w:firstLine="480" w:firstLineChars="200"/>
        <w:rPr>
          <w:rStyle w:val="44"/>
          <w:rFonts w:ascii="宋体" w:hAnsi="宋体" w:cs="宋体"/>
          <w:color w:val="auto"/>
          <w:sz w:val="24"/>
          <w:highlight w:val="none"/>
          <w:lang w:val="zh-CN"/>
        </w:rPr>
      </w:pPr>
      <w:r>
        <w:rPr>
          <w:rStyle w:val="44"/>
          <w:rFonts w:hint="eastAsia" w:ascii="宋体" w:hAnsi="宋体" w:cs="宋体"/>
          <w:color w:val="auto"/>
          <w:sz w:val="24"/>
          <w:highlight w:val="none"/>
          <w:lang w:val="zh-CN"/>
        </w:rPr>
        <w:t>2.5 质量标准：符合相关要求，合格。</w:t>
      </w:r>
    </w:p>
    <w:p w14:paraId="24966E8D">
      <w:pPr>
        <w:spacing w:line="360" w:lineRule="auto"/>
        <w:ind w:firstLine="480" w:firstLineChars="200"/>
        <w:rPr>
          <w:rStyle w:val="44"/>
          <w:rFonts w:ascii="宋体" w:hAnsi="宋体" w:cs="宋体"/>
          <w:color w:val="auto"/>
          <w:sz w:val="24"/>
          <w:highlight w:val="none"/>
          <w:lang w:val="zh-CN"/>
        </w:rPr>
      </w:pPr>
      <w:r>
        <w:rPr>
          <w:rStyle w:val="44"/>
          <w:rFonts w:hint="eastAsia" w:ascii="宋体" w:hAnsi="宋体" w:cs="宋体"/>
          <w:color w:val="auto"/>
          <w:sz w:val="24"/>
          <w:highlight w:val="none"/>
          <w:lang w:val="zh-CN"/>
        </w:rPr>
        <w:t>2.6 验收：由最终用户组织验收。</w:t>
      </w:r>
    </w:p>
    <w:p w14:paraId="18D27B87">
      <w:pPr>
        <w:bidi w:val="0"/>
        <w:rPr>
          <w:rFonts w:hint="eastAsia"/>
          <w:color w:val="auto"/>
          <w:highlight w:val="none"/>
        </w:rPr>
      </w:pPr>
    </w:p>
    <w:p w14:paraId="74908622">
      <w:pPr>
        <w:pStyle w:val="3"/>
        <w:ind w:firstLine="0"/>
        <w:rPr>
          <w:rFonts w:hint="eastAsia" w:ascii="宋体" w:hAnsi="宋体" w:eastAsia="宋体" w:cs="宋体"/>
          <w:color w:val="auto"/>
          <w:highlight w:val="none"/>
        </w:rPr>
        <w:sectPr>
          <w:pgSz w:w="11906" w:h="16838"/>
          <w:pgMar w:top="1389" w:right="1304" w:bottom="1440" w:left="1304" w:header="851" w:footer="992" w:gutter="0"/>
          <w:cols w:space="720" w:num="1"/>
          <w:rtlGutter w:val="0"/>
          <w:docGrid w:linePitch="312" w:charSpace="0"/>
        </w:sectPr>
      </w:pPr>
    </w:p>
    <w:p w14:paraId="0F79C7E5">
      <w:pPr>
        <w:pStyle w:val="2"/>
        <w:bidi w:val="0"/>
        <w:spacing w:line="240" w:lineRule="auto"/>
        <w:jc w:val="center"/>
        <w:rPr>
          <w:rFonts w:hint="eastAsia" w:ascii="宋体" w:hAnsi="宋体" w:eastAsia="宋体" w:cs="宋体"/>
          <w:color w:val="auto"/>
          <w:highlight w:val="none"/>
        </w:rPr>
      </w:pPr>
      <w:bookmarkStart w:id="52" w:name="_Toc18111"/>
      <w:r>
        <w:rPr>
          <w:rFonts w:hint="eastAsia"/>
          <w:color w:val="auto"/>
          <w:highlight w:val="none"/>
        </w:rPr>
        <w:t>第</w:t>
      </w:r>
      <w:bookmarkStart w:id="53" w:name="_Hlt240110027"/>
      <w:bookmarkEnd w:id="53"/>
      <w:r>
        <w:rPr>
          <w:rFonts w:hint="eastAsia"/>
          <w:color w:val="auto"/>
          <w:highlight w:val="none"/>
        </w:rPr>
        <w:t>四章 评标办法</w:t>
      </w:r>
      <w:bookmarkEnd w:id="52"/>
    </w:p>
    <w:p w14:paraId="03241FCF">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hint="eastAsia" w:ascii="宋体" w:hAnsi="宋体" w:cs="宋体"/>
          <w:b/>
          <w:color w:val="auto"/>
          <w:sz w:val="24"/>
          <w:highlight w:val="none"/>
        </w:rPr>
      </w:pPr>
      <w:bookmarkStart w:id="54" w:name="_Toc10750_WPSOffice_Level2"/>
      <w:r>
        <w:rPr>
          <w:rFonts w:hint="eastAsia" w:ascii="宋体" w:hAnsi="宋体" w:cs="宋体"/>
          <w:b/>
          <w:color w:val="auto"/>
          <w:sz w:val="24"/>
          <w:highlight w:val="none"/>
        </w:rPr>
        <w:t>一．总  则</w:t>
      </w:r>
      <w:bookmarkEnd w:id="54"/>
    </w:p>
    <w:p w14:paraId="238E3AF4">
      <w:pPr>
        <w:adjustRightInd w:val="0"/>
        <w:snapToGrid w:val="0"/>
        <w:spacing w:line="360" w:lineRule="auto"/>
        <w:ind w:right="-10" w:firstLine="422" w:firstLineChars="175"/>
        <w:rPr>
          <w:rFonts w:hint="eastAsia" w:ascii="宋体" w:hAnsi="宋体" w:cs="宋体"/>
          <w:b/>
          <w:bCs/>
          <w:color w:val="auto"/>
          <w:sz w:val="24"/>
          <w:highlight w:val="none"/>
        </w:rPr>
      </w:pPr>
      <w:r>
        <w:rPr>
          <w:rFonts w:hint="eastAsia" w:ascii="宋体" w:hAnsi="宋体" w:cs="宋体"/>
          <w:b/>
          <w:bCs/>
          <w:color w:val="auto"/>
          <w:sz w:val="24"/>
          <w:highlight w:val="none"/>
        </w:rPr>
        <w:t xml:space="preserve">第一条 </w:t>
      </w:r>
      <w:r>
        <w:rPr>
          <w:rFonts w:hint="eastAsia" w:ascii="宋体" w:hAnsi="宋体" w:cs="宋体"/>
          <w:color w:val="auto"/>
          <w:sz w:val="24"/>
          <w:highlight w:val="none"/>
        </w:rPr>
        <w:t>为了做好</w:t>
      </w:r>
      <w:r>
        <w:rPr>
          <w:rFonts w:hint="eastAsia" w:ascii="宋体" w:hAnsi="宋体" w:eastAsia="宋体" w:cs="宋体"/>
          <w:color w:val="auto"/>
          <w:sz w:val="24"/>
          <w:highlight w:val="none"/>
        </w:rPr>
        <w:t>本项目（项目编号:</w:t>
      </w:r>
      <w:r>
        <w:rPr>
          <w:rFonts w:hint="eastAsia" w:ascii="宋体" w:hAnsi="宋体" w:cs="宋体"/>
          <w:color w:val="auto"/>
          <w:sz w:val="24"/>
          <w:highlight w:val="none"/>
          <w:lang w:eastAsia="zh-CN"/>
        </w:rPr>
        <w:t>郸财招标采购-2026-31</w:t>
      </w:r>
      <w:r>
        <w:rPr>
          <w:rFonts w:hint="eastAsia" w:ascii="宋体" w:hAnsi="宋体" w:eastAsia="宋体" w:cs="宋体"/>
          <w:color w:val="auto"/>
          <w:sz w:val="24"/>
          <w:highlight w:val="none"/>
        </w:rPr>
        <w:t>）的招标评</w:t>
      </w:r>
      <w:r>
        <w:rPr>
          <w:rFonts w:hint="eastAsia" w:ascii="宋体" w:hAnsi="宋体" w:cs="宋体"/>
          <w:color w:val="auto"/>
          <w:sz w:val="24"/>
          <w:highlight w:val="none"/>
        </w:rPr>
        <w:t>标工作，保证项目评审工作的正常有序进行，维护采购人、投标人的合法权益，依据《中华人民共和国政府采购法》及其它相关法律法规，本着公开、公平、公正的原则，制定评标办法。</w:t>
      </w:r>
    </w:p>
    <w:p w14:paraId="1563E62B">
      <w:pPr>
        <w:adjustRightInd w:val="0"/>
        <w:snapToGrid w:val="0"/>
        <w:spacing w:line="360" w:lineRule="auto"/>
        <w:ind w:right="-10" w:firstLine="422" w:firstLineChars="175"/>
        <w:rPr>
          <w:rFonts w:hint="eastAsia" w:ascii="宋体" w:hAnsi="宋体" w:cs="宋体"/>
          <w:color w:val="auto"/>
          <w:sz w:val="24"/>
          <w:highlight w:val="none"/>
        </w:rPr>
      </w:pPr>
      <w:r>
        <w:rPr>
          <w:rFonts w:hint="eastAsia" w:ascii="宋体" w:hAnsi="宋体" w:cs="宋体"/>
          <w:b/>
          <w:bCs/>
          <w:color w:val="auto"/>
          <w:sz w:val="24"/>
          <w:highlight w:val="none"/>
        </w:rPr>
        <w:t xml:space="preserve">第二条 </w:t>
      </w:r>
      <w:r>
        <w:rPr>
          <w:rFonts w:hint="eastAsia" w:ascii="宋体" w:hAnsi="宋体" w:cs="宋体"/>
          <w:color w:val="auto"/>
          <w:sz w:val="24"/>
          <w:highlight w:val="none"/>
        </w:rPr>
        <w:t>本次项目评标采用</w:t>
      </w:r>
      <w:r>
        <w:rPr>
          <w:rFonts w:hint="eastAsia" w:ascii="宋体" w:hAnsi="宋体" w:eastAsia="宋体" w:cs="宋体"/>
          <w:color w:val="auto"/>
          <w:sz w:val="24"/>
          <w:highlight w:val="none"/>
        </w:rPr>
        <w:t>综合评分法作</w:t>
      </w:r>
      <w:r>
        <w:rPr>
          <w:rFonts w:hint="eastAsia" w:ascii="宋体" w:hAnsi="宋体" w:cs="宋体"/>
          <w:color w:val="auto"/>
          <w:sz w:val="24"/>
          <w:highlight w:val="none"/>
        </w:rPr>
        <w:t>为对投标人标书的比较方法。</w:t>
      </w:r>
    </w:p>
    <w:p w14:paraId="46E2DA96">
      <w:pPr>
        <w:adjustRightInd w:val="0"/>
        <w:snapToGrid w:val="0"/>
        <w:spacing w:line="360" w:lineRule="auto"/>
        <w:ind w:left="-61" w:leftChars="-29" w:right="-10" w:firstLine="482" w:firstLineChars="200"/>
        <w:rPr>
          <w:rFonts w:hint="eastAsia" w:ascii="宋体" w:hAnsi="宋体" w:cs="宋体"/>
          <w:color w:val="auto"/>
          <w:sz w:val="24"/>
          <w:highlight w:val="none"/>
        </w:rPr>
      </w:pPr>
      <w:r>
        <w:rPr>
          <w:rFonts w:hint="eastAsia" w:ascii="宋体" w:hAnsi="宋体" w:cs="宋体"/>
          <w:b/>
          <w:color w:val="auto"/>
          <w:sz w:val="24"/>
          <w:highlight w:val="none"/>
        </w:rPr>
        <w:t xml:space="preserve">第三条 </w:t>
      </w:r>
      <w:r>
        <w:rPr>
          <w:rFonts w:hint="eastAsia" w:ascii="宋体" w:hAnsi="宋体" w:cs="宋体"/>
          <w:color w:val="auto"/>
          <w:sz w:val="24"/>
          <w:highlight w:val="none"/>
        </w:rPr>
        <w:t>按照《中华人民共和国政府采购法》及其相关规定组成评标委员会负责本项目的评审工作。评标委员会</w:t>
      </w:r>
      <w:r>
        <w:rPr>
          <w:rFonts w:hint="eastAsia" w:ascii="宋体" w:hAnsi="宋体" w:cs="宋体"/>
          <w:color w:val="auto"/>
          <w:sz w:val="24"/>
          <w:szCs w:val="22"/>
          <w:highlight w:val="none"/>
        </w:rPr>
        <w:t>在政府采购专家库中随机抽取。</w:t>
      </w:r>
    </w:p>
    <w:p w14:paraId="27BE3F97">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color w:val="auto"/>
          <w:sz w:val="24"/>
          <w:highlight w:val="none"/>
        </w:rPr>
        <w:t xml:space="preserve">第四条 </w:t>
      </w:r>
      <w:r>
        <w:rPr>
          <w:rFonts w:hint="eastAsia" w:ascii="宋体" w:hAnsi="宋体" w:cs="宋体"/>
          <w:color w:val="auto"/>
          <w:sz w:val="24"/>
          <w:highlight w:val="none"/>
        </w:rPr>
        <w:t>评委会按照“客观公正，实事求是”的原则，评价参加本次招标的投标人所提供的产品价格、性能、质量、服务及对招标文件的符合性及响应性。</w:t>
      </w:r>
    </w:p>
    <w:p w14:paraId="6272B190">
      <w:pPr>
        <w:adjustRightInd w:val="0"/>
        <w:snapToGrid w:val="0"/>
        <w:spacing w:line="360" w:lineRule="auto"/>
        <w:jc w:val="center"/>
        <w:rPr>
          <w:rFonts w:hint="eastAsia" w:ascii="宋体" w:hAnsi="宋体" w:cs="宋体"/>
          <w:color w:val="auto"/>
          <w:sz w:val="24"/>
          <w:highlight w:val="none"/>
        </w:rPr>
      </w:pPr>
      <w:bookmarkStart w:id="55" w:name="_Toc31922_WPSOffice_Level2"/>
      <w:r>
        <w:rPr>
          <w:rFonts w:hint="eastAsia" w:ascii="宋体" w:hAnsi="宋体" w:cs="宋体"/>
          <w:b/>
          <w:color w:val="auto"/>
          <w:sz w:val="24"/>
          <w:highlight w:val="none"/>
        </w:rPr>
        <w:t>二．评标程序及评审细则</w:t>
      </w:r>
      <w:bookmarkEnd w:id="55"/>
    </w:p>
    <w:p w14:paraId="538F15A7">
      <w:pPr>
        <w:adjustRightInd w:val="0"/>
        <w:snapToGrid w:val="0"/>
        <w:spacing w:line="360" w:lineRule="auto"/>
        <w:ind w:right="-10" w:firstLine="422" w:firstLineChars="175"/>
        <w:rPr>
          <w:rFonts w:hint="eastAsia" w:ascii="宋体" w:hAnsi="宋体" w:cs="宋体"/>
          <w:bCs/>
          <w:color w:val="auto"/>
          <w:sz w:val="24"/>
          <w:highlight w:val="none"/>
        </w:rPr>
      </w:pPr>
      <w:r>
        <w:rPr>
          <w:rFonts w:hint="eastAsia" w:ascii="宋体" w:hAnsi="宋体" w:cs="宋体"/>
          <w:b/>
          <w:bCs/>
          <w:color w:val="auto"/>
          <w:sz w:val="24"/>
          <w:highlight w:val="none"/>
        </w:rPr>
        <w:t>第五条</w:t>
      </w:r>
      <w:r>
        <w:rPr>
          <w:rFonts w:hint="eastAsia" w:ascii="宋体" w:hAnsi="宋体" w:cs="宋体"/>
          <w:bCs/>
          <w:color w:val="auto"/>
          <w:sz w:val="24"/>
          <w:highlight w:val="none"/>
        </w:rPr>
        <w:t xml:space="preserve"> 评标工作于开标后进行。评委会应认真研究招标文件，至少应了解和熟悉以下内容：</w:t>
      </w:r>
    </w:p>
    <w:p w14:paraId="3918D41B">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（一）招标的目标；</w:t>
      </w:r>
    </w:p>
    <w:p w14:paraId="7E5F4DC3">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（二）招标项目的范围和性质；</w:t>
      </w:r>
    </w:p>
    <w:p w14:paraId="787D0761">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（三）招标文件中规定的主要技术要求、标准和商务条款；</w:t>
      </w:r>
    </w:p>
    <w:p w14:paraId="51FE7E18">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（四）招标文件规定的评标标准、评标方法和在评标过程中考虑的相关因素。</w:t>
      </w:r>
    </w:p>
    <w:p w14:paraId="376ADF8E">
      <w:pPr>
        <w:adjustRightInd w:val="0"/>
        <w:snapToGrid w:val="0"/>
        <w:spacing w:line="360" w:lineRule="auto"/>
        <w:ind w:right="-10" w:firstLine="422" w:firstLineChars="175"/>
        <w:rPr>
          <w:rFonts w:hint="eastAsia" w:ascii="宋体" w:hAnsi="宋体" w:cs="宋体"/>
          <w:bCs/>
          <w:color w:val="auto"/>
          <w:sz w:val="24"/>
          <w:highlight w:val="none"/>
        </w:rPr>
      </w:pPr>
      <w:r>
        <w:rPr>
          <w:rFonts w:hint="eastAsia" w:ascii="宋体" w:hAnsi="宋体" w:cs="宋体"/>
          <w:b/>
          <w:bCs/>
          <w:color w:val="auto"/>
          <w:sz w:val="24"/>
          <w:highlight w:val="none"/>
        </w:rPr>
        <w:t>第六条</w:t>
      </w:r>
      <w:r>
        <w:rPr>
          <w:rFonts w:hint="eastAsia" w:ascii="宋体" w:hAnsi="宋体" w:cs="宋体"/>
          <w:bCs/>
          <w:color w:val="auto"/>
          <w:sz w:val="24"/>
          <w:highlight w:val="none"/>
        </w:rPr>
        <w:t xml:space="preserve"> 有效投标应符合以下原则：</w:t>
      </w:r>
    </w:p>
    <w:p w14:paraId="410BB93C">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（一）满足招标文件的实质性要求；</w:t>
      </w:r>
    </w:p>
    <w:p w14:paraId="64C258B0">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（二）无重大偏离、保留或采购人不能接受的附加条件；</w:t>
      </w:r>
    </w:p>
    <w:p w14:paraId="74154A6C">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（三）通过投标符合性审查；</w:t>
      </w:r>
    </w:p>
    <w:p w14:paraId="005956B4">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（四）评委会依据招标文件认定的其他原则；</w:t>
      </w:r>
    </w:p>
    <w:p w14:paraId="45C8BF32">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（五）商务偏差表或技术偏差表数据不存在弄虚作假现象；</w:t>
      </w:r>
    </w:p>
    <w:p w14:paraId="06EC6D92">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（六）投标人报价未超过采购人的采购预算；</w:t>
      </w:r>
    </w:p>
    <w:p w14:paraId="50293771">
      <w:pPr>
        <w:adjustRightInd w:val="0"/>
        <w:snapToGrid w:val="0"/>
        <w:spacing w:line="360" w:lineRule="auto"/>
        <w:ind w:right="-10" w:firstLine="482" w:firstLineChars="200"/>
        <w:rPr>
          <w:rFonts w:hint="eastAsia" w:ascii="宋体" w:hAnsi="宋体" w:cs="宋体"/>
          <w:bCs/>
          <w:color w:val="auto"/>
          <w:sz w:val="24"/>
          <w:szCs w:val="22"/>
          <w:highlight w:val="none"/>
        </w:rPr>
      </w:pPr>
      <w:r>
        <w:rPr>
          <w:rFonts w:hint="eastAsia" w:ascii="宋体" w:hAnsi="宋体" w:cs="宋体"/>
          <w:b/>
          <w:color w:val="auto"/>
          <w:sz w:val="24"/>
          <w:highlight w:val="none"/>
        </w:rPr>
        <w:t xml:space="preserve">第七条 </w:t>
      </w:r>
      <w:r>
        <w:rPr>
          <w:rFonts w:hint="eastAsia" w:ascii="宋体" w:hAnsi="宋体" w:cs="宋体"/>
          <w:color w:val="auto"/>
          <w:sz w:val="24"/>
          <w:highlight w:val="none"/>
        </w:rPr>
        <w:t>评委会从每个投标人的投标文件开始独立评审，对开标后投标人所提出的优惠条件不予以考虑。按</w:t>
      </w:r>
      <w:r>
        <w:rPr>
          <w:rFonts w:hint="eastAsia" w:ascii="宋体" w:hAnsi="宋体" w:cs="宋体"/>
          <w:bCs/>
          <w:color w:val="auto"/>
          <w:sz w:val="24"/>
          <w:szCs w:val="22"/>
          <w:highlight w:val="none"/>
        </w:rPr>
        <w:t>综合得分从高到低的顺序评出中标候选人。</w:t>
      </w:r>
    </w:p>
    <w:p w14:paraId="2B8ECDF4">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color w:val="auto"/>
          <w:sz w:val="24"/>
          <w:highlight w:val="none"/>
        </w:rPr>
        <w:t xml:space="preserve">第八条 </w:t>
      </w:r>
      <w:r>
        <w:rPr>
          <w:rFonts w:hint="eastAsia" w:ascii="宋体" w:hAnsi="宋体" w:cs="宋体"/>
          <w:color w:val="auto"/>
          <w:sz w:val="24"/>
          <w:highlight w:val="none"/>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64BA4DEA">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color w:val="auto"/>
          <w:sz w:val="24"/>
          <w:highlight w:val="none"/>
        </w:rPr>
        <w:t>第九条</w:t>
      </w:r>
      <w:r>
        <w:rPr>
          <w:rFonts w:hint="eastAsia" w:ascii="宋体" w:hAnsi="宋体" w:cs="宋体"/>
          <w:color w:val="auto"/>
          <w:sz w:val="24"/>
          <w:highlight w:val="none"/>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7FB897B7">
      <w:pPr>
        <w:adjustRightInd w:val="0"/>
        <w:snapToGrid w:val="0"/>
        <w:spacing w:line="360" w:lineRule="auto"/>
        <w:ind w:right="-10" w:firstLine="480" w:firstLineChars="200"/>
        <w:rPr>
          <w:rFonts w:hint="eastAsia" w:ascii="宋体" w:hAnsi="宋体" w:cs="宋体"/>
          <w:color w:val="auto"/>
          <w:sz w:val="24"/>
          <w:highlight w:val="none"/>
        </w:rPr>
      </w:pPr>
      <w:r>
        <w:rPr>
          <w:rFonts w:hint="eastAsia" w:ascii="宋体" w:hAnsi="宋体"/>
          <w:color w:val="auto"/>
          <w:sz w:val="24"/>
          <w:highlight w:val="none"/>
        </w:rPr>
        <w:t>供应商不得相互串通投标报价，不得妨碍其他供应商的公平竞争，不得损害采购人或其他供应商的合法权益，供应商不得以向采购人、评委会成员行贿或者采取其他不正当手段谋取中标。对上述作出保</w:t>
      </w:r>
      <w:r>
        <w:rPr>
          <w:rFonts w:hint="eastAsia" w:ascii="宋体" w:hAnsi="宋体"/>
          <w:color w:val="auto"/>
          <w:sz w:val="10"/>
          <w:szCs w:val="10"/>
          <w:highlight w:val="none"/>
        </w:rPr>
        <w:t xml:space="preserve"> </w:t>
      </w:r>
      <w:r>
        <w:rPr>
          <w:rFonts w:hint="eastAsia" w:ascii="宋体" w:hAnsi="宋体"/>
          <w:color w:val="auto"/>
          <w:sz w:val="24"/>
          <w:highlight w:val="none"/>
        </w:rPr>
        <w:t>证并附投标文件中，否则视为不响应招标文件要求。</w:t>
      </w:r>
    </w:p>
    <w:tbl>
      <w:tblPr>
        <w:tblStyle w:val="24"/>
        <w:tblW w:w="95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2401"/>
        <w:gridCol w:w="2430"/>
        <w:gridCol w:w="1320"/>
        <w:gridCol w:w="2700"/>
      </w:tblGrid>
      <w:tr w14:paraId="77EBE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9" w:hRule="atLeast"/>
        </w:trPr>
        <w:tc>
          <w:tcPr>
            <w:tcW w:w="9581" w:type="dxa"/>
            <w:gridSpan w:val="5"/>
            <w:noWrap w:val="0"/>
            <w:vAlign w:val="center"/>
          </w:tcPr>
          <w:p w14:paraId="4520DB8F">
            <w:pPr>
              <w:pStyle w:val="45"/>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highlight w:val="none"/>
                <w:lang w:val="en-US" w:eastAsia="zh-CN"/>
              </w:rPr>
            </w:pPr>
            <w:r>
              <w:rPr>
                <w:rFonts w:hint="eastAsia" w:ascii="宋体" w:hAnsi="宋体" w:cs="宋体"/>
                <w:b/>
                <w:color w:val="auto"/>
                <w:kern w:val="2"/>
                <w:highlight w:val="none"/>
                <w:lang w:val="en-US" w:eastAsia="zh-CN"/>
              </w:rPr>
              <w:t>项目符合性审查表</w:t>
            </w:r>
          </w:p>
        </w:tc>
      </w:tr>
      <w:tr w14:paraId="621E1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6" w:hRule="atLeast"/>
        </w:trPr>
        <w:tc>
          <w:tcPr>
            <w:tcW w:w="730" w:type="dxa"/>
            <w:tcBorders>
              <w:bottom w:val="single" w:color="auto" w:sz="4" w:space="0"/>
            </w:tcBorders>
            <w:noWrap w:val="0"/>
            <w:vAlign w:val="center"/>
          </w:tcPr>
          <w:p w14:paraId="227EEE4F">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2401" w:type="dxa"/>
            <w:tcBorders>
              <w:bottom w:val="single" w:color="auto" w:sz="4" w:space="0"/>
            </w:tcBorders>
            <w:noWrap w:val="0"/>
            <w:vAlign w:val="center"/>
          </w:tcPr>
          <w:p w14:paraId="3369D38D">
            <w:pPr>
              <w:pStyle w:val="45"/>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highlight w:val="none"/>
                <w:lang w:val="en-US" w:eastAsia="zh-CN"/>
              </w:rPr>
            </w:pPr>
            <w:r>
              <w:rPr>
                <w:rFonts w:hint="eastAsia" w:ascii="宋体" w:hAnsi="宋体" w:cs="宋体"/>
                <w:color w:val="auto"/>
                <w:kern w:val="2"/>
                <w:szCs w:val="24"/>
                <w:highlight w:val="none"/>
                <w:lang w:val="en-US" w:eastAsia="zh-CN"/>
              </w:rPr>
              <w:t>指标名称</w:t>
            </w:r>
          </w:p>
        </w:tc>
        <w:tc>
          <w:tcPr>
            <w:tcW w:w="2430" w:type="dxa"/>
            <w:tcBorders>
              <w:bottom w:val="single" w:color="auto" w:sz="4" w:space="0"/>
            </w:tcBorders>
            <w:noWrap w:val="0"/>
            <w:vAlign w:val="center"/>
          </w:tcPr>
          <w:p w14:paraId="2589221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指标要求</w:t>
            </w:r>
          </w:p>
        </w:tc>
        <w:tc>
          <w:tcPr>
            <w:tcW w:w="1320" w:type="dxa"/>
            <w:tcBorders>
              <w:bottom w:val="single" w:color="auto" w:sz="4" w:space="0"/>
            </w:tcBorders>
            <w:noWrap w:val="0"/>
            <w:vAlign w:val="center"/>
          </w:tcPr>
          <w:p w14:paraId="36D44AE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是否</w:t>
            </w:r>
          </w:p>
          <w:p w14:paraId="4DA1F12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通过</w:t>
            </w:r>
          </w:p>
        </w:tc>
        <w:tc>
          <w:tcPr>
            <w:tcW w:w="2700" w:type="dxa"/>
            <w:tcBorders>
              <w:bottom w:val="single" w:color="auto" w:sz="4" w:space="0"/>
            </w:tcBorders>
            <w:noWrap w:val="0"/>
            <w:vAlign w:val="center"/>
          </w:tcPr>
          <w:p w14:paraId="18A1221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投标文件格式及</w:t>
            </w:r>
          </w:p>
          <w:p w14:paraId="5EB7A68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提交资料要求</w:t>
            </w:r>
          </w:p>
        </w:tc>
      </w:tr>
      <w:tr w14:paraId="762E1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3" w:hRule="atLeast"/>
        </w:trPr>
        <w:tc>
          <w:tcPr>
            <w:tcW w:w="730" w:type="dxa"/>
            <w:noWrap w:val="0"/>
            <w:vAlign w:val="center"/>
          </w:tcPr>
          <w:p w14:paraId="753087B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401" w:type="dxa"/>
            <w:noWrap w:val="0"/>
            <w:vAlign w:val="center"/>
          </w:tcPr>
          <w:p w14:paraId="538D3CE2">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投标人资格</w:t>
            </w:r>
          </w:p>
        </w:tc>
        <w:tc>
          <w:tcPr>
            <w:tcW w:w="2430" w:type="dxa"/>
            <w:noWrap w:val="0"/>
            <w:vAlign w:val="center"/>
          </w:tcPr>
          <w:p w14:paraId="71B82AFE">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见招标文件</w:t>
            </w:r>
          </w:p>
        </w:tc>
        <w:tc>
          <w:tcPr>
            <w:tcW w:w="1320" w:type="dxa"/>
            <w:noWrap w:val="0"/>
            <w:vAlign w:val="center"/>
          </w:tcPr>
          <w:p w14:paraId="1E4FCF67">
            <w:pPr>
              <w:adjustRightInd w:val="0"/>
              <w:snapToGrid w:val="0"/>
              <w:spacing w:line="360" w:lineRule="auto"/>
              <w:ind w:right="-10"/>
              <w:rPr>
                <w:rFonts w:hint="eastAsia" w:ascii="宋体" w:hAnsi="宋体" w:cs="宋体"/>
                <w:color w:val="auto"/>
                <w:sz w:val="24"/>
                <w:highlight w:val="none"/>
              </w:rPr>
            </w:pPr>
          </w:p>
        </w:tc>
        <w:tc>
          <w:tcPr>
            <w:tcW w:w="2700" w:type="dxa"/>
            <w:noWrap w:val="0"/>
            <w:vAlign w:val="center"/>
          </w:tcPr>
          <w:p w14:paraId="1CC8D89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0AAB3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3" w:hRule="atLeast"/>
        </w:trPr>
        <w:tc>
          <w:tcPr>
            <w:tcW w:w="730" w:type="dxa"/>
            <w:noWrap w:val="0"/>
            <w:vAlign w:val="center"/>
          </w:tcPr>
          <w:p w14:paraId="22E78679">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401" w:type="dxa"/>
            <w:noWrap w:val="0"/>
            <w:vAlign w:val="center"/>
          </w:tcPr>
          <w:p w14:paraId="7CDC4A91">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货物技术要求</w:t>
            </w:r>
          </w:p>
        </w:tc>
        <w:tc>
          <w:tcPr>
            <w:tcW w:w="2430" w:type="dxa"/>
            <w:noWrap w:val="0"/>
            <w:vAlign w:val="center"/>
          </w:tcPr>
          <w:p w14:paraId="7817EED5">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按评标办法</w:t>
            </w:r>
          </w:p>
        </w:tc>
        <w:tc>
          <w:tcPr>
            <w:tcW w:w="1320" w:type="dxa"/>
            <w:noWrap w:val="0"/>
            <w:vAlign w:val="center"/>
          </w:tcPr>
          <w:p w14:paraId="30140D23">
            <w:pPr>
              <w:adjustRightInd w:val="0"/>
              <w:snapToGrid w:val="0"/>
              <w:spacing w:line="360" w:lineRule="auto"/>
              <w:ind w:right="-10"/>
              <w:rPr>
                <w:rFonts w:hint="eastAsia" w:ascii="宋体" w:hAnsi="宋体" w:cs="宋体"/>
                <w:color w:val="auto"/>
                <w:sz w:val="24"/>
                <w:highlight w:val="none"/>
              </w:rPr>
            </w:pPr>
          </w:p>
        </w:tc>
        <w:tc>
          <w:tcPr>
            <w:tcW w:w="2700" w:type="dxa"/>
            <w:noWrap w:val="0"/>
            <w:vAlign w:val="center"/>
          </w:tcPr>
          <w:p w14:paraId="2678E4E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5F754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8" w:hRule="atLeast"/>
        </w:trPr>
        <w:tc>
          <w:tcPr>
            <w:tcW w:w="730" w:type="dxa"/>
            <w:noWrap w:val="0"/>
            <w:vAlign w:val="center"/>
          </w:tcPr>
          <w:p w14:paraId="72A2BD3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401" w:type="dxa"/>
            <w:noWrap w:val="0"/>
            <w:vAlign w:val="center"/>
          </w:tcPr>
          <w:p w14:paraId="7F05D965">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质保及售后等</w:t>
            </w:r>
          </w:p>
        </w:tc>
        <w:tc>
          <w:tcPr>
            <w:tcW w:w="2430" w:type="dxa"/>
            <w:noWrap w:val="0"/>
            <w:vAlign w:val="center"/>
          </w:tcPr>
          <w:p w14:paraId="2C93B5C8">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见招标文件</w:t>
            </w:r>
          </w:p>
        </w:tc>
        <w:tc>
          <w:tcPr>
            <w:tcW w:w="1320" w:type="dxa"/>
            <w:noWrap w:val="0"/>
            <w:vAlign w:val="center"/>
          </w:tcPr>
          <w:p w14:paraId="2848BDD8">
            <w:pPr>
              <w:adjustRightInd w:val="0"/>
              <w:snapToGrid w:val="0"/>
              <w:spacing w:line="360" w:lineRule="auto"/>
              <w:ind w:right="-10"/>
              <w:rPr>
                <w:rFonts w:hint="eastAsia" w:ascii="宋体" w:hAnsi="宋体" w:cs="宋体"/>
                <w:color w:val="auto"/>
                <w:sz w:val="24"/>
                <w:highlight w:val="none"/>
              </w:rPr>
            </w:pPr>
          </w:p>
        </w:tc>
        <w:tc>
          <w:tcPr>
            <w:tcW w:w="2700" w:type="dxa"/>
            <w:noWrap w:val="0"/>
            <w:vAlign w:val="center"/>
          </w:tcPr>
          <w:p w14:paraId="4D21D15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bl>
    <w:p w14:paraId="1B05574F">
      <w:pPr>
        <w:spacing w:line="360" w:lineRule="auto"/>
        <w:ind w:firstLine="482" w:firstLineChars="200"/>
        <w:rPr>
          <w:rFonts w:hint="eastAsia" w:ascii="宋体" w:hAnsi="宋体" w:cs="Arial"/>
          <w:color w:val="auto"/>
          <w:sz w:val="24"/>
          <w:szCs w:val="24"/>
          <w:highlight w:val="none"/>
        </w:rPr>
      </w:pPr>
      <w:r>
        <w:rPr>
          <w:rFonts w:hint="eastAsia" w:ascii="宋体" w:hAnsi="宋体"/>
          <w:b/>
          <w:bCs/>
          <w:color w:val="auto"/>
          <w:sz w:val="24"/>
          <w:highlight w:val="none"/>
        </w:rPr>
        <w:t>评分标准（满分为100分）</w:t>
      </w:r>
      <w:r>
        <w:rPr>
          <w:rFonts w:hint="eastAsia" w:ascii="宋体" w:hAnsi="宋体"/>
          <w:color w:val="auto"/>
          <w:sz w:val="24"/>
          <w:highlight w:val="none"/>
        </w:rPr>
        <w:t>说明:</w:t>
      </w:r>
      <w:r>
        <w:rPr>
          <w:rFonts w:hint="eastAsia" w:ascii="宋体" w:hAnsi="宋体" w:cs="Arial"/>
          <w:color w:val="auto"/>
          <w:sz w:val="24"/>
          <w:szCs w:val="24"/>
          <w:highlight w:val="none"/>
        </w:rPr>
        <w:t>各投标人的最终得分为各评委得分的算术平均值；评分分值计算保留小数点后两位，小数点后第三位“四舍五入”。</w:t>
      </w:r>
    </w:p>
    <w:p w14:paraId="4994F035">
      <w:pPr>
        <w:pBdr>
          <w:bottom w:val="dotted" w:color="auto" w:sz="24" w:space="1"/>
        </w:pBdr>
        <w:spacing w:line="240" w:lineRule="auto"/>
        <w:jc w:val="both"/>
        <w:rPr>
          <w:rFonts w:hint="eastAsia"/>
          <w:color w:val="auto"/>
          <w:sz w:val="32"/>
          <w:szCs w:val="32"/>
          <w:highlight w:val="none"/>
        </w:rPr>
      </w:pPr>
    </w:p>
    <w:p w14:paraId="29D64E38">
      <w:pPr>
        <w:pBdr>
          <w:bottom w:val="dotted" w:color="auto" w:sz="24" w:space="1"/>
        </w:pBdr>
        <w:spacing w:line="240" w:lineRule="auto"/>
        <w:jc w:val="both"/>
        <w:rPr>
          <w:rFonts w:hint="eastAsia"/>
          <w:color w:val="auto"/>
          <w:sz w:val="32"/>
          <w:szCs w:val="32"/>
          <w:highlight w:val="none"/>
        </w:rPr>
      </w:pPr>
    </w:p>
    <w:p w14:paraId="71B2D6DF">
      <w:pPr>
        <w:pBdr>
          <w:bottom w:val="dotted" w:color="auto" w:sz="24" w:space="1"/>
        </w:pBdr>
        <w:spacing w:line="240" w:lineRule="auto"/>
        <w:jc w:val="both"/>
        <w:rPr>
          <w:rFonts w:hint="eastAsia"/>
          <w:color w:val="auto"/>
          <w:sz w:val="32"/>
          <w:szCs w:val="32"/>
          <w:highlight w:val="none"/>
        </w:rPr>
      </w:pPr>
    </w:p>
    <w:p w14:paraId="6B7AA39C">
      <w:pPr>
        <w:pStyle w:val="8"/>
        <w:spacing w:line="360" w:lineRule="auto"/>
        <w:ind w:left="0" w:leftChars="0" w:right="-10" w:firstLine="0" w:firstLineChars="0"/>
        <w:rPr>
          <w:rFonts w:hint="eastAsia"/>
          <w:b/>
          <w:bCs/>
          <w:color w:val="auto"/>
          <w:sz w:val="32"/>
          <w:szCs w:val="32"/>
          <w:highlight w:val="none"/>
          <w:lang w:val="en-US" w:eastAsia="zh-CN"/>
        </w:rPr>
      </w:pPr>
    </w:p>
    <w:p w14:paraId="1AEA733B">
      <w:pPr>
        <w:pStyle w:val="8"/>
        <w:spacing w:line="360" w:lineRule="auto"/>
        <w:ind w:left="0" w:leftChars="0" w:right="-10" w:firstLine="0" w:firstLineChars="0"/>
        <w:rPr>
          <w:rFonts w:hint="eastAsia"/>
          <w:b/>
          <w:bCs/>
          <w:color w:val="auto"/>
          <w:sz w:val="32"/>
          <w:szCs w:val="32"/>
          <w:highlight w:val="none"/>
          <w:lang w:val="en-US" w:eastAsia="zh-CN"/>
        </w:rPr>
      </w:pPr>
    </w:p>
    <w:p w14:paraId="5BA91EEF">
      <w:pPr>
        <w:pStyle w:val="8"/>
        <w:spacing w:line="360" w:lineRule="auto"/>
        <w:ind w:left="0" w:leftChars="0" w:right="-10" w:firstLine="0" w:firstLineChars="0"/>
        <w:rPr>
          <w:rFonts w:hint="eastAsia"/>
          <w:b/>
          <w:bCs/>
          <w:color w:val="auto"/>
          <w:sz w:val="32"/>
          <w:szCs w:val="32"/>
          <w:highlight w:val="none"/>
          <w:lang w:val="en-US" w:eastAsia="zh-CN"/>
        </w:rPr>
      </w:pPr>
    </w:p>
    <w:p w14:paraId="0146501F">
      <w:pPr>
        <w:pStyle w:val="8"/>
        <w:spacing w:line="360" w:lineRule="auto"/>
        <w:ind w:left="0" w:leftChars="0" w:right="-10" w:firstLine="0" w:firstLineChars="0"/>
        <w:rPr>
          <w:rFonts w:hint="eastAsia"/>
          <w:b/>
          <w:bCs/>
          <w:color w:val="auto"/>
          <w:sz w:val="32"/>
          <w:szCs w:val="32"/>
          <w:highlight w:val="none"/>
          <w:lang w:val="en-US" w:eastAsia="zh-CN"/>
        </w:rPr>
      </w:pPr>
    </w:p>
    <w:p w14:paraId="5973EAE4">
      <w:pPr>
        <w:pStyle w:val="8"/>
        <w:spacing w:line="360" w:lineRule="auto"/>
        <w:ind w:left="0" w:leftChars="0" w:right="-10" w:firstLine="0" w:firstLineChars="0"/>
        <w:rPr>
          <w:rFonts w:hint="eastAsia"/>
          <w:b/>
          <w:bCs/>
          <w:color w:val="auto"/>
          <w:sz w:val="32"/>
          <w:szCs w:val="32"/>
          <w:highlight w:val="none"/>
          <w:lang w:val="en-US" w:eastAsia="zh-CN"/>
        </w:rPr>
      </w:pPr>
    </w:p>
    <w:p w14:paraId="76363386">
      <w:pPr>
        <w:pStyle w:val="8"/>
        <w:spacing w:line="360" w:lineRule="auto"/>
        <w:ind w:left="0" w:leftChars="0" w:right="-10" w:firstLine="0" w:firstLineChars="0"/>
        <w:rPr>
          <w:rFonts w:hint="eastAsia"/>
          <w:b/>
          <w:bCs/>
          <w:color w:val="auto"/>
          <w:sz w:val="32"/>
          <w:szCs w:val="32"/>
          <w:highlight w:val="none"/>
          <w:lang w:val="en-US" w:eastAsia="zh-CN"/>
        </w:rPr>
      </w:pPr>
    </w:p>
    <w:p w14:paraId="48373CA4">
      <w:pPr>
        <w:pStyle w:val="8"/>
        <w:spacing w:line="360" w:lineRule="auto"/>
        <w:ind w:left="0" w:leftChars="0" w:right="-10" w:firstLine="0" w:firstLineChars="0"/>
        <w:rPr>
          <w:rFonts w:hint="eastAsia"/>
          <w:b/>
          <w:bCs/>
          <w:color w:val="auto"/>
          <w:sz w:val="32"/>
          <w:szCs w:val="32"/>
          <w:highlight w:val="none"/>
          <w:lang w:val="en-US" w:eastAsia="zh-CN"/>
        </w:rPr>
      </w:pPr>
      <w:r>
        <w:rPr>
          <w:rFonts w:hint="eastAsia"/>
          <w:b/>
          <w:bCs/>
          <w:color w:val="auto"/>
          <w:sz w:val="32"/>
          <w:szCs w:val="32"/>
          <w:highlight w:val="none"/>
          <w:lang w:val="en-US" w:eastAsia="zh-CN"/>
        </w:rPr>
        <w:t>2标评标办法：</w:t>
      </w:r>
    </w:p>
    <w:tbl>
      <w:tblPr>
        <w:tblStyle w:val="24"/>
        <w:tblW w:w="101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1377"/>
        <w:gridCol w:w="1789"/>
        <w:gridCol w:w="4935"/>
        <w:gridCol w:w="1177"/>
      </w:tblGrid>
      <w:tr w14:paraId="45C3F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91" w:type="dxa"/>
            <w:gridSpan w:val="2"/>
            <w:noWrap w:val="0"/>
            <w:vAlign w:val="center"/>
          </w:tcPr>
          <w:p w14:paraId="52C4FFC8">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条款号</w:t>
            </w:r>
          </w:p>
        </w:tc>
        <w:tc>
          <w:tcPr>
            <w:tcW w:w="6724" w:type="dxa"/>
            <w:gridSpan w:val="2"/>
            <w:noWrap w:val="0"/>
            <w:vAlign w:val="center"/>
          </w:tcPr>
          <w:p w14:paraId="58DB5DA9">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评分因素</w:t>
            </w:r>
          </w:p>
        </w:tc>
        <w:tc>
          <w:tcPr>
            <w:tcW w:w="1177" w:type="dxa"/>
            <w:noWrap w:val="0"/>
            <w:vAlign w:val="center"/>
          </w:tcPr>
          <w:p w14:paraId="440FAC0A">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评分标准</w:t>
            </w:r>
          </w:p>
        </w:tc>
      </w:tr>
      <w:tr w14:paraId="22D29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4" w:type="dxa"/>
            <w:noWrap w:val="0"/>
            <w:vAlign w:val="center"/>
          </w:tcPr>
          <w:p w14:paraId="370FE55C">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w:t>
            </w:r>
          </w:p>
        </w:tc>
        <w:tc>
          <w:tcPr>
            <w:tcW w:w="1377" w:type="dxa"/>
            <w:noWrap w:val="0"/>
            <w:vAlign w:val="center"/>
          </w:tcPr>
          <w:p w14:paraId="171F75CA">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投标报价</w:t>
            </w:r>
          </w:p>
          <w:p w14:paraId="4083410C">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（满分30分）</w:t>
            </w:r>
          </w:p>
        </w:tc>
        <w:tc>
          <w:tcPr>
            <w:tcW w:w="6724" w:type="dxa"/>
            <w:gridSpan w:val="2"/>
            <w:noWrap w:val="0"/>
            <w:vAlign w:val="center"/>
          </w:tcPr>
          <w:p w14:paraId="18211547">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1）价格分采用低价优先法计算，即通过资格性和符合性审查且投标价格最低的投标报价为评标基准价，其价格得分为满分30分。</w:t>
            </w:r>
          </w:p>
          <w:p w14:paraId="32405DE0">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2）其他投标人的价格分统一按照下列</w:t>
            </w:r>
            <w:r>
              <w:rPr>
                <w:rFonts w:hint="eastAsia" w:ascii="宋体" w:hAnsi="宋体" w:eastAsia="宋体" w:cs="宋体"/>
                <w:bCs/>
                <w:color w:val="auto"/>
                <w:kern w:val="2"/>
                <w:sz w:val="24"/>
                <w:szCs w:val="24"/>
                <w:highlight w:val="none"/>
                <w:lang w:val="en-US" w:eastAsia="zh-CN"/>
              </w:rPr>
              <w:t>公式</w:t>
            </w:r>
            <w:r>
              <w:rPr>
                <w:rFonts w:hint="eastAsia" w:ascii="宋体" w:hAnsi="宋体" w:eastAsia="宋体" w:cs="宋体"/>
                <w:bCs/>
                <w:color w:val="auto"/>
                <w:kern w:val="2"/>
                <w:sz w:val="24"/>
                <w:szCs w:val="24"/>
                <w:highlight w:val="none"/>
              </w:rPr>
              <w:t>计算：</w:t>
            </w:r>
          </w:p>
          <w:p w14:paraId="3F9EB8BC">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投标报价得分=(评标基准价／投标报价)×30</w:t>
            </w:r>
          </w:p>
          <w:p w14:paraId="2527F11A">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备注：价格分计算保留小数点后二位。</w:t>
            </w:r>
          </w:p>
          <w:p w14:paraId="3A8CF655">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根据财政部、工信部关于印发《政府采购促进中小企业发展管理办法》的通知（财库〔2020〕46号）文件规定：</w:t>
            </w:r>
          </w:p>
          <w:p w14:paraId="1B25EBDA">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（1）对小微企业报价给予</w:t>
            </w:r>
            <w:r>
              <w:rPr>
                <w:rFonts w:hint="eastAsia" w:ascii="宋体" w:hAnsi="宋体" w:eastAsia="宋体" w:cs="宋体"/>
                <w:bCs/>
                <w:color w:val="auto"/>
                <w:kern w:val="2"/>
                <w:sz w:val="24"/>
                <w:szCs w:val="24"/>
                <w:highlight w:val="none"/>
                <w:lang w:val="en-US" w:eastAsia="zh-CN"/>
              </w:rPr>
              <w:t>20</w:t>
            </w:r>
            <w:r>
              <w:rPr>
                <w:rFonts w:hint="eastAsia" w:ascii="宋体" w:hAnsi="宋体" w:eastAsia="宋体" w:cs="宋体"/>
                <w:bCs/>
                <w:color w:val="auto"/>
                <w:kern w:val="2"/>
                <w:sz w:val="24"/>
                <w:szCs w:val="24"/>
                <w:highlight w:val="none"/>
              </w:rPr>
              <w:t>%扣除，请按照《政府采购促进中小企业发展管理办法》要求提供中小企业声明函。</w:t>
            </w:r>
          </w:p>
          <w:p w14:paraId="53532BE4">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（2）关于监狱企业：视同小微企业。须提供由省级以上监狱管理局、戒毒管理局（含新疆生产建设兵团）出具的属于监狱企业的证明文件，否则不考虑价格扣除。</w:t>
            </w:r>
          </w:p>
          <w:p w14:paraId="60923480">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7CD1302F">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（4）没有提供有效证明材料的供应商将被视为不接受投标总价的扣除，用原投标总价参与评审。</w:t>
            </w:r>
          </w:p>
        </w:tc>
        <w:tc>
          <w:tcPr>
            <w:tcW w:w="1177" w:type="dxa"/>
            <w:noWrap w:val="0"/>
            <w:vAlign w:val="center"/>
          </w:tcPr>
          <w:p w14:paraId="1A5CBE64">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30分</w:t>
            </w:r>
          </w:p>
        </w:tc>
      </w:tr>
      <w:tr w14:paraId="1E72E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914" w:type="dxa"/>
            <w:vMerge w:val="restart"/>
            <w:noWrap w:val="0"/>
            <w:vAlign w:val="center"/>
          </w:tcPr>
          <w:p w14:paraId="5CC92B7F">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（2）</w:t>
            </w:r>
          </w:p>
        </w:tc>
        <w:tc>
          <w:tcPr>
            <w:tcW w:w="1377" w:type="dxa"/>
            <w:vMerge w:val="restart"/>
            <w:noWrap w:val="0"/>
            <w:vAlign w:val="center"/>
          </w:tcPr>
          <w:p w14:paraId="133F409E">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技术部分</w:t>
            </w:r>
          </w:p>
          <w:p w14:paraId="2F1C416E">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w:t>
            </w:r>
            <w:r>
              <w:rPr>
                <w:rFonts w:hint="eastAsia" w:ascii="宋体" w:hAnsi="宋体" w:eastAsia="宋体" w:cs="宋体"/>
                <w:bCs/>
                <w:color w:val="auto"/>
                <w:kern w:val="2"/>
                <w:sz w:val="24"/>
                <w:szCs w:val="24"/>
                <w:highlight w:val="none"/>
                <w:lang w:val="en-US" w:eastAsia="zh-CN"/>
              </w:rPr>
              <w:t>42</w:t>
            </w:r>
            <w:r>
              <w:rPr>
                <w:rFonts w:hint="eastAsia" w:ascii="宋体" w:hAnsi="宋体" w:eastAsia="宋体" w:cs="宋体"/>
                <w:bCs/>
                <w:color w:val="auto"/>
                <w:kern w:val="2"/>
                <w:sz w:val="24"/>
                <w:szCs w:val="24"/>
                <w:highlight w:val="none"/>
              </w:rPr>
              <w:t>分）</w:t>
            </w:r>
          </w:p>
        </w:tc>
        <w:tc>
          <w:tcPr>
            <w:tcW w:w="1789" w:type="dxa"/>
            <w:noWrap w:val="0"/>
            <w:vAlign w:val="center"/>
          </w:tcPr>
          <w:p w14:paraId="4577F477">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lang w:eastAsia="zh-CN"/>
              </w:rPr>
            </w:pPr>
            <w:r>
              <w:rPr>
                <w:rFonts w:hint="eastAsia" w:ascii="宋体" w:hAnsi="宋体" w:eastAsia="宋体" w:cs="宋体"/>
                <w:bCs/>
                <w:color w:val="auto"/>
                <w:kern w:val="2"/>
                <w:sz w:val="24"/>
                <w:szCs w:val="24"/>
                <w:highlight w:val="none"/>
              </w:rPr>
              <w:t>所投货物技术参数</w:t>
            </w:r>
            <w:r>
              <w:rPr>
                <w:rFonts w:hint="eastAsia" w:ascii="宋体" w:hAnsi="宋体" w:eastAsia="宋体" w:cs="宋体"/>
                <w:bCs/>
                <w:color w:val="auto"/>
                <w:kern w:val="2"/>
                <w:sz w:val="24"/>
                <w:szCs w:val="24"/>
                <w:highlight w:val="none"/>
                <w:lang w:val="en-US" w:eastAsia="zh-CN"/>
              </w:rPr>
              <w:t>20</w:t>
            </w:r>
            <w:r>
              <w:rPr>
                <w:rFonts w:hint="eastAsia" w:ascii="宋体" w:hAnsi="宋体" w:eastAsia="宋体" w:cs="宋体"/>
                <w:bCs/>
                <w:color w:val="auto"/>
                <w:kern w:val="2"/>
                <w:sz w:val="24"/>
                <w:szCs w:val="24"/>
                <w:highlight w:val="none"/>
              </w:rPr>
              <w:t>分</w:t>
            </w:r>
          </w:p>
        </w:tc>
        <w:tc>
          <w:tcPr>
            <w:tcW w:w="4935" w:type="dxa"/>
            <w:noWrap w:val="0"/>
            <w:vAlign w:val="center"/>
          </w:tcPr>
          <w:p w14:paraId="3F9E04D3">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lang w:val="en-US" w:eastAsia="zh-CN"/>
              </w:rPr>
            </w:pPr>
            <w:r>
              <w:rPr>
                <w:rFonts w:hint="eastAsia" w:ascii="宋体" w:hAnsi="宋体" w:eastAsia="宋体" w:cs="宋体"/>
                <w:bCs/>
                <w:color w:val="auto"/>
                <w:kern w:val="2"/>
                <w:sz w:val="24"/>
                <w:szCs w:val="24"/>
                <w:highlight w:val="none"/>
                <w:lang w:val="en-US" w:eastAsia="zh-CN"/>
              </w:rPr>
              <w:t>根据供应商对招标文件“货物需求及技术规格参数”的响应情况进行评分,所有条款全部满足或优于招标文件技术规格要求的得基本分20分；</w:t>
            </w:r>
          </w:p>
        </w:tc>
        <w:tc>
          <w:tcPr>
            <w:tcW w:w="1177" w:type="dxa"/>
            <w:noWrap w:val="0"/>
            <w:vAlign w:val="center"/>
          </w:tcPr>
          <w:p w14:paraId="34B2A34F">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lang w:val="en-US" w:eastAsia="zh-CN"/>
              </w:rPr>
              <w:t>20</w:t>
            </w:r>
            <w:r>
              <w:rPr>
                <w:rFonts w:hint="eastAsia" w:ascii="宋体" w:hAnsi="宋体" w:eastAsia="宋体" w:cs="宋体"/>
                <w:bCs/>
                <w:color w:val="auto"/>
                <w:kern w:val="2"/>
                <w:sz w:val="24"/>
                <w:szCs w:val="24"/>
                <w:highlight w:val="none"/>
              </w:rPr>
              <w:t>分</w:t>
            </w:r>
          </w:p>
        </w:tc>
      </w:tr>
      <w:tr w14:paraId="66C00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4" w:type="dxa"/>
            <w:vMerge w:val="continue"/>
            <w:noWrap w:val="0"/>
            <w:vAlign w:val="center"/>
          </w:tcPr>
          <w:p w14:paraId="1FAD2546">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p>
        </w:tc>
        <w:tc>
          <w:tcPr>
            <w:tcW w:w="1377" w:type="dxa"/>
            <w:vMerge w:val="continue"/>
            <w:noWrap w:val="0"/>
            <w:vAlign w:val="center"/>
          </w:tcPr>
          <w:p w14:paraId="3B29AAB8">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p>
        </w:tc>
        <w:tc>
          <w:tcPr>
            <w:tcW w:w="1789" w:type="dxa"/>
            <w:noWrap w:val="0"/>
            <w:vAlign w:val="center"/>
          </w:tcPr>
          <w:p w14:paraId="0C60486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项目实施方案</w:t>
            </w:r>
          </w:p>
          <w:p w14:paraId="31B1A4C2">
            <w:pPr>
              <w:jc w:val="center"/>
              <w:rPr>
                <w:rFonts w:hint="eastAsia" w:ascii="宋体" w:hAnsi="宋体" w:eastAsia="宋体" w:cs="宋体"/>
                <w:bCs/>
                <w:color w:val="auto"/>
                <w:kern w:val="2"/>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tc>
        <w:tc>
          <w:tcPr>
            <w:tcW w:w="4935" w:type="dxa"/>
            <w:noWrap w:val="0"/>
            <w:vAlign w:val="center"/>
          </w:tcPr>
          <w:p w14:paraId="2B960E79">
            <w:pPr>
              <w:autoSpaceDE w:val="0"/>
              <w:autoSpaceDN w:val="0"/>
              <w:adjustRightInd w:val="0"/>
              <w:ind w:right="21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（1）根据供应商针对本项目生产计划、材料及产品质量控制、工艺控制</w:t>
            </w:r>
            <w:r>
              <w:rPr>
                <w:rFonts w:hint="eastAsia" w:ascii="宋体" w:hAnsi="宋体" w:eastAsia="宋体" w:cs="宋体"/>
                <w:color w:val="auto"/>
                <w:sz w:val="24"/>
                <w:szCs w:val="24"/>
                <w:highlight w:val="none"/>
                <w:lang w:eastAsia="zh-CN"/>
              </w:rPr>
              <w:t>的实施</w:t>
            </w:r>
            <w:r>
              <w:rPr>
                <w:rFonts w:hint="eastAsia" w:ascii="宋体" w:hAnsi="宋体" w:eastAsia="宋体" w:cs="宋体"/>
                <w:color w:val="auto"/>
                <w:sz w:val="24"/>
                <w:szCs w:val="24"/>
                <w:highlight w:val="none"/>
              </w:rPr>
              <w:t>方案，得</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缺一项扣2分，扣完为止</w:t>
            </w:r>
            <w:r>
              <w:rPr>
                <w:rFonts w:hint="eastAsia" w:ascii="宋体" w:hAnsi="宋体" w:eastAsia="宋体" w:cs="宋体"/>
                <w:color w:val="auto"/>
                <w:sz w:val="24"/>
                <w:szCs w:val="24"/>
                <w:highlight w:val="none"/>
              </w:rPr>
              <w:t>。</w:t>
            </w:r>
          </w:p>
          <w:p w14:paraId="65B6590D">
            <w:pPr>
              <w:autoSpaceDE w:val="0"/>
              <w:autoSpaceDN w:val="0"/>
              <w:adjustRightInd w:val="0"/>
              <w:ind w:right="210" w:rightChars="0"/>
              <w:rPr>
                <w:rFonts w:hint="eastAsia" w:ascii="宋体" w:hAnsi="宋体" w:eastAsia="宋体" w:cs="宋体"/>
                <w:bCs/>
                <w:color w:val="auto"/>
                <w:kern w:val="2"/>
                <w:sz w:val="24"/>
                <w:szCs w:val="24"/>
                <w:highlight w:val="none"/>
                <w:lang w:val="en-US" w:eastAsia="zh-CN"/>
              </w:rPr>
            </w:pPr>
            <w:r>
              <w:rPr>
                <w:rFonts w:hint="eastAsia" w:ascii="宋体" w:hAnsi="宋体" w:eastAsia="宋体" w:cs="宋体"/>
                <w:color w:val="auto"/>
                <w:sz w:val="24"/>
                <w:szCs w:val="24"/>
                <w:highlight w:val="none"/>
              </w:rPr>
              <w:t>（2）根据供应商供货服务方案的可操作性：包括物品供货、以及确保按时交付、正常运行的措施，得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不提供不得分</w:t>
            </w:r>
            <w:r>
              <w:rPr>
                <w:rFonts w:hint="eastAsia" w:ascii="宋体" w:hAnsi="宋体" w:eastAsia="宋体" w:cs="宋体"/>
                <w:color w:val="auto"/>
                <w:sz w:val="24"/>
                <w:szCs w:val="24"/>
                <w:highlight w:val="none"/>
              </w:rPr>
              <w:t>。</w:t>
            </w:r>
          </w:p>
        </w:tc>
        <w:tc>
          <w:tcPr>
            <w:tcW w:w="1177" w:type="dxa"/>
            <w:noWrap w:val="0"/>
            <w:vAlign w:val="center"/>
          </w:tcPr>
          <w:p w14:paraId="3B6345AD">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lang w:val="en-US" w:eastAsia="zh-CN"/>
              </w:rPr>
            </w:pPr>
            <w:r>
              <w:rPr>
                <w:rFonts w:hint="eastAsia" w:ascii="宋体" w:hAnsi="宋体" w:eastAsia="宋体" w:cs="宋体"/>
                <w:bCs/>
                <w:color w:val="auto"/>
                <w:kern w:val="2"/>
                <w:sz w:val="24"/>
                <w:szCs w:val="24"/>
                <w:highlight w:val="none"/>
                <w:lang w:val="en-US" w:eastAsia="zh-CN"/>
              </w:rPr>
              <w:t>10分</w:t>
            </w:r>
          </w:p>
        </w:tc>
      </w:tr>
      <w:tr w14:paraId="77AAA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0" w:hRule="atLeast"/>
          <w:jc w:val="center"/>
        </w:trPr>
        <w:tc>
          <w:tcPr>
            <w:tcW w:w="914" w:type="dxa"/>
            <w:vMerge w:val="continue"/>
            <w:noWrap w:val="0"/>
            <w:vAlign w:val="center"/>
          </w:tcPr>
          <w:p w14:paraId="4C96FAF3">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p>
        </w:tc>
        <w:tc>
          <w:tcPr>
            <w:tcW w:w="1377" w:type="dxa"/>
            <w:vMerge w:val="continue"/>
            <w:noWrap w:val="0"/>
            <w:vAlign w:val="center"/>
          </w:tcPr>
          <w:p w14:paraId="34CBB56D">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p>
        </w:tc>
        <w:tc>
          <w:tcPr>
            <w:tcW w:w="1789" w:type="dxa"/>
            <w:noWrap w:val="0"/>
            <w:vAlign w:val="center"/>
          </w:tcPr>
          <w:p w14:paraId="522D228E">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lang w:eastAsia="zh-CN"/>
              </w:rPr>
            </w:pPr>
            <w:r>
              <w:rPr>
                <w:rFonts w:hint="eastAsia" w:ascii="宋体" w:hAnsi="宋体" w:eastAsia="宋体" w:cs="宋体"/>
                <w:bCs/>
                <w:color w:val="auto"/>
                <w:kern w:val="2"/>
                <w:sz w:val="24"/>
                <w:szCs w:val="24"/>
                <w:highlight w:val="none"/>
              </w:rPr>
              <w:t>货物质量保证措施（</w:t>
            </w:r>
            <w:r>
              <w:rPr>
                <w:rFonts w:hint="eastAsia" w:ascii="宋体" w:hAnsi="宋体" w:eastAsia="宋体" w:cs="宋体"/>
                <w:bCs/>
                <w:color w:val="auto"/>
                <w:kern w:val="2"/>
                <w:sz w:val="24"/>
                <w:szCs w:val="24"/>
                <w:highlight w:val="none"/>
                <w:lang w:val="en-US" w:eastAsia="zh-CN"/>
              </w:rPr>
              <w:t>6</w:t>
            </w:r>
            <w:r>
              <w:rPr>
                <w:rFonts w:hint="eastAsia" w:ascii="宋体" w:hAnsi="宋体" w:eastAsia="宋体" w:cs="宋体"/>
                <w:bCs/>
                <w:color w:val="auto"/>
                <w:kern w:val="2"/>
                <w:sz w:val="24"/>
                <w:szCs w:val="24"/>
                <w:highlight w:val="none"/>
              </w:rPr>
              <w:t>分）</w:t>
            </w:r>
          </w:p>
        </w:tc>
        <w:tc>
          <w:tcPr>
            <w:tcW w:w="4935" w:type="dxa"/>
            <w:noWrap w:val="0"/>
            <w:vAlign w:val="center"/>
          </w:tcPr>
          <w:p w14:paraId="58A51CF2">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default" w:ascii="宋体" w:hAnsi="宋体" w:eastAsia="宋体" w:cs="宋体"/>
                <w:bCs/>
                <w:color w:val="auto"/>
                <w:kern w:val="2"/>
                <w:sz w:val="24"/>
                <w:szCs w:val="24"/>
                <w:highlight w:val="none"/>
                <w:lang w:val="en-US" w:eastAsia="zh-CN"/>
              </w:rPr>
            </w:pPr>
            <w:r>
              <w:rPr>
                <w:rFonts w:hint="eastAsia" w:ascii="宋体" w:hAnsi="宋体" w:eastAsia="宋体" w:cs="宋体"/>
                <w:bCs/>
                <w:color w:val="auto"/>
                <w:kern w:val="2"/>
                <w:sz w:val="24"/>
                <w:szCs w:val="24"/>
                <w:highlight w:val="none"/>
              </w:rPr>
              <w:t>质量保证体系及措施（包括但不仅限于原材料采购、货物生产及工艺、检验、运输、安装、验收等质量保障措施）得</w:t>
            </w:r>
            <w:r>
              <w:rPr>
                <w:rFonts w:hint="eastAsia" w:ascii="宋体" w:hAnsi="宋体" w:eastAsia="宋体" w:cs="宋体"/>
                <w:bCs/>
                <w:color w:val="auto"/>
                <w:kern w:val="2"/>
                <w:sz w:val="24"/>
                <w:szCs w:val="24"/>
                <w:highlight w:val="none"/>
                <w:lang w:val="en-US" w:eastAsia="zh-CN"/>
              </w:rPr>
              <w:t>6</w:t>
            </w:r>
            <w:r>
              <w:rPr>
                <w:rFonts w:hint="eastAsia" w:ascii="宋体" w:hAnsi="宋体" w:eastAsia="宋体" w:cs="宋体"/>
                <w:bCs/>
                <w:color w:val="auto"/>
                <w:kern w:val="2"/>
                <w:sz w:val="24"/>
                <w:szCs w:val="24"/>
                <w:highlight w:val="none"/>
              </w:rPr>
              <w:t>分，</w:t>
            </w:r>
            <w:r>
              <w:rPr>
                <w:rFonts w:hint="eastAsia" w:ascii="宋体" w:hAnsi="宋体" w:eastAsia="宋体" w:cs="宋体"/>
                <w:bCs/>
                <w:color w:val="auto"/>
                <w:kern w:val="2"/>
                <w:sz w:val="24"/>
                <w:szCs w:val="24"/>
                <w:highlight w:val="none"/>
                <w:lang w:val="en-US" w:eastAsia="zh-CN"/>
              </w:rPr>
              <w:t>每缺一项扣1分，扣完为止。</w:t>
            </w:r>
          </w:p>
        </w:tc>
        <w:tc>
          <w:tcPr>
            <w:tcW w:w="1177" w:type="dxa"/>
            <w:noWrap w:val="0"/>
            <w:vAlign w:val="center"/>
          </w:tcPr>
          <w:p w14:paraId="372B06FD">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lang w:val="en-US" w:eastAsia="zh-CN"/>
              </w:rPr>
              <w:t>6</w:t>
            </w:r>
            <w:r>
              <w:rPr>
                <w:rFonts w:hint="eastAsia" w:ascii="宋体" w:hAnsi="宋体" w:eastAsia="宋体" w:cs="宋体"/>
                <w:bCs/>
                <w:color w:val="auto"/>
                <w:kern w:val="2"/>
                <w:sz w:val="24"/>
                <w:szCs w:val="24"/>
                <w:highlight w:val="none"/>
              </w:rPr>
              <w:t>分</w:t>
            </w:r>
          </w:p>
        </w:tc>
      </w:tr>
      <w:tr w14:paraId="16826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0" w:hRule="atLeast"/>
          <w:jc w:val="center"/>
        </w:trPr>
        <w:tc>
          <w:tcPr>
            <w:tcW w:w="914" w:type="dxa"/>
            <w:vMerge w:val="continue"/>
            <w:noWrap w:val="0"/>
            <w:vAlign w:val="center"/>
          </w:tcPr>
          <w:p w14:paraId="6EB5526C">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p>
        </w:tc>
        <w:tc>
          <w:tcPr>
            <w:tcW w:w="1377" w:type="dxa"/>
            <w:vMerge w:val="continue"/>
            <w:noWrap w:val="0"/>
            <w:vAlign w:val="center"/>
          </w:tcPr>
          <w:p w14:paraId="1ABDDF46">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p>
        </w:tc>
        <w:tc>
          <w:tcPr>
            <w:tcW w:w="1789" w:type="dxa"/>
            <w:noWrap w:val="0"/>
            <w:vAlign w:val="center"/>
          </w:tcPr>
          <w:p w14:paraId="382D0CF3">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lang w:eastAsia="zh-CN"/>
              </w:rPr>
            </w:pPr>
            <w:r>
              <w:rPr>
                <w:rFonts w:hint="eastAsia" w:ascii="宋体" w:hAnsi="宋体" w:eastAsia="宋体" w:cs="宋体"/>
                <w:bCs/>
                <w:color w:val="auto"/>
                <w:kern w:val="2"/>
                <w:sz w:val="24"/>
                <w:szCs w:val="24"/>
                <w:highlight w:val="none"/>
                <w:lang w:eastAsia="zh-CN"/>
              </w:rPr>
              <w:t>突发事件应急预案(6分)</w:t>
            </w:r>
          </w:p>
        </w:tc>
        <w:tc>
          <w:tcPr>
            <w:tcW w:w="4935" w:type="dxa"/>
            <w:noWrap w:val="0"/>
            <w:vAlign w:val="center"/>
          </w:tcPr>
          <w:p w14:paraId="0EF8E868">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供应商提供的突发事件应急预案；包含应急备品备件、突发事件应急保障管理机构、突发事件应急处置流程、应急保障措施等得6分，缺项或不提供不得分。</w:t>
            </w:r>
          </w:p>
        </w:tc>
        <w:tc>
          <w:tcPr>
            <w:tcW w:w="1177" w:type="dxa"/>
            <w:noWrap w:val="0"/>
            <w:vAlign w:val="center"/>
          </w:tcPr>
          <w:p w14:paraId="2917A6B8">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lang w:val="en-US" w:eastAsia="zh-CN"/>
              </w:rPr>
            </w:pPr>
            <w:r>
              <w:rPr>
                <w:rFonts w:hint="eastAsia" w:ascii="宋体" w:hAnsi="宋体" w:eastAsia="宋体" w:cs="宋体"/>
                <w:bCs/>
                <w:color w:val="auto"/>
                <w:kern w:val="2"/>
                <w:sz w:val="24"/>
                <w:szCs w:val="24"/>
                <w:highlight w:val="none"/>
                <w:lang w:val="en-US" w:eastAsia="zh-CN"/>
              </w:rPr>
              <w:t>6</w:t>
            </w:r>
            <w:r>
              <w:rPr>
                <w:rFonts w:hint="eastAsia" w:ascii="宋体" w:hAnsi="宋体" w:eastAsia="宋体" w:cs="宋体"/>
                <w:bCs/>
                <w:color w:val="auto"/>
                <w:kern w:val="2"/>
                <w:sz w:val="24"/>
                <w:szCs w:val="24"/>
                <w:highlight w:val="none"/>
              </w:rPr>
              <w:t>分</w:t>
            </w:r>
          </w:p>
        </w:tc>
      </w:tr>
      <w:tr w14:paraId="6D808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914" w:type="dxa"/>
            <w:vMerge w:val="restart"/>
            <w:noWrap w:val="0"/>
            <w:vAlign w:val="center"/>
          </w:tcPr>
          <w:p w14:paraId="72EF2BB0">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（3）</w:t>
            </w:r>
          </w:p>
        </w:tc>
        <w:tc>
          <w:tcPr>
            <w:tcW w:w="1377" w:type="dxa"/>
            <w:vMerge w:val="restart"/>
            <w:noWrap w:val="0"/>
            <w:vAlign w:val="center"/>
          </w:tcPr>
          <w:p w14:paraId="3A00EAF7">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lang w:eastAsia="zh-CN"/>
              </w:rPr>
            </w:pPr>
            <w:r>
              <w:rPr>
                <w:rFonts w:hint="eastAsia" w:ascii="宋体" w:hAnsi="宋体" w:eastAsia="宋体" w:cs="宋体"/>
                <w:bCs/>
                <w:color w:val="auto"/>
                <w:kern w:val="2"/>
                <w:sz w:val="24"/>
                <w:szCs w:val="24"/>
                <w:highlight w:val="none"/>
              </w:rPr>
              <w:t>商务部分</w:t>
            </w:r>
          </w:p>
          <w:p w14:paraId="3B42068A">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w:t>
            </w:r>
            <w:r>
              <w:rPr>
                <w:rFonts w:hint="eastAsia" w:ascii="宋体" w:hAnsi="宋体" w:eastAsia="宋体" w:cs="宋体"/>
                <w:bCs/>
                <w:color w:val="auto"/>
                <w:kern w:val="2"/>
                <w:sz w:val="24"/>
                <w:szCs w:val="24"/>
                <w:highlight w:val="none"/>
                <w:lang w:val="en-US" w:eastAsia="zh-CN"/>
              </w:rPr>
              <w:t>28</w:t>
            </w:r>
            <w:r>
              <w:rPr>
                <w:rFonts w:hint="eastAsia" w:ascii="宋体" w:hAnsi="宋体" w:eastAsia="宋体" w:cs="宋体"/>
                <w:bCs/>
                <w:color w:val="auto"/>
                <w:kern w:val="2"/>
                <w:sz w:val="24"/>
                <w:szCs w:val="24"/>
                <w:highlight w:val="none"/>
              </w:rPr>
              <w:t>分）</w:t>
            </w:r>
          </w:p>
        </w:tc>
        <w:tc>
          <w:tcPr>
            <w:tcW w:w="1789" w:type="dxa"/>
            <w:noWrap w:val="0"/>
            <w:vAlign w:val="center"/>
          </w:tcPr>
          <w:p w14:paraId="5961CDA0">
            <w:pPr>
              <w:keepNext w:val="0"/>
              <w:keepLines w:val="0"/>
              <w:pageBreakBefore w:val="0"/>
              <w:kinsoku/>
              <w:wordWrap/>
              <w:overflowPunct/>
              <w:topLinePunct w:val="0"/>
              <w:bidi w:val="0"/>
              <w:adjustRightInd w:val="0"/>
              <w:snapToGrid w:val="0"/>
              <w:spacing w:line="240" w:lineRule="auto"/>
              <w:jc w:val="left"/>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color w:val="auto"/>
                <w:sz w:val="24"/>
                <w:szCs w:val="24"/>
                <w:highlight w:val="none"/>
                <w:lang w:val="zh-CN" w:eastAsia="zh-CN"/>
              </w:rPr>
              <w:t>业绩（</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zh-CN" w:eastAsia="zh-CN"/>
              </w:rPr>
              <w:t>分）</w:t>
            </w:r>
          </w:p>
        </w:tc>
        <w:tc>
          <w:tcPr>
            <w:tcW w:w="4935" w:type="dxa"/>
            <w:noWrap w:val="0"/>
            <w:vAlign w:val="center"/>
          </w:tcPr>
          <w:p w14:paraId="25858BD3">
            <w:pPr>
              <w:keepNext w:val="0"/>
              <w:keepLines w:val="0"/>
              <w:pageBreakBefore w:val="0"/>
              <w:kinsoku/>
              <w:wordWrap/>
              <w:overflowPunct/>
              <w:topLinePunct w:val="0"/>
              <w:bidi w:val="0"/>
              <w:adjustRightInd w:val="0"/>
              <w:snapToGrid w:val="0"/>
              <w:spacing w:line="240" w:lineRule="auto"/>
              <w:jc w:val="left"/>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投标人或制造商提供</w:t>
            </w:r>
            <w:r>
              <w:rPr>
                <w:rFonts w:hint="eastAsia" w:ascii="宋体" w:hAnsi="宋体" w:eastAsia="宋体" w:cs="宋体"/>
                <w:color w:val="auto"/>
                <w:sz w:val="24"/>
                <w:szCs w:val="24"/>
                <w:highlight w:val="none"/>
                <w:lang w:val="en-US" w:eastAsia="zh-CN"/>
              </w:rPr>
              <w:t>2023年01月01日以来</w:t>
            </w:r>
            <w:r>
              <w:rPr>
                <w:rFonts w:hint="eastAsia" w:ascii="宋体" w:hAnsi="宋体" w:eastAsia="宋体" w:cs="宋体"/>
                <w:color w:val="auto"/>
                <w:sz w:val="24"/>
                <w:szCs w:val="24"/>
                <w:highlight w:val="none"/>
                <w:lang w:val="zh-CN" w:eastAsia="zh-CN"/>
              </w:rPr>
              <w:t>完成的</w:t>
            </w:r>
            <w:r>
              <w:rPr>
                <w:rFonts w:hint="eastAsia" w:ascii="宋体" w:hAnsi="宋体" w:cs="宋体"/>
                <w:color w:val="auto"/>
                <w:sz w:val="24"/>
                <w:szCs w:val="24"/>
                <w:highlight w:val="none"/>
                <w:lang w:val="en-US" w:eastAsia="zh-CN"/>
              </w:rPr>
              <w:t>企业</w:t>
            </w:r>
            <w:r>
              <w:rPr>
                <w:rFonts w:hint="eastAsia" w:ascii="宋体" w:hAnsi="宋体" w:eastAsia="宋体" w:cs="宋体"/>
                <w:color w:val="auto"/>
                <w:sz w:val="24"/>
                <w:szCs w:val="24"/>
                <w:highlight w:val="none"/>
                <w:lang w:val="zh-CN" w:eastAsia="zh-CN"/>
              </w:rPr>
              <w:t>业绩），每</w:t>
            </w:r>
            <w:r>
              <w:rPr>
                <w:rFonts w:hint="eastAsia" w:ascii="宋体" w:hAnsi="宋体" w:eastAsia="宋体" w:cs="宋体"/>
                <w:color w:val="auto"/>
                <w:sz w:val="24"/>
                <w:szCs w:val="24"/>
                <w:highlight w:val="none"/>
                <w:lang w:val="en-US" w:eastAsia="zh-CN"/>
              </w:rPr>
              <w:t>提供</w:t>
            </w:r>
            <w:r>
              <w:rPr>
                <w:rFonts w:hint="eastAsia" w:ascii="宋体" w:hAnsi="宋体" w:cs="宋体"/>
                <w:color w:val="auto"/>
                <w:sz w:val="24"/>
                <w:szCs w:val="24"/>
                <w:highlight w:val="none"/>
                <w:lang w:val="en-US" w:eastAsia="zh-CN"/>
              </w:rPr>
              <w:t>1份</w:t>
            </w:r>
            <w:r>
              <w:rPr>
                <w:rFonts w:hint="eastAsia" w:ascii="宋体" w:hAnsi="宋体" w:eastAsia="宋体" w:cs="宋体"/>
                <w:color w:val="auto"/>
                <w:sz w:val="24"/>
                <w:szCs w:val="24"/>
                <w:highlight w:val="none"/>
                <w:lang w:val="zh-CN" w:eastAsia="zh-CN"/>
              </w:rPr>
              <w:t>业绩</w:t>
            </w:r>
            <w:r>
              <w:rPr>
                <w:rFonts w:hint="eastAsia" w:ascii="宋体" w:hAnsi="宋体" w:eastAsia="宋体" w:cs="宋体"/>
                <w:color w:val="auto"/>
                <w:sz w:val="24"/>
                <w:szCs w:val="24"/>
                <w:highlight w:val="none"/>
                <w:lang w:val="en-US" w:eastAsia="zh-CN"/>
              </w:rPr>
              <w:t>得</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分</w:t>
            </w:r>
            <w:r>
              <w:rPr>
                <w:rFonts w:hint="eastAsia" w:ascii="宋体" w:hAnsi="宋体" w:eastAsia="宋体" w:cs="宋体"/>
                <w:color w:val="auto"/>
                <w:sz w:val="24"/>
                <w:szCs w:val="24"/>
                <w:highlight w:val="none"/>
                <w:lang w:val="zh-CN" w:eastAsia="zh-CN"/>
              </w:rPr>
              <w:t>，</w:t>
            </w:r>
            <w:r>
              <w:rPr>
                <w:rFonts w:hint="eastAsia" w:ascii="宋体" w:hAnsi="宋体" w:eastAsia="宋体" w:cs="宋体"/>
                <w:color w:val="auto"/>
                <w:sz w:val="24"/>
                <w:szCs w:val="24"/>
                <w:highlight w:val="none"/>
                <w:lang w:val="en-US" w:eastAsia="zh-CN"/>
              </w:rPr>
              <w:t>最多</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分</w:t>
            </w:r>
            <w:r>
              <w:rPr>
                <w:rFonts w:hint="eastAsia" w:ascii="宋体" w:hAnsi="宋体" w:eastAsia="宋体" w:cs="宋体"/>
                <w:color w:val="auto"/>
                <w:sz w:val="24"/>
                <w:szCs w:val="24"/>
                <w:highlight w:val="none"/>
                <w:lang w:val="zh-CN" w:eastAsia="zh-CN"/>
              </w:rPr>
              <w:t>；</w:t>
            </w:r>
          </w:p>
          <w:p w14:paraId="79A22B5E">
            <w:pPr>
              <w:keepNext w:val="0"/>
              <w:keepLines w:val="0"/>
              <w:pageBreakBefore w:val="0"/>
              <w:kinsoku/>
              <w:wordWrap/>
              <w:overflowPunct/>
              <w:topLinePunct w:val="0"/>
              <w:bidi w:val="0"/>
              <w:adjustRightInd w:val="0"/>
              <w:snapToGrid w:val="0"/>
              <w:spacing w:line="240" w:lineRule="auto"/>
              <w:jc w:val="left"/>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color w:val="auto"/>
                <w:sz w:val="24"/>
                <w:szCs w:val="24"/>
                <w:highlight w:val="none"/>
                <w:lang w:val="zh-CN" w:eastAsia="zh-CN"/>
              </w:rPr>
              <w:t>注：每份有效业绩需提供合同且不得遮挡涂黑，</w:t>
            </w:r>
            <w:r>
              <w:rPr>
                <w:rFonts w:hint="eastAsia" w:ascii="宋体" w:hAnsi="宋体" w:eastAsia="宋体" w:cs="宋体"/>
                <w:color w:val="auto"/>
                <w:sz w:val="24"/>
                <w:szCs w:val="24"/>
                <w:highlight w:val="none"/>
                <w:lang w:val="en-US" w:eastAsia="zh-CN"/>
              </w:rPr>
              <w:t>缺项不得分。</w:t>
            </w:r>
          </w:p>
        </w:tc>
        <w:tc>
          <w:tcPr>
            <w:tcW w:w="1177" w:type="dxa"/>
            <w:noWrap w:val="0"/>
            <w:vAlign w:val="center"/>
          </w:tcPr>
          <w:p w14:paraId="099BDAF3">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lang w:val="en-US" w:eastAsia="zh-CN"/>
              </w:rPr>
            </w:pPr>
            <w:r>
              <w:rPr>
                <w:rFonts w:hint="eastAsia" w:ascii="宋体" w:hAnsi="宋体" w:eastAsia="宋体" w:cs="宋体"/>
                <w:bCs/>
                <w:color w:val="auto"/>
                <w:kern w:val="2"/>
                <w:sz w:val="24"/>
                <w:szCs w:val="24"/>
                <w:highlight w:val="none"/>
                <w:lang w:val="en-US" w:eastAsia="zh-CN"/>
              </w:rPr>
              <w:t>6分</w:t>
            </w:r>
          </w:p>
        </w:tc>
      </w:tr>
      <w:tr w14:paraId="362BB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6" w:hRule="atLeast"/>
          <w:jc w:val="center"/>
        </w:trPr>
        <w:tc>
          <w:tcPr>
            <w:tcW w:w="914" w:type="dxa"/>
            <w:vMerge w:val="continue"/>
            <w:noWrap w:val="0"/>
            <w:vAlign w:val="center"/>
          </w:tcPr>
          <w:p w14:paraId="775EF3B7">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p>
        </w:tc>
        <w:tc>
          <w:tcPr>
            <w:tcW w:w="1377" w:type="dxa"/>
            <w:vMerge w:val="continue"/>
            <w:noWrap w:val="0"/>
            <w:vAlign w:val="center"/>
          </w:tcPr>
          <w:p w14:paraId="07CF0A93">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p>
        </w:tc>
        <w:tc>
          <w:tcPr>
            <w:tcW w:w="1789" w:type="dxa"/>
            <w:noWrap w:val="0"/>
            <w:vAlign w:val="center"/>
          </w:tcPr>
          <w:p w14:paraId="146B0253">
            <w:pPr>
              <w:keepNext w:val="0"/>
              <w:keepLines w:val="0"/>
              <w:pageBreakBefore w:val="0"/>
              <w:kinsoku/>
              <w:wordWrap/>
              <w:overflowPunct/>
              <w:topLinePunct w:val="0"/>
              <w:bidi w:val="0"/>
              <w:adjustRightInd w:val="0"/>
              <w:snapToGrid w:val="0"/>
              <w:spacing w:line="240" w:lineRule="auto"/>
              <w:jc w:val="left"/>
              <w:rPr>
                <w:rFonts w:hint="eastAsia" w:ascii="宋体" w:hAnsi="宋体" w:eastAsia="宋体" w:cs="宋体"/>
                <w:bCs/>
                <w:color w:val="auto"/>
                <w:kern w:val="2"/>
                <w:sz w:val="24"/>
                <w:szCs w:val="24"/>
                <w:highlight w:val="none"/>
                <w:lang w:eastAsia="zh-CN"/>
              </w:rPr>
            </w:pPr>
            <w:r>
              <w:rPr>
                <w:rFonts w:hint="eastAsia" w:ascii="宋体" w:hAnsi="宋体" w:eastAsia="宋体" w:cs="宋体"/>
                <w:color w:val="auto"/>
                <w:sz w:val="24"/>
                <w:szCs w:val="24"/>
                <w:highlight w:val="none"/>
                <w:lang w:eastAsia="zh-CN"/>
              </w:rPr>
              <w:t>企业能力（</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分</w:t>
            </w:r>
            <w:r>
              <w:rPr>
                <w:rFonts w:hint="eastAsia" w:ascii="宋体" w:hAnsi="宋体" w:eastAsia="宋体" w:cs="宋体"/>
                <w:color w:val="auto"/>
                <w:sz w:val="24"/>
                <w:szCs w:val="24"/>
                <w:highlight w:val="none"/>
                <w:lang w:eastAsia="zh-CN"/>
              </w:rPr>
              <w:t>）</w:t>
            </w:r>
          </w:p>
        </w:tc>
        <w:tc>
          <w:tcPr>
            <w:tcW w:w="4935" w:type="dxa"/>
            <w:noWrap w:val="0"/>
            <w:vAlign w:val="center"/>
          </w:tcPr>
          <w:p w14:paraId="3EACFCCA">
            <w:pPr>
              <w:pStyle w:val="43"/>
              <w:numPr>
                <w:ilvl w:val="0"/>
                <w:numId w:val="0"/>
              </w:num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zh-CN" w:eastAsia="zh-CN"/>
              </w:rPr>
              <w:t>所投产品的投标人或制造商提供</w:t>
            </w:r>
            <w:r>
              <w:rPr>
                <w:rFonts w:hint="eastAsia" w:ascii="宋体" w:hAnsi="宋体" w:eastAsia="宋体" w:cs="宋体"/>
                <w:color w:val="auto"/>
                <w:sz w:val="24"/>
                <w:szCs w:val="24"/>
                <w:highlight w:val="none"/>
                <w:lang w:val="en-US" w:eastAsia="zh-CN"/>
              </w:rPr>
              <w:t>产品合格的检测报告的得</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分。缺项或者不提供不得分。</w:t>
            </w:r>
          </w:p>
        </w:tc>
        <w:tc>
          <w:tcPr>
            <w:tcW w:w="1177" w:type="dxa"/>
            <w:noWrap w:val="0"/>
            <w:vAlign w:val="center"/>
          </w:tcPr>
          <w:p w14:paraId="5B953CED">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lang w:val="en-US" w:eastAsia="zh-CN"/>
              </w:rPr>
            </w:pPr>
            <w:r>
              <w:rPr>
                <w:rFonts w:hint="eastAsia" w:ascii="宋体" w:hAnsi="宋体" w:eastAsia="宋体" w:cs="宋体"/>
                <w:bCs/>
                <w:color w:val="auto"/>
                <w:kern w:val="2"/>
                <w:sz w:val="24"/>
                <w:szCs w:val="24"/>
                <w:highlight w:val="none"/>
                <w:lang w:val="en-US" w:eastAsia="zh-CN"/>
              </w:rPr>
              <w:t>5分</w:t>
            </w:r>
          </w:p>
        </w:tc>
      </w:tr>
      <w:tr w14:paraId="13A98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5" w:hRule="atLeast"/>
          <w:jc w:val="center"/>
        </w:trPr>
        <w:tc>
          <w:tcPr>
            <w:tcW w:w="914" w:type="dxa"/>
            <w:vMerge w:val="continue"/>
            <w:noWrap w:val="0"/>
            <w:vAlign w:val="center"/>
          </w:tcPr>
          <w:p w14:paraId="1B1536E7">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p>
        </w:tc>
        <w:tc>
          <w:tcPr>
            <w:tcW w:w="1377" w:type="dxa"/>
            <w:vMerge w:val="continue"/>
            <w:noWrap w:val="0"/>
            <w:vAlign w:val="center"/>
          </w:tcPr>
          <w:p w14:paraId="597ED182">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p>
        </w:tc>
        <w:tc>
          <w:tcPr>
            <w:tcW w:w="1789" w:type="dxa"/>
            <w:noWrap w:val="0"/>
            <w:vAlign w:val="center"/>
          </w:tcPr>
          <w:p w14:paraId="3D5B0D59">
            <w:pPr>
              <w:pStyle w:val="21"/>
              <w:keepNext w:val="0"/>
              <w:keepLines w:val="0"/>
              <w:pageBreakBefore w:val="0"/>
              <w:widowControl w:val="0"/>
              <w:kinsoku/>
              <w:wordWrap/>
              <w:overflowPunct/>
              <w:topLinePunct w:val="0"/>
              <w:bidi w:val="0"/>
              <w:adjustRightInd w:val="0"/>
              <w:snapToGrid w:val="0"/>
              <w:spacing w:line="240" w:lineRule="auto"/>
              <w:ind w:right="-21" w:rightChars="-10"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售后服务（</w:t>
            </w:r>
            <w:r>
              <w:rPr>
                <w:rFonts w:hint="eastAsia" w:ascii="宋体" w:hAnsi="宋体" w:eastAsia="宋体" w:cs="宋体"/>
                <w:bCs/>
                <w:color w:val="auto"/>
                <w:kern w:val="2"/>
                <w:sz w:val="24"/>
                <w:szCs w:val="24"/>
                <w:highlight w:val="none"/>
                <w:lang w:val="en-US" w:eastAsia="zh-CN"/>
              </w:rPr>
              <w:t>17</w:t>
            </w:r>
            <w:r>
              <w:rPr>
                <w:rFonts w:hint="eastAsia" w:ascii="宋体" w:hAnsi="宋体" w:eastAsia="宋体" w:cs="宋体"/>
                <w:bCs/>
                <w:color w:val="auto"/>
                <w:kern w:val="2"/>
                <w:sz w:val="24"/>
                <w:szCs w:val="24"/>
                <w:highlight w:val="none"/>
              </w:rPr>
              <w:t>分）</w:t>
            </w:r>
          </w:p>
        </w:tc>
        <w:tc>
          <w:tcPr>
            <w:tcW w:w="4935" w:type="dxa"/>
            <w:noWrap w:val="0"/>
            <w:vAlign w:val="center"/>
          </w:tcPr>
          <w:p w14:paraId="2B8621CA">
            <w:pPr>
              <w:bidi w:val="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1、售后服务保证措施（包含成立售后服务小组、质量跟踪、问题受理、解决方案</w:t>
            </w:r>
            <w:r>
              <w:rPr>
                <w:rFonts w:hint="eastAsia" w:ascii="宋体" w:hAnsi="宋体" w:cs="宋体"/>
                <w:color w:val="auto"/>
                <w:sz w:val="24"/>
                <w:szCs w:val="24"/>
                <w:highlight w:val="none"/>
                <w:lang w:val="en-US" w:eastAsia="zh-CN"/>
              </w:rPr>
              <w:t>等内容</w:t>
            </w:r>
            <w:r>
              <w:rPr>
                <w:rFonts w:hint="eastAsia" w:ascii="宋体" w:hAnsi="宋体" w:eastAsia="宋体" w:cs="宋体"/>
                <w:color w:val="auto"/>
                <w:sz w:val="24"/>
                <w:szCs w:val="24"/>
                <w:highlight w:val="none"/>
                <w:lang w:val="en-US" w:eastAsia="zh-CN"/>
              </w:rPr>
              <w:t>）得5分。</w:t>
            </w:r>
          </w:p>
          <w:p w14:paraId="75CBC8B3">
            <w:pPr>
              <w:bidi w:val="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2、应急维修时间及响应（根据时间）得3分。</w:t>
            </w:r>
          </w:p>
          <w:p w14:paraId="61B7A38C">
            <w:pPr>
              <w:bidi w:val="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、质保期外免费维修（增值服务）得3分。</w:t>
            </w:r>
          </w:p>
          <w:p w14:paraId="61A1FB0F">
            <w:pPr>
              <w:bidi w:val="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（以上不提供不得分，提供不全的不得分）</w:t>
            </w:r>
          </w:p>
          <w:p w14:paraId="48F8F2FC">
            <w:pPr>
              <w:bidi w:val="0"/>
              <w:rPr>
                <w:rFonts w:hint="eastAsia" w:ascii="宋体" w:hAnsi="宋体" w:eastAsia="宋体" w:cs="宋体"/>
                <w:bCs/>
                <w:color w:val="auto"/>
                <w:kern w:val="2"/>
                <w:sz w:val="24"/>
                <w:szCs w:val="24"/>
                <w:highlight w:val="none"/>
                <w:lang w:val="en-US" w:eastAsia="zh-CN"/>
              </w:rPr>
            </w:pPr>
            <w:r>
              <w:rPr>
                <w:rFonts w:hint="eastAsia" w:ascii="宋体" w:hAnsi="宋体" w:eastAsia="宋体" w:cs="宋体"/>
                <w:color w:val="auto"/>
                <w:sz w:val="24"/>
                <w:szCs w:val="24"/>
                <w:highlight w:val="none"/>
                <w:lang w:val="en-US" w:eastAsia="zh-CN"/>
              </w:rPr>
              <w:t>5、投标人提供其他实质性优惠</w:t>
            </w:r>
            <w:r>
              <w:rPr>
                <w:rFonts w:hint="eastAsia" w:ascii="宋体" w:hAnsi="宋体" w:cs="宋体"/>
                <w:color w:val="auto"/>
                <w:sz w:val="24"/>
                <w:szCs w:val="24"/>
                <w:highlight w:val="none"/>
                <w:lang w:val="en-US" w:eastAsia="zh-CN"/>
              </w:rPr>
              <w:t>条件</w:t>
            </w:r>
            <w:r>
              <w:rPr>
                <w:rFonts w:hint="eastAsia" w:ascii="宋体" w:hAnsi="宋体" w:eastAsia="宋体" w:cs="宋体"/>
                <w:color w:val="auto"/>
                <w:sz w:val="24"/>
                <w:szCs w:val="24"/>
                <w:highlight w:val="none"/>
                <w:lang w:val="en-US" w:eastAsia="zh-CN"/>
              </w:rPr>
              <w:t>得</w:t>
            </w:r>
            <w:r>
              <w:rPr>
                <w:rFonts w:hint="eastAsia" w:ascii="宋体" w:hAnsi="宋体" w:cs="宋体"/>
                <w:color w:val="auto"/>
                <w:sz w:val="24"/>
                <w:szCs w:val="24"/>
                <w:highlight w:val="none"/>
                <w:lang w:val="en-US" w:eastAsia="zh-CN"/>
              </w:rPr>
              <w:t>2分，最多得6分</w:t>
            </w:r>
            <w:r>
              <w:rPr>
                <w:rFonts w:hint="eastAsia" w:ascii="宋体" w:hAnsi="宋体" w:eastAsia="宋体" w:cs="宋体"/>
                <w:color w:val="auto"/>
                <w:sz w:val="24"/>
                <w:szCs w:val="24"/>
                <w:highlight w:val="none"/>
                <w:lang w:val="en-US" w:eastAsia="zh-CN"/>
              </w:rPr>
              <w:t>。</w:t>
            </w:r>
          </w:p>
        </w:tc>
        <w:tc>
          <w:tcPr>
            <w:tcW w:w="1177" w:type="dxa"/>
            <w:noWrap w:val="0"/>
            <w:vAlign w:val="center"/>
          </w:tcPr>
          <w:p w14:paraId="483343C0">
            <w:pPr>
              <w:pStyle w:val="21"/>
              <w:keepNext w:val="0"/>
              <w:keepLines w:val="0"/>
              <w:pageBreakBefore w:val="0"/>
              <w:widowControl w:val="0"/>
              <w:kinsoku/>
              <w:wordWrap/>
              <w:overflowPunct/>
              <w:topLinePunct w:val="0"/>
              <w:bidi w:val="0"/>
              <w:adjustRightInd w:val="0"/>
              <w:snapToGrid w:val="0"/>
              <w:spacing w:line="240" w:lineRule="auto"/>
              <w:ind w:right="-21" w:rightChars="-10" w:firstLine="0" w:firstLineChars="0"/>
              <w:jc w:val="center"/>
              <w:textAlignment w:val="auto"/>
              <w:rPr>
                <w:rFonts w:hint="eastAsia" w:ascii="宋体" w:hAnsi="宋体" w:eastAsia="宋体" w:cs="宋体"/>
                <w:bCs/>
                <w:color w:val="auto"/>
                <w:kern w:val="2"/>
                <w:sz w:val="24"/>
                <w:szCs w:val="24"/>
                <w:highlight w:val="none"/>
                <w:lang w:val="en-US" w:eastAsia="zh-CN"/>
              </w:rPr>
            </w:pPr>
            <w:r>
              <w:rPr>
                <w:rFonts w:hint="eastAsia" w:ascii="宋体" w:hAnsi="宋体" w:eastAsia="宋体" w:cs="宋体"/>
                <w:bCs/>
                <w:color w:val="auto"/>
                <w:kern w:val="2"/>
                <w:sz w:val="24"/>
                <w:szCs w:val="24"/>
                <w:highlight w:val="none"/>
                <w:lang w:val="en-US" w:eastAsia="zh-CN"/>
              </w:rPr>
              <w:t>17分</w:t>
            </w:r>
          </w:p>
        </w:tc>
      </w:tr>
      <w:tr w14:paraId="54118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92" w:type="dxa"/>
            <w:gridSpan w:val="5"/>
            <w:noWrap w:val="0"/>
            <w:vAlign w:val="center"/>
          </w:tcPr>
          <w:p w14:paraId="7E3D44B4">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备注：</w:t>
            </w:r>
          </w:p>
          <w:p w14:paraId="53F80A21">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供应商综合得分等于以上五项的汇总得分。</w:t>
            </w:r>
          </w:p>
          <w:p w14:paraId="351CB2F9">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lang w:val="en-US" w:eastAsia="zh-CN"/>
              </w:rPr>
            </w:pPr>
            <w:r>
              <w:rPr>
                <w:rFonts w:hint="eastAsia" w:ascii="宋体" w:hAnsi="宋体" w:eastAsia="宋体" w:cs="宋体"/>
                <w:bCs/>
                <w:color w:val="auto"/>
                <w:kern w:val="2"/>
                <w:sz w:val="24"/>
                <w:szCs w:val="24"/>
                <w:highlight w:val="none"/>
              </w:rPr>
              <w:t>评标委员会对各供应商的得分进行汇总，计算过程中评委个人分值按四舍五入保留两位小数，最终结果按四舍五入保留两位小数。以各评标委员会打分的算术平均值作为该供应商的最终得分</w:t>
            </w:r>
            <w:r>
              <w:rPr>
                <w:rFonts w:hint="eastAsia" w:ascii="宋体" w:hAnsi="宋体" w:eastAsia="宋体" w:cs="宋体"/>
                <w:bCs/>
                <w:color w:val="auto"/>
                <w:kern w:val="2"/>
                <w:sz w:val="24"/>
                <w:szCs w:val="24"/>
                <w:highlight w:val="none"/>
                <w:lang w:val="en-US" w:eastAsia="zh-CN"/>
              </w:rPr>
              <w:t>.</w:t>
            </w:r>
          </w:p>
        </w:tc>
      </w:tr>
    </w:tbl>
    <w:p w14:paraId="5FA68029">
      <w:pPr>
        <w:pBdr>
          <w:bottom w:val="dotted" w:color="auto" w:sz="24" w:space="1"/>
        </w:pBdr>
        <w:spacing w:line="240" w:lineRule="auto"/>
        <w:jc w:val="both"/>
        <w:rPr>
          <w:rFonts w:hint="eastAsia"/>
          <w:color w:val="auto"/>
          <w:sz w:val="32"/>
          <w:szCs w:val="32"/>
          <w:highlight w:val="none"/>
        </w:rPr>
      </w:pPr>
    </w:p>
    <w:p w14:paraId="798805EE">
      <w:pPr>
        <w:pBdr>
          <w:bottom w:val="dotted" w:color="auto" w:sz="24" w:space="1"/>
        </w:pBdr>
        <w:spacing w:line="240" w:lineRule="auto"/>
        <w:jc w:val="both"/>
        <w:rPr>
          <w:rFonts w:hint="default"/>
          <w:color w:val="auto"/>
          <w:sz w:val="32"/>
          <w:szCs w:val="32"/>
          <w:highlight w:val="none"/>
          <w:lang w:val="en-US" w:eastAsia="zh-CN"/>
        </w:rPr>
        <w:sectPr>
          <w:pgSz w:w="11906" w:h="16838"/>
          <w:pgMar w:top="1389" w:right="1304" w:bottom="1440" w:left="1304" w:header="851" w:footer="992" w:gutter="0"/>
          <w:cols w:space="720" w:num="1"/>
          <w:rtlGutter w:val="0"/>
          <w:docGrid w:linePitch="312" w:charSpace="0"/>
        </w:sectPr>
      </w:pPr>
      <w:r>
        <w:rPr>
          <w:rFonts w:hint="eastAsia"/>
          <w:color w:val="auto"/>
          <w:sz w:val="32"/>
          <w:szCs w:val="32"/>
          <w:highlight w:val="none"/>
        </w:rPr>
        <w:br w:type="page"/>
      </w:r>
      <w:bookmarkStart w:id="56" w:name="_Toc14806_WPSOffice_Level2"/>
    </w:p>
    <w:bookmarkEnd w:id="56"/>
    <w:p w14:paraId="2B8016EC">
      <w:pPr>
        <w:pStyle w:val="8"/>
        <w:spacing w:line="360" w:lineRule="auto"/>
        <w:ind w:right="-10" w:firstLine="482" w:firstLineChars="200"/>
        <w:rPr>
          <w:rFonts w:hint="eastAsia" w:ascii="宋体" w:hAnsi="宋体" w:eastAsia="宋体" w:cs="宋体"/>
          <w:b/>
          <w:color w:val="auto"/>
          <w:kern w:val="1"/>
          <w:sz w:val="24"/>
          <w:highlight w:val="none"/>
        </w:rPr>
      </w:pPr>
      <w:r>
        <w:rPr>
          <w:rFonts w:hint="eastAsia" w:ascii="宋体" w:hAnsi="宋体" w:eastAsia="宋体" w:cs="宋体"/>
          <w:b/>
          <w:color w:val="auto"/>
          <w:kern w:val="1"/>
          <w:sz w:val="24"/>
          <w:highlight w:val="none"/>
        </w:rPr>
        <w:t>注：评标结束后，由采购人对评审结果及响应文件等进行复核，并在法定的时间内确定中标人。</w:t>
      </w:r>
    </w:p>
    <w:p w14:paraId="7F8F8980">
      <w:pPr>
        <w:adjustRightInd w:val="0"/>
        <w:snapToGrid w:val="0"/>
        <w:spacing w:line="360" w:lineRule="auto"/>
        <w:ind w:right="-10" w:firstLine="480" w:firstLineChars="200"/>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r>
        <w:rPr>
          <w:rFonts w:hint="eastAsia" w:ascii="宋体" w:hAnsi="宋体" w:cs="宋体"/>
          <w:bCs/>
          <w:color w:val="auto"/>
          <w:sz w:val="24"/>
          <w:highlight w:val="none"/>
          <w:lang w:eastAsia="zh-CN"/>
        </w:rPr>
        <w:t>。</w:t>
      </w:r>
    </w:p>
    <w:p w14:paraId="760CF43F">
      <w:pPr>
        <w:adjustRightInd w:val="0"/>
        <w:snapToGrid w:val="0"/>
        <w:spacing w:line="360" w:lineRule="auto"/>
        <w:ind w:right="-10"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2、按照周口市交易中心规定，本项目投标人所需提供原件在评标时无需提供，仅作为采购单位核实时使用，评审委员会评审时仅以投标人投标文件中扫描件为准。</w:t>
      </w:r>
    </w:p>
    <w:p w14:paraId="3D5433DB">
      <w:pPr>
        <w:pStyle w:val="38"/>
        <w:spacing w:line="360" w:lineRule="auto"/>
        <w:ind w:firstLine="480" w:firstLineChars="200"/>
        <w:rPr>
          <w:rFonts w:hint="default"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3、采购单位有权要求供应商提供原件备查。</w:t>
      </w:r>
    </w:p>
    <w:p w14:paraId="3AB29BC5">
      <w:pPr>
        <w:pStyle w:val="8"/>
        <w:spacing w:line="360" w:lineRule="auto"/>
        <w:ind w:right="-10" w:firstLine="482" w:firstLineChars="200"/>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第十条</w:t>
      </w:r>
      <w:r>
        <w:rPr>
          <w:rFonts w:hint="eastAsia" w:ascii="宋体" w:hAnsi="宋体" w:eastAsia="宋体" w:cs="宋体"/>
          <w:bCs/>
          <w:color w:val="auto"/>
          <w:sz w:val="24"/>
          <w:highlight w:val="none"/>
        </w:rPr>
        <w:t xml:space="preserve"> 评委独立评审后，评委会对投标人某项指标如有不同意见，按照少数服从多数的原则，确定该项指标是否通过。</w:t>
      </w:r>
    </w:p>
    <w:p w14:paraId="4FF28ED8">
      <w:pPr>
        <w:spacing w:line="360" w:lineRule="auto"/>
        <w:ind w:firstLine="482" w:firstLineChars="200"/>
        <w:rPr>
          <w:rFonts w:hint="eastAsia" w:ascii="宋体" w:hAnsi="宋体" w:cs="宋体"/>
          <w:bCs/>
          <w:color w:val="auto"/>
          <w:sz w:val="24"/>
          <w:highlight w:val="none"/>
        </w:rPr>
      </w:pPr>
      <w:r>
        <w:rPr>
          <w:rFonts w:hint="eastAsia" w:ascii="宋体" w:hAnsi="宋体" w:cs="宋体"/>
          <w:b/>
          <w:bCs/>
          <w:color w:val="auto"/>
          <w:sz w:val="24"/>
          <w:highlight w:val="none"/>
        </w:rPr>
        <w:t>第十一条</w:t>
      </w:r>
      <w:r>
        <w:rPr>
          <w:rFonts w:hint="eastAsia" w:ascii="宋体" w:hAnsi="宋体" w:cs="宋体"/>
          <w:bCs/>
          <w:color w:val="auto"/>
          <w:sz w:val="24"/>
          <w:highlight w:val="none"/>
        </w:rPr>
        <w:t xml:space="preserve"> 商务、技术满足招标文件要求，综合得分最高的投标人将作为中标候选人。如果综合得分中出现两家或两家以上相同者，投标报价较低者优先中标，报价也相同的，由采购人自行确定。</w:t>
      </w:r>
    </w:p>
    <w:p w14:paraId="2FB9D3FD">
      <w:pPr>
        <w:pStyle w:val="8"/>
        <w:spacing w:line="360" w:lineRule="auto"/>
        <w:ind w:right="-10" w:firstLine="482"/>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第十二条</w:t>
      </w:r>
      <w:r>
        <w:rPr>
          <w:rFonts w:hint="eastAsia" w:ascii="宋体" w:hAnsi="宋体" w:eastAsia="宋体" w:cs="宋体"/>
          <w:bCs/>
          <w:color w:val="auto"/>
          <w:sz w:val="24"/>
          <w:highlight w:val="none"/>
        </w:rPr>
        <w:t xml:space="preserve"> 评委会在评标过程中发现的问题，应当及时作出处理或者向采购人提出处理建议，并作书面记录。</w:t>
      </w:r>
    </w:p>
    <w:p w14:paraId="050F28E2">
      <w:pPr>
        <w:adjustRightInd w:val="0"/>
        <w:snapToGrid w:val="0"/>
        <w:spacing w:line="360" w:lineRule="auto"/>
        <w:ind w:right="-10" w:firstLine="482" w:firstLineChars="200"/>
        <w:rPr>
          <w:rFonts w:hint="eastAsia" w:ascii="宋体" w:hAnsi="宋体" w:cs="宋体"/>
          <w:bCs/>
          <w:color w:val="auto"/>
          <w:sz w:val="24"/>
          <w:highlight w:val="none"/>
        </w:rPr>
      </w:pPr>
      <w:r>
        <w:rPr>
          <w:rFonts w:hint="eastAsia" w:ascii="宋体" w:hAnsi="宋体" w:cs="宋体"/>
          <w:b/>
          <w:bCs/>
          <w:color w:val="auto"/>
          <w:sz w:val="24"/>
          <w:highlight w:val="none"/>
        </w:rPr>
        <w:t>第十三条</w:t>
      </w:r>
      <w:r>
        <w:rPr>
          <w:rFonts w:hint="eastAsia" w:ascii="宋体" w:hAnsi="宋体" w:cs="宋体"/>
          <w:bCs/>
          <w:color w:val="auto"/>
          <w:sz w:val="24"/>
          <w:highlight w:val="none"/>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5EC46308">
      <w:pPr>
        <w:rPr>
          <w:rFonts w:hint="eastAsia" w:ascii="宋体" w:hAnsi="宋体" w:cs="宋体"/>
          <w:color w:val="auto"/>
          <w:highlight w:val="none"/>
        </w:rPr>
      </w:pPr>
    </w:p>
    <w:p w14:paraId="7B9DF50E">
      <w:pPr>
        <w:adjustRightInd w:val="0"/>
        <w:snapToGrid w:val="0"/>
        <w:spacing w:line="360" w:lineRule="auto"/>
        <w:jc w:val="center"/>
        <w:rPr>
          <w:rFonts w:hint="eastAsia" w:ascii="宋体" w:hAnsi="宋体" w:cs="宋体"/>
          <w:b/>
          <w:bCs/>
          <w:color w:val="auto"/>
          <w:sz w:val="24"/>
          <w:highlight w:val="none"/>
        </w:rPr>
      </w:pPr>
      <w:bookmarkStart w:id="57" w:name="_Toc40_WPSOffice_Level2"/>
      <w:r>
        <w:rPr>
          <w:rFonts w:hint="eastAsia" w:ascii="宋体" w:hAnsi="宋体" w:cs="宋体"/>
          <w:b/>
          <w:bCs/>
          <w:color w:val="auto"/>
          <w:sz w:val="24"/>
          <w:highlight w:val="none"/>
        </w:rPr>
        <w:t>三．评标纪律</w:t>
      </w:r>
      <w:bookmarkEnd w:id="57"/>
    </w:p>
    <w:p w14:paraId="229DC497">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bCs/>
          <w:color w:val="auto"/>
          <w:sz w:val="24"/>
          <w:highlight w:val="none"/>
        </w:rPr>
        <w:t>第十四条</w:t>
      </w:r>
      <w:r>
        <w:rPr>
          <w:rFonts w:hint="eastAsia" w:ascii="宋体" w:hAnsi="宋体" w:cs="宋体"/>
          <w:bCs/>
          <w:color w:val="auto"/>
          <w:sz w:val="24"/>
          <w:highlight w:val="none"/>
        </w:rPr>
        <w:t xml:space="preserve"> </w:t>
      </w:r>
      <w:r>
        <w:rPr>
          <w:rFonts w:hint="eastAsia" w:ascii="宋体" w:hAnsi="宋体" w:cs="宋体"/>
          <w:bCs/>
          <w:color w:val="auto"/>
          <w:sz w:val="24"/>
          <w:highlight w:val="none"/>
          <w:lang w:val="en-US" w:eastAsia="zh-CN"/>
        </w:rPr>
        <w:t>1.</w:t>
      </w:r>
      <w:r>
        <w:rPr>
          <w:rFonts w:hint="eastAsia" w:ascii="宋体" w:hAnsi="宋体" w:cs="宋体"/>
          <w:bCs/>
          <w:color w:val="auto"/>
          <w:sz w:val="24"/>
          <w:highlight w:val="none"/>
        </w:rPr>
        <w:t>评委会和评标工作人员应严格遵守国家的法律、法规和规章制度；</w:t>
      </w:r>
      <w:r>
        <w:rPr>
          <w:rFonts w:hint="eastAsia" w:ascii="宋体" w:hAnsi="宋体" w:cs="宋体"/>
          <w:color w:val="auto"/>
          <w:sz w:val="24"/>
          <w:highlight w:val="none"/>
        </w:rPr>
        <w:t>严格按照本次招标文件进行评标；公正廉洁、不徇私情，不得损害国家利益；保护招、投标人的合法权益。</w:t>
      </w:r>
    </w:p>
    <w:p w14:paraId="5B05BC1D">
      <w:pPr>
        <w:adjustRightInd w:val="0"/>
        <w:snapToGrid w:val="0"/>
        <w:spacing w:line="360" w:lineRule="auto"/>
        <w:ind w:right="-10"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投标人不得以任何方式干扰、影响评标工作，投标人对上述做出保证，否则视为不响应招标文件实质性内容。</w:t>
      </w:r>
    </w:p>
    <w:p w14:paraId="2F9A826A">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bCs/>
          <w:color w:val="auto"/>
          <w:sz w:val="24"/>
          <w:highlight w:val="none"/>
        </w:rPr>
        <w:t xml:space="preserve">第十五条 </w:t>
      </w:r>
      <w:r>
        <w:rPr>
          <w:rFonts w:hint="eastAsia" w:ascii="宋体" w:hAnsi="宋体" w:cs="宋体"/>
          <w:color w:val="auto"/>
          <w:sz w:val="24"/>
          <w:highlight w:val="none"/>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4A0C0985">
      <w:pPr>
        <w:spacing w:line="360" w:lineRule="auto"/>
        <w:ind w:firstLine="482" w:firstLineChars="200"/>
        <w:jc w:val="left"/>
        <w:rPr>
          <w:rFonts w:hint="eastAsia" w:ascii="宋体" w:hAnsi="宋体" w:cs="宋体"/>
          <w:color w:val="auto"/>
          <w:sz w:val="24"/>
          <w:highlight w:val="none"/>
        </w:rPr>
      </w:pPr>
      <w:r>
        <w:rPr>
          <w:rFonts w:hint="eastAsia" w:ascii="宋体" w:hAnsi="宋体" w:cs="宋体"/>
          <w:b/>
          <w:color w:val="auto"/>
          <w:sz w:val="24"/>
          <w:highlight w:val="none"/>
        </w:rPr>
        <w:t>第十六条</w:t>
      </w:r>
      <w:r>
        <w:rPr>
          <w:rFonts w:hint="eastAsia" w:ascii="宋体" w:hAnsi="宋体" w:cs="宋体"/>
          <w:color w:val="auto"/>
          <w:sz w:val="24"/>
          <w:highlight w:val="none"/>
        </w:rPr>
        <w:t xml:space="preserve"> 在招标采购中，出现下列情形之一的，应予废标：</w:t>
      </w:r>
    </w:p>
    <w:p w14:paraId="509D75C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1.出现影响采购公正的违法、违规行为的。</w:t>
      </w:r>
    </w:p>
    <w:p w14:paraId="0EB9FE4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2.投标时有弄虚作假的行为。</w:t>
      </w:r>
    </w:p>
    <w:p w14:paraId="5CEFA435">
      <w:pPr>
        <w:spacing w:line="360" w:lineRule="auto"/>
        <w:ind w:firstLine="475" w:firstLineChars="197"/>
        <w:rPr>
          <w:rFonts w:hint="eastAsia" w:ascii="宋体" w:hAnsi="宋体" w:cs="宋体"/>
          <w:color w:val="auto"/>
          <w:sz w:val="24"/>
          <w:highlight w:val="none"/>
        </w:rPr>
      </w:pPr>
      <w:r>
        <w:rPr>
          <w:rFonts w:hint="eastAsia" w:ascii="宋体" w:hAnsi="宋体" w:cs="宋体"/>
          <w:b/>
          <w:color w:val="auto"/>
          <w:sz w:val="24"/>
          <w:highlight w:val="none"/>
        </w:rPr>
        <w:t xml:space="preserve">第十七条 </w:t>
      </w:r>
      <w:r>
        <w:rPr>
          <w:rFonts w:hint="eastAsia" w:ascii="宋体" w:hAnsi="宋体" w:cs="宋体"/>
          <w:color w:val="auto"/>
          <w:sz w:val="24"/>
          <w:highlight w:val="none"/>
        </w:rPr>
        <w:t>在投标过程中，出现下列情况之一的，按照无效投标处理：</w:t>
      </w:r>
    </w:p>
    <w:p w14:paraId="0F77CE7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1.未按照招标文件规定要求签署、签章的</w:t>
      </w:r>
      <w:r>
        <w:rPr>
          <w:rFonts w:hint="eastAsia" w:ascii="宋体" w:hAnsi="宋体" w:cs="宋体"/>
          <w:b/>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w:t>
      </w:r>
      <w:r>
        <w:rPr>
          <w:rFonts w:hint="eastAsia" w:ascii="宋体" w:hAnsi="宋体" w:cs="宋体"/>
          <w:b/>
          <w:color w:val="auto"/>
          <w:sz w:val="24"/>
          <w:highlight w:val="none"/>
          <w:lang w:val="en-US" w:eastAsia="zh-CN"/>
        </w:rPr>
        <w:t>手</w:t>
      </w:r>
      <w:r>
        <w:rPr>
          <w:rFonts w:hint="eastAsia" w:ascii="宋体" w:hAnsi="宋体"/>
          <w:b/>
          <w:bCs w:val="0"/>
          <w:color w:val="auto"/>
          <w:sz w:val="24"/>
          <w:highlight w:val="none"/>
        </w:rPr>
        <w:t>写签</w:t>
      </w:r>
      <w:r>
        <w:rPr>
          <w:rFonts w:hint="eastAsia" w:ascii="宋体" w:hAnsi="宋体" w:cs="宋体"/>
          <w:b/>
          <w:color w:val="auto"/>
          <w:sz w:val="24"/>
          <w:highlight w:val="none"/>
        </w:rPr>
        <w:t>在签章处即可）；</w:t>
      </w:r>
    </w:p>
    <w:p w14:paraId="323DA1A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2.不具备招标文件中规定资格要求的；</w:t>
      </w:r>
    </w:p>
    <w:p w14:paraId="2559A4E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3.不符合法律、法规和招标文件中规定的其他实质性要求的。</w:t>
      </w:r>
    </w:p>
    <w:p w14:paraId="1A6083D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4.投标人的报价超过了采购预算，采购人不能支付的；</w:t>
      </w:r>
    </w:p>
    <w:p w14:paraId="070ABA5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5.投标文件附有招标人不能接受的条件；</w:t>
      </w:r>
    </w:p>
    <w:p w14:paraId="0EDF185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6.投标文件中对同一货物或标段提供选择性报价的；</w:t>
      </w:r>
    </w:p>
    <w:p w14:paraId="241C19F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7.商务偏差表或技术偏差表存在弄虚作假的；</w:t>
      </w:r>
    </w:p>
    <w:p w14:paraId="2610F94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8.不同供应商的电子投标（响应）文件上传计算机的网卡 MAC 地址、CPU 序列号和硬盘序列号等硬件信息相同的;</w:t>
      </w:r>
    </w:p>
    <w:p w14:paraId="163B440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778BEFE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28840C5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不同供应商的投标（响应）文件的内容存在两处以上细节错误</w:t>
      </w:r>
      <w:r>
        <w:rPr>
          <w:rFonts w:hint="eastAsia" w:ascii="宋体" w:hAnsi="宋体" w:cs="宋体"/>
          <w:color w:val="auto"/>
          <w:sz w:val="24"/>
          <w:highlight w:val="none"/>
          <w:lang w:eastAsia="zh-CN"/>
        </w:rPr>
        <w:t>的</w:t>
      </w:r>
      <w:r>
        <w:rPr>
          <w:rFonts w:hint="eastAsia" w:ascii="宋体" w:hAnsi="宋体" w:eastAsia="宋体" w:cs="宋体"/>
          <w:color w:val="auto"/>
          <w:sz w:val="24"/>
          <w:highlight w:val="none"/>
        </w:rPr>
        <w:t>；</w:t>
      </w:r>
    </w:p>
    <w:p w14:paraId="2656D4D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21F6DC6D">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13.</w:t>
      </w:r>
      <w:r>
        <w:rPr>
          <w:rFonts w:hint="eastAsia" w:ascii="宋体" w:hAnsi="宋体" w:cs="宋体"/>
          <w:b w:val="0"/>
          <w:bCs w:val="0"/>
          <w:color w:val="auto"/>
          <w:sz w:val="24"/>
          <w:highlight w:val="none"/>
        </w:rPr>
        <w:t>法定代表人和委托代理人未提供劳动合同的；</w:t>
      </w:r>
    </w:p>
    <w:p w14:paraId="179A7291">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6392721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ascii="宋体" w:hAnsi="宋体" w:cs="宋体"/>
          <w:color w:val="auto"/>
          <w:sz w:val="24"/>
          <w:highlight w:val="none"/>
        </w:rPr>
        <w:t>5</w:t>
      </w:r>
      <w:r>
        <w:rPr>
          <w:rFonts w:hint="eastAsia" w:ascii="宋体" w:hAnsi="宋体" w:cs="宋体"/>
          <w:color w:val="auto"/>
          <w:sz w:val="24"/>
          <w:highlight w:val="none"/>
        </w:rPr>
        <w:t>.未提供近半年内已依法缴纳税收和社会保障资金的凭证（依法免税或不需要缴纳社会保障资金的供应商应提供相应证明文件）；</w:t>
      </w:r>
    </w:p>
    <w:p w14:paraId="605297AB">
      <w:pPr>
        <w:spacing w:line="360" w:lineRule="auto"/>
        <w:ind w:firstLine="480" w:firstLineChars="200"/>
        <w:rPr>
          <w:rFonts w:hint="eastAsia"/>
          <w:color w:val="auto"/>
          <w:highlight w:val="none"/>
        </w:rPr>
      </w:pPr>
      <w:r>
        <w:rPr>
          <w:rFonts w:hint="eastAsia" w:ascii="宋体" w:hAnsi="宋体" w:cs="宋体"/>
          <w:color w:val="auto"/>
          <w:sz w:val="24"/>
          <w:highlight w:val="none"/>
        </w:rPr>
        <w:t>1</w:t>
      </w:r>
      <w:r>
        <w:rPr>
          <w:rFonts w:ascii="宋体" w:hAnsi="宋体" w:cs="宋体"/>
          <w:color w:val="auto"/>
          <w:sz w:val="24"/>
          <w:highlight w:val="none"/>
        </w:rPr>
        <w:t>6.</w:t>
      </w:r>
      <w:r>
        <w:rPr>
          <w:rFonts w:hint="eastAsia" w:ascii="宋体" w:hAnsi="宋体" w:cs="宋体"/>
          <w:color w:val="auto"/>
          <w:sz w:val="24"/>
          <w:highlight w:val="none"/>
        </w:rPr>
        <w:t>未提供经会计师事务所或审计机构审计的财务会计报表，包括资产负债表、现金流量表、利润表和财务情况说明书；</w:t>
      </w:r>
    </w:p>
    <w:p w14:paraId="14F024D2">
      <w:pPr>
        <w:spacing w:line="360" w:lineRule="auto"/>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第十</w:t>
      </w:r>
      <w:r>
        <w:rPr>
          <w:rFonts w:hint="eastAsia" w:ascii="宋体" w:hAnsi="宋体" w:cs="宋体"/>
          <w:b/>
          <w:bCs/>
          <w:color w:val="auto"/>
          <w:sz w:val="24"/>
          <w:highlight w:val="none"/>
        </w:rPr>
        <w:t>八</w:t>
      </w:r>
      <w:r>
        <w:rPr>
          <w:rFonts w:hint="eastAsia" w:ascii="宋体" w:hAnsi="宋体" w:cs="宋体"/>
          <w:b/>
          <w:color w:val="auto"/>
          <w:sz w:val="24"/>
          <w:highlight w:val="none"/>
        </w:rPr>
        <w:t xml:space="preserve">条 </w:t>
      </w:r>
      <w:r>
        <w:rPr>
          <w:rFonts w:hint="eastAsia" w:ascii="宋体" w:hAnsi="宋体" w:cs="宋体"/>
          <w:color w:val="auto"/>
          <w:sz w:val="24"/>
          <w:highlight w:val="none"/>
        </w:rPr>
        <w:t>在投标文件中，出现下列情形之一的，其投标有可能被拒绝：</w:t>
      </w:r>
    </w:p>
    <w:p w14:paraId="600D231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1.交货完工期不确切、不肯定的投标；供应商的投标质量无承诺的；</w:t>
      </w:r>
    </w:p>
    <w:p w14:paraId="0CE603C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w:t>
      </w:r>
      <w:r>
        <w:rPr>
          <w:rFonts w:hint="eastAsia" w:ascii="宋体" w:hAnsi="宋体" w:eastAsia="宋体" w:cs="宋体"/>
          <w:color w:val="auto"/>
          <w:spacing w:val="0"/>
          <w:position w:val="0"/>
          <w:sz w:val="24"/>
          <w:highlight w:val="none"/>
          <w:shd w:val="clear" w:color="auto" w:fill="auto"/>
        </w:rPr>
        <w:t>对投标质量、付款方式无承诺的；</w:t>
      </w:r>
      <w:r>
        <w:rPr>
          <w:rFonts w:hint="eastAsia" w:ascii="宋体" w:hAnsi="宋体" w:eastAsia="宋体" w:cs="宋体"/>
          <w:color w:val="auto"/>
          <w:sz w:val="24"/>
          <w:highlight w:val="none"/>
        </w:rPr>
        <w:t>售后服务不满足招标文件要求的</w:t>
      </w:r>
      <w:r>
        <w:rPr>
          <w:rFonts w:hint="eastAsia" w:ascii="宋体" w:hAnsi="宋体" w:cs="宋体"/>
          <w:color w:val="auto"/>
          <w:sz w:val="24"/>
          <w:highlight w:val="none"/>
        </w:rPr>
        <w:t xml:space="preserve">； </w:t>
      </w:r>
    </w:p>
    <w:p w14:paraId="42286F5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3.投标人没有实质性响应招标文件的要求和条件的；</w:t>
      </w:r>
    </w:p>
    <w:p w14:paraId="0CB7D52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w:t>
      </w:r>
      <w:r>
        <w:rPr>
          <w:rFonts w:hint="eastAsia" w:ascii="宋体" w:hAnsi="宋体" w:eastAsia="宋体" w:cs="宋体"/>
          <w:color w:val="auto"/>
          <w:sz w:val="24"/>
          <w:highlight w:val="none"/>
        </w:rPr>
        <w:t>评标委员会认为投标人的报价明显低于其他通过符合性审查投标人的报价，有可能影响产品质量或者不能诚信履约的；</w:t>
      </w:r>
      <w:r>
        <w:rPr>
          <w:rFonts w:hint="eastAsia" w:ascii="宋体" w:hAnsi="宋体" w:eastAsia="宋体" w:cs="宋体"/>
          <w:color w:val="auto"/>
          <w:sz w:val="24"/>
          <w:highlight w:val="none"/>
          <w:lang w:val="en-US" w:eastAsia="zh-CN"/>
        </w:rPr>
        <w:t>且</w:t>
      </w:r>
      <w:r>
        <w:rPr>
          <w:rFonts w:hint="eastAsia" w:ascii="宋体" w:hAnsi="宋体" w:eastAsia="宋体" w:cs="宋体"/>
          <w:color w:val="auto"/>
          <w:sz w:val="24"/>
          <w:highlight w:val="none"/>
        </w:rPr>
        <w:t>提供</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书面说明</w:t>
      </w:r>
      <w:r>
        <w:rPr>
          <w:rFonts w:hint="eastAsia" w:ascii="宋体" w:hAnsi="宋体" w:eastAsia="宋体" w:cs="宋体"/>
          <w:color w:val="auto"/>
          <w:sz w:val="24"/>
          <w:highlight w:val="none"/>
          <w:lang w:val="en-US" w:eastAsia="zh-CN"/>
        </w:rPr>
        <w:t>和</w:t>
      </w:r>
      <w:r>
        <w:rPr>
          <w:rFonts w:hint="eastAsia" w:ascii="宋体" w:hAnsi="宋体" w:eastAsia="宋体" w:cs="宋体"/>
          <w:color w:val="auto"/>
          <w:sz w:val="24"/>
          <w:highlight w:val="none"/>
        </w:rPr>
        <w:t>相关证明材料；投标人不能证明其报价合理性的，评标委员会应当将其作为无效投标处理</w:t>
      </w:r>
      <w:r>
        <w:rPr>
          <w:rFonts w:hint="eastAsia" w:ascii="宋体" w:hAnsi="宋体" w:eastAsia="宋体" w:cs="宋体"/>
          <w:color w:val="auto"/>
          <w:sz w:val="24"/>
          <w:highlight w:val="none"/>
          <w:lang w:eastAsia="zh-CN"/>
        </w:rPr>
        <w:t>。</w:t>
      </w:r>
    </w:p>
    <w:p w14:paraId="690CF265">
      <w:pPr>
        <w:spacing w:line="360" w:lineRule="auto"/>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第十九条</w:t>
      </w:r>
      <w:r>
        <w:rPr>
          <w:rFonts w:hint="eastAsia" w:ascii="宋体" w:hAnsi="宋体" w:cs="宋体"/>
          <w:color w:val="auto"/>
          <w:sz w:val="24"/>
          <w:highlight w:val="none"/>
        </w:rPr>
        <w:t xml:space="preserve"> 本评标办法的解释权属于采购人。</w:t>
      </w:r>
    </w:p>
    <w:p w14:paraId="73173B02">
      <w:pPr>
        <w:pStyle w:val="2"/>
        <w:spacing w:before="0" w:after="0" w:line="400" w:lineRule="exact"/>
        <w:jc w:val="both"/>
        <w:rPr>
          <w:rFonts w:hint="eastAsia" w:ascii="宋体" w:hAnsi="宋体" w:eastAsia="宋体" w:cs="宋体"/>
          <w:color w:val="auto"/>
          <w:highlight w:val="none"/>
        </w:rPr>
      </w:pPr>
      <w:bookmarkStart w:id="58" w:name="_Toc527725920"/>
      <w:r>
        <w:rPr>
          <w:rFonts w:ascii="宋体" w:hAnsi="宋体" w:cs="宋体"/>
          <w:color w:val="auto"/>
          <w:sz w:val="32"/>
          <w:highlight w:val="none"/>
        </w:rPr>
        <w:br w:type="page"/>
      </w:r>
      <w:bookmarkStart w:id="59" w:name="_Toc40975440"/>
      <w:bookmarkStart w:id="60" w:name="_Toc5365"/>
      <w:r>
        <w:rPr>
          <w:rFonts w:hint="eastAsia" w:ascii="宋体" w:hAnsi="宋体" w:cs="宋体"/>
          <w:color w:val="auto"/>
          <w:sz w:val="32"/>
          <w:highlight w:val="none"/>
        </w:rPr>
        <w:t>招标文件第二部分</w:t>
      </w:r>
      <w:bookmarkEnd w:id="58"/>
      <w:bookmarkEnd w:id="59"/>
      <w:bookmarkEnd w:id="60"/>
      <w:bookmarkStart w:id="61" w:name="_Toc40975441"/>
      <w:bookmarkStart w:id="62" w:name="_Toc527725921"/>
    </w:p>
    <w:p w14:paraId="0A469A83">
      <w:pPr>
        <w:pStyle w:val="2"/>
        <w:bidi w:val="0"/>
        <w:spacing w:line="240" w:lineRule="auto"/>
        <w:jc w:val="center"/>
        <w:rPr>
          <w:rFonts w:hint="eastAsia"/>
          <w:color w:val="auto"/>
          <w:highlight w:val="none"/>
        </w:rPr>
      </w:pPr>
      <w:bookmarkStart w:id="63" w:name="_Toc26370"/>
      <w:r>
        <w:rPr>
          <w:rFonts w:hint="eastAsia"/>
          <w:color w:val="auto"/>
          <w:highlight w:val="none"/>
        </w:rPr>
        <w:t>第五章 投标人须知</w:t>
      </w:r>
      <w:bookmarkEnd w:id="61"/>
      <w:bookmarkEnd w:id="62"/>
      <w:bookmarkEnd w:id="63"/>
    </w:p>
    <w:p w14:paraId="0AE65EC6">
      <w:pPr>
        <w:pStyle w:val="4"/>
        <w:spacing w:line="500" w:lineRule="exact"/>
        <w:rPr>
          <w:rFonts w:hint="eastAsia" w:hAnsi="宋体" w:cs="宋体"/>
          <w:color w:val="auto"/>
          <w:sz w:val="28"/>
          <w:highlight w:val="none"/>
        </w:rPr>
      </w:pPr>
      <w:bookmarkStart w:id="64" w:name="_Hlt509649998"/>
      <w:bookmarkEnd w:id="64"/>
      <w:bookmarkStart w:id="65" w:name="_Hlt509650126"/>
      <w:bookmarkEnd w:id="65"/>
      <w:bookmarkStart w:id="66" w:name="_Hlt509650686"/>
      <w:bookmarkEnd w:id="66"/>
      <w:bookmarkStart w:id="67" w:name="_Hlt509650955"/>
      <w:bookmarkEnd w:id="67"/>
      <w:bookmarkStart w:id="68" w:name="_Hlt526418143"/>
      <w:bookmarkEnd w:id="68"/>
      <w:bookmarkStart w:id="69" w:name="_Hlt509649722"/>
      <w:bookmarkEnd w:id="69"/>
      <w:bookmarkStart w:id="70" w:name="_Toc40975442"/>
      <w:bookmarkStart w:id="71" w:name="_Toc527725922"/>
      <w:bookmarkStart w:id="72" w:name="_Toc23361"/>
      <w:r>
        <w:rPr>
          <w:rFonts w:hint="eastAsia" w:hAnsi="宋体" w:cs="宋体"/>
          <w:color w:val="auto"/>
          <w:sz w:val="28"/>
          <w:highlight w:val="none"/>
        </w:rPr>
        <w:t>一．总    则</w:t>
      </w:r>
      <w:bookmarkEnd w:id="70"/>
      <w:bookmarkEnd w:id="71"/>
      <w:bookmarkEnd w:id="72"/>
    </w:p>
    <w:p w14:paraId="640027F9">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1.适用范围</w:t>
      </w:r>
    </w:p>
    <w:p w14:paraId="5450EE75">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1.1本招标文件仅适用于本次公开招标所述的货物项目采购。</w:t>
      </w:r>
    </w:p>
    <w:p w14:paraId="1AF9AA00">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2.有关定义</w:t>
      </w:r>
    </w:p>
    <w:p w14:paraId="146A2D11">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2.1招标人（采购人）：</w:t>
      </w:r>
      <w:r>
        <w:rPr>
          <w:rFonts w:hint="eastAsia" w:ascii="宋体" w:hAnsi="宋体" w:cs="宋体"/>
          <w:i w:val="0"/>
          <w:iCs w:val="0"/>
          <w:color w:val="auto"/>
          <w:sz w:val="24"/>
          <w:szCs w:val="24"/>
          <w:highlight w:val="none"/>
          <w:lang w:eastAsia="zh-CN"/>
        </w:rPr>
        <w:t>郸城县民政局</w:t>
      </w:r>
      <w:r>
        <w:rPr>
          <w:rFonts w:hint="eastAsia" w:ascii="宋体" w:hAnsi="宋体" w:cs="宋体"/>
          <w:color w:val="auto"/>
          <w:sz w:val="24"/>
          <w:highlight w:val="none"/>
        </w:rPr>
        <w:t>。</w:t>
      </w:r>
    </w:p>
    <w:p w14:paraId="7758BA68">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2.2招标代理机构（集中采购机构）：系指周口市公共资源交易中心政府采购中心，以下简称“采购中心”。</w:t>
      </w:r>
    </w:p>
    <w:p w14:paraId="6A178B63">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2.3政府采购监督管理部门：系指</w:t>
      </w:r>
      <w:r>
        <w:rPr>
          <w:rFonts w:hint="eastAsia" w:ascii="宋体" w:hAnsi="宋体" w:cs="宋体"/>
          <w:color w:val="auto"/>
          <w:sz w:val="24"/>
          <w:highlight w:val="none"/>
          <w:lang w:eastAsia="zh-CN"/>
        </w:rPr>
        <w:t>郸城县</w:t>
      </w:r>
      <w:r>
        <w:rPr>
          <w:rFonts w:hint="eastAsia" w:ascii="宋体" w:hAnsi="宋体" w:cs="宋体"/>
          <w:color w:val="auto"/>
          <w:sz w:val="24"/>
          <w:highlight w:val="none"/>
          <w:lang w:val="en-US" w:eastAsia="zh-CN"/>
        </w:rPr>
        <w:t>财政局</w:t>
      </w:r>
      <w:r>
        <w:rPr>
          <w:rFonts w:hint="eastAsia" w:ascii="宋体" w:hAnsi="宋体" w:cs="宋体"/>
          <w:color w:val="auto"/>
          <w:sz w:val="24"/>
          <w:highlight w:val="none"/>
        </w:rPr>
        <w:t>。</w:t>
      </w:r>
    </w:p>
    <w:p w14:paraId="1683D96D">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2.4投标人：系指已经在周口市公共资源交易中心网上报名，且已经提交或准备提交本次投标文件的制造商、供应商或服务商。</w:t>
      </w:r>
    </w:p>
    <w:p w14:paraId="7F4DE601">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2.5货物：系指各种形态和种类的物品，包括原材料、燃料、设备、产品等，包括与之相关的备品备件、工具、手册及安装、调试、技术协助、校准、培训、售后服务等。</w:t>
      </w:r>
    </w:p>
    <w:p w14:paraId="0A6C1D81">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2.6业绩：系指符合本招标文件规定且已供货（安装）完毕的合同。</w:t>
      </w:r>
    </w:p>
    <w:p w14:paraId="5F7FA5BB">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2.7投标人公章：在电子投标文件中系指投标人电子签章。</w:t>
      </w:r>
    </w:p>
    <w:p w14:paraId="654FC83A">
      <w:pPr>
        <w:pStyle w:val="40"/>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kern w:val="2"/>
          <w:sz w:val="24"/>
          <w:highlight w:val="none"/>
          <w:lang w:val="en-US" w:eastAsia="zh-CN" w:bidi="ar-SA"/>
        </w:rPr>
      </w:pPr>
      <w:r>
        <w:rPr>
          <w:rFonts w:hint="eastAsia" w:ascii="宋体" w:hAnsi="宋体" w:eastAsia="宋体" w:cs="宋体"/>
          <w:color w:val="auto"/>
          <w:kern w:val="2"/>
          <w:sz w:val="24"/>
          <w:highlight w:val="none"/>
          <w:lang w:val="en-US" w:eastAsia="zh-CN" w:bidi="ar-SA"/>
        </w:rPr>
        <w:t>2.8供应商应在响应文件中</w:t>
      </w:r>
      <w:r>
        <w:rPr>
          <w:rFonts w:hint="eastAsia" w:ascii="宋体" w:hAnsi="宋体"/>
          <w:color w:val="auto"/>
          <w:sz w:val="24"/>
          <w:highlight w:val="none"/>
        </w:rPr>
        <w:t>声明</w:t>
      </w:r>
      <w:r>
        <w:rPr>
          <w:rFonts w:hint="eastAsia" w:ascii="宋体" w:hAnsi="宋体" w:eastAsia="宋体" w:cs="宋体"/>
          <w:color w:val="auto"/>
          <w:kern w:val="2"/>
          <w:sz w:val="24"/>
          <w:highlight w:val="none"/>
          <w:lang w:val="en-US" w:eastAsia="zh-CN" w:bidi="ar-SA"/>
        </w:rPr>
        <w:t>未被纳入重大税收违法失信主体名单且未存在不诚信记录，如若实际情况与供应商承诺内容不一致，一经查实将取消其中标资格。</w:t>
      </w:r>
      <w:r>
        <w:rPr>
          <w:rFonts w:hint="eastAsia" w:ascii="宋体" w:hAnsi="宋体" w:cs="宋体"/>
          <w:color w:val="auto"/>
          <w:sz w:val="24"/>
          <w:highlight w:val="none"/>
        </w:rPr>
        <w:t>此内容为招标人实质性要求，投标人需在投标文件中出具书面声明，否则按无效标处理。</w:t>
      </w:r>
    </w:p>
    <w:p w14:paraId="57F36E31">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3.投标费用</w:t>
      </w:r>
    </w:p>
    <w:p w14:paraId="68350159">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3.1无论投标结果如何，投标人应自行承担其编制与递交投标文件所涉及的一切费用，并以纸质版加盖公章做出承诺说明附在投标文件中</w:t>
      </w:r>
      <w:r>
        <w:rPr>
          <w:rFonts w:hint="eastAsia" w:ascii="宋体" w:hAnsi="宋体" w:cs="宋体"/>
          <w:b w:val="0"/>
          <w:bCs w:val="0"/>
          <w:color w:val="auto"/>
          <w:sz w:val="24"/>
          <w:highlight w:val="none"/>
        </w:rPr>
        <w:t>。</w:t>
      </w:r>
      <w:r>
        <w:rPr>
          <w:rFonts w:hint="eastAsia" w:ascii="宋体" w:hAnsi="宋体" w:cs="宋体"/>
          <w:b/>
          <w:color w:val="auto"/>
          <w:sz w:val="24"/>
          <w:highlight w:val="none"/>
        </w:rPr>
        <w:t>评标费用由采购人自行解决。</w:t>
      </w:r>
    </w:p>
    <w:p w14:paraId="7F99F5DA">
      <w:pPr>
        <w:spacing w:line="360" w:lineRule="auto"/>
        <w:ind w:firstLine="550"/>
        <w:rPr>
          <w:rFonts w:hint="eastAsia" w:ascii="宋体" w:hAnsi="宋体" w:cs="宋体"/>
          <w:b/>
          <w:bCs/>
          <w:color w:val="auto"/>
          <w:sz w:val="24"/>
          <w:highlight w:val="none"/>
        </w:rPr>
      </w:pPr>
      <w:r>
        <w:rPr>
          <w:rFonts w:hint="eastAsia" w:ascii="宋体" w:hAnsi="宋体" w:cs="宋体"/>
          <w:b/>
          <w:bCs/>
          <w:color w:val="auto"/>
          <w:sz w:val="24"/>
          <w:highlight w:val="none"/>
        </w:rPr>
        <w:t>4.合格的投标人</w:t>
      </w:r>
    </w:p>
    <w:p w14:paraId="14B6A40B">
      <w:pPr>
        <w:spacing w:line="360" w:lineRule="auto"/>
        <w:ind w:firstLine="523" w:firstLineChars="218"/>
        <w:rPr>
          <w:rFonts w:hint="eastAsia" w:ascii="宋体" w:hAnsi="宋体"/>
          <w:color w:val="auto"/>
          <w:sz w:val="24"/>
          <w:highlight w:val="none"/>
        </w:rPr>
      </w:pPr>
      <w:r>
        <w:rPr>
          <w:rFonts w:hint="eastAsia" w:ascii="宋体" w:hAnsi="宋体" w:cs="宋体"/>
          <w:color w:val="auto"/>
          <w:sz w:val="24"/>
          <w:highlight w:val="none"/>
        </w:rPr>
        <w:t>4.1</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合格的投标人应符合招标文件载明的投标资格。</w:t>
      </w:r>
      <w:r>
        <w:rPr>
          <w:rFonts w:hint="eastAsia" w:ascii="宋体" w:hAnsi="宋体"/>
          <w:color w:val="auto"/>
          <w:sz w:val="24"/>
          <w:highlight w:val="none"/>
        </w:rPr>
        <w:t>并提供合格供应商的声明函。</w:t>
      </w:r>
      <w:r>
        <w:rPr>
          <w:rFonts w:hint="eastAsia" w:ascii="宋体" w:hAnsi="宋体" w:eastAsia="宋体" w:cs="宋体"/>
          <w:color w:val="auto"/>
          <w:sz w:val="24"/>
          <w:highlight w:val="none"/>
        </w:rPr>
        <w:t>（</w:t>
      </w:r>
      <w:r>
        <w:rPr>
          <w:rFonts w:hint="eastAsia" w:ascii="宋体" w:hAnsi="宋体" w:eastAsia="宋体" w:cs="宋体"/>
          <w:color w:val="auto"/>
          <w:spacing w:val="-3"/>
          <w:sz w:val="24"/>
          <w:highlight w:val="none"/>
        </w:rPr>
        <w:t>格式自拟</w:t>
      </w:r>
      <w:r>
        <w:rPr>
          <w:rFonts w:hint="eastAsia" w:ascii="宋体" w:hAnsi="宋体" w:eastAsia="宋体" w:cs="宋体"/>
          <w:color w:val="auto"/>
          <w:sz w:val="24"/>
          <w:highlight w:val="none"/>
        </w:rPr>
        <w:t>）</w:t>
      </w:r>
    </w:p>
    <w:p w14:paraId="09BECF09">
      <w:pPr>
        <w:spacing w:line="360" w:lineRule="auto"/>
        <w:ind w:firstLine="523" w:firstLineChars="218"/>
        <w:rPr>
          <w:rFonts w:hint="eastAsia" w:ascii="宋体" w:hAnsi="宋体"/>
          <w:color w:val="auto"/>
          <w:sz w:val="24"/>
          <w:highlight w:val="none"/>
        </w:rPr>
      </w:pPr>
      <w:r>
        <w:rPr>
          <w:rFonts w:hint="eastAsia" w:ascii="宋体" w:hAnsi="宋体"/>
          <w:color w:val="auto"/>
          <w:sz w:val="24"/>
          <w:highlight w:val="none"/>
        </w:rPr>
        <w:t>4.1.2参加政府采购活动前三年内，在经营活动中无重大违法记录无诉讼的声明函；</w:t>
      </w:r>
    </w:p>
    <w:p w14:paraId="21B6D9A5">
      <w:pPr>
        <w:spacing w:line="360" w:lineRule="auto"/>
        <w:ind w:firstLine="523" w:firstLineChars="218"/>
        <w:rPr>
          <w:rFonts w:hint="eastAsia" w:ascii="宋体" w:hAnsi="宋体"/>
          <w:color w:val="auto"/>
          <w:sz w:val="24"/>
          <w:highlight w:val="none"/>
        </w:rPr>
      </w:pPr>
      <w:r>
        <w:rPr>
          <w:rFonts w:hint="eastAsia" w:ascii="宋体" w:hAnsi="宋体"/>
          <w:color w:val="auto"/>
          <w:sz w:val="24"/>
          <w:highlight w:val="none"/>
        </w:rPr>
        <w:t>4.1.</w:t>
      </w:r>
      <w:r>
        <w:rPr>
          <w:rFonts w:hint="eastAsia" w:ascii="宋体" w:hAnsi="宋体"/>
          <w:color w:val="auto"/>
          <w:sz w:val="24"/>
          <w:highlight w:val="none"/>
          <w:lang w:val="en-US" w:eastAsia="zh-CN"/>
        </w:rPr>
        <w:t>3</w:t>
      </w:r>
      <w:r>
        <w:rPr>
          <w:rFonts w:hint="eastAsia" w:ascii="宋体" w:hAnsi="宋体"/>
          <w:color w:val="auto"/>
          <w:sz w:val="24"/>
          <w:highlight w:val="none"/>
        </w:rPr>
        <w:t xml:space="preserve"> 供应商自觉抵制政府采购领域商业贿赂行为承诺书；</w:t>
      </w:r>
    </w:p>
    <w:p w14:paraId="372D3231">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4.2投标人之间如果存在下列情形之一的，不得同时参加同一标段（包别）或者不分标段（包别）的同一项目投标：</w:t>
      </w:r>
    </w:p>
    <w:p w14:paraId="6C13356F">
      <w:pPr>
        <w:spacing w:line="360" w:lineRule="auto"/>
        <w:ind w:left="420" w:leftChars="200" w:firstLine="88" w:firstLineChars="37"/>
        <w:rPr>
          <w:rFonts w:hint="eastAsia" w:ascii="宋体" w:hAnsi="宋体" w:cs="宋体"/>
          <w:color w:val="auto"/>
          <w:sz w:val="24"/>
          <w:highlight w:val="none"/>
        </w:rPr>
      </w:pPr>
      <w:r>
        <w:rPr>
          <w:rFonts w:hint="eastAsia" w:ascii="宋体" w:hAnsi="宋体" w:cs="宋体"/>
          <w:color w:val="auto"/>
          <w:sz w:val="24"/>
          <w:highlight w:val="none"/>
        </w:rPr>
        <w:t>4.2.1法定代表人为同一个人的两个及两个以上法人；</w:t>
      </w:r>
    </w:p>
    <w:p w14:paraId="37CF1409">
      <w:pPr>
        <w:spacing w:line="360" w:lineRule="auto"/>
        <w:ind w:left="420" w:leftChars="200" w:firstLine="88" w:firstLineChars="37"/>
        <w:rPr>
          <w:rFonts w:hint="eastAsia" w:ascii="宋体" w:hAnsi="宋体" w:cs="宋体"/>
          <w:color w:val="auto"/>
          <w:sz w:val="24"/>
          <w:highlight w:val="none"/>
        </w:rPr>
      </w:pPr>
      <w:r>
        <w:rPr>
          <w:rFonts w:hint="eastAsia" w:ascii="宋体" w:hAnsi="宋体" w:cs="宋体"/>
          <w:color w:val="auto"/>
          <w:sz w:val="24"/>
          <w:highlight w:val="none"/>
        </w:rPr>
        <w:t>4.2.2母公司、全资子公司及其控股公司；</w:t>
      </w:r>
    </w:p>
    <w:p w14:paraId="1A6CD6BF">
      <w:pPr>
        <w:pStyle w:val="5"/>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4.2.3参加投标的其他组织之间存在特殊的利害关系的；</w:t>
      </w:r>
    </w:p>
    <w:p w14:paraId="45BDB89B">
      <w:pPr>
        <w:spacing w:line="360" w:lineRule="auto"/>
        <w:ind w:left="420" w:leftChars="200" w:firstLine="88" w:firstLineChars="37"/>
        <w:rPr>
          <w:rFonts w:hint="eastAsia" w:ascii="宋体" w:hAnsi="宋体" w:cs="宋体"/>
          <w:color w:val="auto"/>
          <w:sz w:val="24"/>
          <w:highlight w:val="none"/>
        </w:rPr>
      </w:pPr>
      <w:r>
        <w:rPr>
          <w:rFonts w:hint="eastAsia" w:ascii="宋体" w:hAnsi="宋体" w:cs="宋体"/>
          <w:color w:val="auto"/>
          <w:sz w:val="24"/>
          <w:highlight w:val="none"/>
        </w:rPr>
        <w:t>4.2.4法律和行政法规规定的其他情形。</w:t>
      </w:r>
    </w:p>
    <w:p w14:paraId="02E02BA9">
      <w:pPr>
        <w:spacing w:line="360" w:lineRule="auto"/>
        <w:ind w:firstLine="550"/>
        <w:rPr>
          <w:rFonts w:hint="eastAsia" w:ascii="宋体" w:hAnsi="宋体" w:eastAsia="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4.2.5</w:t>
      </w:r>
      <w:r>
        <w:rPr>
          <w:rFonts w:hint="eastAsia" w:ascii="宋体" w:hAnsi="宋体" w:cs="宋体"/>
          <w:b w:val="0"/>
          <w:bCs/>
          <w:color w:val="auto"/>
          <w:sz w:val="24"/>
          <w:highlight w:val="none"/>
        </w:rPr>
        <w:t>投标人</w:t>
      </w:r>
      <w:r>
        <w:rPr>
          <w:rFonts w:hint="eastAsia" w:ascii="宋体" w:hAnsi="宋体" w:eastAsia="宋体" w:cs="宋体"/>
          <w:b w:val="0"/>
          <w:bCs/>
          <w:color w:val="auto"/>
          <w:sz w:val="24"/>
          <w:highlight w:val="none"/>
          <w:lang w:val="en-US" w:eastAsia="zh-CN"/>
        </w:rPr>
        <w:t>有依法缴纳税收和社会保障资金的良好记录（</w:t>
      </w:r>
      <w:r>
        <w:rPr>
          <w:rFonts w:hint="eastAsia" w:ascii="宋体" w:hAnsi="宋体" w:eastAsia="宋体" w:cs="宋体"/>
          <w:color w:val="auto"/>
          <w:sz w:val="24"/>
          <w:szCs w:val="24"/>
          <w:highlight w:val="none"/>
        </w:rPr>
        <w:t>缴纳的税收凭据、社会保险凭据，依法免税或不需要缴纳社会保障资金的供应商应提供相应的证明文件</w:t>
      </w:r>
      <w:r>
        <w:rPr>
          <w:rFonts w:hint="eastAsia" w:ascii="宋体" w:hAnsi="宋体" w:eastAsia="宋体" w:cs="宋体"/>
          <w:b w:val="0"/>
          <w:bCs/>
          <w:color w:val="auto"/>
          <w:sz w:val="24"/>
          <w:highlight w:val="none"/>
          <w:lang w:val="en-US" w:eastAsia="zh-CN"/>
        </w:rPr>
        <w:t>）；</w:t>
      </w:r>
    </w:p>
    <w:p w14:paraId="234A66B4">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4.</w:t>
      </w: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w:t>
      </w:r>
      <w:r>
        <w:rPr>
          <w:rFonts w:hint="eastAsia" w:ascii="宋体" w:hAnsi="宋体"/>
          <w:color w:val="auto"/>
          <w:sz w:val="24"/>
          <w:szCs w:val="24"/>
          <w:highlight w:val="none"/>
          <w:lang w:val="en-US" w:eastAsia="zh-CN"/>
        </w:rPr>
        <w:t>6</w:t>
      </w:r>
      <w:r>
        <w:rPr>
          <w:rFonts w:hint="eastAsia" w:ascii="宋体" w:hAnsi="宋体"/>
          <w:color w:val="auto"/>
          <w:sz w:val="24"/>
          <w:szCs w:val="24"/>
          <w:highlight w:val="none"/>
        </w:rPr>
        <w:t xml:space="preserve"> “近年财务状况表”应附经会计师事务所或审计机构审计的财务会计报表，包括资产负债表、现金流量表、利润表</w:t>
      </w:r>
      <w:r>
        <w:rPr>
          <w:rFonts w:hint="eastAsia" w:ascii="宋体" w:hAnsi="宋体"/>
          <w:color w:val="auto"/>
          <w:sz w:val="24"/>
          <w:szCs w:val="24"/>
          <w:highlight w:val="none"/>
          <w:lang w:val="en-US" w:eastAsia="zh-CN"/>
        </w:rPr>
        <w:t>和损益表</w:t>
      </w:r>
      <w:r>
        <w:rPr>
          <w:rFonts w:hint="eastAsia" w:ascii="宋体" w:hAnsi="宋体"/>
          <w:color w:val="auto"/>
          <w:sz w:val="24"/>
          <w:szCs w:val="24"/>
          <w:highlight w:val="none"/>
        </w:rPr>
        <w:t>和财务情况说明书，具体年份要求见投标人须知前附表。</w:t>
      </w:r>
    </w:p>
    <w:p w14:paraId="12A9F368">
      <w:pPr>
        <w:pStyle w:val="5"/>
        <w:adjustRightInd w:val="0"/>
        <w:snapToGrid w:val="0"/>
        <w:spacing w:line="360" w:lineRule="auto"/>
        <w:ind w:firstLine="464" w:firstLineChars="200"/>
        <w:rPr>
          <w:rFonts w:hint="eastAsia" w:ascii="宋体" w:hAnsi="宋体" w:cs="宋体"/>
          <w:color w:val="auto"/>
          <w:sz w:val="24"/>
          <w:highlight w:val="none"/>
        </w:rPr>
      </w:pPr>
      <w:r>
        <w:rPr>
          <w:rFonts w:hint="eastAsia" w:ascii="宋体" w:hAnsi="宋体" w:eastAsia="宋体" w:cs="宋体"/>
          <w:color w:val="auto"/>
          <w:spacing w:val="-4"/>
          <w:sz w:val="24"/>
          <w:szCs w:val="24"/>
          <w:highlight w:val="none"/>
        </w:rPr>
        <w:t>4</w:t>
      </w:r>
      <w:r>
        <w:rPr>
          <w:rFonts w:hint="eastAsia" w:ascii="宋体" w:hAnsi="宋体" w:eastAsia="宋体" w:cs="Times New Roman"/>
          <w:color w:val="auto"/>
          <w:kern w:val="2"/>
          <w:sz w:val="24"/>
          <w:szCs w:val="24"/>
          <w:highlight w:val="none"/>
          <w:lang w:val="en-US" w:eastAsia="zh-CN" w:bidi="ar-SA"/>
        </w:rPr>
        <w:t>.2.7供</w:t>
      </w:r>
      <w:r>
        <w:rPr>
          <w:rFonts w:hint="eastAsia"/>
          <w:color w:val="auto"/>
          <w:spacing w:val="-4"/>
          <w:sz w:val="24"/>
          <w:szCs w:val="24"/>
          <w:highlight w:val="none"/>
        </w:rPr>
        <w:t>应商提供近三年内政府采购活动无重大违法记录声明、无诉讼声</w:t>
      </w:r>
      <w:r>
        <w:rPr>
          <w:rFonts w:hint="eastAsia"/>
          <w:color w:val="auto"/>
          <w:spacing w:val="-4"/>
          <w:sz w:val="24"/>
          <w:szCs w:val="24"/>
          <w:highlight w:val="none"/>
          <w:lang w:val="en-US" w:eastAsia="zh-CN"/>
        </w:rPr>
        <w:t>明</w:t>
      </w:r>
      <w:r>
        <w:rPr>
          <w:rFonts w:hint="eastAsia"/>
          <w:color w:val="auto"/>
          <w:spacing w:val="-4"/>
          <w:sz w:val="24"/>
          <w:szCs w:val="24"/>
          <w:highlight w:val="none"/>
        </w:rPr>
        <w:t>。</w:t>
      </w:r>
    </w:p>
    <w:p w14:paraId="49A8245A">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highlight w:val="none"/>
        </w:rPr>
        <w:t>注:单位负责人为同一人或者存在直接控股、管理关系的不同供应商，不得参加同一合同项下的政府采购活动，并提供承</w:t>
      </w:r>
      <w:r>
        <w:rPr>
          <w:rFonts w:hint="eastAsia" w:ascii="宋体" w:hAnsi="宋体"/>
          <w:color w:val="auto"/>
          <w:sz w:val="10"/>
          <w:szCs w:val="10"/>
          <w:highlight w:val="none"/>
        </w:rPr>
        <w:t xml:space="preserve"> </w:t>
      </w:r>
      <w:r>
        <w:rPr>
          <w:rFonts w:hint="eastAsia" w:ascii="宋体" w:hAnsi="宋体"/>
          <w:color w:val="auto"/>
          <w:sz w:val="24"/>
          <w:highlight w:val="none"/>
        </w:rPr>
        <w:t>诺，否则视为无效响应。</w:t>
      </w:r>
    </w:p>
    <w:p w14:paraId="5C9A2C1E">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4.2.8</w:t>
      </w:r>
      <w:r>
        <w:rPr>
          <w:rFonts w:hint="eastAsia" w:ascii="宋体" w:hAnsi="宋体" w:eastAsia="宋体" w:cs="宋体"/>
          <w:color w:val="auto"/>
          <w:sz w:val="24"/>
          <w:highlight w:val="none"/>
        </w:rPr>
        <w:t>具有履行合同所必需的设备和专业技术能力；（提供书面声明函，格式自拟）</w:t>
      </w:r>
      <w:r>
        <w:rPr>
          <w:rFonts w:hint="eastAsia" w:ascii="宋体" w:hAnsi="宋体" w:cs="宋体"/>
          <w:color w:val="auto"/>
          <w:sz w:val="24"/>
          <w:highlight w:val="none"/>
          <w:lang w:eastAsia="zh-CN"/>
        </w:rPr>
        <w:t>。</w:t>
      </w:r>
    </w:p>
    <w:p w14:paraId="77B448B3">
      <w:pPr>
        <w:spacing w:line="360" w:lineRule="auto"/>
        <w:ind w:firstLine="550"/>
        <w:rPr>
          <w:rFonts w:hint="eastAsia" w:ascii="宋体" w:hAnsi="宋体" w:cs="宋体"/>
          <w:b/>
          <w:color w:val="auto"/>
          <w:sz w:val="24"/>
          <w:highlight w:val="none"/>
          <w:lang w:val="en-US" w:eastAsia="zh-CN"/>
        </w:rPr>
      </w:pPr>
      <w:r>
        <w:rPr>
          <w:rFonts w:hint="eastAsia" w:ascii="宋体" w:hAnsi="宋体" w:cs="宋体"/>
          <w:b w:val="0"/>
          <w:bCs/>
          <w:color w:val="auto"/>
          <w:sz w:val="24"/>
          <w:highlight w:val="none"/>
          <w:lang w:val="en-US" w:eastAsia="zh-CN"/>
        </w:rPr>
        <w:t>4.2.9供应商或制造商需提供售后服务体系与承诺。</w:t>
      </w:r>
    </w:p>
    <w:p w14:paraId="6D395039">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lang w:val="en-US" w:eastAsia="zh-CN"/>
        </w:rPr>
        <w:t>4.2.10</w:t>
      </w:r>
      <w:r>
        <w:rPr>
          <w:rFonts w:hint="eastAsia" w:ascii="宋体" w:hAnsi="宋体" w:cs="宋体"/>
          <w:color w:val="auto"/>
          <w:sz w:val="24"/>
          <w:highlight w:val="none"/>
        </w:rPr>
        <w:t>供应商应提供未被国家企业信用信息公示系统中列入严重违法失信企业名单和经营异常名录（查询时间在公告发布之后）</w:t>
      </w:r>
    </w:p>
    <w:p w14:paraId="55E51B10">
      <w:pPr>
        <w:spacing w:line="360" w:lineRule="auto"/>
        <w:ind w:firstLine="550"/>
        <w:rPr>
          <w:rFonts w:hint="eastAsia" w:ascii="宋体" w:hAnsi="宋体" w:eastAsia="宋体"/>
          <w:color w:val="auto"/>
          <w:kern w:val="2"/>
          <w:sz w:val="24"/>
          <w:szCs w:val="24"/>
          <w:highlight w:val="none"/>
          <w:lang w:val="en-US" w:bidi="ar-SA"/>
        </w:rPr>
      </w:pPr>
      <w:r>
        <w:rPr>
          <w:rFonts w:hint="eastAsia" w:ascii="宋体" w:hAnsi="宋体" w:eastAsia="宋体"/>
          <w:color w:val="auto"/>
          <w:kern w:val="2"/>
          <w:sz w:val="24"/>
          <w:szCs w:val="24"/>
          <w:highlight w:val="none"/>
          <w:lang w:val="en-US" w:bidi="ar-SA"/>
        </w:rPr>
        <w:t>注：单位负责人为同一人或者存在直接控股、管理关系的不同供应商，不得参加同一合同项下的政府采购活动；（提供国家企业信用信息系统查询截图，包括公司基础信息和股东信息，投标文件中提供网站查询截图的扫描件、法定代表人和委托代理人签章并加盖公章。查询时间公告后有效）。</w:t>
      </w:r>
    </w:p>
    <w:p w14:paraId="2D1074B2">
      <w:pPr>
        <w:spacing w:line="360" w:lineRule="auto"/>
        <w:ind w:firstLine="550"/>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4.2.11</w:t>
      </w:r>
      <w:r>
        <w:rPr>
          <w:rFonts w:hint="eastAsia" w:ascii="宋体" w:hAnsi="宋体" w:eastAsia="宋体" w:cs="宋体"/>
          <w:color w:val="auto"/>
          <w:sz w:val="24"/>
          <w:highlight w:val="none"/>
          <w:lang w:val="en-US" w:eastAsia="zh-CN"/>
        </w:rPr>
        <w:t>提供信用中国中严重失信主体名单查询和经营（活动）异常名录查询（查询时间发布公告之后）</w:t>
      </w:r>
    </w:p>
    <w:p w14:paraId="61B88AB2">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w:t>
      </w:r>
      <w:r>
        <w:rPr>
          <w:rFonts w:hint="eastAsia" w:ascii="宋体" w:hAnsi="宋体"/>
          <w:color w:val="auto"/>
          <w:sz w:val="24"/>
          <w:highlight w:val="none"/>
          <w:lang w:val="en-US" w:eastAsia="zh-CN"/>
        </w:rPr>
        <w:t>3</w:t>
      </w:r>
      <w:r>
        <w:rPr>
          <w:rFonts w:hint="eastAsia" w:ascii="宋体" w:hAnsi="宋体"/>
          <w:color w:val="auto"/>
          <w:sz w:val="24"/>
          <w:highlight w:val="none"/>
        </w:rPr>
        <w:t>投标人需提供加盖单位公章、法定代表人签章的营业执照正副本扫描件。</w:t>
      </w:r>
    </w:p>
    <w:p w14:paraId="26C4F608">
      <w:pPr>
        <w:pStyle w:val="46"/>
        <w:tabs>
          <w:tab w:val="left" w:pos="819"/>
        </w:tabs>
        <w:adjustRightInd w:val="0"/>
        <w:snapToGrid w:val="0"/>
        <w:spacing w:line="360" w:lineRule="auto"/>
        <w:ind w:firstLine="0"/>
        <w:rPr>
          <w:rFonts w:hint="eastAsia" w:ascii="宋体" w:hAnsi="宋体" w:cs="宋体"/>
          <w:b/>
          <w:color w:val="auto"/>
          <w:sz w:val="24"/>
          <w:highlight w:val="none"/>
        </w:rPr>
      </w:pPr>
      <w:r>
        <w:rPr>
          <w:rFonts w:hint="eastAsia" w:ascii="宋体" w:hAnsi="宋体" w:cs="宋体"/>
          <w:b/>
          <w:color w:val="auto"/>
          <w:sz w:val="24"/>
          <w:highlight w:val="none"/>
        </w:rPr>
        <w:t>5.勘察现场</w:t>
      </w:r>
    </w:p>
    <w:p w14:paraId="225FFD7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5.1投标人应自行对供货现场和周围环境进行勘察，以获取编制投标文件和签署合同所需的资料。勘察现场的方式、地址及联系方式见投标人须知前附表。</w:t>
      </w:r>
    </w:p>
    <w:p w14:paraId="3F56FD6F">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如投标人因未及时踏勘现场而导致报价缺项漏项废标或中标后无法完工，投标人自行承担一切后果；附自行踏勘现场承诺书。</w:t>
      </w:r>
    </w:p>
    <w:p w14:paraId="328D02CA">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5.3除非有特殊要求，招标文件不单独提供供货使用地的自然环境、气候条件、公用设施等情况，投标人被视为熟悉上述与履行合同有关的一切情况。</w:t>
      </w:r>
    </w:p>
    <w:p w14:paraId="759F06B3">
      <w:pPr>
        <w:spacing w:line="360" w:lineRule="auto"/>
        <w:ind w:firstLine="550"/>
        <w:rPr>
          <w:rFonts w:hint="eastAsia" w:ascii="宋体" w:hAnsi="宋体" w:cs="宋体"/>
          <w:bCs/>
          <w:color w:val="auto"/>
          <w:sz w:val="24"/>
          <w:highlight w:val="none"/>
        </w:rPr>
      </w:pPr>
      <w:r>
        <w:rPr>
          <w:rFonts w:hint="eastAsia" w:ascii="宋体" w:hAnsi="宋体" w:cs="宋体"/>
          <w:b/>
          <w:color w:val="auto"/>
          <w:sz w:val="24"/>
          <w:highlight w:val="none"/>
        </w:rPr>
        <w:t>6.知识产权</w:t>
      </w:r>
    </w:p>
    <w:p w14:paraId="3C38DDBF">
      <w:pPr>
        <w:spacing w:line="360" w:lineRule="auto"/>
        <w:ind w:firstLine="549"/>
        <w:rPr>
          <w:rFonts w:hint="eastAsia" w:ascii="宋体" w:hAnsi="宋体" w:eastAsia="宋体" w:cs="宋体"/>
          <w:bCs/>
          <w:color w:val="auto"/>
          <w:sz w:val="24"/>
          <w:highlight w:val="none"/>
          <w:lang w:val="en-US" w:eastAsia="zh-CN"/>
        </w:rPr>
      </w:pPr>
      <w:r>
        <w:rPr>
          <w:rFonts w:hint="eastAsia" w:ascii="宋体" w:hAnsi="宋体" w:cs="宋体"/>
          <w:color w:val="auto"/>
          <w:sz w:val="24"/>
          <w:highlight w:val="none"/>
        </w:rPr>
        <w:t>6.1</w:t>
      </w:r>
      <w:r>
        <w:rPr>
          <w:rFonts w:hint="eastAsia" w:ascii="宋体" w:hAnsi="宋体" w:cs="宋体"/>
          <w:bCs/>
          <w:color w:val="auto"/>
          <w:sz w:val="24"/>
          <w:highlight w:val="none"/>
        </w:rPr>
        <w:t>投标人</w:t>
      </w:r>
      <w:r>
        <w:rPr>
          <w:rFonts w:hint="eastAsia" w:ascii="宋体" w:hAnsi="宋体"/>
          <w:bCs/>
          <w:color w:val="auto"/>
          <w:sz w:val="24"/>
          <w:highlight w:val="none"/>
        </w:rPr>
        <w:t>须保证</w:t>
      </w:r>
      <w:r>
        <w:rPr>
          <w:rFonts w:hint="eastAsia" w:ascii="宋体" w:hAnsi="宋体" w:cs="宋体"/>
          <w:bCs/>
          <w:color w:val="auto"/>
          <w:sz w:val="24"/>
          <w:highlight w:val="none"/>
        </w:rPr>
        <w:t>，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如因此导致采购人损失的，投标人须承担全部赔偿责任。</w:t>
      </w:r>
      <w:r>
        <w:rPr>
          <w:rFonts w:hint="eastAsia" w:ascii="宋体" w:hAnsi="宋体" w:cs="宋体"/>
          <w:bCs/>
          <w:color w:val="auto"/>
          <w:sz w:val="24"/>
          <w:highlight w:val="none"/>
          <w:lang w:val="en-US" w:eastAsia="zh-CN"/>
        </w:rPr>
        <w:t xml:space="preserve"> </w:t>
      </w:r>
    </w:p>
    <w:p w14:paraId="337D41D3">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6.2投标人如欲在项目实施过程中采用自有知识成果，须在投标文件中声明，并提供相关知识产权证明文件。使用该知识成果后，投标人须提供开发接口和开发手册等技术文档。投标人应书面保证所提供的服务或其任何一部分均不会侵犯任何第三方的专利权、商标枳或著作权。</w:t>
      </w:r>
    </w:p>
    <w:p w14:paraId="09C4E201">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7.纪律与保密</w:t>
      </w:r>
    </w:p>
    <w:p w14:paraId="1CA3795A">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7.1投标人的投标行为应遵守中国的有关法律、法规和规章。</w:t>
      </w:r>
    </w:p>
    <w:p w14:paraId="6AE851A4">
      <w:pPr>
        <w:spacing w:line="360" w:lineRule="auto"/>
        <w:ind w:firstLine="549"/>
        <w:rPr>
          <w:rFonts w:hint="default" w:ascii="宋体" w:hAnsi="宋体" w:cs="宋体"/>
          <w:color w:val="auto"/>
          <w:sz w:val="24"/>
          <w:highlight w:val="none"/>
          <w:lang w:val="en-US" w:eastAsia="zh-CN"/>
        </w:rPr>
      </w:pPr>
      <w:r>
        <w:rPr>
          <w:rFonts w:hint="eastAsia" w:ascii="宋体" w:hAnsi="宋体" w:cs="宋体"/>
          <w:color w:val="auto"/>
          <w:sz w:val="24"/>
          <w:highlight w:val="none"/>
        </w:rPr>
        <w:t>7.2投标人不得相互串通投标报价，不得妨碍其他投标人的公平竞争，不得损害采购人或其他投标人的合法权益，投标人不得以向采购人、评委会成员行贿或者采取其他不正当手段谋取中标</w:t>
      </w:r>
      <w:r>
        <w:rPr>
          <w:rFonts w:hint="eastAsia" w:ascii="宋体" w:hAnsi="宋体" w:cs="宋体"/>
          <w:color w:val="auto"/>
          <w:sz w:val="24"/>
          <w:highlight w:val="none"/>
          <w:lang w:eastAsia="zh-CN"/>
        </w:rPr>
        <w:t>，对上述作出保证并附投标文件中，否则视为不响应招标文件要求。</w:t>
      </w:r>
    </w:p>
    <w:p w14:paraId="5A98A943">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7.2.1有下列情形之一的，属于投标人相互串通投标：</w:t>
      </w:r>
    </w:p>
    <w:p w14:paraId="3E04A796">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7.2.1.1投标人之间协商投标报价等投标文件的实质性内容；</w:t>
      </w:r>
    </w:p>
    <w:p w14:paraId="645D600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7.2.1.2投标人之间约定中标人；</w:t>
      </w:r>
    </w:p>
    <w:p w14:paraId="418D280A">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7.2.1.3投标人之间约定部分投标人放弃投标或者中标；</w:t>
      </w:r>
    </w:p>
    <w:p w14:paraId="54459861">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7.2.1.4属于同一集团、协会、商会等组织成员的投标人按照该组织要求协同投标；</w:t>
      </w:r>
    </w:p>
    <w:p w14:paraId="2CEB7A7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7.2.1.5投标人之间为谋取中标或者排斥特定投标人而采取的其他联合行动。</w:t>
      </w:r>
    </w:p>
    <w:p w14:paraId="52696C9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 有下列情形之一的，视为投标人相互串通投标：</w:t>
      </w:r>
    </w:p>
    <w:p w14:paraId="343CDDD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7.2.2.1不同投标人的投标文件由同一单位或者个人编制；</w:t>
      </w:r>
    </w:p>
    <w:p w14:paraId="7A9950D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7.2.2.2不同投标人委托同一单位或者个人办理投标事宜，或提交电子投标文件的网卡地址一致；</w:t>
      </w:r>
    </w:p>
    <w:p w14:paraId="4F921EEA">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7.2.2.3不同投标人的投标文件载明的项目管理成员为同一人；</w:t>
      </w:r>
    </w:p>
    <w:p w14:paraId="77DB0332">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7.2.2.4不同投标人的投标文件异常一致或者投标报价呈规律性差异；</w:t>
      </w:r>
    </w:p>
    <w:p w14:paraId="1A701CD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7.2.2.5不同投标人的投标文件相互混装；</w:t>
      </w:r>
    </w:p>
    <w:p w14:paraId="519571AD">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7.2.2.6不同投标人的投标保证金从同一单位或者个人的账户转出。</w:t>
      </w:r>
    </w:p>
    <w:p w14:paraId="37AFD5B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7.3在确定中标人之前，投标人不得与采购人就投标价格、投标方案等实质性内容进行谈判，也不得私下接触评委会成员。</w:t>
      </w:r>
    </w:p>
    <w:p w14:paraId="257A5EA7">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7.4在确定中标人之前，投标人试图在投标文件审查、澄清、比较和评价时对评委会、采购人和采购中心施加任何影响都可能导致其投标无效。</w:t>
      </w:r>
    </w:p>
    <w:p w14:paraId="34120639">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24CEBA46">
      <w:pPr>
        <w:spacing w:line="360" w:lineRule="auto"/>
        <w:ind w:firstLine="549"/>
        <w:rPr>
          <w:rFonts w:hint="eastAsia" w:ascii="宋体" w:hAnsi="宋体" w:cs="宋体"/>
          <w:b/>
          <w:bCs/>
          <w:color w:val="auto"/>
          <w:sz w:val="24"/>
          <w:highlight w:val="none"/>
        </w:rPr>
      </w:pPr>
      <w:r>
        <w:rPr>
          <w:rFonts w:hint="eastAsia" w:ascii="宋体" w:hAnsi="宋体" w:cs="宋体"/>
          <w:color w:val="auto"/>
          <w:sz w:val="24"/>
          <w:highlight w:val="none"/>
          <w:lang w:val="en-US" w:eastAsia="zh-CN"/>
        </w:rPr>
        <w:t>7.6</w:t>
      </w:r>
      <w:r>
        <w:rPr>
          <w:rFonts w:hint="eastAsia" w:ascii="宋体" w:hAnsi="宋体" w:cs="宋体"/>
          <w:color w:val="auto"/>
          <w:sz w:val="24"/>
          <w:highlight w:val="none"/>
        </w:rPr>
        <w:t>参与采购竞标活动的各方应对投标文件的商业和技术等秘密保密，违者应对由此造成的后果承担法律责任。对上述作出书面保证并附投标文件中，否则视为不响应</w:t>
      </w:r>
      <w:r>
        <w:rPr>
          <w:rFonts w:hint="eastAsia" w:ascii="宋体" w:hAnsi="宋体" w:cs="宋体"/>
          <w:color w:val="auto"/>
          <w:sz w:val="24"/>
          <w:highlight w:val="none"/>
          <w:lang w:val="en-US" w:eastAsia="zh-CN"/>
        </w:rPr>
        <w:t>招标</w:t>
      </w:r>
      <w:r>
        <w:rPr>
          <w:rFonts w:hint="eastAsia" w:ascii="宋体" w:hAnsi="宋体" w:cs="宋体"/>
          <w:color w:val="auto"/>
          <w:sz w:val="24"/>
          <w:highlight w:val="none"/>
        </w:rPr>
        <w:t>文件要求。</w:t>
      </w:r>
    </w:p>
    <w:p w14:paraId="3B589E60">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8.联合体投标</w:t>
      </w:r>
    </w:p>
    <w:p w14:paraId="3D2BE08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不接受联合体投标</w:t>
      </w:r>
    </w:p>
    <w:p w14:paraId="3C2F621D">
      <w:pPr>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9.投标品牌</w:t>
      </w:r>
    </w:p>
    <w:p w14:paraId="17467E08">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5A4170F6">
      <w:pPr>
        <w:spacing w:line="360" w:lineRule="auto"/>
        <w:ind w:firstLine="525"/>
        <w:rPr>
          <w:rFonts w:hint="eastAsia" w:ascii="宋体" w:hAnsi="宋体" w:cs="宋体"/>
          <w:b/>
          <w:bCs/>
          <w:color w:val="auto"/>
          <w:sz w:val="24"/>
          <w:highlight w:val="none"/>
        </w:rPr>
      </w:pPr>
      <w:r>
        <w:rPr>
          <w:rFonts w:hint="eastAsia" w:ascii="宋体" w:hAnsi="宋体" w:cs="宋体"/>
          <w:b/>
          <w:bCs/>
          <w:color w:val="auto"/>
          <w:sz w:val="24"/>
          <w:highlight w:val="none"/>
        </w:rPr>
        <w:t>10.投标专用章的效力</w:t>
      </w:r>
    </w:p>
    <w:p w14:paraId="39750D6D">
      <w:pPr>
        <w:spacing w:line="360" w:lineRule="auto"/>
        <w:ind w:firstLine="525"/>
        <w:rPr>
          <w:rFonts w:hint="eastAsia" w:ascii="宋体" w:hAnsi="宋体" w:cs="宋体"/>
          <w:color w:val="auto"/>
          <w:sz w:val="24"/>
          <w:highlight w:val="none"/>
        </w:rPr>
      </w:pPr>
      <w:r>
        <w:rPr>
          <w:rFonts w:hint="eastAsia" w:ascii="宋体" w:hAnsi="宋体" w:cs="宋体"/>
          <w:color w:val="auto"/>
          <w:sz w:val="24"/>
          <w:highlight w:val="none"/>
        </w:rPr>
        <w:t>10.1招标文件中明确要求加盖电子签章的，投标人必须加盖投标人电子签章</w:t>
      </w:r>
      <w:r>
        <w:rPr>
          <w:rFonts w:hint="eastAsia" w:ascii="宋体" w:hAnsi="宋体" w:cs="宋体"/>
          <w:color w:val="auto"/>
          <w:sz w:val="24"/>
          <w:highlight w:val="none"/>
          <w:lang w:eastAsia="zh-CN"/>
        </w:rPr>
        <w:t>，并加盖供应商骑缝章</w:t>
      </w:r>
      <w:r>
        <w:rPr>
          <w:rFonts w:hint="eastAsia" w:ascii="宋体" w:hAnsi="宋体" w:cs="宋体"/>
          <w:color w:val="auto"/>
          <w:sz w:val="24"/>
          <w:highlight w:val="none"/>
        </w:rPr>
        <w:t>。</w:t>
      </w:r>
    </w:p>
    <w:p w14:paraId="5551F1AD">
      <w:pPr>
        <w:spacing w:line="360" w:lineRule="auto"/>
        <w:ind w:firstLine="550"/>
        <w:rPr>
          <w:rFonts w:hint="eastAsia" w:ascii="宋体" w:hAnsi="宋体" w:cs="宋体"/>
          <w:b/>
          <w:bCs/>
          <w:color w:val="auto"/>
          <w:sz w:val="24"/>
          <w:highlight w:val="none"/>
        </w:rPr>
      </w:pPr>
      <w:r>
        <w:rPr>
          <w:rFonts w:hint="eastAsia" w:ascii="宋体" w:hAnsi="宋体" w:cs="宋体"/>
          <w:b/>
          <w:bCs/>
          <w:color w:val="auto"/>
          <w:sz w:val="24"/>
          <w:highlight w:val="none"/>
        </w:rPr>
        <w:t>11.合同标的转让</w:t>
      </w:r>
    </w:p>
    <w:p w14:paraId="68A1DF4D">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 xml:space="preserve">11.1合同未约定或者未经采购人同意，中标人书面承诺并附投标文件中不得向他人转让中标项目，也不得将中标项目肢解后分别向他人转让。 </w:t>
      </w:r>
    </w:p>
    <w:p w14:paraId="3347DA12">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4509B7E1">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11.3中标人应当就分包项目向采购人负责，接受分包的人就分包项目承担连带责任。</w:t>
      </w:r>
    </w:p>
    <w:p w14:paraId="09CC4E90">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11.4未经政府采购管理部门批准，进口设备不得转包。</w:t>
      </w:r>
    </w:p>
    <w:p w14:paraId="11AD5965">
      <w:pPr>
        <w:spacing w:line="360" w:lineRule="auto"/>
        <w:ind w:firstLine="525" w:firstLineChars="218"/>
        <w:rPr>
          <w:rFonts w:hint="eastAsia" w:ascii="宋体" w:hAnsi="宋体" w:cs="宋体"/>
          <w:color w:val="auto"/>
          <w:sz w:val="24"/>
          <w:highlight w:val="none"/>
        </w:rPr>
      </w:pPr>
      <w:r>
        <w:rPr>
          <w:rFonts w:hint="eastAsia" w:ascii="宋体" w:hAnsi="宋体" w:cs="宋体"/>
          <w:b/>
          <w:bCs/>
          <w:color w:val="auto"/>
          <w:sz w:val="24"/>
          <w:highlight w:val="none"/>
        </w:rPr>
        <w:t>12.会员信息库</w:t>
      </w:r>
    </w:p>
    <w:p w14:paraId="665A5D8E">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6E324426">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58264C18">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为确保投标文件通过评审，投标人应及时对入库资料进行补充、更新。</w:t>
      </w:r>
    </w:p>
    <w:p w14:paraId="4AB71A41">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如因前款原因未通过本项目评委会评审，由投标人承担全部责任。</w:t>
      </w:r>
    </w:p>
    <w:p w14:paraId="6531BFFD">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12.3网上会员库中文字资料与扫描件资料不一致时，以扫描件资料为准。</w:t>
      </w:r>
    </w:p>
    <w:p w14:paraId="5551BB1E">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12.4有关会员库的更多信息，请登陆周口市公共资源交易中心网查询。</w:t>
      </w:r>
    </w:p>
    <w:p w14:paraId="114BDFA4">
      <w:pPr>
        <w:spacing w:line="360" w:lineRule="auto"/>
        <w:ind w:firstLine="550"/>
        <w:rPr>
          <w:rFonts w:hint="eastAsia" w:ascii="宋体" w:hAnsi="宋体" w:cs="宋体"/>
          <w:b/>
          <w:bCs/>
          <w:color w:val="auto"/>
          <w:sz w:val="24"/>
          <w:highlight w:val="none"/>
        </w:rPr>
      </w:pPr>
      <w:r>
        <w:rPr>
          <w:rFonts w:hint="eastAsia" w:ascii="宋体" w:hAnsi="宋体" w:cs="宋体"/>
          <w:b/>
          <w:bCs/>
          <w:color w:val="auto"/>
          <w:sz w:val="24"/>
          <w:highlight w:val="none"/>
        </w:rPr>
        <w:t>13.采购信息的发布</w:t>
      </w:r>
    </w:p>
    <w:p w14:paraId="3D50D4B6">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13.1与本次采购活动相关的信息，将发布在周口市公共资源交易中心网(</w:t>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 HYPERLINK "http://jyzx.zhoukou.gov.cn" </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http://jyzx.zhoukou.gov.cn</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)及河南省政府采购网（www.hngp.gov.cn），以下简称“网站”。</w:t>
      </w:r>
    </w:p>
    <w:p w14:paraId="5CE16A0A">
      <w:pPr>
        <w:pStyle w:val="4"/>
        <w:spacing w:line="360" w:lineRule="auto"/>
        <w:ind w:firstLine="3418" w:firstLineChars="1216"/>
        <w:jc w:val="both"/>
        <w:rPr>
          <w:rFonts w:hint="eastAsia" w:hAnsi="宋体" w:cs="宋体"/>
          <w:color w:val="auto"/>
          <w:sz w:val="28"/>
          <w:highlight w:val="none"/>
        </w:rPr>
      </w:pPr>
      <w:bookmarkStart w:id="73" w:name="_Hlt509650690"/>
      <w:bookmarkEnd w:id="73"/>
      <w:bookmarkStart w:id="74" w:name="_Hlt509650116"/>
      <w:bookmarkEnd w:id="74"/>
      <w:bookmarkStart w:id="75" w:name="_Hlt509649645"/>
      <w:bookmarkEnd w:id="75"/>
      <w:bookmarkStart w:id="76" w:name="_Hlt509649330"/>
      <w:bookmarkEnd w:id="76"/>
      <w:bookmarkStart w:id="77" w:name="_Hlt509650333"/>
      <w:bookmarkEnd w:id="77"/>
      <w:bookmarkStart w:id="78" w:name="_Hlt509650961"/>
      <w:bookmarkEnd w:id="78"/>
      <w:bookmarkStart w:id="79" w:name="_Hlt509650932"/>
      <w:bookmarkEnd w:id="79"/>
      <w:bookmarkStart w:id="80" w:name="_Hlt509650103"/>
      <w:bookmarkEnd w:id="80"/>
      <w:bookmarkStart w:id="81" w:name="_Hlt509649795"/>
      <w:bookmarkEnd w:id="81"/>
      <w:bookmarkStart w:id="82" w:name="_Hlt509650936"/>
      <w:bookmarkEnd w:id="82"/>
      <w:bookmarkStart w:id="83" w:name="_Hlt526418153"/>
      <w:bookmarkEnd w:id="83"/>
      <w:bookmarkStart w:id="84" w:name="_Hlt509650929"/>
      <w:bookmarkEnd w:id="84"/>
      <w:bookmarkStart w:id="85" w:name="_Hlt509649669"/>
      <w:bookmarkEnd w:id="85"/>
      <w:bookmarkStart w:id="86" w:name="_Hlt509649678"/>
      <w:bookmarkEnd w:id="86"/>
      <w:bookmarkStart w:id="87" w:name="_Toc7677"/>
      <w:bookmarkStart w:id="88" w:name="_Toc40975443"/>
      <w:bookmarkStart w:id="89" w:name="_Toc527725923"/>
      <w:r>
        <w:rPr>
          <w:rFonts w:hint="eastAsia" w:hAnsi="宋体" w:cs="宋体"/>
          <w:color w:val="auto"/>
          <w:sz w:val="28"/>
          <w:highlight w:val="none"/>
        </w:rPr>
        <w:t>二．招标文件</w:t>
      </w:r>
      <w:bookmarkEnd w:id="87"/>
      <w:bookmarkEnd w:id="88"/>
      <w:bookmarkEnd w:id="89"/>
      <w:bookmarkStart w:id="90" w:name="_Hlt509650361"/>
      <w:bookmarkEnd w:id="90"/>
      <w:bookmarkStart w:id="91" w:name="_Hlt509649791"/>
      <w:bookmarkEnd w:id="91"/>
      <w:bookmarkStart w:id="92" w:name="_Hlt509649930"/>
      <w:bookmarkEnd w:id="92"/>
    </w:p>
    <w:p w14:paraId="70AFE18B">
      <w:pPr>
        <w:spacing w:line="360" w:lineRule="auto"/>
        <w:ind w:firstLine="549"/>
        <w:rPr>
          <w:rFonts w:hint="eastAsia" w:ascii="宋体" w:hAnsi="宋体" w:cs="宋体"/>
          <w:b/>
          <w:color w:val="auto"/>
          <w:sz w:val="24"/>
          <w:highlight w:val="none"/>
        </w:rPr>
      </w:pPr>
      <w:bookmarkStart w:id="93" w:name="_Hlt509650734"/>
      <w:bookmarkEnd w:id="93"/>
      <w:r>
        <w:rPr>
          <w:rFonts w:hint="eastAsia" w:ascii="宋体" w:hAnsi="宋体" w:cs="宋体"/>
          <w:b/>
          <w:color w:val="auto"/>
          <w:sz w:val="24"/>
          <w:highlight w:val="none"/>
        </w:rPr>
        <w:t>14.招标文件构成</w:t>
      </w:r>
    </w:p>
    <w:p w14:paraId="50A6B0E5">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14.1招标文件包括以下部分：</w:t>
      </w:r>
    </w:p>
    <w:p w14:paraId="12526899">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14.1.1第一章：</w:t>
      </w:r>
      <w:r>
        <w:rPr>
          <w:rFonts w:hint="eastAsia" w:ascii="宋体" w:hAnsi="宋体" w:cs="宋体"/>
          <w:bCs/>
          <w:color w:val="auto"/>
          <w:sz w:val="24"/>
          <w:highlight w:val="none"/>
        </w:rPr>
        <w:t>投标邀请（招标公告）；</w:t>
      </w:r>
    </w:p>
    <w:p w14:paraId="4A6E08C8">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14.1.2第二章：</w:t>
      </w:r>
      <w:bookmarkStart w:id="94" w:name="_Hlt509650925"/>
      <w:bookmarkEnd w:id="94"/>
      <w:r>
        <w:rPr>
          <w:rFonts w:hint="eastAsia" w:ascii="宋体" w:hAnsi="宋体" w:cs="宋体"/>
          <w:bCs/>
          <w:color w:val="auto"/>
          <w:sz w:val="24"/>
          <w:highlight w:val="none"/>
        </w:rPr>
        <w:t>投标人须知前附表；</w:t>
      </w:r>
    </w:p>
    <w:p w14:paraId="5ACE33A1">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14.1.3第三章：</w:t>
      </w:r>
      <w:r>
        <w:rPr>
          <w:rFonts w:hint="eastAsia" w:ascii="宋体" w:hAnsi="宋体" w:cs="宋体"/>
          <w:bCs/>
          <w:color w:val="auto"/>
          <w:sz w:val="24"/>
          <w:highlight w:val="none"/>
        </w:rPr>
        <w:t>货物需求一览表；</w:t>
      </w:r>
    </w:p>
    <w:p w14:paraId="6633E847">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14.1.4第四章：</w:t>
      </w:r>
      <w:r>
        <w:rPr>
          <w:rFonts w:hint="eastAsia" w:ascii="宋体" w:hAnsi="宋体" w:cs="宋体"/>
          <w:bCs/>
          <w:color w:val="auto"/>
          <w:sz w:val="24"/>
          <w:highlight w:val="none"/>
        </w:rPr>
        <w:t>评标办法；</w:t>
      </w:r>
    </w:p>
    <w:p w14:paraId="3A7A281D">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14.1.5第五章：</w:t>
      </w:r>
      <w:r>
        <w:rPr>
          <w:rFonts w:hint="eastAsia" w:ascii="宋体" w:hAnsi="宋体" w:cs="宋体"/>
          <w:bCs/>
          <w:color w:val="auto"/>
          <w:sz w:val="24"/>
          <w:highlight w:val="none"/>
        </w:rPr>
        <w:t>投标人须知；</w:t>
      </w:r>
    </w:p>
    <w:p w14:paraId="6BB47134">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14.1.6第六章：</w:t>
      </w:r>
      <w:r>
        <w:rPr>
          <w:rFonts w:hint="eastAsia" w:ascii="宋体" w:hAnsi="宋体" w:cs="宋体"/>
          <w:bCs/>
          <w:color w:val="auto"/>
          <w:sz w:val="24"/>
          <w:highlight w:val="none"/>
        </w:rPr>
        <w:t>采购合同；</w:t>
      </w:r>
    </w:p>
    <w:p w14:paraId="145A7578">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14.1.7第七章：</w:t>
      </w:r>
      <w:r>
        <w:rPr>
          <w:rFonts w:hint="eastAsia" w:ascii="宋体" w:hAnsi="宋体" w:cs="宋体"/>
          <w:bCs/>
          <w:color w:val="auto"/>
          <w:sz w:val="24"/>
          <w:highlight w:val="none"/>
        </w:rPr>
        <w:t>投标文件格式；</w:t>
      </w:r>
    </w:p>
    <w:p w14:paraId="64861704">
      <w:pPr>
        <w:spacing w:line="360" w:lineRule="auto"/>
        <w:ind w:firstLine="523" w:firstLineChars="218"/>
        <w:rPr>
          <w:rFonts w:hint="eastAsia" w:ascii="宋体" w:hAnsi="宋体" w:cs="宋体"/>
          <w:color w:val="auto"/>
          <w:sz w:val="24"/>
          <w:highlight w:val="none"/>
        </w:rPr>
      </w:pPr>
      <w:r>
        <w:rPr>
          <w:rFonts w:hint="eastAsia" w:ascii="宋体" w:hAnsi="宋体" w:cs="宋体"/>
          <w:bCs/>
          <w:color w:val="auto"/>
          <w:sz w:val="24"/>
          <w:highlight w:val="none"/>
        </w:rPr>
        <w:t>14.1.8周口市公共资源交易中心政府采购中心发布的</w:t>
      </w:r>
      <w:r>
        <w:rPr>
          <w:rFonts w:hint="eastAsia" w:ascii="宋体" w:hAnsi="宋体" w:cs="宋体"/>
          <w:color w:val="auto"/>
          <w:sz w:val="24"/>
          <w:highlight w:val="none"/>
        </w:rPr>
        <w:t>图纸、答疑、补遗、补充通知等。</w:t>
      </w:r>
    </w:p>
    <w:p w14:paraId="5E5EA127">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14.2 投标人应认真阅读招标文件中所有的事项、格式、条件、条款和规范等要求。</w:t>
      </w:r>
      <w:r>
        <w:rPr>
          <w:rFonts w:hint="eastAsia" w:ascii="宋体" w:hAnsi="宋体"/>
          <w:color w:val="auto"/>
          <w:sz w:val="24"/>
          <w:highlight w:val="none"/>
        </w:rPr>
        <w:t>如果有异议在规定的时间内提出，没有异议需做出“无</w:t>
      </w:r>
      <w:r>
        <w:rPr>
          <w:rFonts w:hint="eastAsia" w:ascii="宋体" w:hAnsi="宋体"/>
          <w:color w:val="auto"/>
          <w:sz w:val="24"/>
          <w:highlight w:val="none"/>
          <w:lang w:val="en-US" w:eastAsia="zh-CN"/>
        </w:rPr>
        <w:t>异议</w:t>
      </w:r>
      <w:r>
        <w:rPr>
          <w:rFonts w:hint="eastAsia" w:ascii="宋体" w:hAnsi="宋体"/>
          <w:color w:val="auto"/>
          <w:sz w:val="24"/>
          <w:highlight w:val="none"/>
        </w:rPr>
        <w:t>”承诺书，承诺书作为响应文件的组织部分，否则为无效响应文件。</w:t>
      </w:r>
    </w:p>
    <w:p w14:paraId="015B4324">
      <w:pPr>
        <w:pStyle w:val="46"/>
        <w:keepNext w:val="0"/>
        <w:keepLines w:val="0"/>
        <w:pageBreakBefore w:val="0"/>
        <w:widowControl/>
        <w:tabs>
          <w:tab w:val="left" w:pos="819"/>
        </w:tabs>
        <w:kinsoku/>
        <w:wordWrap/>
        <w:overflowPunct/>
        <w:topLinePunct w:val="0"/>
        <w:autoSpaceDE/>
        <w:autoSpaceDN/>
        <w:bidi w:val="0"/>
        <w:adjustRightInd w:val="0"/>
        <w:snapToGrid w:val="0"/>
        <w:spacing w:after="0" w:line="360" w:lineRule="auto"/>
        <w:ind w:left="0" w:leftChars="0" w:firstLine="480" w:firstLineChars="200"/>
        <w:jc w:val="both"/>
        <w:textAlignment w:val="auto"/>
        <w:rPr>
          <w:rFonts w:hint="eastAsia" w:ascii="宋体" w:hAnsi="宋体" w:eastAsia="宋体" w:cs="宋体"/>
          <w:color w:val="auto"/>
          <w:kern w:val="2"/>
          <w:sz w:val="24"/>
          <w:szCs w:val="20"/>
          <w:highlight w:val="none"/>
          <w:lang w:val="en-US" w:eastAsia="zh-CN" w:bidi="ar-SA"/>
        </w:rPr>
      </w:pPr>
      <w:r>
        <w:rPr>
          <w:rFonts w:hint="eastAsia" w:ascii="宋体" w:hAnsi="宋体" w:cs="宋体"/>
          <w:color w:val="auto"/>
          <w:sz w:val="24"/>
          <w:highlight w:val="none"/>
        </w:rPr>
        <w:t>14.3投标人应当按照招标文件的要求编制投标文件。投标文件应对招标文件提出的要求和条件作出实质性响应。</w:t>
      </w:r>
      <w:r>
        <w:rPr>
          <w:rFonts w:hint="eastAsia" w:ascii="宋体" w:hAnsi="宋体" w:eastAsia="宋体" w:cs="宋体"/>
          <w:color w:val="auto"/>
          <w:sz w:val="24"/>
          <w:szCs w:val="22"/>
          <w:highlight w:val="none"/>
          <w:lang w:val="en-US" w:eastAsia="zh-CN" w:bidi="zh-CN"/>
        </w:rPr>
        <w:t>供应商应具备完善的管理制度，并根据制度制定合理可行的</w:t>
      </w:r>
      <w:r>
        <w:rPr>
          <w:rFonts w:hint="eastAsia" w:ascii="宋体" w:hAnsi="宋体" w:cs="宋体"/>
          <w:color w:val="auto"/>
          <w:sz w:val="24"/>
          <w:szCs w:val="22"/>
          <w:highlight w:val="none"/>
          <w:lang w:val="en-US" w:eastAsia="zh-CN" w:bidi="zh-CN"/>
        </w:rPr>
        <w:t>服装</w:t>
      </w:r>
      <w:r>
        <w:rPr>
          <w:rFonts w:hint="eastAsia" w:ascii="宋体" w:hAnsi="宋体" w:eastAsia="宋体" w:cs="宋体"/>
          <w:color w:val="auto"/>
          <w:kern w:val="2"/>
          <w:sz w:val="24"/>
          <w:szCs w:val="20"/>
          <w:highlight w:val="none"/>
          <w:lang w:val="en-US" w:eastAsia="zh-CN" w:bidi="ar-SA"/>
        </w:rPr>
        <w:t>服务方案。按文件要求和规定顺序编制投标文件，并保证所提供全部资料的真实性，并在投标文件中附承诺书,否则视为不响应招标文件。</w:t>
      </w:r>
    </w:p>
    <w:p w14:paraId="572A08C5">
      <w:pPr>
        <w:spacing w:line="360" w:lineRule="auto"/>
        <w:ind w:firstLine="550"/>
        <w:rPr>
          <w:rFonts w:hint="eastAsia" w:ascii="宋体" w:hAnsi="宋体" w:eastAsia="宋体" w:cs="宋体"/>
          <w:color w:val="auto"/>
          <w:sz w:val="24"/>
          <w:highlight w:val="none"/>
        </w:rPr>
      </w:pPr>
      <w:r>
        <w:rPr>
          <w:rFonts w:hint="eastAsia" w:ascii="宋体" w:hAnsi="宋体" w:cs="宋体"/>
          <w:color w:val="auto"/>
          <w:sz w:val="24"/>
          <w:highlight w:val="none"/>
        </w:rPr>
        <w:t>14.4投标人获取招标文件后，应仔细检查招标文件的所有内容，如有残缺等问题应在获得招标文件3日内向</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提出，否则，由</w:t>
      </w:r>
      <w:r>
        <w:rPr>
          <w:rFonts w:hint="eastAsia" w:ascii="宋体" w:hAnsi="宋体" w:eastAsia="宋体" w:cs="宋体"/>
          <w:color w:val="auto"/>
          <w:sz w:val="24"/>
          <w:highlight w:val="none"/>
        </w:rPr>
        <w:t>此引起的损失由投标人自行承担。</w:t>
      </w:r>
    </w:p>
    <w:p w14:paraId="60D02332">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14.5资格审查资料 </w:t>
      </w:r>
    </w:p>
    <w:p w14:paraId="76255832">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14.5.1 “投标人基本情况表”应附投标人营业执照</w:t>
      </w:r>
      <w:r>
        <w:rPr>
          <w:rFonts w:hint="eastAsia" w:ascii="宋体" w:hAnsi="宋体" w:cs="宋体"/>
          <w:color w:val="auto"/>
          <w:sz w:val="24"/>
          <w:highlight w:val="none"/>
          <w:lang w:val="en-US" w:eastAsia="zh-CN"/>
        </w:rPr>
        <w:t>正</w:t>
      </w:r>
      <w:r>
        <w:rPr>
          <w:rFonts w:hint="eastAsia" w:ascii="宋体" w:hAnsi="宋体" w:eastAsia="宋体" w:cs="宋体"/>
          <w:color w:val="auto"/>
          <w:sz w:val="24"/>
          <w:highlight w:val="none"/>
        </w:rPr>
        <w:t>副本、</w:t>
      </w:r>
      <w:r>
        <w:rPr>
          <w:rFonts w:hint="eastAsia" w:ascii="宋体" w:hAnsi="宋体" w:cs="宋体"/>
          <w:color w:val="auto"/>
          <w:sz w:val="24"/>
          <w:highlight w:val="none"/>
          <w:lang w:val="en-US" w:eastAsia="zh-CN"/>
        </w:rPr>
        <w:t>开户许可证</w:t>
      </w:r>
      <w:r>
        <w:rPr>
          <w:rFonts w:hint="eastAsia" w:ascii="宋体" w:hAnsi="宋体" w:eastAsia="宋体" w:cs="宋体"/>
          <w:color w:val="auto"/>
          <w:sz w:val="24"/>
          <w:highlight w:val="none"/>
        </w:rPr>
        <w:t>等材料</w:t>
      </w:r>
      <w:r>
        <w:rPr>
          <w:rFonts w:hint="eastAsia" w:ascii="宋体" w:hAnsi="宋体" w:cs="宋体"/>
          <w:color w:val="auto"/>
          <w:sz w:val="24"/>
          <w:highlight w:val="none"/>
          <w:lang w:val="en-US" w:eastAsia="zh-CN"/>
        </w:rPr>
        <w:t>的扫描件或复印件</w:t>
      </w:r>
      <w:r>
        <w:rPr>
          <w:rFonts w:hint="eastAsia" w:ascii="宋体" w:hAnsi="宋体" w:eastAsia="宋体" w:cs="宋体"/>
          <w:color w:val="auto"/>
          <w:sz w:val="24"/>
          <w:highlight w:val="none"/>
        </w:rPr>
        <w:t>。</w:t>
      </w:r>
    </w:p>
    <w:p w14:paraId="6560D0F5">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14.5.2 “近年财务状况表”应附经会计师事务所或审计机构审计的财务会计报表，包括资产负债表、现金流量表、利润表</w:t>
      </w:r>
      <w:r>
        <w:rPr>
          <w:rFonts w:hint="eastAsia" w:ascii="宋体" w:hAnsi="宋体" w:cs="宋体"/>
          <w:color w:val="auto"/>
          <w:sz w:val="24"/>
          <w:highlight w:val="none"/>
          <w:lang w:val="en-US" w:eastAsia="zh-CN"/>
        </w:rPr>
        <w:t>和损益表</w:t>
      </w:r>
      <w:r>
        <w:rPr>
          <w:rFonts w:hint="eastAsia" w:ascii="宋体" w:hAnsi="宋体" w:eastAsia="宋体" w:cs="宋体"/>
          <w:color w:val="auto"/>
          <w:sz w:val="24"/>
          <w:highlight w:val="none"/>
        </w:rPr>
        <w:t>和财务情况说明书，具体年份要求见投标人须知前附表。</w:t>
      </w:r>
    </w:p>
    <w:p w14:paraId="7227FD43">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14.5.3 “近年完成的类似项目情况表”应附合同协议书等，具体年份要求见投标人须知前附表。每张表格只填写一个项目，并标明序号。</w:t>
      </w:r>
    </w:p>
    <w:p w14:paraId="5E14A8DF">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15.招标文件的澄清与修改</w:t>
      </w:r>
    </w:p>
    <w:p w14:paraId="6EFEA5EE">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15.1</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对招标文件进行的澄清、更正或更改，将在网站上及时发布，该公告内容为招标文件的组成部分，对投标人具有同样约束力。投标人应主动上网查询。</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1A272F95">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15.2在投标截止时间前，</w:t>
      </w:r>
      <w:r>
        <w:rPr>
          <w:rFonts w:hint="eastAsia" w:ascii="宋体" w:hAnsi="宋体" w:cs="宋体"/>
          <w:bCs/>
          <w:color w:val="auto"/>
          <w:sz w:val="24"/>
          <w:highlight w:val="none"/>
        </w:rPr>
        <w:t>采购人</w:t>
      </w:r>
      <w:r>
        <w:rPr>
          <w:rFonts w:hint="eastAsia" w:ascii="宋体" w:hAnsi="宋体" w:cs="宋体"/>
          <w:color w:val="auto"/>
          <w:sz w:val="24"/>
          <w:highlight w:val="none"/>
        </w:rPr>
        <w:t>可以视采购具体情况，延长投标截止时间和开标时间，在网站上发布变更公告。在上述情况下，</w:t>
      </w:r>
      <w:r>
        <w:rPr>
          <w:rFonts w:hint="eastAsia" w:ascii="宋体" w:hAnsi="宋体" w:cs="宋体"/>
          <w:bCs/>
          <w:color w:val="auto"/>
          <w:sz w:val="24"/>
          <w:highlight w:val="none"/>
        </w:rPr>
        <w:t>采购人</w:t>
      </w:r>
      <w:r>
        <w:rPr>
          <w:rFonts w:hint="eastAsia" w:ascii="宋体" w:hAnsi="宋体" w:cs="宋体"/>
          <w:color w:val="auto"/>
          <w:sz w:val="24"/>
          <w:highlight w:val="none"/>
        </w:rPr>
        <w:t>和投标人在投标截止期方面的全部权力、责任和义务，将适用于延长后新的投标截止期。</w:t>
      </w:r>
    </w:p>
    <w:p w14:paraId="753C175A">
      <w:pPr>
        <w:spacing w:line="360" w:lineRule="auto"/>
        <w:ind w:firstLine="550"/>
        <w:rPr>
          <w:rFonts w:hint="eastAsia" w:ascii="宋体" w:hAnsi="宋体" w:cs="宋体"/>
          <w:color w:val="auto"/>
          <w:sz w:val="28"/>
          <w:highlight w:val="none"/>
        </w:rPr>
      </w:pPr>
      <w:r>
        <w:rPr>
          <w:rFonts w:hint="eastAsia" w:ascii="宋体" w:hAnsi="宋体" w:cs="宋体"/>
          <w:color w:val="auto"/>
          <w:sz w:val="24"/>
          <w:highlight w:val="none"/>
        </w:rPr>
        <w:t>15.3特殊情况下，</w:t>
      </w:r>
      <w:r>
        <w:rPr>
          <w:rFonts w:hint="eastAsia" w:ascii="宋体" w:hAnsi="宋体" w:cs="宋体"/>
          <w:bCs/>
          <w:color w:val="auto"/>
          <w:sz w:val="24"/>
          <w:highlight w:val="none"/>
        </w:rPr>
        <w:t>采购人</w:t>
      </w:r>
      <w:r>
        <w:rPr>
          <w:rFonts w:hint="eastAsia" w:ascii="宋体" w:hAnsi="宋体" w:cs="宋体"/>
          <w:color w:val="auto"/>
          <w:sz w:val="24"/>
          <w:highlight w:val="none"/>
        </w:rPr>
        <w:t>发布澄清、更正或更改公告后，可不改变投标截止时间和开标时间。</w:t>
      </w:r>
    </w:p>
    <w:p w14:paraId="08E12757">
      <w:pPr>
        <w:pStyle w:val="4"/>
        <w:spacing w:line="360" w:lineRule="auto"/>
        <w:ind w:firstLine="2715" w:firstLineChars="966"/>
        <w:jc w:val="both"/>
        <w:rPr>
          <w:rFonts w:hint="eastAsia" w:hAnsi="宋体" w:cs="宋体"/>
          <w:color w:val="auto"/>
          <w:sz w:val="28"/>
          <w:highlight w:val="none"/>
        </w:rPr>
      </w:pPr>
      <w:bookmarkStart w:id="95" w:name="_Hlt510342861"/>
      <w:bookmarkEnd w:id="95"/>
      <w:bookmarkStart w:id="96" w:name="_Hlt509649724"/>
      <w:bookmarkEnd w:id="96"/>
      <w:bookmarkStart w:id="97" w:name="_Hlt509650697"/>
      <w:bookmarkEnd w:id="97"/>
      <w:bookmarkStart w:id="98" w:name="_Toc6992"/>
      <w:bookmarkStart w:id="99" w:name="_Toc527725924"/>
      <w:bookmarkStart w:id="100" w:name="_Toc40975444"/>
      <w:r>
        <w:rPr>
          <w:rFonts w:hint="eastAsia" w:hAnsi="宋体" w:cs="宋体"/>
          <w:color w:val="auto"/>
          <w:sz w:val="28"/>
          <w:highlight w:val="none"/>
        </w:rPr>
        <w:t>三．投标文件的编制</w:t>
      </w:r>
      <w:bookmarkEnd w:id="98"/>
      <w:bookmarkEnd w:id="99"/>
      <w:bookmarkEnd w:id="100"/>
    </w:p>
    <w:p w14:paraId="0AE76F8E">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16.投标文件构成与格式</w:t>
      </w:r>
    </w:p>
    <w:p w14:paraId="3B31D029">
      <w:pPr>
        <w:spacing w:line="360" w:lineRule="auto"/>
        <w:ind w:firstLine="550"/>
        <w:rPr>
          <w:rFonts w:hint="eastAsia" w:ascii="宋体" w:hAnsi="宋体" w:cs="宋体"/>
          <w:color w:val="auto"/>
          <w:sz w:val="24"/>
          <w:highlight w:val="none"/>
        </w:rPr>
      </w:pPr>
      <w:bookmarkStart w:id="101" w:name="_Hlt509650345"/>
      <w:bookmarkEnd w:id="101"/>
      <w:r>
        <w:rPr>
          <w:rFonts w:hint="eastAsia" w:ascii="宋体" w:hAnsi="宋体" w:cs="宋体"/>
          <w:color w:val="auto"/>
          <w:sz w:val="24"/>
          <w:highlight w:val="none"/>
        </w:rPr>
        <w:t>16.1投标文件是对招标文件的实质性响应及承诺文件。</w:t>
      </w:r>
    </w:p>
    <w:p w14:paraId="33F69B0F">
      <w:pPr>
        <w:widowControl/>
        <w:shd w:val="clear" w:color="auto"/>
        <w:spacing w:line="460" w:lineRule="atLeast"/>
        <w:ind w:firstLine="480"/>
        <w:rPr>
          <w:rFonts w:hint="eastAsia" w:ascii="宋体" w:hAnsi="宋体" w:eastAsia="宋体" w:cs="宋体"/>
          <w:color w:val="auto"/>
          <w:sz w:val="24"/>
          <w:highlight w:val="none"/>
        </w:rPr>
      </w:pPr>
      <w:r>
        <w:rPr>
          <w:rFonts w:hint="eastAsia" w:ascii="宋体" w:hAnsi="宋体" w:cs="宋体"/>
          <w:color w:val="auto"/>
          <w:sz w:val="24"/>
          <w:highlight w:val="none"/>
        </w:rPr>
        <w:t>16.2</w:t>
      </w:r>
      <w:r>
        <w:rPr>
          <w:rFonts w:hint="eastAsia" w:ascii="宋体" w:hAnsi="宋体" w:cs="宋体"/>
          <w:bCs/>
          <w:color w:val="auto"/>
          <w:sz w:val="24"/>
          <w:highlight w:val="none"/>
        </w:rPr>
        <w:t>除非注明“投标人可自行制作格式”，投标文件应使用招标文件提供的格式。</w:t>
      </w:r>
      <w:r>
        <w:rPr>
          <w:rFonts w:hint="eastAsia" w:ascii="宋体" w:hAnsi="宋体" w:eastAsia="宋体" w:cs="宋体"/>
          <w:color w:val="auto"/>
          <w:kern w:val="0"/>
          <w:sz w:val="24"/>
          <w:highlight w:val="none"/>
          <w:lang w:eastAsia="zh-CN"/>
        </w:rPr>
        <w:t>投标</w:t>
      </w:r>
      <w:r>
        <w:rPr>
          <w:rFonts w:hint="eastAsia" w:ascii="宋体" w:hAnsi="宋体" w:eastAsia="宋体" w:cs="宋体"/>
          <w:color w:val="auto"/>
          <w:kern w:val="0"/>
          <w:sz w:val="24"/>
          <w:highlight w:val="none"/>
        </w:rPr>
        <w:t>文件中“致”均须针对采购人</w:t>
      </w:r>
      <w:r>
        <w:rPr>
          <w:rFonts w:hint="eastAsia" w:ascii="宋体" w:hAnsi="宋体" w:cs="宋体"/>
          <w:color w:val="auto"/>
          <w:kern w:val="0"/>
          <w:sz w:val="24"/>
          <w:highlight w:val="none"/>
          <w:lang w:val="en-US" w:eastAsia="zh-CN"/>
        </w:rPr>
        <w:t>及</w:t>
      </w:r>
      <w:r>
        <w:rPr>
          <w:rFonts w:hint="eastAsia" w:ascii="宋体" w:hAnsi="宋体" w:eastAsia="宋体" w:cs="宋体"/>
          <w:color w:val="auto"/>
          <w:kern w:val="0"/>
          <w:sz w:val="24"/>
          <w:highlight w:val="none"/>
        </w:rPr>
        <w:t>采购代理机构，否则按无效响应文件处理。</w:t>
      </w:r>
      <w:r>
        <w:rPr>
          <w:rFonts w:hint="eastAsia" w:ascii="宋体" w:hAnsi="宋体" w:eastAsia="宋体" w:cs="宋体"/>
          <w:bCs/>
          <w:color w:val="auto"/>
          <w:sz w:val="24"/>
          <w:highlight w:val="none"/>
        </w:rPr>
        <w:t>供应商应按照招标文件提供的格式编写响应性文件，不得缺少、留空或私自更改任何文件要求填写的表格或提交的资料。</w:t>
      </w:r>
    </w:p>
    <w:p w14:paraId="7DE784AC">
      <w:pPr>
        <w:spacing w:line="360" w:lineRule="auto"/>
        <w:ind w:firstLine="550"/>
        <w:rPr>
          <w:rFonts w:hint="eastAsia" w:ascii="宋体" w:hAnsi="宋体" w:cs="宋体"/>
          <w:color w:val="auto"/>
          <w:sz w:val="24"/>
          <w:highlight w:val="none"/>
        </w:rPr>
      </w:pPr>
      <w:r>
        <w:rPr>
          <w:rFonts w:hint="eastAsia" w:ascii="宋体" w:hAnsi="宋体" w:cs="宋体"/>
          <w:bCs/>
          <w:color w:val="auto"/>
          <w:sz w:val="24"/>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r>
        <w:rPr>
          <w:rFonts w:hint="eastAsia" w:ascii="宋体" w:hAnsi="宋体" w:eastAsia="宋体" w:cs="宋体"/>
          <w:color w:val="auto"/>
          <w:kern w:val="0"/>
          <w:sz w:val="24"/>
          <w:highlight w:val="none"/>
        </w:rPr>
        <w:t>原版为外文的证书类文件，以及由外国人做出的本人签名、外国公司的名称或外国印章等可以是外文，但应当提供中文翻译文件并加盖供应商公章。必要时</w:t>
      </w:r>
      <w:r>
        <w:rPr>
          <w:rFonts w:hint="eastAsia" w:ascii="宋体" w:hAnsi="宋体" w:eastAsia="宋体" w:cs="宋体"/>
          <w:color w:val="auto"/>
          <w:kern w:val="0"/>
          <w:sz w:val="24"/>
          <w:highlight w:val="none"/>
          <w:lang w:eastAsia="zh-CN"/>
        </w:rPr>
        <w:t>评审</w:t>
      </w:r>
      <w:r>
        <w:rPr>
          <w:rFonts w:hint="eastAsia" w:ascii="宋体" w:hAnsi="宋体" w:eastAsia="宋体" w:cs="宋体"/>
          <w:color w:val="auto"/>
          <w:kern w:val="0"/>
          <w:sz w:val="24"/>
          <w:highlight w:val="none"/>
        </w:rPr>
        <w:t>小组可以要求供应商提供附有公证书的中文翻译文件或者与原版文件签章相一致的中文翻译文件。</w:t>
      </w:r>
    </w:p>
    <w:p w14:paraId="5BD44ED5">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16.4除非招标文件另有规定，投标文件应使用中华人民共和国法定计量单位。</w:t>
      </w:r>
    </w:p>
    <w:p w14:paraId="12F131C0">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16.5除非招标文件另有规定，投标文件应使用人民币填报所有报价。允许以多种货币报价的，应当按照中国银行在开标日公布的汇率中间价换算成人民币。</w:t>
      </w:r>
    </w:p>
    <w:p w14:paraId="5A02D6C1">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lang w:val="en-US" w:eastAsia="zh-CN"/>
        </w:rPr>
        <w:t>16.6投标</w:t>
      </w:r>
      <w:r>
        <w:rPr>
          <w:rFonts w:hint="eastAsia" w:ascii="宋体" w:hAnsi="宋体" w:cs="宋体"/>
          <w:color w:val="auto"/>
          <w:sz w:val="24"/>
          <w:highlight w:val="none"/>
        </w:rPr>
        <w:t>文件封面要求: 列明项目名称、采购编号、供应商名称及联系人和地址等信息。</w:t>
      </w:r>
    </w:p>
    <w:p w14:paraId="3F940B93">
      <w:pPr>
        <w:pStyle w:val="46"/>
        <w:tabs>
          <w:tab w:val="left" w:pos="710"/>
        </w:tabs>
        <w:adjustRightInd w:val="0"/>
        <w:snapToGrid w:val="0"/>
        <w:spacing w:line="360" w:lineRule="auto"/>
        <w:ind w:left="0" w:firstLine="480" w:firstLineChars="200"/>
        <w:jc w:val="both"/>
        <w:rPr>
          <w:rFonts w:hint="eastAsia" w:ascii="宋体" w:hAnsi="宋体" w:eastAsia="宋体" w:cs="宋体"/>
          <w:color w:val="auto"/>
          <w:sz w:val="24"/>
          <w:highlight w:val="none"/>
          <w:lang w:eastAsia="zh-CN"/>
        </w:rPr>
      </w:pPr>
      <w:r>
        <w:rPr>
          <w:rFonts w:hint="eastAsia" w:ascii="宋体" w:hAnsi="宋体" w:cs="宋体"/>
          <w:color w:val="auto"/>
          <w:sz w:val="24"/>
          <w:highlight w:val="none"/>
        </w:rPr>
        <w:t>16.</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投标文件应编制全页及分页码，除特殊规格的图纸或方案、图片资料等外，均应按A4规格制作。</w:t>
      </w:r>
      <w:r>
        <w:rPr>
          <w:rFonts w:hint="eastAsia" w:ascii="宋体" w:hAnsi="宋体" w:eastAsia="宋体" w:cs="宋体"/>
          <w:color w:val="auto"/>
          <w:kern w:val="0"/>
          <w:sz w:val="24"/>
          <w:highlight w:val="none"/>
        </w:rPr>
        <w:t>供应商应按文件规定的格式和顺序制作响应文件。除了</w:t>
      </w:r>
      <w:r>
        <w:rPr>
          <w:rFonts w:hint="eastAsia" w:ascii="宋体" w:hAnsi="宋体" w:cs="宋体"/>
          <w:color w:val="auto"/>
          <w:kern w:val="0"/>
          <w:sz w:val="24"/>
          <w:highlight w:val="none"/>
          <w:lang w:val="en-US" w:eastAsia="zh-CN"/>
        </w:rPr>
        <w:t>投标</w:t>
      </w:r>
      <w:r>
        <w:rPr>
          <w:rFonts w:hint="eastAsia" w:ascii="宋体" w:hAnsi="宋体" w:eastAsia="宋体" w:cs="宋体"/>
          <w:color w:val="auto"/>
          <w:kern w:val="0"/>
          <w:sz w:val="24"/>
          <w:highlight w:val="none"/>
        </w:rPr>
        <w:t>文件封面以外，每个页面应在明显位置编制页码，由法定代表人逐页签字，并加盖单位公章，按流水顺序填写，字迹必须清晰可认，响应文件的目录应编序。响应文件内容不完整、编排混乱导致被误读、漏读或者查找不到相关内容的，由供应商负责。</w:t>
      </w:r>
      <w:r>
        <w:rPr>
          <w:rFonts w:hint="eastAsia" w:ascii="宋体" w:hAnsi="宋体" w:eastAsia="宋体" w:cs="宋体"/>
          <w:color w:val="auto"/>
          <w:sz w:val="24"/>
          <w:highlight w:val="none"/>
          <w:lang w:eastAsia="zh-CN"/>
        </w:rPr>
        <w:t>投标文件中的所有资料需标注“与原件一</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lang w:eastAsia="zh-CN"/>
        </w:rPr>
        <w:t>致字</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lang w:eastAsia="zh-CN"/>
        </w:rPr>
        <w:t>样”，否则视为无效投标。</w:t>
      </w:r>
    </w:p>
    <w:p w14:paraId="178E14F5">
      <w:pPr>
        <w:pStyle w:val="46"/>
        <w:tabs>
          <w:tab w:val="left" w:pos="710"/>
        </w:tabs>
        <w:adjustRightInd w:val="0"/>
        <w:snapToGrid w:val="0"/>
        <w:spacing w:line="360" w:lineRule="auto"/>
        <w:ind w:left="0" w:firstLine="480" w:firstLineChars="200"/>
        <w:jc w:val="both"/>
        <w:rPr>
          <w:rFonts w:hint="eastAsia" w:ascii="宋体" w:hAnsi="宋体" w:cs="宋体"/>
          <w:color w:val="auto"/>
          <w:sz w:val="24"/>
          <w:highlight w:val="none"/>
        </w:rPr>
      </w:pPr>
      <w:r>
        <w:rPr>
          <w:rFonts w:hint="eastAsia" w:ascii="宋体" w:hAnsi="宋体" w:cs="宋体"/>
          <w:color w:val="auto"/>
          <w:sz w:val="24"/>
          <w:highlight w:val="none"/>
        </w:rPr>
        <w:t>16.</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电报、电话、传真形式的投标概不接受。</w:t>
      </w:r>
    </w:p>
    <w:p w14:paraId="020FFF1B">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16.</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法定代表人授权委托书须在法人和被授权人身份证正面签名确认</w:t>
      </w:r>
      <w:r>
        <w:rPr>
          <w:rFonts w:hint="eastAsia" w:ascii="宋体" w:hAnsi="宋体" w:eastAsia="宋体" w:cs="宋体"/>
          <w:color w:val="auto"/>
          <w:sz w:val="24"/>
          <w:highlight w:val="none"/>
          <w:lang w:eastAsia="zh-CN"/>
        </w:rPr>
        <w:t>。</w:t>
      </w:r>
    </w:p>
    <w:p w14:paraId="60646383">
      <w:pPr>
        <w:spacing w:line="360" w:lineRule="auto"/>
        <w:ind w:firstLine="550"/>
        <w:rPr>
          <w:rFonts w:hint="eastAsia" w:ascii="宋体" w:hAnsi="宋体" w:eastAsia="宋体" w:cs="宋体"/>
          <w:color w:val="auto"/>
          <w:highlight w:val="none"/>
          <w:lang w:val="en-US" w:eastAsia="zh-CN"/>
        </w:rPr>
      </w:pPr>
      <w:r>
        <w:rPr>
          <w:rFonts w:hint="eastAsia" w:ascii="宋体" w:hAnsi="宋体" w:eastAsia="宋体" w:cs="宋体"/>
          <w:color w:val="auto"/>
          <w:kern w:val="2"/>
          <w:sz w:val="24"/>
          <w:highlight w:val="none"/>
          <w:lang w:val="en-US" w:eastAsia="zh-CN" w:bidi="ar-SA"/>
        </w:rPr>
        <w:t>16.</w:t>
      </w:r>
      <w:r>
        <w:rPr>
          <w:rFonts w:hint="eastAsia" w:ascii="宋体" w:hAnsi="宋体" w:cs="宋体"/>
          <w:color w:val="auto"/>
          <w:kern w:val="2"/>
          <w:sz w:val="24"/>
          <w:highlight w:val="none"/>
          <w:lang w:val="en-US" w:eastAsia="zh-CN" w:bidi="ar-SA"/>
        </w:rPr>
        <w:t>10</w:t>
      </w:r>
      <w:r>
        <w:rPr>
          <w:rFonts w:hint="eastAsia" w:ascii="宋体" w:hAnsi="宋体" w:eastAsia="宋体" w:cs="宋体"/>
          <w:color w:val="auto"/>
          <w:kern w:val="2"/>
          <w:sz w:val="24"/>
          <w:highlight w:val="none"/>
          <w:lang w:val="en-US" w:eastAsia="zh-CN" w:bidi="ar-SA"/>
        </w:rPr>
        <w:t>电子投标文件制作</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p>
    <w:p w14:paraId="5BE633E4">
      <w:pPr>
        <w:spacing w:line="360" w:lineRule="auto"/>
        <w:ind w:firstLine="550"/>
        <w:rPr>
          <w:rFonts w:hint="eastAsia" w:ascii="宋体" w:hAnsi="宋体" w:cs="宋体"/>
          <w:color w:val="auto"/>
          <w:sz w:val="24"/>
          <w:highlight w:val="none"/>
        </w:rPr>
      </w:pPr>
      <w:r>
        <w:rPr>
          <w:rFonts w:hint="eastAsia" w:ascii="宋体" w:hAnsi="宋体" w:cs="宋体"/>
          <w:b/>
          <w:color w:val="auto"/>
          <w:sz w:val="24"/>
          <w:highlight w:val="none"/>
        </w:rPr>
        <w:t>17.报价</w:t>
      </w:r>
    </w:p>
    <w:p w14:paraId="0ED7088D">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17.1投标人应以“包”为报价的基本单位。若整个需求分为若干包，则投标人可选择其中的部分或所有包报价。包内所有项目均应报价（免费赠送的除外），否则将导致投标无效。</w:t>
      </w:r>
    </w:p>
    <w:p w14:paraId="3C35F087">
      <w:pPr>
        <w:pStyle w:val="46"/>
        <w:tabs>
          <w:tab w:val="left" w:pos="580"/>
        </w:tabs>
        <w:adjustRightInd w:val="0"/>
        <w:snapToGrid w:val="0"/>
        <w:spacing w:line="360" w:lineRule="auto"/>
        <w:ind w:left="0" w:firstLine="480" w:firstLineChars="200"/>
        <w:rPr>
          <w:rFonts w:hint="eastAsia" w:ascii="宋体" w:hAnsi="宋体" w:cs="宋体"/>
          <w:color w:val="auto"/>
          <w:sz w:val="24"/>
          <w:highlight w:val="none"/>
        </w:rPr>
      </w:pPr>
      <w:r>
        <w:rPr>
          <w:rFonts w:hint="eastAsia" w:ascii="宋体" w:hAnsi="宋体" w:cs="宋体"/>
          <w:color w:val="auto"/>
          <w:sz w:val="24"/>
          <w:highlight w:val="none"/>
        </w:rPr>
        <w:t>17.2投标人的报价包括所投货物、保险、税费(分项报价表中须注明为一般纳税人或小规模纳税人)、包装、运输、验收和交付后约定期限内免费维保等工作所发生的-切应有费用，如不详细填写分类报价或缺项将视为非实质性响应文件。并在报价一览表总报价处加盖公章和法人代表签字。</w:t>
      </w:r>
      <w:r>
        <w:rPr>
          <w:rFonts w:hint="eastAsia" w:ascii="宋体" w:hAnsi="宋体" w:eastAsia="宋体" w:cs="宋体"/>
          <w:color w:val="auto"/>
          <w:spacing w:val="-3"/>
          <w:sz w:val="24"/>
          <w:highlight w:val="none"/>
          <w:lang w:val="en-US" w:eastAsia="zh-CN"/>
        </w:rPr>
        <w:t>对上述作出保证并附投标文件中，否则视为不响应招标文件要求。</w:t>
      </w:r>
      <w:r>
        <w:rPr>
          <w:rFonts w:hint="eastAsia" w:ascii="宋体" w:hAnsi="宋体" w:cs="宋体"/>
          <w:color w:val="auto"/>
          <w:sz w:val="24"/>
          <w:highlight w:val="none"/>
        </w:rPr>
        <w:t>以人民币为单位。供应商必须保证确保整体通过用户方及有关主管部门验收，所发生的验收费用由供应商承担。投标报价为签订合同的依据。</w:t>
      </w:r>
    </w:p>
    <w:p w14:paraId="364AC630">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17.3投标人应在投标文件中注明拟提供货物的单价明细和总价。</w:t>
      </w:r>
    </w:p>
    <w:p w14:paraId="41A04335">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17.4除非招标文件另有规定，每一包只允许有一个最终报价，任何有选择的报价或替代方案将导致投标无效。</w:t>
      </w:r>
    </w:p>
    <w:p w14:paraId="6071C85D">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17.5采购人不建议投标人采用总价优惠或以总价百分比优惠的方式进行投标报价，其优惠可直接计算并体现在各项投标报价的单价中。</w:t>
      </w:r>
    </w:p>
    <w:p w14:paraId="45982161">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17.6除政策性文件规定以外，投标人所报价格在合同实施期间不因市场变化因素而变动。</w:t>
      </w:r>
    </w:p>
    <w:p w14:paraId="3C21013B">
      <w:pPr>
        <w:spacing w:line="360" w:lineRule="auto"/>
        <w:ind w:firstLine="549"/>
        <w:rPr>
          <w:rFonts w:hint="eastAsia" w:ascii="宋体" w:hAnsi="宋体" w:cs="宋体"/>
          <w:b/>
          <w:bCs/>
          <w:color w:val="auto"/>
          <w:sz w:val="24"/>
          <w:highlight w:val="none"/>
        </w:rPr>
      </w:pPr>
      <w:r>
        <w:rPr>
          <w:rFonts w:hint="eastAsia" w:ascii="宋体" w:hAnsi="宋体" w:cs="宋体"/>
          <w:b/>
          <w:bCs/>
          <w:color w:val="auto"/>
          <w:sz w:val="24"/>
          <w:highlight w:val="none"/>
        </w:rPr>
        <w:t>18.投标内容填写及说明</w:t>
      </w:r>
    </w:p>
    <w:p w14:paraId="76071572">
      <w:pPr>
        <w:spacing w:line="360" w:lineRule="auto"/>
        <w:ind w:firstLine="549"/>
        <w:rPr>
          <w:rFonts w:hint="eastAsia" w:ascii="宋体" w:hAnsi="宋体" w:cs="宋体"/>
          <w:color w:val="auto"/>
          <w:sz w:val="24"/>
          <w:highlight w:val="none"/>
          <w:u w:val="single"/>
        </w:rPr>
      </w:pPr>
      <w:r>
        <w:rPr>
          <w:rFonts w:hint="eastAsia" w:ascii="宋体" w:hAnsi="宋体" w:cs="宋体"/>
          <w:color w:val="auto"/>
          <w:sz w:val="24"/>
          <w:highlight w:val="none"/>
        </w:rPr>
        <w:t>18.1投标文件须</w:t>
      </w:r>
      <w:r>
        <w:rPr>
          <w:rFonts w:hint="eastAsia" w:ascii="宋体" w:hAnsi="宋体" w:cs="宋体"/>
          <w:color w:val="auto"/>
          <w:sz w:val="24"/>
          <w:highlight w:val="none"/>
          <w:lang w:eastAsia="zh-CN"/>
        </w:rPr>
        <w:t>书面保证</w:t>
      </w:r>
      <w:r>
        <w:rPr>
          <w:rFonts w:hint="eastAsia" w:ascii="宋体" w:hAnsi="宋体" w:cs="宋体"/>
          <w:color w:val="auto"/>
          <w:sz w:val="24"/>
          <w:highlight w:val="none"/>
        </w:rPr>
        <w:t>对招标文件载明的投标资格、技术、资信、服务、报价等全部要求和条件做出实质性和完整的响应，如果投标文件填报的内容资料不详，或没有提供招标文件中所要求的全部资料、证明及数据，将导致投标无效。</w:t>
      </w:r>
    </w:p>
    <w:p w14:paraId="2A054590">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18.2投标人应在投标文件中提交招标文件要求的有关证明文件（扫描或影印件上传），作为其投标文件的一部分。</w:t>
      </w:r>
      <w:r>
        <w:rPr>
          <w:rFonts w:hint="eastAsia" w:ascii="宋体" w:hAnsi="宋体" w:eastAsia="宋体" w:cs="宋体"/>
          <w:color w:val="auto"/>
          <w:kern w:val="0"/>
          <w:sz w:val="24"/>
          <w:highlight w:val="none"/>
        </w:rPr>
        <w:t>供应商所使用的资格、信誉、荣誉、业绩与企业认证必须为本法人所拥有。供应商需出具书面承诺，作为资格审查的一项。</w:t>
      </w:r>
    </w:p>
    <w:p w14:paraId="0D51CFB7">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18.3投标人应在投标文件中提交（以扫描件或影印件上传）招标文件要求的所有货物的合格性以及符合招标文件规定的证明文件（可以是手册、图纸和资料）等，并作为其投标文件的一部分。包括：</w:t>
      </w:r>
    </w:p>
    <w:p w14:paraId="405149EE">
      <w:pPr>
        <w:pStyle w:val="7"/>
        <w:spacing w:before="2" w:line="359" w:lineRule="auto"/>
        <w:ind w:left="23" w:right="13" w:firstLine="567"/>
        <w:rPr>
          <w:color w:val="auto"/>
          <w:sz w:val="24"/>
          <w:szCs w:val="24"/>
          <w:highlight w:val="none"/>
        </w:rPr>
      </w:pPr>
      <w:r>
        <w:rPr>
          <w:rFonts w:hint="eastAsia" w:ascii="宋体" w:hAnsi="宋体" w:eastAsia="宋体" w:cs="宋体"/>
          <w:color w:val="auto"/>
          <w:kern w:val="2"/>
          <w:sz w:val="24"/>
          <w:highlight w:val="none"/>
          <w:lang w:val="en-US" w:eastAsia="zh-CN" w:bidi="ar-SA"/>
        </w:rPr>
        <w:t xml:space="preserve">18.3.1 </w:t>
      </w:r>
      <w:r>
        <w:rPr>
          <w:color w:val="auto"/>
          <w:spacing w:val="-1"/>
          <w:sz w:val="24"/>
          <w:szCs w:val="24"/>
          <w:highlight w:val="none"/>
        </w:rPr>
        <w:t>供应商响应本项目时，应单独对所使用货物的合法及功能性</w:t>
      </w:r>
      <w:r>
        <w:rPr>
          <w:color w:val="auto"/>
          <w:spacing w:val="-2"/>
          <w:sz w:val="24"/>
          <w:szCs w:val="24"/>
          <w:highlight w:val="none"/>
        </w:rPr>
        <w:t>做出承</w:t>
      </w:r>
      <w:r>
        <w:rPr>
          <w:color w:val="auto"/>
          <w:spacing w:val="-1"/>
          <w:sz w:val="24"/>
          <w:szCs w:val="24"/>
          <w:highlight w:val="none"/>
        </w:rPr>
        <w:t>诺，附在响应文件中，否则不作为中标推荐供应商。</w:t>
      </w:r>
    </w:p>
    <w:p w14:paraId="17EF6635">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18.3.</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货物主要性能（内容）的详细描述；</w:t>
      </w:r>
    </w:p>
    <w:p w14:paraId="6FFCE7F5">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18.3.</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保证所投货物正常、安全、连续运行期间所需的所有备品、备件及专用工具的清单。</w:t>
      </w:r>
    </w:p>
    <w:p w14:paraId="414B1A31">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18.4投标文件应编排有序、内容齐全、不得任意涂改或增删。如有错漏处必须修改，应在修改处加盖投标人电子公章。</w:t>
      </w:r>
    </w:p>
    <w:p w14:paraId="4F919316">
      <w:pPr>
        <w:spacing w:line="360" w:lineRule="auto"/>
        <w:ind w:firstLine="523" w:firstLineChars="218"/>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highlight w:val="none"/>
          <w:lang w:val="en-US" w:eastAsia="zh-CN"/>
        </w:rPr>
        <w:t>18.5</w:t>
      </w:r>
      <w:r>
        <w:rPr>
          <w:rFonts w:hint="eastAsia" w:ascii="宋体" w:hAnsi="宋体" w:eastAsia="宋体" w:cs="宋体"/>
          <w:color w:val="auto"/>
          <w:sz w:val="24"/>
          <w:szCs w:val="24"/>
          <w:highlight w:val="none"/>
          <w:lang w:val="en-US" w:eastAsia="zh-CN"/>
        </w:rPr>
        <w:t>供应商需承诺自行承担参加采购活动有关的全部费用，公开招标组织人在任何情况下均无义务和责任承担上述费用。</w:t>
      </w:r>
    </w:p>
    <w:p w14:paraId="1C95F4B0">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18.</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投标人应将招标文件附件周口市政府采购合同融资政策告知函编入投标文件中。</w:t>
      </w:r>
    </w:p>
    <w:p w14:paraId="044BED31">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19.投标保证金（免收）</w:t>
      </w:r>
    </w:p>
    <w:p w14:paraId="46715BB1">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20.投标有效期</w:t>
      </w:r>
    </w:p>
    <w:p w14:paraId="3CB9184D">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20.1为保证采购人有足够的时间完成评标和与中标人签订合同，规定投标有效期。</w:t>
      </w:r>
      <w:r>
        <w:rPr>
          <w:rFonts w:hint="eastAsia" w:ascii="宋体" w:hAnsi="宋体" w:cs="宋体"/>
          <w:color w:val="auto"/>
          <w:sz w:val="24"/>
          <w:highlight w:val="none"/>
          <w:lang w:val="en-US" w:eastAsia="zh-CN"/>
        </w:rPr>
        <w:t>开标</w:t>
      </w:r>
      <w:r>
        <w:rPr>
          <w:rFonts w:hint="eastAsia" w:ascii="宋体" w:hAnsi="宋体" w:eastAsia="宋体" w:cs="宋体"/>
          <w:color w:val="auto"/>
          <w:sz w:val="24"/>
          <w:highlight w:val="none"/>
        </w:rPr>
        <w:t>之日起60天内，成交的</w:t>
      </w:r>
      <w:r>
        <w:rPr>
          <w:rFonts w:hint="eastAsia" w:ascii="宋体" w:hAnsi="宋体" w:cs="宋体"/>
          <w:color w:val="auto"/>
          <w:sz w:val="24"/>
          <w:highlight w:val="none"/>
          <w:lang w:val="en-US" w:eastAsia="zh-CN"/>
        </w:rPr>
        <w:t>投标</w:t>
      </w:r>
      <w:r>
        <w:rPr>
          <w:rFonts w:hint="eastAsia" w:ascii="宋体" w:hAnsi="宋体" w:eastAsia="宋体" w:cs="宋体"/>
          <w:color w:val="auto"/>
          <w:sz w:val="24"/>
          <w:highlight w:val="none"/>
        </w:rPr>
        <w:t>文件其有效期应延续至合同执行结束，有效期短于这个规定期限的供应商将被拒绝。</w:t>
      </w:r>
    </w:p>
    <w:p w14:paraId="7DE83163">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20.2在投标有效期内，投标人的投标保持有效，投标人不得要求撤销或修改其投标文件。</w:t>
      </w:r>
    </w:p>
    <w:p w14:paraId="3603C68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20.3投标有效期从投标截止日起计算。</w:t>
      </w:r>
    </w:p>
    <w:p w14:paraId="0BF31C85">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20.4在原定投标有效期满之前，如果出现特殊情况，</w:t>
      </w:r>
      <w:r>
        <w:rPr>
          <w:rFonts w:hint="eastAsia" w:ascii="宋体" w:hAnsi="宋体" w:cs="宋体"/>
          <w:bCs/>
          <w:color w:val="auto"/>
          <w:sz w:val="24"/>
          <w:highlight w:val="none"/>
        </w:rPr>
        <w:t>采购人</w:t>
      </w:r>
      <w:r>
        <w:rPr>
          <w:rFonts w:hint="eastAsia" w:ascii="宋体" w:hAnsi="宋体" w:cs="宋体"/>
          <w:color w:val="auto"/>
          <w:sz w:val="24"/>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24E23A3D">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21.投标文件份数和签署</w:t>
      </w:r>
    </w:p>
    <w:p w14:paraId="77463734">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21.1 投标人应按照投标人须知前附表的要求准备投标文件。</w:t>
      </w:r>
    </w:p>
    <w:p w14:paraId="1FD825AC">
      <w:pPr>
        <w:spacing w:line="360" w:lineRule="auto"/>
        <w:ind w:firstLine="550"/>
        <w:rPr>
          <w:rFonts w:hint="eastAsia" w:ascii="宋体" w:hAnsi="宋体" w:cs="宋体"/>
          <w:b/>
          <w:color w:val="auto"/>
          <w:sz w:val="24"/>
          <w:highlight w:val="none"/>
        </w:rPr>
      </w:pPr>
      <w:r>
        <w:rPr>
          <w:rFonts w:hint="eastAsia" w:ascii="宋体" w:hAnsi="宋体" w:cs="宋体"/>
          <w:color w:val="auto"/>
          <w:sz w:val="24"/>
          <w:highlight w:val="none"/>
        </w:rPr>
        <w:t>21.2投标文件均应依招标文件要求加盖投标人电子签章</w:t>
      </w:r>
      <w:r>
        <w:rPr>
          <w:rFonts w:hint="eastAsia" w:ascii="宋体" w:hAnsi="宋体" w:cs="宋体"/>
          <w:b/>
          <w:color w:val="auto"/>
          <w:sz w:val="24"/>
          <w:highlight w:val="none"/>
        </w:rPr>
        <w:t>。</w:t>
      </w:r>
    </w:p>
    <w:p w14:paraId="0B652166">
      <w:pPr>
        <w:pStyle w:val="4"/>
        <w:spacing w:line="360" w:lineRule="auto"/>
        <w:ind w:firstLine="2715" w:firstLineChars="966"/>
        <w:jc w:val="both"/>
        <w:rPr>
          <w:rFonts w:hint="eastAsia" w:hAnsi="宋体" w:cs="宋体"/>
          <w:color w:val="auto"/>
          <w:sz w:val="28"/>
          <w:highlight w:val="none"/>
        </w:rPr>
      </w:pPr>
      <w:bookmarkStart w:id="102" w:name="_Hlt509650572"/>
      <w:bookmarkEnd w:id="102"/>
      <w:bookmarkStart w:id="103" w:name="_Toc527725925"/>
      <w:bookmarkStart w:id="104" w:name="_Toc9970"/>
      <w:bookmarkStart w:id="105" w:name="_Toc40975445"/>
      <w:r>
        <w:rPr>
          <w:rFonts w:hint="eastAsia" w:hAnsi="宋体" w:cs="宋体"/>
          <w:color w:val="auto"/>
          <w:sz w:val="28"/>
          <w:highlight w:val="none"/>
        </w:rPr>
        <w:t>四．投标文件的递交</w:t>
      </w:r>
      <w:bookmarkEnd w:id="103"/>
      <w:bookmarkEnd w:id="104"/>
      <w:bookmarkEnd w:id="105"/>
      <w:bookmarkStart w:id="106" w:name="_Hlt509649414"/>
      <w:bookmarkEnd w:id="106"/>
    </w:p>
    <w:p w14:paraId="43C8E66C">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22.投标文件的密封和标记</w:t>
      </w:r>
    </w:p>
    <w:p w14:paraId="68393655">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p>
    <w:p w14:paraId="5EFCC3A1">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 xml:space="preserve">23.投标文件的递交 </w:t>
      </w:r>
    </w:p>
    <w:p w14:paraId="733B5123">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23.1投标人应当在招标文件要求提交投标文件的截止时间前网上投标。</w:t>
      </w:r>
    </w:p>
    <w:p w14:paraId="4515166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23.2在招标文件要求提交投标文件的截止时间之后制作上传的投标文件为无效投标文件，</w:t>
      </w:r>
      <w:r>
        <w:rPr>
          <w:rFonts w:hint="eastAsia" w:ascii="宋体" w:hAnsi="宋体" w:cs="宋体"/>
          <w:bCs/>
          <w:color w:val="auto"/>
          <w:sz w:val="24"/>
          <w:highlight w:val="none"/>
        </w:rPr>
        <w:t>采购人</w:t>
      </w:r>
      <w:r>
        <w:rPr>
          <w:rFonts w:hint="eastAsia" w:ascii="宋体" w:hAnsi="宋体" w:cs="宋体"/>
          <w:color w:val="auto"/>
          <w:sz w:val="24"/>
          <w:highlight w:val="none"/>
        </w:rPr>
        <w:t>将拒绝接收。</w:t>
      </w:r>
    </w:p>
    <w:p w14:paraId="427A4E0B">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24.投标文件的修改和撤回</w:t>
      </w:r>
    </w:p>
    <w:p w14:paraId="60CC8794">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投标截止日期前，投标人可以修改或撤回其投标文件；在投标截止时间后，投标人不得再要求修改或撤回其投标文件。</w:t>
      </w:r>
    </w:p>
    <w:p w14:paraId="07067A52">
      <w:pPr>
        <w:pStyle w:val="4"/>
        <w:spacing w:line="360" w:lineRule="auto"/>
        <w:ind w:firstLine="2996" w:firstLineChars="1066"/>
        <w:jc w:val="both"/>
        <w:rPr>
          <w:rFonts w:hint="eastAsia" w:hAnsi="宋体" w:cs="宋体"/>
          <w:color w:val="auto"/>
          <w:sz w:val="28"/>
          <w:highlight w:val="none"/>
        </w:rPr>
      </w:pPr>
      <w:bookmarkStart w:id="107" w:name="_Hlt509649294"/>
      <w:bookmarkEnd w:id="107"/>
      <w:bookmarkStart w:id="108" w:name="_Toc40975446"/>
      <w:bookmarkStart w:id="109" w:name="_Toc15532"/>
      <w:bookmarkStart w:id="110" w:name="_Toc527725926"/>
      <w:r>
        <w:rPr>
          <w:rFonts w:hint="eastAsia" w:hAnsi="宋体" w:cs="宋体"/>
          <w:color w:val="auto"/>
          <w:sz w:val="28"/>
          <w:highlight w:val="none"/>
        </w:rPr>
        <w:t>五．开标与评标</w:t>
      </w:r>
      <w:bookmarkEnd w:id="108"/>
      <w:bookmarkEnd w:id="109"/>
      <w:bookmarkEnd w:id="110"/>
    </w:p>
    <w:p w14:paraId="3FD9770C">
      <w:pPr>
        <w:snapToGrid w:val="0"/>
        <w:spacing w:line="300" w:lineRule="auto"/>
        <w:ind w:firstLine="550"/>
        <w:rPr>
          <w:rFonts w:hint="eastAsia" w:ascii="宋体" w:hAnsi="宋体" w:cs="宋体"/>
          <w:b/>
          <w:color w:val="auto"/>
          <w:sz w:val="24"/>
          <w:szCs w:val="24"/>
          <w:highlight w:val="none"/>
        </w:rPr>
      </w:pPr>
      <w:r>
        <w:rPr>
          <w:rFonts w:hint="eastAsia" w:ascii="宋体" w:hAnsi="宋体" w:cs="宋体"/>
          <w:b/>
          <w:color w:val="auto"/>
          <w:sz w:val="24"/>
          <w:szCs w:val="24"/>
          <w:highlight w:val="none"/>
        </w:rPr>
        <w:t>25.开标</w:t>
      </w:r>
    </w:p>
    <w:p w14:paraId="213FFBE3">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25.1本项目实行网上远程开标无须到现场提交投标文件。投标文件提交及解密详见周口市公共资源交易中心网</w:t>
      </w:r>
      <w:r>
        <w:rPr>
          <w:rFonts w:hint="eastAsia" w:ascii="宋体" w:hAnsi="宋体" w:eastAsia="宋体" w:cs="宋体"/>
          <w:color w:val="auto"/>
          <w:sz w:val="24"/>
          <w:szCs w:val="24"/>
          <w:highlight w:val="none"/>
          <w:lang w:val="en-US" w:eastAsia="zh-CN"/>
        </w:rPr>
        <w:t>办事指南《</w:t>
      </w:r>
      <w:r>
        <w:rPr>
          <w:rFonts w:hint="eastAsia" w:ascii="宋体" w:hAnsi="宋体" w:eastAsia="宋体" w:cs="宋体"/>
          <w:color w:val="auto"/>
          <w:sz w:val="24"/>
          <w:szCs w:val="24"/>
          <w:highlight w:val="none"/>
        </w:rPr>
        <w:t>不见面开标远程在线解密会员端操作手册操作指南</w:t>
      </w:r>
      <w:r>
        <w:rPr>
          <w:rFonts w:hint="eastAsia" w:ascii="宋体" w:hAnsi="宋体" w:eastAsia="宋体" w:cs="宋体"/>
          <w:color w:val="auto"/>
          <w:sz w:val="24"/>
          <w:szCs w:val="24"/>
          <w:highlight w:val="none"/>
          <w:lang w:val="en-US" w:eastAsia="zh-CN"/>
        </w:rPr>
        <w:t>》</w:t>
      </w:r>
    </w:p>
    <w:p w14:paraId="21E3B7B9">
      <w:pPr>
        <w:spacing w:line="360" w:lineRule="auto"/>
        <w:ind w:firstLine="549"/>
        <w:jc w:val="left"/>
        <w:rPr>
          <w:rFonts w:hint="eastAsia" w:ascii="宋体" w:hAnsi="宋体" w:cs="宋体"/>
          <w:bCs/>
          <w:color w:val="auto"/>
          <w:sz w:val="24"/>
          <w:highlight w:val="none"/>
        </w:rPr>
      </w:pPr>
      <w:r>
        <w:rPr>
          <w:rFonts w:hint="eastAsia" w:ascii="宋体" w:hAnsi="宋体" w:cs="宋体"/>
          <w:bCs/>
          <w:color w:val="auto"/>
          <w:sz w:val="24"/>
          <w:highlight w:val="none"/>
        </w:rPr>
        <w:t>25.2开标时，各投标单位应在规定时间内对本单位的投标文件现场解密，项目负责人在监督员或公证员监督下解密所</w:t>
      </w:r>
      <w:r>
        <w:rPr>
          <w:rFonts w:hint="eastAsia" w:ascii="宋体" w:hAnsi="宋体" w:eastAsia="宋体" w:cs="宋体"/>
          <w:bCs/>
          <w:color w:val="auto"/>
          <w:sz w:val="24"/>
          <w:highlight w:val="none"/>
        </w:rPr>
        <w:t>有投标文件。在解密投标文件开始时30分钟内进行解密，超时视为放弃递交投标文件。</w:t>
      </w:r>
    </w:p>
    <w:p w14:paraId="5E894AFA">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25.3投标资格及投标文件的法律文本将由评审委员会在评标前进行审查。资格不符合招标文件要求和相关法律规定的，投标无效。</w:t>
      </w:r>
    </w:p>
    <w:p w14:paraId="7A3D5A4C">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25.4开标时，周口市公共资源交易中心政府采购中心将通过网上开标系统公布投标人名称、投标价格，以及周口市公共资源交易中心政府采购中心认为合适的其它详细内容。</w:t>
      </w:r>
    </w:p>
    <w:p w14:paraId="6DFFDB82">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bCs/>
          <w:color w:val="auto"/>
          <w:kern w:val="2"/>
          <w:sz w:val="24"/>
          <w:highlight w:val="none"/>
          <w:lang w:val="en-US" w:eastAsia="zh-CN" w:bidi="ar-SA"/>
        </w:rPr>
        <w:t>25.5投标人不得以任何方式干扰、影响评标工作，投标人对上述做出书面保证，</w:t>
      </w:r>
      <w:r>
        <w:rPr>
          <w:rFonts w:hint="eastAsia" w:ascii="宋体" w:hAnsi="宋体" w:cs="宋体"/>
          <w:color w:val="auto"/>
          <w:sz w:val="24"/>
          <w:highlight w:val="none"/>
        </w:rPr>
        <w:t>并以纸质版加盖公章做出说明附在投标文件中。</w:t>
      </w:r>
      <w:r>
        <w:rPr>
          <w:rFonts w:hint="eastAsia" w:ascii="宋体" w:hAnsi="宋体" w:eastAsia="宋体" w:cs="宋体"/>
          <w:bCs/>
          <w:color w:val="auto"/>
          <w:kern w:val="2"/>
          <w:sz w:val="24"/>
          <w:highlight w:val="none"/>
          <w:lang w:val="en-US" w:eastAsia="zh-CN" w:bidi="ar-SA"/>
        </w:rPr>
        <w:t>否则视为不响应招标文件实质性内容。</w:t>
      </w:r>
    </w:p>
    <w:p w14:paraId="7DEBD4E5">
      <w:pPr>
        <w:spacing w:line="360" w:lineRule="auto"/>
        <w:ind w:firstLine="549"/>
        <w:rPr>
          <w:rFonts w:hint="eastAsia" w:ascii="宋体" w:hAnsi="宋体" w:cs="宋体"/>
          <w:b/>
          <w:color w:val="auto"/>
          <w:sz w:val="24"/>
          <w:highlight w:val="none"/>
        </w:rPr>
      </w:pPr>
    </w:p>
    <w:p w14:paraId="74B125C1">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26.投标文件的澄清、说明或补正</w:t>
      </w:r>
    </w:p>
    <w:p w14:paraId="608C93B3">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1B1BFE1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26.2投标文件中大写金额和小写金额不一致的，以大写金额为准；总价金额与按单价汇总金额不一致的，以单价金额计算结果为准；单价金额小数点有明显错位的，应以总价为准，并修改单价。</w:t>
      </w:r>
    </w:p>
    <w:p w14:paraId="0E843A16">
      <w:pPr>
        <w:spacing w:line="360" w:lineRule="auto"/>
        <w:ind w:firstLine="549"/>
        <w:rPr>
          <w:rFonts w:hint="eastAsia"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开标一览表内容与投标文件中明细表内容不一致的，以开标一览表为准。</w:t>
      </w:r>
    </w:p>
    <w:p w14:paraId="5DB56700">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26.4 如同时出现26.2条和26.3条所述的不一致情况，以开标一览表为准。</w:t>
      </w:r>
    </w:p>
    <w:p w14:paraId="36AE0E13">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27.评标</w:t>
      </w:r>
    </w:p>
    <w:p w14:paraId="08842E35">
      <w:pPr>
        <w:spacing w:line="360" w:lineRule="auto"/>
        <w:ind w:firstLine="523" w:firstLineChars="218"/>
        <w:rPr>
          <w:rFonts w:hint="eastAsia" w:ascii="宋体" w:hAnsi="宋体" w:cs="宋体"/>
          <w:b/>
          <w:color w:val="auto"/>
          <w:sz w:val="24"/>
          <w:highlight w:val="none"/>
        </w:rPr>
      </w:pPr>
      <w:r>
        <w:rPr>
          <w:rFonts w:hint="eastAsia" w:ascii="宋体" w:hAnsi="宋体" w:cs="宋体"/>
          <w:color w:val="auto"/>
          <w:sz w:val="24"/>
          <w:highlight w:val="none"/>
        </w:rPr>
        <w:t>27.1 评委会将按照招标文件规定的评标办法对投标人独立进行投标评审。投标评审分为符合性审查和综合评分。</w:t>
      </w:r>
    </w:p>
    <w:p w14:paraId="542A6931">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5CD466F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有下列情形之一的，评标委员会应当否决其投标：</w:t>
      </w:r>
    </w:p>
    <w:p w14:paraId="44F2454B">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27.2.1投标文件未经投标单位电子签章的；</w:t>
      </w:r>
    </w:p>
    <w:p w14:paraId="392FC9B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27.2.2投标联合体没有提交共同投标协议；</w:t>
      </w:r>
    </w:p>
    <w:p w14:paraId="7EBC02AA">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27.2.3投标人不符合国家或者招标文件规定的资格条件；</w:t>
      </w:r>
    </w:p>
    <w:p w14:paraId="6D1EE02B">
      <w:pPr>
        <w:spacing w:line="360" w:lineRule="auto"/>
        <w:ind w:firstLine="549"/>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27.2.4被授权人未附劳动合同的；</w:t>
      </w:r>
    </w:p>
    <w:p w14:paraId="2AC39BE1">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同一投标人提交两个以上不同的投标文件或者投标报价，但招标文件要求提交备选投标的除外；</w:t>
      </w:r>
    </w:p>
    <w:p w14:paraId="27F5FF5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投标报价或者某些分项报价明显不合理或者低于成本，有可能影响商品质量和不能诚信履约；</w:t>
      </w:r>
    </w:p>
    <w:p w14:paraId="2BB5051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投标报价高于招标文件设定的最高投标限价；</w:t>
      </w:r>
    </w:p>
    <w:p w14:paraId="255E3A5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投标文件没有对招标文件的</w:t>
      </w:r>
      <w:r>
        <w:rPr>
          <w:rFonts w:hint="eastAsia" w:ascii="宋体" w:hAnsi="宋体" w:cs="仿宋_GB2312"/>
          <w:color w:val="auto"/>
          <w:kern w:val="0"/>
          <w:sz w:val="24"/>
          <w:highlight w:val="none"/>
        </w:rPr>
        <w:t>有关工期、投标有效期、质量要求、技术标准和要求、</w:t>
      </w:r>
      <w:r>
        <w:rPr>
          <w:rFonts w:hint="eastAsia" w:ascii="宋体" w:hAnsi="宋体" w:eastAsia="宋体" w:cs="宋体"/>
          <w:color w:val="auto"/>
          <w:spacing w:val="0"/>
          <w:position w:val="0"/>
          <w:sz w:val="24"/>
          <w:highlight w:val="none"/>
          <w:shd w:val="clear" w:color="auto" w:fill="auto"/>
        </w:rPr>
        <w:t>付款方式</w:t>
      </w:r>
      <w:r>
        <w:rPr>
          <w:rFonts w:hint="eastAsia" w:ascii="宋体" w:hAnsi="宋体" w:eastAsia="宋体" w:cs="宋体"/>
          <w:color w:val="auto"/>
          <w:spacing w:val="0"/>
          <w:position w:val="0"/>
          <w:sz w:val="24"/>
          <w:highlight w:val="none"/>
          <w:shd w:val="clear" w:color="auto" w:fill="auto"/>
          <w:lang w:eastAsia="zh-CN"/>
        </w:rPr>
        <w:t>、</w:t>
      </w:r>
      <w:r>
        <w:rPr>
          <w:rFonts w:hint="eastAsia" w:ascii="宋体" w:hAnsi="宋体" w:cs="仿宋_GB2312"/>
          <w:color w:val="auto"/>
          <w:kern w:val="0"/>
          <w:sz w:val="24"/>
          <w:highlight w:val="none"/>
        </w:rPr>
        <w:t>招标范围</w:t>
      </w:r>
      <w:r>
        <w:rPr>
          <w:rFonts w:hint="eastAsia" w:cs="仿宋_GB2312"/>
          <w:color w:val="auto"/>
          <w:kern w:val="0"/>
          <w:sz w:val="24"/>
          <w:highlight w:val="none"/>
          <w:lang w:eastAsia="zh-CN"/>
        </w:rPr>
        <w:t>、</w:t>
      </w:r>
      <w:r>
        <w:rPr>
          <w:rFonts w:hint="eastAsia" w:ascii="宋体" w:hAnsi="宋体" w:eastAsia="宋体" w:cs="宋体"/>
          <w:color w:val="auto"/>
          <w:sz w:val="24"/>
          <w:highlight w:val="none"/>
        </w:rPr>
        <w:t>售后服务</w:t>
      </w:r>
      <w:r>
        <w:rPr>
          <w:rFonts w:hint="eastAsia" w:ascii="宋体" w:hAnsi="宋体" w:cs="仿宋_GB2312"/>
          <w:color w:val="auto"/>
          <w:kern w:val="0"/>
          <w:sz w:val="24"/>
          <w:highlight w:val="none"/>
        </w:rPr>
        <w:t>等实质性内容作出响应</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lang w:val="en-US" w:eastAsia="zh-CN"/>
        </w:rPr>
        <w:t>；</w:t>
      </w:r>
    </w:p>
    <w:p w14:paraId="7087E361">
      <w:pPr>
        <w:spacing w:line="360" w:lineRule="auto"/>
        <w:ind w:firstLine="54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27.2.9供应商没有在投标（响应）文件附“廉洁自律承诺书”。</w:t>
      </w:r>
    </w:p>
    <w:p w14:paraId="6A76EBAC">
      <w:pPr>
        <w:spacing w:line="360" w:lineRule="auto"/>
        <w:ind w:firstLine="549"/>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27.2.10供应商未提供法定代表人签章的国家企业信用信息公示系统近年年度报告。</w:t>
      </w:r>
    </w:p>
    <w:p w14:paraId="5BE0FBA4">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w:t>
      </w: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投标人有串通投标、弄虚作假、行贿等违法行为。</w:t>
      </w:r>
    </w:p>
    <w:p w14:paraId="159DD04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27.3如果投标文件未通过投标符合性审查，投标无效。</w:t>
      </w:r>
    </w:p>
    <w:p w14:paraId="70133AB3">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27.4评委会决定投标文件的响应性及符合性只根据投标文件本身的内容，不寻求其他外部证据。</w:t>
      </w:r>
    </w:p>
    <w:p w14:paraId="3B8D93D8">
      <w:pPr>
        <w:spacing w:line="360" w:lineRule="auto"/>
        <w:ind w:firstLine="549"/>
        <w:rPr>
          <w:rFonts w:hint="eastAsia" w:ascii="宋体" w:hAnsi="宋体" w:cs="宋体"/>
          <w:color w:val="auto"/>
          <w:sz w:val="24"/>
          <w:highlight w:val="none"/>
          <w:lang w:eastAsia="zh-CN"/>
        </w:rPr>
      </w:pPr>
      <w:r>
        <w:rPr>
          <w:rFonts w:hint="eastAsia" w:ascii="宋体" w:hAnsi="宋体" w:cs="宋体"/>
          <w:color w:val="auto"/>
          <w:sz w:val="24"/>
          <w:highlight w:val="none"/>
        </w:rPr>
        <w:t>27.</w:t>
      </w:r>
      <w:r>
        <w:rPr>
          <w:rFonts w:hint="eastAsia" w:ascii="宋体" w:hAnsi="宋体" w:cs="宋体"/>
          <w:color w:val="auto"/>
          <w:sz w:val="24"/>
          <w:highlight w:val="none"/>
          <w:lang w:val="en-US" w:eastAsia="zh-CN"/>
        </w:rPr>
        <w:t>4.1</w:t>
      </w:r>
      <w:r>
        <w:rPr>
          <w:rFonts w:hint="eastAsia" w:ascii="宋体" w:hAnsi="宋体" w:cs="宋体"/>
          <w:color w:val="auto"/>
          <w:sz w:val="24"/>
          <w:highlight w:val="none"/>
        </w:rPr>
        <w:t>投标人有串通投标、弄虚作假、行贿等违法行为</w:t>
      </w:r>
      <w:r>
        <w:rPr>
          <w:rFonts w:hint="eastAsia" w:ascii="宋体" w:hAnsi="宋体" w:cs="宋体"/>
          <w:color w:val="auto"/>
          <w:sz w:val="24"/>
          <w:highlight w:val="none"/>
          <w:lang w:eastAsia="zh-CN"/>
        </w:rPr>
        <w:t>；</w:t>
      </w:r>
    </w:p>
    <w:p w14:paraId="54BD3B82">
      <w:pPr>
        <w:spacing w:line="360" w:lineRule="auto"/>
        <w:ind w:firstLine="549"/>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27.4.2投标文件未编制目录的；</w:t>
      </w:r>
    </w:p>
    <w:p w14:paraId="1C717F0D">
      <w:pPr>
        <w:spacing w:line="360" w:lineRule="auto"/>
        <w:ind w:firstLine="549"/>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27.4.3授权委托书中法定代表人和委托代理人未在身份证扫描件正面签字的；</w:t>
      </w:r>
    </w:p>
    <w:p w14:paraId="7B165DB3">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w:t>
      </w:r>
      <w:r>
        <w:rPr>
          <w:rFonts w:hint="eastAsia" w:ascii="宋体" w:hAnsi="宋体" w:cs="宋体"/>
          <w:color w:val="auto"/>
          <w:sz w:val="24"/>
          <w:highlight w:val="none"/>
          <w:lang w:val="en-US" w:eastAsia="zh-CN"/>
        </w:rPr>
        <w:t>4.4</w:t>
      </w:r>
      <w:r>
        <w:rPr>
          <w:rFonts w:hint="eastAsia" w:ascii="宋体" w:hAnsi="宋体" w:cs="宋体"/>
          <w:color w:val="auto"/>
          <w:sz w:val="24"/>
          <w:highlight w:val="none"/>
        </w:rPr>
        <w:t>如果投标文件未通过投标符合性审查，投标无效。</w:t>
      </w:r>
    </w:p>
    <w:p w14:paraId="09E77F33">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27.4</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评委会决定投标文件的响应性及符合性只根据投标文件本身的内容，不寻求其他外部证据。</w:t>
      </w:r>
    </w:p>
    <w:p w14:paraId="2310CA9C">
      <w:pPr>
        <w:spacing w:line="360" w:lineRule="auto"/>
        <w:ind w:firstLine="549"/>
        <w:rPr>
          <w:rFonts w:hint="eastAsia" w:ascii="宋体" w:hAnsi="宋体" w:cs="宋体"/>
          <w:b/>
          <w:bCs/>
          <w:color w:val="auto"/>
          <w:sz w:val="24"/>
          <w:highlight w:val="none"/>
        </w:rPr>
      </w:pPr>
      <w:r>
        <w:rPr>
          <w:rFonts w:hint="eastAsia" w:ascii="宋体" w:hAnsi="宋体" w:cs="宋体"/>
          <w:b/>
          <w:bCs/>
          <w:color w:val="auto"/>
          <w:sz w:val="24"/>
          <w:highlight w:val="none"/>
        </w:rPr>
        <w:t>28</w:t>
      </w:r>
      <w:r>
        <w:rPr>
          <w:rFonts w:hint="eastAsia" w:ascii="宋体" w:hAnsi="宋体" w:cs="宋体"/>
          <w:b/>
          <w:color w:val="auto"/>
          <w:sz w:val="24"/>
          <w:highlight w:val="none"/>
        </w:rPr>
        <w:t>.</w:t>
      </w:r>
      <w:r>
        <w:rPr>
          <w:rFonts w:hint="eastAsia" w:ascii="宋体" w:hAnsi="宋体" w:cs="宋体"/>
          <w:b/>
          <w:bCs/>
          <w:color w:val="auto"/>
          <w:sz w:val="24"/>
          <w:highlight w:val="none"/>
        </w:rPr>
        <w:t>废标处理</w:t>
      </w:r>
    </w:p>
    <w:p w14:paraId="00540C16">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28.1在招标采购中，出现下列情形之一的，周口市公共资源交易中心政府采购中心有权宣布废标：</w:t>
      </w:r>
    </w:p>
    <w:p w14:paraId="4BBC5CE9">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28.1.1符合专业条件的投标人或对招标文件作实质响应的投标人不足三家的；</w:t>
      </w:r>
    </w:p>
    <w:p w14:paraId="0EAF846D">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28.1.2投标人的报价均超过采购预算，采购人不能支付的；</w:t>
      </w:r>
    </w:p>
    <w:p w14:paraId="7191AB1C">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28.1.3出现影响采购公正的违法、违规行为的；</w:t>
      </w:r>
    </w:p>
    <w:p w14:paraId="22885B34">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28.1.4因重大变故，采购任务取消的。</w:t>
      </w:r>
    </w:p>
    <w:p w14:paraId="22B93550">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废标后，周口市公共资源交易中心政府采购中心会把废标理由通知所有投标人。</w:t>
      </w:r>
    </w:p>
    <w:p w14:paraId="36C41E7B">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28.2 因上条第一款、第二款规定情形导致废标的，若采购人提出申请，报经政府采购监督管理部门批准，可现场改为竞争性谈判，投标人有下列情形之一的，不得参加谈判：</w:t>
      </w:r>
    </w:p>
    <w:p w14:paraId="519C4C1B">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28.2.1放弃参加投标的；</w:t>
      </w:r>
    </w:p>
    <w:p w14:paraId="602AA97B">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28.2.2未经周口市公共资源交易中心政府采购中心允许，离开开标现场通知不上的；</w:t>
      </w:r>
    </w:p>
    <w:p w14:paraId="063996FE">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28.2.3不符合招标文件列明的专业条件的；</w:t>
      </w:r>
    </w:p>
    <w:p w14:paraId="3839F10E">
      <w:pPr>
        <w:spacing w:line="360" w:lineRule="auto"/>
        <w:ind w:firstLine="523" w:firstLineChars="218"/>
        <w:rPr>
          <w:rFonts w:hint="eastAsia" w:ascii="宋体" w:hAnsi="宋体" w:eastAsia="宋体" w:cs="宋体"/>
          <w:color w:val="auto"/>
          <w:sz w:val="24"/>
          <w:highlight w:val="none"/>
          <w:lang w:eastAsia="zh-CN"/>
        </w:rPr>
      </w:pPr>
      <w:r>
        <w:rPr>
          <w:rFonts w:hint="eastAsia" w:ascii="宋体" w:hAnsi="宋体" w:cs="宋体"/>
          <w:color w:val="auto"/>
          <w:sz w:val="24"/>
          <w:highlight w:val="none"/>
        </w:rPr>
        <w:t>28.2.4未按规定交纳谈判保证金的；</w:t>
      </w:r>
      <w:r>
        <w:rPr>
          <w:rFonts w:hint="eastAsia" w:ascii="宋体" w:hAnsi="宋体" w:cs="宋体"/>
          <w:color w:val="auto"/>
          <w:sz w:val="24"/>
          <w:highlight w:val="none"/>
          <w:lang w:eastAsia="zh-CN"/>
        </w:rPr>
        <w:t>对付款方式</w:t>
      </w:r>
      <w:r>
        <w:rPr>
          <w:rFonts w:hint="eastAsia" w:ascii="宋体" w:hAnsi="宋体" w:cs="宋体"/>
          <w:color w:val="auto"/>
          <w:sz w:val="24"/>
          <w:highlight w:val="none"/>
          <w:lang w:val="en-US" w:eastAsia="zh-CN"/>
        </w:rPr>
        <w:t>不认可</w:t>
      </w:r>
      <w:r>
        <w:rPr>
          <w:rFonts w:hint="eastAsia" w:ascii="宋体" w:hAnsi="宋体" w:cs="宋体"/>
          <w:color w:val="auto"/>
          <w:sz w:val="24"/>
          <w:highlight w:val="none"/>
          <w:lang w:eastAsia="zh-CN"/>
        </w:rPr>
        <w:t>的；</w:t>
      </w:r>
    </w:p>
    <w:p w14:paraId="1433E517">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28.2.5有影响采购公正的违法、违规行为造成项目废标的；</w:t>
      </w:r>
    </w:p>
    <w:p w14:paraId="1804B75E">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28.2.6其他不符合竞争性谈判条件的情况。</w:t>
      </w:r>
    </w:p>
    <w:p w14:paraId="1D0965AB">
      <w:pPr>
        <w:spacing w:line="360" w:lineRule="auto"/>
        <w:ind w:firstLine="549"/>
        <w:rPr>
          <w:rFonts w:hint="eastAsia" w:ascii="宋体" w:hAnsi="宋体" w:cs="宋体"/>
          <w:color w:val="auto"/>
          <w:sz w:val="24"/>
          <w:szCs w:val="24"/>
          <w:highlight w:val="none"/>
        </w:rPr>
      </w:pPr>
      <w:r>
        <w:rPr>
          <w:rFonts w:hint="eastAsia" w:ascii="宋体" w:hAnsi="宋体" w:cs="宋体"/>
          <w:color w:val="auto"/>
          <w:sz w:val="24"/>
          <w:szCs w:val="24"/>
          <w:highlight w:val="none"/>
        </w:rPr>
        <w:t>28.3采购方式现场改为竞争性谈判时，</w:t>
      </w:r>
      <w:r>
        <w:rPr>
          <w:rFonts w:hint="eastAsia" w:ascii="宋体" w:hAnsi="宋体" w:cs="宋体"/>
          <w:color w:val="auto"/>
          <w:sz w:val="24"/>
          <w:highlight w:val="none"/>
        </w:rPr>
        <w:t>周口市公共资源交易中心政府采购中心</w:t>
      </w:r>
      <w:r>
        <w:rPr>
          <w:rFonts w:hint="eastAsia" w:ascii="宋体" w:hAnsi="宋体" w:cs="宋体"/>
          <w:color w:val="auto"/>
          <w:sz w:val="24"/>
          <w:szCs w:val="24"/>
          <w:highlight w:val="none"/>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4F1E3661">
      <w:pPr>
        <w:spacing w:line="360" w:lineRule="auto"/>
        <w:ind w:firstLine="549"/>
        <w:rPr>
          <w:rFonts w:hint="eastAsia" w:ascii="宋体" w:hAnsi="宋体" w:cs="宋体"/>
          <w:color w:val="auto"/>
          <w:sz w:val="24"/>
          <w:szCs w:val="24"/>
          <w:highlight w:val="none"/>
        </w:rPr>
      </w:pPr>
      <w:r>
        <w:rPr>
          <w:rFonts w:hint="eastAsia" w:ascii="宋体" w:hAnsi="宋体" w:cs="宋体"/>
          <w:color w:val="auto"/>
          <w:sz w:val="24"/>
          <w:szCs w:val="24"/>
          <w:highlight w:val="none"/>
        </w:rPr>
        <w:t>28.3.1谈判时，若投标人未能在评委会指定时间内（原则上不超过60分钟）提交符合要求的补充资料或未作出实质性响应的，投标无效。经过审查符合谈判要求的有效投标人少于两家的，谈判做流标处理。</w:t>
      </w:r>
    </w:p>
    <w:p w14:paraId="1984BF8C">
      <w:pPr>
        <w:spacing w:line="360" w:lineRule="auto"/>
        <w:ind w:firstLine="549"/>
        <w:rPr>
          <w:rFonts w:hint="eastAsia" w:ascii="宋体" w:hAnsi="宋体" w:cs="宋体"/>
          <w:color w:val="auto"/>
          <w:sz w:val="24"/>
          <w:szCs w:val="24"/>
          <w:highlight w:val="none"/>
        </w:rPr>
      </w:pPr>
      <w:r>
        <w:rPr>
          <w:rFonts w:hint="eastAsia" w:ascii="宋体" w:hAnsi="宋体" w:cs="宋体"/>
          <w:color w:val="auto"/>
          <w:sz w:val="24"/>
          <w:szCs w:val="24"/>
          <w:highlight w:val="none"/>
        </w:rPr>
        <w:t>28.3.2投标文件的报价视为谈判时的首次报价，未唱标转谈判的，谈判时不公开投标人各轮报价。已经唱标而转谈判的，谈判前公布各参与谈判的投标人首轮报价。</w:t>
      </w:r>
    </w:p>
    <w:p w14:paraId="3DF22D0E">
      <w:pPr>
        <w:spacing w:line="360" w:lineRule="auto"/>
        <w:ind w:firstLine="549"/>
        <w:rPr>
          <w:rFonts w:hint="eastAsia" w:ascii="宋体" w:hAnsi="宋体" w:cs="宋体"/>
          <w:color w:val="auto"/>
          <w:sz w:val="24"/>
          <w:szCs w:val="24"/>
          <w:highlight w:val="none"/>
        </w:rPr>
      </w:pPr>
      <w:r>
        <w:rPr>
          <w:rFonts w:hint="eastAsia" w:ascii="宋体" w:hAnsi="宋体" w:cs="宋体"/>
          <w:color w:val="auto"/>
          <w:sz w:val="24"/>
          <w:szCs w:val="24"/>
          <w:highlight w:val="none"/>
        </w:rPr>
        <w:t>28.3.3在谈判内容不作实质性变更及重大调整的前提下，投标人次轮报价不得高于上一轮报价。</w:t>
      </w:r>
    </w:p>
    <w:p w14:paraId="3CB03233">
      <w:pPr>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29</w:t>
      </w:r>
      <w:r>
        <w:rPr>
          <w:rFonts w:hint="eastAsia" w:ascii="宋体" w:hAnsi="宋体" w:cs="宋体"/>
          <w:b/>
          <w:color w:val="auto"/>
          <w:sz w:val="24"/>
          <w:highlight w:val="none"/>
        </w:rPr>
        <w:t>.</w:t>
      </w:r>
      <w:r>
        <w:rPr>
          <w:rFonts w:hint="eastAsia" w:ascii="宋体" w:hAnsi="宋体" w:cs="宋体"/>
          <w:b/>
          <w:bCs/>
          <w:color w:val="auto"/>
          <w:sz w:val="24"/>
          <w:highlight w:val="none"/>
        </w:rPr>
        <w:t>二次采购</w:t>
      </w:r>
    </w:p>
    <w:p w14:paraId="79B6F5B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项目废标后，周口市公共资源交易中心政府采购中心可能发布二次公告（投标邀请），进行二次采购。</w:t>
      </w:r>
    </w:p>
    <w:p w14:paraId="194CA11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前款所述“二次”，系指项目废标后的重新公告及采购，并不仅限于项目的第二次公告及采购。</w:t>
      </w:r>
    </w:p>
    <w:p w14:paraId="3723918A">
      <w:pPr>
        <w:pStyle w:val="4"/>
        <w:spacing w:line="360" w:lineRule="auto"/>
        <w:ind w:firstLine="2715" w:firstLineChars="966"/>
        <w:jc w:val="both"/>
        <w:rPr>
          <w:rFonts w:hint="eastAsia" w:hAnsi="宋体" w:cs="宋体"/>
          <w:color w:val="auto"/>
          <w:sz w:val="28"/>
          <w:highlight w:val="none"/>
        </w:rPr>
      </w:pPr>
      <w:bookmarkStart w:id="111" w:name="_Toc40975447"/>
      <w:bookmarkStart w:id="112" w:name="_Toc516969091"/>
      <w:bookmarkStart w:id="113" w:name="_Toc18249"/>
      <w:bookmarkStart w:id="114" w:name="_Toc527725927"/>
      <w:r>
        <w:rPr>
          <w:rFonts w:hint="eastAsia" w:hAnsi="宋体" w:cs="宋体"/>
          <w:color w:val="auto"/>
          <w:sz w:val="28"/>
          <w:highlight w:val="none"/>
        </w:rPr>
        <w:t>六．定标与签订合同</w:t>
      </w:r>
      <w:bookmarkEnd w:id="111"/>
      <w:bookmarkEnd w:id="112"/>
      <w:bookmarkEnd w:id="113"/>
      <w:bookmarkEnd w:id="114"/>
    </w:p>
    <w:p w14:paraId="5564F8B2">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30.定标</w:t>
      </w:r>
    </w:p>
    <w:p w14:paraId="79B91F41">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30.1 投标符合性审查后，评委会应当按招标文件规定的综合评分办法提出独立评审意见，推荐中标候选人。</w:t>
      </w:r>
    </w:p>
    <w:p w14:paraId="5591FDAF">
      <w:pPr>
        <w:pStyle w:val="21"/>
        <w:ind w:right="-21" w:firstLine="540"/>
        <w:rPr>
          <w:rFonts w:hint="eastAsia" w:ascii="宋体" w:hAnsi="宋体" w:eastAsia="宋体" w:cs="宋体"/>
          <w:color w:val="auto"/>
          <w:kern w:val="2"/>
          <w:szCs w:val="20"/>
          <w:highlight w:val="none"/>
          <w:lang w:val="en-US" w:eastAsia="zh-CN"/>
        </w:rPr>
      </w:pPr>
      <w:r>
        <w:rPr>
          <w:rFonts w:hint="eastAsia" w:ascii="宋体" w:hAnsi="宋体" w:eastAsia="宋体" w:cs="宋体"/>
          <w:color w:val="auto"/>
          <w:kern w:val="2"/>
          <w:szCs w:val="20"/>
          <w:highlight w:val="none"/>
          <w:lang w:val="en-US" w:eastAsia="zh-CN"/>
        </w:rPr>
        <w:t>30.2采购人应当自收到评审报告之日起5个工作日内在评审报告推荐的中标或者成交候选人中按顺序确定中标或者成交供应商。</w:t>
      </w:r>
    </w:p>
    <w:p w14:paraId="517CBADC">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78AB0CC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185F6F19">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30.4原则上把合同授予实质上响应招标文件要求的排名最前的中标候选人或通过上条资格审查的中标候选人。</w:t>
      </w:r>
    </w:p>
    <w:p w14:paraId="7E7F25B2">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30.5 最低报价并不是中标的保证。</w:t>
      </w:r>
    </w:p>
    <w:p w14:paraId="380CF7F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30.6凡发现中标候选人有下列行为之一的，其中标无效，并移交政府采购监督管理部门依法处理：</w:t>
      </w:r>
    </w:p>
    <w:p w14:paraId="65BAD5A1">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 以他人名义投标、或提供虚假材料弄虚作假谋取中标的；</w:t>
      </w:r>
    </w:p>
    <w:p w14:paraId="2701E896">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30.6.1.1以他人名义投标，是指使用通过受让或者租借等方式获取的资格、资质证书投标。</w:t>
      </w:r>
    </w:p>
    <w:p w14:paraId="3BDF5985">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30.6.1.2有投标人有下列情形之一的，属于弄虚作假的行为：</w:t>
      </w:r>
    </w:p>
    <w:p w14:paraId="4C9C3929">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30.6.1.2.1使用伪造、变造的许可证件；</w:t>
      </w:r>
    </w:p>
    <w:p w14:paraId="1CEF54DE">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30.6.1.2.2提供虚假的财务状况或者业绩；</w:t>
      </w:r>
    </w:p>
    <w:p w14:paraId="2CAC7799">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30.6.1.2.3提供虚假的项目负责人或者主要技术人员简历、劳动关系证明；</w:t>
      </w:r>
    </w:p>
    <w:p w14:paraId="2CE25F4A">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30.6.1.2.4提供虚假的信用状况；</w:t>
      </w:r>
    </w:p>
    <w:p w14:paraId="32D36C46">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30.6.1.2.5其他弄虚作假的行为。</w:t>
      </w:r>
    </w:p>
    <w:p w14:paraId="188F25D3">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30.6.2与采购人、其他供应商或者采购代理机构名称工作人员恶意串通的；</w:t>
      </w:r>
    </w:p>
    <w:p w14:paraId="1143DA66">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30.6.3向采购人、评审专家、采购代理机构工作人员行贿或者提供其他不正当利益的；</w:t>
      </w:r>
    </w:p>
    <w:p w14:paraId="297E2895">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30.6.4有法律、法规规定的其他损害采购人利益和社会公共利益情形的；</w:t>
      </w:r>
    </w:p>
    <w:p w14:paraId="11B08119">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30.6.5其他违反招投标法律、法规和规章强制性规定的行为。</w:t>
      </w:r>
    </w:p>
    <w:p w14:paraId="73B624C5">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30.7周口市公共资源交易中心政府采购中心将在政府采购相关网站上发布评审结果公告。</w:t>
      </w:r>
    </w:p>
    <w:p w14:paraId="1811AFE3">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31.中标通知书</w:t>
      </w:r>
    </w:p>
    <w:p w14:paraId="7364A3F7">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31.1</w:t>
      </w:r>
      <w:r>
        <w:rPr>
          <w:rFonts w:hint="eastAsia" w:ascii="宋体" w:hAnsi="宋体" w:cs="宋体"/>
          <w:color w:val="auto"/>
          <w:sz w:val="24"/>
          <w:highlight w:val="none"/>
          <w:lang w:val="en-US" w:eastAsia="zh-CN"/>
        </w:rPr>
        <w:t>在发出中标公告后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ascii="宋体" w:hAnsi="宋体" w:eastAsia="宋体" w:cs="宋体"/>
          <w:color w:val="auto"/>
          <w:sz w:val="24"/>
          <w:highlight w:val="none"/>
        </w:rPr>
        <w:t>中标通知书。</w:t>
      </w:r>
    </w:p>
    <w:p w14:paraId="2559534D">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31.2周口市公共资源交易中心政府采购中心对未中标的投标人不做未中标原因的解释。</w:t>
      </w:r>
    </w:p>
    <w:p w14:paraId="4B8EB246">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31.3评审结果确定后，中标人请及时到周口市公共资源交易中心政府采购中心领取中标通知书。</w:t>
      </w:r>
    </w:p>
    <w:p w14:paraId="559CEC5E">
      <w:pPr>
        <w:spacing w:line="360" w:lineRule="auto"/>
        <w:ind w:firstLine="549"/>
        <w:rPr>
          <w:rFonts w:hint="eastAsia" w:ascii="宋体" w:hAnsi="宋体" w:cs="宋体"/>
          <w:color w:val="auto"/>
          <w:sz w:val="24"/>
          <w:szCs w:val="22"/>
          <w:highlight w:val="none"/>
        </w:rPr>
      </w:pPr>
      <w:r>
        <w:rPr>
          <w:rFonts w:hint="eastAsia" w:ascii="宋体" w:hAnsi="宋体" w:cs="宋体"/>
          <w:color w:val="auto"/>
          <w:sz w:val="24"/>
          <w:szCs w:val="22"/>
          <w:highlight w:val="none"/>
        </w:rPr>
        <w:t>32.中标服务费</w:t>
      </w:r>
    </w:p>
    <w:p w14:paraId="0A3E730E">
      <w:pPr>
        <w:spacing w:line="360" w:lineRule="auto"/>
        <w:rPr>
          <w:rFonts w:hint="eastAsia" w:ascii="宋体" w:hAnsi="宋体" w:cs="宋体"/>
          <w:bCs/>
          <w:color w:val="auto"/>
          <w:sz w:val="24"/>
          <w:highlight w:val="none"/>
        </w:rPr>
      </w:pPr>
      <w:r>
        <w:rPr>
          <w:rFonts w:hint="eastAsia" w:ascii="宋体" w:hAnsi="宋体" w:cs="宋体"/>
          <w:b/>
          <w:color w:val="auto"/>
          <w:sz w:val="24"/>
          <w:highlight w:val="none"/>
        </w:rPr>
        <w:t xml:space="preserve">    </w:t>
      </w:r>
      <w:r>
        <w:rPr>
          <w:rFonts w:hint="eastAsia" w:ascii="宋体" w:hAnsi="宋体" w:cs="宋体"/>
          <w:bCs/>
          <w:color w:val="auto"/>
          <w:sz w:val="24"/>
          <w:highlight w:val="none"/>
        </w:rPr>
        <w:t>本项目免收中标服务费</w:t>
      </w:r>
    </w:p>
    <w:p w14:paraId="5982589D">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33.履约保证金</w:t>
      </w:r>
    </w:p>
    <w:p w14:paraId="120237E0">
      <w:pPr>
        <w:spacing w:line="360" w:lineRule="auto"/>
        <w:ind w:firstLine="549"/>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无</w:t>
      </w:r>
    </w:p>
    <w:p w14:paraId="4967DA33">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34.签订合同</w:t>
      </w:r>
    </w:p>
    <w:p w14:paraId="5E51FA15">
      <w:pPr>
        <w:pStyle w:val="46"/>
        <w:numPr>
          <w:ilvl w:val="1"/>
          <w:numId w:val="0"/>
        </w:numPr>
        <w:tabs>
          <w:tab w:val="left" w:pos="941"/>
        </w:tabs>
        <w:adjustRightInd w:val="0"/>
        <w:snapToGrid w:val="0"/>
        <w:spacing w:line="360" w:lineRule="auto"/>
        <w:ind w:left="0" w:leftChars="0" w:firstLine="480" w:firstLineChars="200"/>
        <w:jc w:val="both"/>
        <w:rPr>
          <w:rFonts w:hint="eastAsia" w:ascii="宋体" w:hAnsi="宋体" w:cs="宋体"/>
          <w:color w:val="auto"/>
          <w:sz w:val="24"/>
          <w:highlight w:val="none"/>
        </w:rPr>
      </w:pPr>
      <w:r>
        <w:rPr>
          <w:rFonts w:hint="eastAsia" w:ascii="宋体" w:hAnsi="宋体" w:cs="宋体"/>
          <w:color w:val="auto"/>
          <w:sz w:val="24"/>
          <w:highlight w:val="none"/>
        </w:rPr>
        <w:t>34.1因项目要求</w:t>
      </w:r>
      <w:r>
        <w:rPr>
          <w:rFonts w:hint="eastAsia" w:ascii="宋体" w:hAnsi="宋体" w:cs="宋体"/>
          <w:color w:val="auto"/>
          <w:sz w:val="24"/>
          <w:highlight w:val="none"/>
          <w:lang w:val="en-US" w:eastAsia="zh-CN"/>
        </w:rPr>
        <w:t>进场期限</w:t>
      </w:r>
      <w:r>
        <w:rPr>
          <w:rFonts w:hint="eastAsia" w:ascii="宋体" w:hAnsi="宋体" w:cs="宋体"/>
          <w:color w:val="auto"/>
          <w:sz w:val="24"/>
          <w:highlight w:val="none"/>
        </w:rPr>
        <w:t>紧，采购人通知领取成交通知书的当天，必须进行领取，并尽快联系采购人签订合同，供应商对此项内容做出承诺，否则为无效投标文件。</w:t>
      </w:r>
      <w:r>
        <w:rPr>
          <w:rFonts w:hint="eastAsia" w:ascii="宋体" w:hAnsi="宋体" w:eastAsia="宋体"/>
          <w:color w:val="auto"/>
          <w:sz w:val="24"/>
          <w:highlight w:val="none"/>
        </w:rPr>
        <w:t>成交供应商应按照成交通知规定的时间、地点与采购人签订成交合同，否则给采购人造成损失的，供应商还应承担赔偿责任。</w:t>
      </w:r>
    </w:p>
    <w:p w14:paraId="2D4DC57C">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34.2 采购双方必须严格按照招标文件、投标文件及有关承诺签订采购合同，不得擅自变更。</w:t>
      </w:r>
      <w:r>
        <w:rPr>
          <w:rFonts w:hint="eastAsia" w:ascii="宋体" w:hAnsi="宋体" w:cs="宋体"/>
          <w:color w:val="auto"/>
          <w:sz w:val="24"/>
          <w:highlight w:val="none"/>
          <w:lang w:eastAsia="zh-CN"/>
        </w:rPr>
        <w:t>供应商需在投标文件中书面声明</w:t>
      </w:r>
      <w:r>
        <w:rPr>
          <w:rFonts w:hint="eastAsia" w:ascii="宋体" w:hAnsi="宋体" w:cs="宋体"/>
          <w:color w:val="auto"/>
          <w:sz w:val="24"/>
          <w:highlight w:val="none"/>
        </w:rPr>
        <w:t>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5C3A6BFE">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34.3采购人保留以书面形式要求合同的卖方对其所投货物的装运方式、交货地点及服务细则等作适当调整的权利。</w:t>
      </w:r>
    </w:p>
    <w:p w14:paraId="22C95886">
      <w:pPr>
        <w:spacing w:line="360" w:lineRule="auto"/>
        <w:ind w:firstLine="549"/>
        <w:rPr>
          <w:rFonts w:hint="eastAsia" w:ascii="宋体" w:hAnsi="宋体" w:cs="宋体"/>
          <w:color w:val="auto"/>
          <w:sz w:val="24"/>
          <w:highlight w:val="none"/>
        </w:rPr>
      </w:pPr>
      <w:r>
        <w:rPr>
          <w:rFonts w:hint="eastAsia" w:ascii="宋体" w:hAnsi="宋体" w:cs="宋体"/>
          <w:b/>
          <w:color w:val="auto"/>
          <w:sz w:val="24"/>
          <w:highlight w:val="none"/>
        </w:rPr>
        <w:t>35.验收</w:t>
      </w:r>
    </w:p>
    <w:p w14:paraId="3107611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由采购人自行组织对供应商的履约验收。</w:t>
      </w:r>
    </w:p>
    <w:p w14:paraId="2E3423D7">
      <w:pPr>
        <w:spacing w:line="360" w:lineRule="auto"/>
        <w:ind w:firstLine="549"/>
        <w:rPr>
          <w:rFonts w:hint="eastAsia" w:ascii="宋体" w:hAnsi="宋体" w:cs="宋体"/>
          <w:b/>
          <w:bCs/>
          <w:color w:val="auto"/>
          <w:sz w:val="24"/>
          <w:highlight w:val="none"/>
        </w:rPr>
      </w:pPr>
      <w:r>
        <w:rPr>
          <w:rFonts w:hint="eastAsia" w:ascii="宋体" w:hAnsi="宋体" w:cs="宋体"/>
          <w:b/>
          <w:bCs/>
          <w:color w:val="auto"/>
          <w:sz w:val="24"/>
          <w:highlight w:val="none"/>
        </w:rPr>
        <w:t>36</w:t>
      </w:r>
      <w:r>
        <w:rPr>
          <w:rFonts w:hint="eastAsia" w:ascii="宋体" w:hAnsi="宋体" w:cs="宋体"/>
          <w:b/>
          <w:color w:val="auto"/>
          <w:sz w:val="24"/>
          <w:highlight w:val="none"/>
        </w:rPr>
        <w:t>.</w:t>
      </w:r>
      <w:r>
        <w:rPr>
          <w:rFonts w:hint="eastAsia" w:ascii="宋体" w:hAnsi="宋体" w:cs="宋体"/>
          <w:b/>
          <w:bCs/>
          <w:color w:val="auto"/>
          <w:sz w:val="24"/>
          <w:highlight w:val="none"/>
        </w:rPr>
        <w:t>质疑</w:t>
      </w:r>
    </w:p>
    <w:p w14:paraId="6942E99D">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36.1</w:t>
      </w:r>
      <w:r>
        <w:rPr>
          <w:rFonts w:hint="eastAsia" w:ascii="宋体" w:hAnsi="宋体" w:eastAsia="宋体" w:cs="宋体"/>
          <w:bCs/>
          <w:color w:val="auto"/>
          <w:sz w:val="24"/>
          <w:highlight w:val="none"/>
        </w:rPr>
        <w:t>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7AAF7340">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36.2质疑书内容应包括质疑的详细理由和依据，并提供有关证明资料。</w:t>
      </w:r>
    </w:p>
    <w:p w14:paraId="757A0C18">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36.3 有以下情形之一的，视为无效质疑：</w:t>
      </w:r>
    </w:p>
    <w:p w14:paraId="64F205A0">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36.3.1 未按规定时间或规定手续提交质疑的；</w:t>
      </w:r>
    </w:p>
    <w:p w14:paraId="5AB47E86">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36.3.2 质疑内容含糊不清、没有提供详细理由和依据，无法进行核查的；</w:t>
      </w:r>
    </w:p>
    <w:p w14:paraId="60684292">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36.3.3 其他不符合质疑程序和有关规定的。</w:t>
      </w:r>
    </w:p>
    <w:p w14:paraId="4C0E0F92">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被判定无效质疑的，采购人将书面回复投标单位其质疑无效的理由，并记录无效质疑一次。</w:t>
      </w:r>
    </w:p>
    <w:p w14:paraId="6B28D6BC">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36.4</w:t>
      </w:r>
      <w:r>
        <w:rPr>
          <w:rFonts w:hint="eastAsia" w:ascii="宋体" w:hAnsi="宋体" w:cs="宋体"/>
          <w:color w:val="auto"/>
          <w:sz w:val="24"/>
          <w:highlight w:val="none"/>
        </w:rPr>
        <w:t>采购人</w:t>
      </w:r>
      <w:r>
        <w:rPr>
          <w:rFonts w:hint="eastAsia" w:ascii="宋体" w:hAnsi="宋体" w:cs="宋体"/>
          <w:bCs/>
          <w:color w:val="auto"/>
          <w:sz w:val="24"/>
          <w:highlight w:val="none"/>
        </w:rPr>
        <w:t>将在受到书面质疑后7个工作日内审查质疑事项，作出答复或相关处理决定，并以书面形式通知质疑人，但答复的内容不涉及商业秘密。</w:t>
      </w:r>
    </w:p>
    <w:p w14:paraId="07BA7ED3">
      <w:pPr>
        <w:spacing w:line="360" w:lineRule="auto"/>
        <w:ind w:firstLine="549"/>
        <w:rPr>
          <w:rFonts w:hint="eastAsia" w:ascii="宋体" w:hAnsi="宋体" w:cs="宋体"/>
          <w:bCs/>
          <w:color w:val="auto"/>
          <w:sz w:val="24"/>
          <w:highlight w:val="none"/>
        </w:rPr>
      </w:pPr>
      <w:r>
        <w:rPr>
          <w:rFonts w:hint="eastAsia" w:ascii="宋体" w:hAnsi="宋体" w:cs="宋体"/>
          <w:color w:val="auto"/>
          <w:sz w:val="24"/>
          <w:highlight w:val="none"/>
        </w:rPr>
        <w:t>36.5</w:t>
      </w:r>
      <w:r>
        <w:rPr>
          <w:rFonts w:hint="eastAsia" w:ascii="宋体" w:hAnsi="宋体" w:cs="宋体"/>
          <w:bCs/>
          <w:color w:val="auto"/>
          <w:sz w:val="24"/>
          <w:highlight w:val="none"/>
        </w:rPr>
        <w:t>投诉人有下列情形之一的，属于虚假、恶意投诉，</w:t>
      </w:r>
      <w:r>
        <w:rPr>
          <w:rFonts w:hint="eastAsia" w:ascii="宋体" w:hAnsi="宋体" w:cs="宋体"/>
          <w:color w:val="auto"/>
          <w:sz w:val="24"/>
          <w:highlight w:val="none"/>
        </w:rPr>
        <w:t>政府采购监督管理部门</w:t>
      </w:r>
      <w:r>
        <w:rPr>
          <w:rFonts w:hint="eastAsia" w:ascii="宋体" w:hAnsi="宋体" w:cs="宋体"/>
          <w:bCs/>
          <w:color w:val="auto"/>
          <w:sz w:val="24"/>
          <w:highlight w:val="none"/>
        </w:rPr>
        <w:t>将驳回投诉，将其列入不良行为记录名单，并依法予以处罚：</w:t>
      </w:r>
    </w:p>
    <w:p w14:paraId="64725C8C">
      <w:pPr>
        <w:spacing w:line="360" w:lineRule="auto"/>
        <w:ind w:firstLine="523" w:firstLineChars="218"/>
        <w:rPr>
          <w:rFonts w:hint="eastAsia" w:ascii="宋体" w:hAnsi="宋体" w:cs="宋体"/>
          <w:bCs/>
          <w:color w:val="auto"/>
          <w:sz w:val="24"/>
          <w:highlight w:val="none"/>
        </w:rPr>
      </w:pPr>
      <w:r>
        <w:rPr>
          <w:rFonts w:hint="eastAsia" w:ascii="宋体" w:hAnsi="宋体" w:cs="宋体"/>
          <w:bCs/>
          <w:color w:val="auto"/>
          <w:sz w:val="24"/>
          <w:highlight w:val="none"/>
        </w:rPr>
        <w:t>36.5.1一年内三次以上投诉均查无实据的；</w:t>
      </w:r>
    </w:p>
    <w:p w14:paraId="543F2F18">
      <w:pPr>
        <w:spacing w:line="360" w:lineRule="auto"/>
        <w:ind w:firstLine="523" w:firstLineChars="218"/>
        <w:rPr>
          <w:rFonts w:hint="eastAsia" w:ascii="宋体" w:hAnsi="宋体" w:cs="宋体"/>
          <w:bCs/>
          <w:color w:val="auto"/>
          <w:sz w:val="24"/>
          <w:highlight w:val="none"/>
        </w:rPr>
      </w:pPr>
      <w:r>
        <w:rPr>
          <w:rFonts w:hint="eastAsia" w:ascii="宋体" w:hAnsi="宋体" w:cs="宋体"/>
          <w:bCs/>
          <w:color w:val="auto"/>
          <w:sz w:val="24"/>
          <w:highlight w:val="none"/>
        </w:rPr>
        <w:t>36.5.2捏造事实、提供虚假投诉材料或提供以非法手段取得的证明材料质疑的；</w:t>
      </w:r>
    </w:p>
    <w:p w14:paraId="012BAD44">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36.5.3其他经认定属于虚假、恶意投诉的行为</w:t>
      </w:r>
      <w:r>
        <w:rPr>
          <w:rFonts w:hint="eastAsia" w:ascii="宋体" w:hAnsi="宋体" w:cs="宋体"/>
          <w:bCs/>
          <w:color w:val="auto"/>
          <w:sz w:val="24"/>
          <w:highlight w:val="none"/>
        </w:rPr>
        <w:t>。</w:t>
      </w:r>
    </w:p>
    <w:p w14:paraId="3F778E0E">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37.未尽事宜</w:t>
      </w:r>
    </w:p>
    <w:p w14:paraId="5F393C12">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37.1按《中华人民共和国政府采购法》及其他有关法律法规的规定执行。</w:t>
      </w:r>
    </w:p>
    <w:p w14:paraId="71BF4373">
      <w:pPr>
        <w:spacing w:line="360" w:lineRule="auto"/>
        <w:ind w:firstLine="549"/>
        <w:rPr>
          <w:rFonts w:hint="eastAsia" w:ascii="宋体" w:hAnsi="宋体" w:cs="宋体"/>
          <w:bCs/>
          <w:color w:val="auto"/>
          <w:sz w:val="24"/>
          <w:highlight w:val="none"/>
        </w:rPr>
      </w:pPr>
      <w:r>
        <w:rPr>
          <w:rFonts w:hint="eastAsia" w:ascii="宋体" w:hAnsi="宋体" w:cs="宋体"/>
          <w:b/>
          <w:color w:val="auto"/>
          <w:sz w:val="24"/>
          <w:highlight w:val="none"/>
        </w:rPr>
        <w:t>38.解释权</w:t>
      </w:r>
    </w:p>
    <w:p w14:paraId="26F27D42">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38.1本招标文件的解释权属于采购人。</w:t>
      </w:r>
    </w:p>
    <w:p w14:paraId="4F9B9E1C">
      <w:pPr>
        <w:spacing w:line="360" w:lineRule="auto"/>
        <w:rPr>
          <w:rFonts w:hint="eastAsia" w:ascii="宋体" w:hAnsi="宋体" w:cs="宋体"/>
          <w:bCs/>
          <w:color w:val="auto"/>
          <w:sz w:val="24"/>
          <w:highlight w:val="none"/>
        </w:rPr>
      </w:pPr>
    </w:p>
    <w:p w14:paraId="55683E98">
      <w:pPr>
        <w:bidi w:val="0"/>
        <w:rPr>
          <w:color w:val="auto"/>
          <w:highlight w:val="none"/>
        </w:rPr>
      </w:pPr>
      <w:bookmarkStart w:id="115" w:name="_Toc220232391"/>
      <w:bookmarkStart w:id="116" w:name="_Toc26087_WPSOffice_Level1"/>
      <w:r>
        <w:rPr>
          <w:color w:val="auto"/>
          <w:highlight w:val="none"/>
        </w:rPr>
        <w:br w:type="page"/>
      </w:r>
      <w:bookmarkStart w:id="117" w:name="_Toc40975448"/>
    </w:p>
    <w:p w14:paraId="4C60F181">
      <w:pPr>
        <w:bidi w:val="0"/>
        <w:rPr>
          <w:color w:val="auto"/>
          <w:highlight w:val="none"/>
        </w:rPr>
      </w:pPr>
    </w:p>
    <w:p w14:paraId="469BFFC2">
      <w:pPr>
        <w:pStyle w:val="2"/>
        <w:bidi w:val="0"/>
        <w:spacing w:line="240" w:lineRule="auto"/>
        <w:jc w:val="center"/>
        <w:rPr>
          <w:rFonts w:hint="eastAsia"/>
          <w:color w:val="auto"/>
          <w:highlight w:val="none"/>
          <w:lang w:val="en-US"/>
        </w:rPr>
      </w:pPr>
      <w:bookmarkStart w:id="118" w:name="_Toc8962"/>
      <w:r>
        <w:rPr>
          <w:rFonts w:hint="eastAsia"/>
          <w:color w:val="auto"/>
          <w:highlight w:val="none"/>
        </w:rPr>
        <w:t>第六章</w:t>
      </w:r>
      <w:bookmarkEnd w:id="115"/>
      <w:bookmarkStart w:id="119" w:name="_Toc220232392"/>
      <w:r>
        <w:rPr>
          <w:rFonts w:hint="eastAsia"/>
          <w:color w:val="auto"/>
          <w:highlight w:val="none"/>
        </w:rPr>
        <w:t xml:space="preserve"> </w:t>
      </w:r>
      <w:bookmarkEnd w:id="116"/>
      <w:bookmarkEnd w:id="117"/>
      <w:bookmarkEnd w:id="119"/>
      <w:r>
        <w:rPr>
          <w:rFonts w:hint="eastAsia"/>
          <w:color w:val="auto"/>
          <w:highlight w:val="none"/>
          <w:lang w:val="en-US"/>
        </w:rPr>
        <w:t>周口市政府采购合同（货物类）标准文本</w:t>
      </w:r>
      <w:bookmarkEnd w:id="118"/>
    </w:p>
    <w:p w14:paraId="3845387B">
      <w:pPr>
        <w:rPr>
          <w:rFonts w:ascii="黑体" w:hAnsi="黑体" w:eastAsia="黑体" w:cs="黑体"/>
          <w:color w:val="auto"/>
          <w:sz w:val="28"/>
          <w:szCs w:val="28"/>
          <w:highlight w:val="none"/>
          <w:lang w:val="en-US"/>
        </w:rPr>
      </w:pPr>
    </w:p>
    <w:p w14:paraId="000DFE84">
      <w:pPr>
        <w:pStyle w:val="47"/>
        <w:spacing w:beforeLines="0" w:afterLines="0"/>
        <w:ind w:left="0"/>
        <w:rPr>
          <w:rFonts w:ascii="黑体" w:hAnsi="黑体" w:eastAsia="黑体" w:cs="黑体"/>
          <w:color w:val="auto"/>
          <w:sz w:val="32"/>
          <w:szCs w:val="32"/>
          <w:highlight w:val="none"/>
          <w:lang w:val="en-US"/>
        </w:rPr>
      </w:pPr>
    </w:p>
    <w:p w14:paraId="77F80D0A">
      <w:pPr>
        <w:pStyle w:val="47"/>
        <w:spacing w:beforeLines="0" w:afterLines="0"/>
        <w:ind w:left="0"/>
        <w:rPr>
          <w:rFonts w:ascii="黑体" w:hAnsi="黑体" w:eastAsia="黑体" w:cs="黑体"/>
          <w:color w:val="auto"/>
          <w:sz w:val="32"/>
          <w:szCs w:val="32"/>
          <w:highlight w:val="none"/>
          <w:lang w:val="en-US"/>
        </w:rPr>
      </w:pPr>
    </w:p>
    <w:p w14:paraId="28DA73B7">
      <w:pPr>
        <w:pStyle w:val="47"/>
        <w:spacing w:beforeLines="0" w:afterLines="0"/>
        <w:ind w:left="0"/>
        <w:rPr>
          <w:rFonts w:ascii="黑体" w:hAnsi="黑体" w:eastAsia="黑体" w:cs="黑体"/>
          <w:color w:val="auto"/>
          <w:sz w:val="30"/>
          <w:szCs w:val="30"/>
          <w:highlight w:val="none"/>
          <w:lang w:val="en-US"/>
        </w:rPr>
      </w:pPr>
    </w:p>
    <w:p w14:paraId="2A94470A">
      <w:pPr>
        <w:pStyle w:val="47"/>
        <w:spacing w:beforeLines="0" w:afterLines="0"/>
        <w:ind w:left="0"/>
        <w:rPr>
          <w:rFonts w:hint="eastAsia" w:ascii="黑体" w:hAnsi="黑体" w:eastAsia="黑体" w:cs="黑体"/>
          <w:color w:val="auto"/>
          <w:sz w:val="30"/>
          <w:szCs w:val="30"/>
          <w:highlight w:val="none"/>
          <w:lang w:val="en-US"/>
        </w:rPr>
      </w:pPr>
    </w:p>
    <w:p w14:paraId="6F662B0B">
      <w:pPr>
        <w:pStyle w:val="47"/>
        <w:spacing w:beforeLines="0" w:afterLines="0"/>
        <w:ind w:left="0"/>
        <w:rPr>
          <w:rFonts w:hint="eastAsia" w:ascii="黑体" w:hAnsi="黑体" w:eastAsia="黑体" w:cs="黑体"/>
          <w:color w:val="auto"/>
          <w:sz w:val="30"/>
          <w:szCs w:val="30"/>
          <w:highlight w:val="none"/>
          <w:lang w:val="en-US"/>
        </w:rPr>
      </w:pPr>
    </w:p>
    <w:p w14:paraId="109983B0">
      <w:pPr>
        <w:pStyle w:val="47"/>
        <w:spacing w:beforeLines="0" w:afterLines="0"/>
        <w:ind w:left="0"/>
        <w:rPr>
          <w:rFonts w:ascii="黑体" w:hAnsi="黑体" w:eastAsia="黑体" w:cs="黑体"/>
          <w:color w:val="auto"/>
          <w:sz w:val="30"/>
          <w:szCs w:val="30"/>
          <w:highlight w:val="none"/>
          <w:lang w:val="en-US"/>
        </w:rPr>
      </w:pPr>
    </w:p>
    <w:p w14:paraId="0A3AC7F5">
      <w:pPr>
        <w:pStyle w:val="47"/>
        <w:spacing w:beforeLines="0" w:afterLines="0"/>
        <w:ind w:left="0"/>
        <w:rPr>
          <w:rFonts w:ascii="黑体" w:hAnsi="黑体" w:eastAsia="黑体" w:cs="黑体"/>
          <w:color w:val="auto"/>
          <w:sz w:val="30"/>
          <w:szCs w:val="30"/>
          <w:highlight w:val="none"/>
          <w:lang w:val="en-US"/>
        </w:rPr>
      </w:pPr>
    </w:p>
    <w:p w14:paraId="702D2818">
      <w:pPr>
        <w:pStyle w:val="47"/>
        <w:spacing w:beforeLines="0" w:afterLines="0"/>
        <w:ind w:left="0"/>
        <w:rPr>
          <w:rFonts w:ascii="黑体" w:hAnsi="黑体" w:eastAsia="黑体" w:cs="黑体"/>
          <w:color w:val="auto"/>
          <w:sz w:val="30"/>
          <w:szCs w:val="30"/>
          <w:highlight w:val="none"/>
          <w:lang w:val="en-US"/>
        </w:rPr>
      </w:pPr>
    </w:p>
    <w:p w14:paraId="3B903BE5">
      <w:pPr>
        <w:pStyle w:val="47"/>
        <w:spacing w:beforeLines="0" w:afterLines="0"/>
        <w:ind w:left="0" w:firstLine="900" w:firstLineChars="30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政府采购项目名称：</w:t>
      </w:r>
    </w:p>
    <w:p w14:paraId="41AF446B">
      <w:pPr>
        <w:pStyle w:val="47"/>
        <w:spacing w:beforeLines="0" w:afterLines="0"/>
        <w:ind w:left="0" w:firstLine="900" w:firstLineChars="30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政府采购项目编号：</w:t>
      </w:r>
    </w:p>
    <w:p w14:paraId="55D67B76">
      <w:pPr>
        <w:pStyle w:val="47"/>
        <w:spacing w:beforeLines="0" w:afterLines="0"/>
        <w:ind w:left="0" w:firstLine="900" w:firstLineChars="30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采      购    人：</w:t>
      </w:r>
    </w:p>
    <w:p w14:paraId="0E35E0EB">
      <w:pPr>
        <w:pStyle w:val="47"/>
        <w:spacing w:beforeLines="0" w:afterLines="0"/>
        <w:ind w:left="0" w:firstLine="900" w:firstLineChars="30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供      应    商：</w:t>
      </w:r>
    </w:p>
    <w:p w14:paraId="5C7A69B0">
      <w:pPr>
        <w:pStyle w:val="47"/>
        <w:spacing w:beforeLines="0" w:afterLines="0"/>
        <w:ind w:left="0" w:firstLine="900" w:firstLineChars="30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 订 地：</w:t>
      </w:r>
    </w:p>
    <w:p w14:paraId="570E6712">
      <w:pPr>
        <w:pStyle w:val="47"/>
        <w:spacing w:beforeLines="0" w:afterLines="0"/>
        <w:ind w:left="0" w:firstLine="900" w:firstLineChars="300"/>
        <w:rPr>
          <w:rFonts w:hint="eastAsia"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签订 时 间：</w:t>
      </w:r>
    </w:p>
    <w:p w14:paraId="19C1E9EE">
      <w:pPr>
        <w:pStyle w:val="47"/>
        <w:spacing w:beforeLines="0" w:afterLines="0"/>
        <w:ind w:left="0"/>
        <w:rPr>
          <w:rFonts w:hint="eastAsia" w:ascii="黑体" w:hAnsi="黑体" w:eastAsia="黑体" w:cs="黑体"/>
          <w:color w:val="auto"/>
          <w:sz w:val="30"/>
          <w:szCs w:val="30"/>
          <w:highlight w:val="none"/>
          <w:lang w:val="en-US"/>
        </w:rPr>
      </w:pPr>
    </w:p>
    <w:p w14:paraId="6BBF2DCE">
      <w:pPr>
        <w:pStyle w:val="47"/>
        <w:spacing w:beforeLines="0" w:afterLines="0"/>
        <w:ind w:left="0"/>
        <w:rPr>
          <w:rFonts w:ascii="黑体" w:hAnsi="黑体" w:eastAsia="黑体" w:cs="黑体"/>
          <w:color w:val="auto"/>
          <w:sz w:val="30"/>
          <w:szCs w:val="30"/>
          <w:highlight w:val="none"/>
          <w:lang w:val="en-US"/>
        </w:rPr>
      </w:pPr>
    </w:p>
    <w:p w14:paraId="0512051D">
      <w:pPr>
        <w:pStyle w:val="47"/>
        <w:spacing w:beforeLines="0" w:afterLines="0"/>
        <w:ind w:left="0"/>
        <w:rPr>
          <w:rFonts w:ascii="黑体" w:hAnsi="黑体" w:eastAsia="黑体" w:cs="黑体"/>
          <w:color w:val="auto"/>
          <w:sz w:val="30"/>
          <w:szCs w:val="30"/>
          <w:highlight w:val="none"/>
          <w:lang w:val="en-US"/>
        </w:rPr>
      </w:pPr>
    </w:p>
    <w:p w14:paraId="7F900072">
      <w:pPr>
        <w:pStyle w:val="47"/>
        <w:spacing w:beforeLines="0" w:afterLines="0"/>
        <w:ind w:left="0"/>
        <w:rPr>
          <w:rFonts w:ascii="黑体" w:hAnsi="黑体" w:eastAsia="黑体" w:cs="黑体"/>
          <w:color w:val="auto"/>
          <w:sz w:val="30"/>
          <w:szCs w:val="30"/>
          <w:highlight w:val="none"/>
          <w:lang w:val="en-US"/>
        </w:rPr>
      </w:pPr>
    </w:p>
    <w:p w14:paraId="77D2A813">
      <w:pPr>
        <w:pStyle w:val="47"/>
        <w:spacing w:beforeLines="0" w:afterLines="0"/>
        <w:ind w:left="0"/>
        <w:rPr>
          <w:rFonts w:ascii="黑体" w:hAnsi="黑体" w:eastAsia="黑体" w:cs="黑体"/>
          <w:color w:val="auto"/>
          <w:sz w:val="30"/>
          <w:szCs w:val="30"/>
          <w:highlight w:val="none"/>
          <w:lang w:val="en-US"/>
        </w:rPr>
      </w:pPr>
    </w:p>
    <w:p w14:paraId="78F71B5C">
      <w:pPr>
        <w:pStyle w:val="47"/>
        <w:spacing w:beforeLines="0" w:afterLines="0"/>
        <w:ind w:left="0"/>
        <w:jc w:val="center"/>
        <w:rPr>
          <w:rFonts w:hint="eastAsia" w:ascii="方正小标宋简体" w:eastAsia="方正小标宋简体"/>
          <w:color w:val="auto"/>
          <w:sz w:val="32"/>
          <w:szCs w:val="32"/>
          <w:highlight w:val="none"/>
        </w:rPr>
      </w:pPr>
    </w:p>
    <w:p w14:paraId="1B8DF8DC">
      <w:pPr>
        <w:pStyle w:val="47"/>
        <w:spacing w:beforeLines="0" w:afterLines="0" w:line="46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1ABED9F6">
      <w:pPr>
        <w:pStyle w:val="47"/>
        <w:spacing w:beforeLines="0" w:afterLines="0" w:line="460" w:lineRule="exact"/>
        <w:ind w:left="0" w:firstLine="420" w:firstLineChars="200"/>
        <w:jc w:val="both"/>
        <w:rPr>
          <w:rFonts w:hint="eastAsia"/>
          <w:color w:val="auto"/>
          <w:sz w:val="21"/>
          <w:szCs w:val="21"/>
          <w:highlight w:val="none"/>
        </w:rPr>
      </w:pPr>
    </w:p>
    <w:p w14:paraId="12B709B9">
      <w:pPr>
        <w:pStyle w:val="47"/>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3869C089">
      <w:pPr>
        <w:pStyle w:val="47"/>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61074E79">
      <w:pPr>
        <w:pStyle w:val="47"/>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211B74A1">
      <w:pPr>
        <w:pStyle w:val="47"/>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37B8CE3B">
      <w:pPr>
        <w:pStyle w:val="47"/>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54A5BF0C">
      <w:pPr>
        <w:pStyle w:val="47"/>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2CDA32DF">
      <w:pPr>
        <w:pStyle w:val="47"/>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471DBB02">
      <w:pPr>
        <w:pStyle w:val="47"/>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196D03BC">
      <w:pPr>
        <w:pStyle w:val="47"/>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781C3AD1">
      <w:pPr>
        <w:pStyle w:val="47"/>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0D1887CC">
      <w:pPr>
        <w:pStyle w:val="47"/>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14CB4DB8">
      <w:pPr>
        <w:pStyle w:val="47"/>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17B0A69E">
      <w:pPr>
        <w:pStyle w:val="47"/>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113C897B">
      <w:pPr>
        <w:pStyle w:val="47"/>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2B4E8A2F">
      <w:pPr>
        <w:pStyle w:val="47"/>
        <w:spacing w:beforeLines="0" w:afterLines="0" w:line="46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3D43A946">
      <w:pPr>
        <w:pStyle w:val="47"/>
        <w:spacing w:beforeLines="0" w:afterLines="0" w:line="460" w:lineRule="exact"/>
        <w:ind w:left="0" w:firstLine="640" w:firstLineChars="200"/>
        <w:jc w:val="center"/>
        <w:rPr>
          <w:rFonts w:hint="eastAsia" w:ascii="方正小标宋简体" w:eastAsia="方正小标宋简体"/>
          <w:bCs/>
          <w:color w:val="auto"/>
          <w:sz w:val="32"/>
          <w:szCs w:val="32"/>
          <w:highlight w:val="none"/>
        </w:rPr>
      </w:pPr>
    </w:p>
    <w:p w14:paraId="278DC38A">
      <w:pPr>
        <w:pStyle w:val="47"/>
        <w:spacing w:beforeLines="0" w:afterLines="0" w:line="460" w:lineRule="exact"/>
        <w:ind w:left="0" w:firstLine="640" w:firstLineChars="200"/>
        <w:jc w:val="center"/>
        <w:rPr>
          <w:rFonts w:hint="eastAsia" w:ascii="方正小标宋简体" w:eastAsia="方正小标宋简体"/>
          <w:color w:val="auto"/>
          <w:sz w:val="32"/>
          <w:szCs w:val="32"/>
          <w:highlight w:val="none"/>
        </w:rPr>
      </w:pPr>
      <w:r>
        <w:rPr>
          <w:rFonts w:hint="eastAsia" w:ascii="方正小标宋简体" w:eastAsia="方正小标宋简体"/>
          <w:bCs/>
          <w:color w:val="auto"/>
          <w:sz w:val="32"/>
          <w:szCs w:val="32"/>
          <w:highlight w:val="none"/>
        </w:rPr>
        <w:t>供应商履约验收指引</w:t>
      </w:r>
    </w:p>
    <w:p w14:paraId="739B6328">
      <w:pPr>
        <w:pStyle w:val="47"/>
        <w:numPr>
          <w:ilvl w:val="0"/>
          <w:numId w:val="2"/>
        </w:numPr>
        <w:spacing w:beforeLines="0" w:afterLines="0" w:line="46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供应商不得</w:t>
      </w:r>
      <w:r>
        <w:rPr>
          <w:rFonts w:hint="eastAsia" w:ascii="宋体" w:eastAsia="宋体"/>
          <w:color w:val="auto"/>
          <w:sz w:val="21"/>
          <w:szCs w:val="21"/>
          <w:highlight w:val="none"/>
        </w:rPr>
        <w:t>擅自变更合同标的物内容；</w:t>
      </w:r>
    </w:p>
    <w:p w14:paraId="173B9593">
      <w:pPr>
        <w:pStyle w:val="47"/>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lang w:val="en-US" w:eastAsia="zh-CN"/>
        </w:rPr>
        <w:t>供应商需在投标文件中书面声明</w:t>
      </w:r>
      <w:r>
        <w:rPr>
          <w:rFonts w:hint="eastAsia" w:ascii="宋体" w:eastAsia="宋体"/>
          <w:color w:val="auto"/>
          <w:sz w:val="21"/>
          <w:szCs w:val="21"/>
          <w:highlight w:val="none"/>
        </w:rPr>
        <w:t>不得以次充好、高投低配，确因在合同执行中不可抗力因素造成的，应提供相关依据；</w:t>
      </w:r>
    </w:p>
    <w:p w14:paraId="1BFA36E8">
      <w:pPr>
        <w:pStyle w:val="47"/>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660F4565">
      <w:pPr>
        <w:pStyle w:val="47"/>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62EC5ACA">
      <w:pPr>
        <w:pStyle w:val="47"/>
        <w:spacing w:beforeLines="0" w:afterLines="0" w:line="46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供应商应提供需验收物品的清单、参数、使用手册、人员培训情况等资料；</w:t>
      </w:r>
    </w:p>
    <w:p w14:paraId="4320D74D">
      <w:pPr>
        <w:pStyle w:val="47"/>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1EC165D5">
      <w:pPr>
        <w:pStyle w:val="47"/>
        <w:spacing w:beforeLines="0" w:afterLines="0" w:line="46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7E1F01E6">
      <w:pPr>
        <w:bidi w:val="0"/>
        <w:rPr>
          <w:rFonts w:hint="eastAsia"/>
          <w:color w:val="auto"/>
          <w:highlight w:val="none"/>
        </w:rPr>
      </w:pPr>
    </w:p>
    <w:p w14:paraId="6F7FA587">
      <w:pPr>
        <w:bidi w:val="0"/>
        <w:rPr>
          <w:rFonts w:hint="eastAsia"/>
          <w:color w:val="auto"/>
          <w:highlight w:val="none"/>
        </w:rPr>
      </w:pPr>
    </w:p>
    <w:p w14:paraId="6544466C">
      <w:pPr>
        <w:bidi w:val="0"/>
        <w:rPr>
          <w:rFonts w:hint="eastAsia"/>
          <w:color w:val="auto"/>
          <w:highlight w:val="none"/>
        </w:rPr>
      </w:pPr>
    </w:p>
    <w:p w14:paraId="320BABCB">
      <w:pPr>
        <w:bidi w:val="0"/>
        <w:rPr>
          <w:rFonts w:hint="eastAsia"/>
          <w:color w:val="auto"/>
          <w:highlight w:val="none"/>
        </w:rPr>
      </w:pPr>
    </w:p>
    <w:p w14:paraId="3AEBD255">
      <w:pPr>
        <w:bidi w:val="0"/>
        <w:rPr>
          <w:rFonts w:hint="eastAsia"/>
          <w:color w:val="auto"/>
          <w:highlight w:val="none"/>
        </w:rPr>
      </w:pPr>
    </w:p>
    <w:p w14:paraId="3BDB804C">
      <w:pPr>
        <w:rPr>
          <w:rFonts w:hint="eastAsia" w:ascii="方正小标宋简体" w:hAnsi="宋体" w:eastAsia="方正小标宋简体"/>
          <w:b w:val="0"/>
          <w:color w:val="auto"/>
          <w:highlight w:val="none"/>
        </w:rPr>
      </w:pPr>
    </w:p>
    <w:p w14:paraId="517C3E7B">
      <w:pPr>
        <w:pStyle w:val="40"/>
        <w:rPr>
          <w:rFonts w:hint="eastAsia" w:ascii="方正小标宋简体" w:hAnsi="宋体" w:eastAsia="方正小标宋简体"/>
          <w:b w:val="0"/>
          <w:color w:val="auto"/>
          <w:highlight w:val="none"/>
        </w:rPr>
      </w:pPr>
    </w:p>
    <w:p w14:paraId="6E244B3B">
      <w:pPr>
        <w:pStyle w:val="40"/>
        <w:rPr>
          <w:rFonts w:hint="eastAsia" w:ascii="方正小标宋简体" w:hAnsi="宋体" w:eastAsia="方正小标宋简体"/>
          <w:b w:val="0"/>
          <w:color w:val="auto"/>
          <w:highlight w:val="none"/>
        </w:rPr>
      </w:pPr>
    </w:p>
    <w:p w14:paraId="019B3849">
      <w:pPr>
        <w:pStyle w:val="40"/>
        <w:rPr>
          <w:rFonts w:hint="eastAsia" w:ascii="方正小标宋简体" w:hAnsi="宋体" w:eastAsia="方正小标宋简体"/>
          <w:b w:val="0"/>
          <w:color w:val="auto"/>
          <w:highlight w:val="none"/>
        </w:rPr>
      </w:pPr>
    </w:p>
    <w:p w14:paraId="03A4E377">
      <w:pPr>
        <w:pStyle w:val="40"/>
        <w:rPr>
          <w:rFonts w:hint="eastAsia" w:ascii="方正小标宋简体" w:hAnsi="宋体" w:eastAsia="方正小标宋简体"/>
          <w:b w:val="0"/>
          <w:color w:val="auto"/>
          <w:highlight w:val="none"/>
        </w:rPr>
      </w:pPr>
    </w:p>
    <w:p w14:paraId="491B002D">
      <w:pPr>
        <w:pStyle w:val="40"/>
        <w:rPr>
          <w:rFonts w:hint="eastAsia" w:ascii="方正小标宋简体" w:hAnsi="宋体" w:eastAsia="方正小标宋简体"/>
          <w:b w:val="0"/>
          <w:color w:val="auto"/>
          <w:highlight w:val="none"/>
        </w:rPr>
      </w:pPr>
    </w:p>
    <w:p w14:paraId="0EC2179B">
      <w:pPr>
        <w:pStyle w:val="40"/>
        <w:rPr>
          <w:rFonts w:hint="eastAsia" w:ascii="方正小标宋简体" w:hAnsi="宋体" w:eastAsia="方正小标宋简体"/>
          <w:b w:val="0"/>
          <w:color w:val="auto"/>
          <w:highlight w:val="none"/>
        </w:rPr>
      </w:pPr>
    </w:p>
    <w:p w14:paraId="71B81163">
      <w:pPr>
        <w:pStyle w:val="40"/>
        <w:rPr>
          <w:rFonts w:hint="eastAsia" w:ascii="方正小标宋简体" w:hAnsi="宋体" w:eastAsia="方正小标宋简体"/>
          <w:b w:val="0"/>
          <w:color w:val="auto"/>
          <w:highlight w:val="none"/>
        </w:rPr>
      </w:pPr>
    </w:p>
    <w:p w14:paraId="6147BC22">
      <w:pPr>
        <w:pStyle w:val="40"/>
        <w:rPr>
          <w:rFonts w:hint="eastAsia" w:ascii="方正小标宋简体" w:hAnsi="宋体" w:eastAsia="方正小标宋简体"/>
          <w:b w:val="0"/>
          <w:color w:val="auto"/>
          <w:highlight w:val="none"/>
        </w:rPr>
      </w:pPr>
    </w:p>
    <w:p w14:paraId="056275EF">
      <w:pPr>
        <w:pStyle w:val="40"/>
        <w:rPr>
          <w:rFonts w:hint="eastAsia" w:ascii="方正小标宋简体" w:hAnsi="宋体" w:eastAsia="方正小标宋简体"/>
          <w:b w:val="0"/>
          <w:color w:val="auto"/>
          <w:highlight w:val="none"/>
        </w:rPr>
      </w:pPr>
    </w:p>
    <w:p w14:paraId="15A7F427">
      <w:pPr>
        <w:pStyle w:val="40"/>
        <w:rPr>
          <w:rFonts w:hint="eastAsia" w:ascii="方正小标宋简体" w:hAnsi="宋体" w:eastAsia="方正小标宋简体"/>
          <w:b w:val="0"/>
          <w:color w:val="auto"/>
          <w:highlight w:val="none"/>
        </w:rPr>
      </w:pPr>
    </w:p>
    <w:p w14:paraId="504970CC">
      <w:pPr>
        <w:pStyle w:val="40"/>
        <w:rPr>
          <w:rFonts w:hint="eastAsia" w:ascii="方正小标宋简体" w:hAnsi="宋体" w:eastAsia="方正小标宋简体"/>
          <w:b w:val="0"/>
          <w:color w:val="auto"/>
          <w:highlight w:val="none"/>
        </w:rPr>
      </w:pPr>
    </w:p>
    <w:p w14:paraId="43BF1E5B">
      <w:pPr>
        <w:pStyle w:val="40"/>
        <w:rPr>
          <w:rFonts w:hint="eastAsia" w:ascii="方正小标宋简体" w:hAnsi="宋体" w:eastAsia="方正小标宋简体"/>
          <w:b w:val="0"/>
          <w:color w:val="auto"/>
          <w:highlight w:val="none"/>
        </w:rPr>
      </w:pPr>
    </w:p>
    <w:p w14:paraId="65B7EABB">
      <w:pPr>
        <w:bidi w:val="0"/>
        <w:rPr>
          <w:rFonts w:hint="eastAsia"/>
          <w:color w:val="auto"/>
          <w:highlight w:val="none"/>
          <w:lang w:val="en-US" w:eastAsia="zh-CN"/>
        </w:rPr>
      </w:pPr>
      <w:r>
        <w:rPr>
          <w:rFonts w:hint="eastAsia"/>
          <w:color w:val="auto"/>
          <w:highlight w:val="none"/>
          <w:lang w:val="en-US" w:eastAsia="zh-CN"/>
        </w:rPr>
        <w:t xml:space="preserve">       </w:t>
      </w:r>
    </w:p>
    <w:p w14:paraId="6D17B37F">
      <w:pPr>
        <w:rPr>
          <w:rFonts w:hint="eastAsia" w:ascii="方正小标宋简体" w:hAnsi="宋体" w:eastAsia="方正小标宋简体"/>
          <w:b w:val="0"/>
          <w:color w:val="auto"/>
          <w:highlight w:val="none"/>
          <w:lang w:val="en-US" w:eastAsia="zh-CN"/>
        </w:rPr>
      </w:pPr>
    </w:p>
    <w:p w14:paraId="290F4112">
      <w:pPr>
        <w:pStyle w:val="40"/>
        <w:rPr>
          <w:rFonts w:hint="eastAsia" w:ascii="方正小标宋简体" w:hAnsi="宋体" w:eastAsia="方正小标宋简体"/>
          <w:b w:val="0"/>
          <w:color w:val="auto"/>
          <w:highlight w:val="none"/>
          <w:lang w:val="en-US" w:eastAsia="zh-CN"/>
        </w:rPr>
      </w:pPr>
    </w:p>
    <w:p w14:paraId="38C51A34">
      <w:pPr>
        <w:pStyle w:val="40"/>
        <w:rPr>
          <w:rFonts w:hint="default" w:ascii="方正小标宋简体" w:hAnsi="宋体" w:eastAsia="方正小标宋简体"/>
          <w:b w:val="0"/>
          <w:color w:val="auto"/>
          <w:highlight w:val="none"/>
          <w:lang w:val="en-US" w:eastAsia="zh-CN"/>
        </w:rPr>
      </w:pPr>
    </w:p>
    <w:p w14:paraId="1E86ED38">
      <w:pPr>
        <w:bidi w:val="0"/>
        <w:rPr>
          <w:rFonts w:hint="eastAsia"/>
          <w:color w:val="auto"/>
          <w:highlight w:val="none"/>
        </w:rPr>
      </w:pPr>
    </w:p>
    <w:p w14:paraId="76397025">
      <w:pPr>
        <w:rPr>
          <w:rFonts w:hint="eastAsia" w:ascii="方正小标宋简体" w:hAnsi="宋体" w:eastAsia="方正小标宋简体"/>
          <w:b w:val="0"/>
          <w:color w:val="auto"/>
          <w:highlight w:val="none"/>
        </w:rPr>
      </w:pPr>
      <w:r>
        <w:rPr>
          <w:rFonts w:hint="eastAsia" w:ascii="方正小标宋简体" w:hAnsi="宋体" w:eastAsia="方正小标宋简体"/>
          <w:b w:val="0"/>
          <w:color w:val="auto"/>
          <w:highlight w:val="none"/>
        </w:rPr>
        <w:br w:type="page"/>
      </w:r>
    </w:p>
    <w:p w14:paraId="6C776D85">
      <w:pPr>
        <w:bidi w:val="0"/>
        <w:jc w:val="center"/>
        <w:rPr>
          <w:rFonts w:hint="eastAsia" w:eastAsia="宋体"/>
          <w:b/>
          <w:bCs/>
          <w:color w:val="auto"/>
          <w:sz w:val="22"/>
          <w:szCs w:val="21"/>
          <w:highlight w:val="none"/>
          <w:lang w:eastAsia="zh-CN"/>
        </w:rPr>
      </w:pPr>
      <w:r>
        <w:rPr>
          <w:rFonts w:hint="eastAsia"/>
          <w:b/>
          <w:bCs/>
          <w:color w:val="auto"/>
          <w:sz w:val="22"/>
          <w:szCs w:val="21"/>
          <w:highlight w:val="none"/>
        </w:rPr>
        <w:t>采购合同内容</w:t>
      </w:r>
    </w:p>
    <w:p w14:paraId="123D26A6">
      <w:pPr>
        <w:spacing w:line="520" w:lineRule="exact"/>
        <w:ind w:firstLine="420" w:firstLineChars="200"/>
        <w:jc w:val="both"/>
        <w:rPr>
          <w:rFonts w:hint="eastAsia"/>
          <w:color w:val="auto"/>
          <w:szCs w:val="27"/>
          <w:highlight w:val="none"/>
        </w:rPr>
      </w:pPr>
    </w:p>
    <w:p w14:paraId="01066C31">
      <w:pPr>
        <w:spacing w:line="360" w:lineRule="auto"/>
        <w:ind w:firstLine="420" w:firstLineChars="200"/>
        <w:jc w:val="both"/>
        <w:rPr>
          <w:color w:val="auto"/>
          <w:szCs w:val="27"/>
          <w:highlight w:val="none"/>
          <w:u w:val="singl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p>
    <w:p w14:paraId="52FBCF6A">
      <w:pPr>
        <w:spacing w:line="360" w:lineRule="auto"/>
        <w:ind w:firstLine="420" w:firstLineChars="200"/>
        <w:jc w:val="both"/>
        <w:rPr>
          <w:color w:val="auto"/>
          <w:szCs w:val="27"/>
          <w:highlight w:val="none"/>
        </w:rPr>
      </w:pPr>
      <w:r>
        <w:rPr>
          <w:rFonts w:hint="eastAsia"/>
          <w:color w:val="auto"/>
          <w:szCs w:val="27"/>
          <w:highlight w:val="none"/>
        </w:rPr>
        <w:t>供应商</w:t>
      </w:r>
      <w:r>
        <w:rPr>
          <w:color w:val="auto"/>
          <w:szCs w:val="27"/>
          <w:highlight w:val="none"/>
        </w:rPr>
        <w:t>（乙方）</w:t>
      </w:r>
      <w:r>
        <w:rPr>
          <w:rFonts w:hint="eastAsia"/>
          <w:color w:val="auto"/>
          <w:szCs w:val="27"/>
          <w:highlight w:val="none"/>
        </w:rPr>
        <w:t>：</w:t>
      </w:r>
    </w:p>
    <w:p w14:paraId="31A18F08">
      <w:pPr>
        <w:spacing w:line="360" w:lineRule="auto"/>
        <w:ind w:firstLine="420" w:firstLineChars="200"/>
        <w:jc w:val="both"/>
        <w:rPr>
          <w:color w:val="auto"/>
          <w:szCs w:val="27"/>
          <w:highlight w:val="none"/>
          <w:u w:val="single"/>
        </w:rPr>
      </w:pPr>
      <w:r>
        <w:rPr>
          <w:rFonts w:hint="eastAsia"/>
          <w:color w:val="auto"/>
          <w:szCs w:val="27"/>
          <w:highlight w:val="none"/>
        </w:rPr>
        <w:t>签订地点：</w:t>
      </w:r>
    </w:p>
    <w:p w14:paraId="418B2508">
      <w:pPr>
        <w:spacing w:line="360" w:lineRule="auto"/>
        <w:ind w:firstLine="420" w:firstLineChars="200"/>
        <w:jc w:val="both"/>
        <w:rPr>
          <w:color w:val="auto"/>
          <w:szCs w:val="27"/>
          <w:highlight w:val="none"/>
          <w:u w:val="single"/>
        </w:rPr>
      </w:pPr>
      <w:r>
        <w:rPr>
          <w:rFonts w:hint="eastAsia"/>
          <w:color w:val="auto"/>
          <w:szCs w:val="27"/>
          <w:highlight w:val="none"/>
        </w:rPr>
        <w:t>项目名称：</w:t>
      </w:r>
    </w:p>
    <w:p w14:paraId="3984180F">
      <w:pPr>
        <w:spacing w:line="360" w:lineRule="auto"/>
        <w:ind w:firstLine="420" w:firstLineChars="200"/>
        <w:jc w:val="both"/>
        <w:rPr>
          <w:color w:val="auto"/>
          <w:szCs w:val="27"/>
          <w:highlight w:val="none"/>
          <w:u w:val="single"/>
        </w:rPr>
      </w:pPr>
      <w:r>
        <w:rPr>
          <w:rFonts w:hint="eastAsia"/>
          <w:color w:val="auto"/>
          <w:szCs w:val="27"/>
          <w:highlight w:val="none"/>
        </w:rPr>
        <w:t>项目编号：</w:t>
      </w:r>
    </w:p>
    <w:p w14:paraId="3C13DF5D">
      <w:pPr>
        <w:spacing w:line="360" w:lineRule="auto"/>
        <w:ind w:firstLine="420" w:firstLineChars="200"/>
        <w:jc w:val="both"/>
        <w:rPr>
          <w:color w:val="auto"/>
          <w:highlight w:val="none"/>
        </w:rPr>
      </w:pPr>
      <w:r>
        <w:rPr>
          <w:rFonts w:hint="eastAsia"/>
          <w:color w:val="auto"/>
          <w:szCs w:val="27"/>
          <w:highlight w:val="none"/>
        </w:rPr>
        <w:t>财政委托号：</w:t>
      </w:r>
      <w:r>
        <w:rPr>
          <w:rFonts w:hint="eastAsia"/>
          <w:color w:val="auto"/>
          <w:szCs w:val="27"/>
          <w:highlight w:val="none"/>
          <w:u w:val="single"/>
        </w:rPr>
        <w:t xml:space="preserve">      </w:t>
      </w:r>
      <w:r>
        <w:rPr>
          <w:rFonts w:hint="eastAsia"/>
          <w:color w:val="auto"/>
          <w:szCs w:val="27"/>
          <w:highlight w:val="none"/>
        </w:rPr>
        <w:t>(财政资金项目必须填写)</w:t>
      </w:r>
    </w:p>
    <w:p w14:paraId="38710A11">
      <w:pPr>
        <w:spacing w:line="360" w:lineRule="auto"/>
        <w:ind w:firstLine="420" w:firstLineChars="200"/>
        <w:jc w:val="both"/>
        <w:rPr>
          <w:color w:val="auto"/>
          <w:highlight w:val="none"/>
        </w:rPr>
      </w:pPr>
      <w:r>
        <w:rPr>
          <w:rFonts w:hint="eastAsia"/>
          <w:color w:val="auto"/>
          <w:szCs w:val="27"/>
          <w:highlight w:val="none"/>
        </w:rPr>
        <w:t>本项目经批准采用</w:t>
      </w:r>
      <w:r>
        <w:rPr>
          <w:rFonts w:hint="eastAsia"/>
          <w:color w:val="auto"/>
          <w:szCs w:val="27"/>
          <w:highlight w:val="none"/>
          <w:u w:val="single"/>
        </w:rPr>
        <w:t xml:space="preserve">           </w:t>
      </w:r>
      <w:r>
        <w:rPr>
          <w:rFonts w:hint="eastAsia"/>
          <w:color w:val="auto"/>
          <w:szCs w:val="27"/>
          <w:highlight w:val="none"/>
        </w:rPr>
        <w:t>采购方式，经本项目评审委员会认真评审，决定将采购合同授予乙方。为进一步明确双方的责任，确保合同的顺利履行，</w:t>
      </w:r>
      <w:r>
        <w:rPr>
          <w:color w:val="auto"/>
          <w:szCs w:val="27"/>
          <w:highlight w:val="none"/>
        </w:rPr>
        <w:t>根据《中华人民共和</w:t>
      </w:r>
      <w:r>
        <w:rPr>
          <w:rFonts w:hint="eastAsia"/>
          <w:color w:val="auto"/>
          <w:szCs w:val="27"/>
          <w:highlight w:val="none"/>
        </w:rPr>
        <w:t>国采购法</w:t>
      </w:r>
      <w:r>
        <w:rPr>
          <w:color w:val="auto"/>
          <w:szCs w:val="27"/>
          <w:highlight w:val="none"/>
        </w:rPr>
        <w:t>法》</w:t>
      </w:r>
      <w:r>
        <w:rPr>
          <w:rFonts w:hint="eastAsia"/>
          <w:color w:val="auto"/>
          <w:szCs w:val="27"/>
          <w:highlight w:val="none"/>
        </w:rPr>
        <w:t>、</w:t>
      </w:r>
      <w:r>
        <w:rPr>
          <w:color w:val="auto"/>
          <w:szCs w:val="27"/>
          <w:highlight w:val="none"/>
        </w:rPr>
        <w:t>《中华人民共和国合同法》之规定，经甲乙双方充分协商，特订立</w:t>
      </w:r>
      <w:r>
        <w:rPr>
          <w:rFonts w:hint="eastAsia"/>
          <w:color w:val="auto"/>
          <w:szCs w:val="27"/>
          <w:highlight w:val="none"/>
        </w:rPr>
        <w:t>本</w:t>
      </w:r>
      <w:r>
        <w:rPr>
          <w:color w:val="auto"/>
          <w:szCs w:val="27"/>
          <w:highlight w:val="none"/>
        </w:rPr>
        <w:t>合同，以便共同遵守。</w:t>
      </w:r>
    </w:p>
    <w:p w14:paraId="1EAF714D">
      <w:pPr>
        <w:spacing w:line="360" w:lineRule="auto"/>
        <w:ind w:firstLine="422" w:firstLineChars="200"/>
        <w:jc w:val="both"/>
        <w:rPr>
          <w:color w:val="auto"/>
          <w:highlight w:val="none"/>
          <w:u w:val="single"/>
        </w:rPr>
      </w:pPr>
      <w:r>
        <w:rPr>
          <w:b/>
          <w:bCs/>
          <w:color w:val="auto"/>
          <w:szCs w:val="27"/>
          <w:highlight w:val="none"/>
        </w:rPr>
        <w:t>第一条</w:t>
      </w:r>
      <w:r>
        <w:rPr>
          <w:color w:val="auto"/>
          <w:szCs w:val="27"/>
          <w:highlight w:val="none"/>
        </w:rPr>
        <w:t> </w:t>
      </w:r>
      <w:r>
        <w:rPr>
          <w:rFonts w:hint="eastAsia"/>
          <w:color w:val="auto"/>
          <w:szCs w:val="27"/>
          <w:highlight w:val="none"/>
        </w:rPr>
        <w:t xml:space="preserve">  </w:t>
      </w:r>
      <w:r>
        <w:rPr>
          <w:color w:val="auto"/>
          <w:szCs w:val="27"/>
          <w:highlight w:val="none"/>
        </w:rPr>
        <w:t>产品的名称、品种、规格</w:t>
      </w:r>
      <w:r>
        <w:rPr>
          <w:rFonts w:hint="eastAsia"/>
          <w:color w:val="auto"/>
          <w:szCs w:val="27"/>
          <w:highlight w:val="none"/>
        </w:rPr>
        <w:t>、数量和价格：（若产品过多则见附表，如有附表则必须加盖印章）</w:t>
      </w:r>
    </w:p>
    <w:tbl>
      <w:tblPr>
        <w:tblStyle w:val="24"/>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3FFA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9196DFB">
            <w:pPr>
              <w:spacing w:line="360" w:lineRule="auto"/>
              <w:ind w:firstLine="420" w:firstLineChars="200"/>
              <w:jc w:val="both"/>
              <w:rPr>
                <w:color w:val="auto"/>
                <w:highlight w:val="none"/>
              </w:rPr>
            </w:pPr>
            <w:r>
              <w:rPr>
                <w:rFonts w:hint="eastAsia"/>
                <w:color w:val="auto"/>
                <w:highlight w:val="none"/>
              </w:rPr>
              <w:t>产品名称</w:t>
            </w:r>
          </w:p>
        </w:tc>
        <w:tc>
          <w:tcPr>
            <w:tcW w:w="1623" w:type="dxa"/>
            <w:noWrap w:val="0"/>
            <w:vAlign w:val="top"/>
          </w:tcPr>
          <w:p w14:paraId="4F7C59C7">
            <w:pPr>
              <w:spacing w:line="360" w:lineRule="auto"/>
              <w:ind w:firstLine="420" w:firstLineChars="200"/>
              <w:jc w:val="both"/>
              <w:rPr>
                <w:color w:val="auto"/>
                <w:highlight w:val="none"/>
              </w:rPr>
            </w:pPr>
            <w:r>
              <w:rPr>
                <w:rFonts w:hint="eastAsia"/>
                <w:color w:val="auto"/>
                <w:highlight w:val="none"/>
              </w:rPr>
              <w:t>规格型号</w:t>
            </w:r>
          </w:p>
        </w:tc>
        <w:tc>
          <w:tcPr>
            <w:tcW w:w="902" w:type="dxa"/>
            <w:noWrap w:val="0"/>
            <w:vAlign w:val="top"/>
          </w:tcPr>
          <w:p w14:paraId="0BFBBF55">
            <w:pPr>
              <w:spacing w:line="360" w:lineRule="auto"/>
              <w:jc w:val="both"/>
              <w:rPr>
                <w:color w:val="auto"/>
                <w:highlight w:val="none"/>
              </w:rPr>
            </w:pPr>
            <w:r>
              <w:rPr>
                <w:rFonts w:hint="eastAsia"/>
                <w:color w:val="auto"/>
                <w:highlight w:val="none"/>
              </w:rPr>
              <w:t>单位</w:t>
            </w:r>
          </w:p>
        </w:tc>
        <w:tc>
          <w:tcPr>
            <w:tcW w:w="902" w:type="dxa"/>
            <w:noWrap w:val="0"/>
            <w:vAlign w:val="top"/>
          </w:tcPr>
          <w:p w14:paraId="2DC56497">
            <w:pPr>
              <w:spacing w:line="360" w:lineRule="auto"/>
              <w:jc w:val="both"/>
              <w:rPr>
                <w:color w:val="auto"/>
                <w:highlight w:val="none"/>
              </w:rPr>
            </w:pPr>
            <w:r>
              <w:rPr>
                <w:rFonts w:hint="eastAsia"/>
                <w:color w:val="auto"/>
                <w:highlight w:val="none"/>
              </w:rPr>
              <w:t>数量</w:t>
            </w:r>
          </w:p>
        </w:tc>
        <w:tc>
          <w:tcPr>
            <w:tcW w:w="1071" w:type="dxa"/>
            <w:noWrap w:val="0"/>
            <w:vAlign w:val="top"/>
          </w:tcPr>
          <w:p w14:paraId="111A81EC">
            <w:pPr>
              <w:spacing w:line="360" w:lineRule="auto"/>
              <w:ind w:firstLine="420" w:firstLineChars="200"/>
              <w:jc w:val="both"/>
              <w:rPr>
                <w:color w:val="auto"/>
                <w:highlight w:val="none"/>
              </w:rPr>
            </w:pPr>
            <w:r>
              <w:rPr>
                <w:rFonts w:hint="eastAsia"/>
                <w:color w:val="auto"/>
                <w:highlight w:val="none"/>
              </w:rPr>
              <w:t>单价</w:t>
            </w:r>
          </w:p>
        </w:tc>
        <w:tc>
          <w:tcPr>
            <w:tcW w:w="1250" w:type="dxa"/>
            <w:noWrap w:val="0"/>
            <w:vAlign w:val="top"/>
          </w:tcPr>
          <w:p w14:paraId="79FF19D2">
            <w:pPr>
              <w:spacing w:line="360" w:lineRule="auto"/>
              <w:ind w:firstLine="420" w:firstLineChars="200"/>
              <w:jc w:val="both"/>
              <w:rPr>
                <w:color w:val="auto"/>
                <w:highlight w:val="none"/>
              </w:rPr>
            </w:pPr>
            <w:r>
              <w:rPr>
                <w:rFonts w:hint="eastAsia"/>
                <w:color w:val="auto"/>
                <w:highlight w:val="none"/>
              </w:rPr>
              <w:t>小计</w:t>
            </w:r>
          </w:p>
        </w:tc>
        <w:tc>
          <w:tcPr>
            <w:tcW w:w="1106" w:type="dxa"/>
            <w:noWrap w:val="0"/>
            <w:vAlign w:val="top"/>
          </w:tcPr>
          <w:p w14:paraId="3BAC1F4D">
            <w:pPr>
              <w:spacing w:line="360" w:lineRule="auto"/>
              <w:ind w:firstLine="420" w:firstLineChars="200"/>
              <w:jc w:val="both"/>
              <w:rPr>
                <w:color w:val="auto"/>
                <w:highlight w:val="none"/>
              </w:rPr>
            </w:pPr>
            <w:r>
              <w:rPr>
                <w:rFonts w:hint="eastAsia"/>
                <w:color w:val="auto"/>
                <w:highlight w:val="none"/>
              </w:rPr>
              <w:t>备注</w:t>
            </w:r>
          </w:p>
        </w:tc>
      </w:tr>
      <w:tr w14:paraId="5CB80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FC861DB">
            <w:pPr>
              <w:spacing w:line="360" w:lineRule="auto"/>
              <w:ind w:firstLine="420" w:firstLineChars="200"/>
              <w:jc w:val="both"/>
              <w:rPr>
                <w:color w:val="auto"/>
                <w:highlight w:val="none"/>
              </w:rPr>
            </w:pPr>
          </w:p>
        </w:tc>
        <w:tc>
          <w:tcPr>
            <w:tcW w:w="1623" w:type="dxa"/>
            <w:noWrap w:val="0"/>
            <w:vAlign w:val="top"/>
          </w:tcPr>
          <w:p w14:paraId="36B11667">
            <w:pPr>
              <w:spacing w:line="360" w:lineRule="auto"/>
              <w:ind w:firstLine="420" w:firstLineChars="200"/>
              <w:jc w:val="both"/>
              <w:rPr>
                <w:color w:val="auto"/>
                <w:highlight w:val="none"/>
              </w:rPr>
            </w:pPr>
          </w:p>
        </w:tc>
        <w:tc>
          <w:tcPr>
            <w:tcW w:w="902" w:type="dxa"/>
            <w:noWrap w:val="0"/>
            <w:vAlign w:val="top"/>
          </w:tcPr>
          <w:p w14:paraId="2611BCD9">
            <w:pPr>
              <w:spacing w:line="360" w:lineRule="auto"/>
              <w:ind w:firstLine="420" w:firstLineChars="200"/>
              <w:jc w:val="both"/>
              <w:rPr>
                <w:color w:val="auto"/>
                <w:highlight w:val="none"/>
              </w:rPr>
            </w:pPr>
          </w:p>
        </w:tc>
        <w:tc>
          <w:tcPr>
            <w:tcW w:w="902" w:type="dxa"/>
            <w:noWrap w:val="0"/>
            <w:vAlign w:val="top"/>
          </w:tcPr>
          <w:p w14:paraId="6B7F664B">
            <w:pPr>
              <w:spacing w:line="360" w:lineRule="auto"/>
              <w:ind w:firstLine="420" w:firstLineChars="200"/>
              <w:jc w:val="both"/>
              <w:rPr>
                <w:color w:val="auto"/>
                <w:highlight w:val="none"/>
              </w:rPr>
            </w:pPr>
          </w:p>
        </w:tc>
        <w:tc>
          <w:tcPr>
            <w:tcW w:w="1071" w:type="dxa"/>
            <w:noWrap w:val="0"/>
            <w:vAlign w:val="top"/>
          </w:tcPr>
          <w:p w14:paraId="61D073D3">
            <w:pPr>
              <w:spacing w:line="360" w:lineRule="auto"/>
              <w:ind w:firstLine="420" w:firstLineChars="200"/>
              <w:jc w:val="both"/>
              <w:rPr>
                <w:color w:val="auto"/>
                <w:highlight w:val="none"/>
              </w:rPr>
            </w:pPr>
          </w:p>
        </w:tc>
        <w:tc>
          <w:tcPr>
            <w:tcW w:w="1250" w:type="dxa"/>
            <w:noWrap w:val="0"/>
            <w:vAlign w:val="top"/>
          </w:tcPr>
          <w:p w14:paraId="1C793213">
            <w:pPr>
              <w:spacing w:line="360" w:lineRule="auto"/>
              <w:ind w:firstLine="420" w:firstLineChars="200"/>
              <w:jc w:val="both"/>
              <w:rPr>
                <w:color w:val="auto"/>
                <w:highlight w:val="none"/>
              </w:rPr>
            </w:pPr>
          </w:p>
        </w:tc>
        <w:tc>
          <w:tcPr>
            <w:tcW w:w="1106" w:type="dxa"/>
            <w:noWrap w:val="0"/>
            <w:vAlign w:val="top"/>
          </w:tcPr>
          <w:p w14:paraId="7D25C1F0">
            <w:pPr>
              <w:spacing w:line="360" w:lineRule="auto"/>
              <w:ind w:firstLine="420" w:firstLineChars="200"/>
              <w:jc w:val="both"/>
              <w:rPr>
                <w:color w:val="auto"/>
                <w:highlight w:val="none"/>
              </w:rPr>
            </w:pPr>
          </w:p>
        </w:tc>
      </w:tr>
      <w:tr w14:paraId="62B35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356BF39">
            <w:pPr>
              <w:spacing w:line="360" w:lineRule="auto"/>
              <w:ind w:firstLine="420" w:firstLineChars="200"/>
              <w:jc w:val="both"/>
              <w:rPr>
                <w:color w:val="auto"/>
                <w:highlight w:val="none"/>
              </w:rPr>
            </w:pPr>
          </w:p>
        </w:tc>
        <w:tc>
          <w:tcPr>
            <w:tcW w:w="1623" w:type="dxa"/>
            <w:noWrap w:val="0"/>
            <w:vAlign w:val="top"/>
          </w:tcPr>
          <w:p w14:paraId="47D76ACE">
            <w:pPr>
              <w:spacing w:line="360" w:lineRule="auto"/>
              <w:ind w:firstLine="420" w:firstLineChars="200"/>
              <w:jc w:val="both"/>
              <w:rPr>
                <w:color w:val="auto"/>
                <w:highlight w:val="none"/>
              </w:rPr>
            </w:pPr>
          </w:p>
        </w:tc>
        <w:tc>
          <w:tcPr>
            <w:tcW w:w="902" w:type="dxa"/>
            <w:noWrap w:val="0"/>
            <w:vAlign w:val="top"/>
          </w:tcPr>
          <w:p w14:paraId="0384CE14">
            <w:pPr>
              <w:spacing w:line="360" w:lineRule="auto"/>
              <w:ind w:firstLine="420" w:firstLineChars="200"/>
              <w:jc w:val="both"/>
              <w:rPr>
                <w:color w:val="auto"/>
                <w:highlight w:val="none"/>
              </w:rPr>
            </w:pPr>
          </w:p>
        </w:tc>
        <w:tc>
          <w:tcPr>
            <w:tcW w:w="902" w:type="dxa"/>
            <w:noWrap w:val="0"/>
            <w:vAlign w:val="top"/>
          </w:tcPr>
          <w:p w14:paraId="3ECFECFF">
            <w:pPr>
              <w:spacing w:line="360" w:lineRule="auto"/>
              <w:ind w:firstLine="420" w:firstLineChars="200"/>
              <w:jc w:val="both"/>
              <w:rPr>
                <w:color w:val="auto"/>
                <w:highlight w:val="none"/>
              </w:rPr>
            </w:pPr>
          </w:p>
        </w:tc>
        <w:tc>
          <w:tcPr>
            <w:tcW w:w="1071" w:type="dxa"/>
            <w:noWrap w:val="0"/>
            <w:vAlign w:val="top"/>
          </w:tcPr>
          <w:p w14:paraId="08E8837E">
            <w:pPr>
              <w:spacing w:line="360" w:lineRule="auto"/>
              <w:ind w:firstLine="420" w:firstLineChars="200"/>
              <w:jc w:val="both"/>
              <w:rPr>
                <w:color w:val="auto"/>
                <w:highlight w:val="none"/>
              </w:rPr>
            </w:pPr>
          </w:p>
        </w:tc>
        <w:tc>
          <w:tcPr>
            <w:tcW w:w="1250" w:type="dxa"/>
            <w:noWrap w:val="0"/>
            <w:vAlign w:val="top"/>
          </w:tcPr>
          <w:p w14:paraId="3446CE28">
            <w:pPr>
              <w:spacing w:line="360" w:lineRule="auto"/>
              <w:ind w:firstLine="420" w:firstLineChars="200"/>
              <w:jc w:val="both"/>
              <w:rPr>
                <w:color w:val="auto"/>
                <w:highlight w:val="none"/>
              </w:rPr>
            </w:pPr>
          </w:p>
        </w:tc>
        <w:tc>
          <w:tcPr>
            <w:tcW w:w="1106" w:type="dxa"/>
            <w:noWrap w:val="0"/>
            <w:vAlign w:val="top"/>
          </w:tcPr>
          <w:p w14:paraId="2FAC1CE2">
            <w:pPr>
              <w:spacing w:line="360" w:lineRule="auto"/>
              <w:ind w:firstLine="420" w:firstLineChars="200"/>
              <w:jc w:val="both"/>
              <w:rPr>
                <w:color w:val="auto"/>
                <w:highlight w:val="none"/>
              </w:rPr>
            </w:pPr>
          </w:p>
        </w:tc>
      </w:tr>
      <w:tr w14:paraId="4D619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B84F1B6">
            <w:pPr>
              <w:spacing w:line="360" w:lineRule="auto"/>
              <w:ind w:firstLine="420" w:firstLineChars="200"/>
              <w:jc w:val="both"/>
              <w:rPr>
                <w:color w:val="auto"/>
                <w:highlight w:val="none"/>
              </w:rPr>
            </w:pPr>
          </w:p>
        </w:tc>
        <w:tc>
          <w:tcPr>
            <w:tcW w:w="1623" w:type="dxa"/>
            <w:noWrap w:val="0"/>
            <w:vAlign w:val="top"/>
          </w:tcPr>
          <w:p w14:paraId="03B0B65F">
            <w:pPr>
              <w:spacing w:line="360" w:lineRule="auto"/>
              <w:ind w:firstLine="420" w:firstLineChars="200"/>
              <w:jc w:val="both"/>
              <w:rPr>
                <w:color w:val="auto"/>
                <w:highlight w:val="none"/>
              </w:rPr>
            </w:pPr>
          </w:p>
        </w:tc>
        <w:tc>
          <w:tcPr>
            <w:tcW w:w="902" w:type="dxa"/>
            <w:noWrap w:val="0"/>
            <w:vAlign w:val="top"/>
          </w:tcPr>
          <w:p w14:paraId="46B5CC6B">
            <w:pPr>
              <w:spacing w:line="360" w:lineRule="auto"/>
              <w:ind w:firstLine="420" w:firstLineChars="200"/>
              <w:jc w:val="both"/>
              <w:rPr>
                <w:color w:val="auto"/>
                <w:highlight w:val="none"/>
              </w:rPr>
            </w:pPr>
          </w:p>
        </w:tc>
        <w:tc>
          <w:tcPr>
            <w:tcW w:w="902" w:type="dxa"/>
            <w:noWrap w:val="0"/>
            <w:vAlign w:val="top"/>
          </w:tcPr>
          <w:p w14:paraId="7E4E0BC8">
            <w:pPr>
              <w:spacing w:line="360" w:lineRule="auto"/>
              <w:ind w:firstLine="420" w:firstLineChars="200"/>
              <w:jc w:val="both"/>
              <w:rPr>
                <w:color w:val="auto"/>
                <w:highlight w:val="none"/>
              </w:rPr>
            </w:pPr>
          </w:p>
        </w:tc>
        <w:tc>
          <w:tcPr>
            <w:tcW w:w="1071" w:type="dxa"/>
            <w:noWrap w:val="0"/>
            <w:vAlign w:val="top"/>
          </w:tcPr>
          <w:p w14:paraId="6533CE77">
            <w:pPr>
              <w:spacing w:line="360" w:lineRule="auto"/>
              <w:ind w:firstLine="420" w:firstLineChars="200"/>
              <w:jc w:val="both"/>
              <w:rPr>
                <w:color w:val="auto"/>
                <w:highlight w:val="none"/>
              </w:rPr>
            </w:pPr>
          </w:p>
        </w:tc>
        <w:tc>
          <w:tcPr>
            <w:tcW w:w="1250" w:type="dxa"/>
            <w:noWrap w:val="0"/>
            <w:vAlign w:val="top"/>
          </w:tcPr>
          <w:p w14:paraId="4442F3D0">
            <w:pPr>
              <w:spacing w:line="360" w:lineRule="auto"/>
              <w:ind w:firstLine="420" w:firstLineChars="200"/>
              <w:jc w:val="both"/>
              <w:rPr>
                <w:color w:val="auto"/>
                <w:highlight w:val="none"/>
              </w:rPr>
            </w:pPr>
          </w:p>
        </w:tc>
        <w:tc>
          <w:tcPr>
            <w:tcW w:w="1106" w:type="dxa"/>
            <w:noWrap w:val="0"/>
            <w:vAlign w:val="top"/>
          </w:tcPr>
          <w:p w14:paraId="6CA6153A">
            <w:pPr>
              <w:spacing w:line="360" w:lineRule="auto"/>
              <w:ind w:firstLine="420" w:firstLineChars="200"/>
              <w:jc w:val="both"/>
              <w:rPr>
                <w:color w:val="auto"/>
                <w:highlight w:val="none"/>
              </w:rPr>
            </w:pPr>
          </w:p>
        </w:tc>
      </w:tr>
      <w:tr w14:paraId="34D40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38095BAE">
            <w:pPr>
              <w:spacing w:line="360" w:lineRule="auto"/>
              <w:ind w:firstLine="420" w:firstLineChars="200"/>
              <w:jc w:val="both"/>
              <w:rPr>
                <w:color w:val="auto"/>
                <w:highlight w:val="none"/>
              </w:rPr>
            </w:pPr>
            <w:r>
              <w:rPr>
                <w:rFonts w:hint="eastAsia"/>
                <w:color w:val="auto"/>
                <w:highlight w:val="none"/>
              </w:rPr>
              <w:t>合同总价款（大小写）：</w:t>
            </w:r>
          </w:p>
          <w:p w14:paraId="224F9225">
            <w:pPr>
              <w:spacing w:line="360" w:lineRule="auto"/>
              <w:ind w:firstLine="420" w:firstLineChars="200"/>
              <w:jc w:val="both"/>
              <w:rPr>
                <w:color w:val="auto"/>
                <w:highlight w:val="none"/>
              </w:rPr>
            </w:pPr>
            <w:r>
              <w:rPr>
                <w:rFonts w:hint="eastAsia"/>
                <w:color w:val="auto"/>
                <w:szCs w:val="28"/>
                <w:highlight w:val="none"/>
              </w:rPr>
              <w:t>备注：上述产品报价含产品生产、运输&lt;送达至甲方指定地点并下货&gt;、安装、调试、检验及售后服务、税金、劳保基金、人员培训等费用。</w:t>
            </w:r>
          </w:p>
        </w:tc>
      </w:tr>
    </w:tbl>
    <w:p w14:paraId="0527417E">
      <w:pPr>
        <w:spacing w:line="360" w:lineRule="auto"/>
        <w:ind w:firstLine="422" w:firstLineChars="200"/>
        <w:jc w:val="both"/>
        <w:rPr>
          <w:color w:val="auto"/>
          <w:highlight w:val="none"/>
        </w:rPr>
      </w:pPr>
      <w:r>
        <w:rPr>
          <w:rFonts w:hint="eastAsia"/>
          <w:b/>
          <w:bCs/>
          <w:color w:val="auto"/>
          <w:szCs w:val="27"/>
          <w:highlight w:val="none"/>
        </w:rPr>
        <w:t xml:space="preserve">第二条  </w:t>
      </w:r>
      <w:r>
        <w:rPr>
          <w:color w:val="auto"/>
          <w:szCs w:val="27"/>
          <w:highlight w:val="none"/>
        </w:rPr>
        <w:t>产品的技术标准（包括质量要求），按下列第（ ）项执行：</w:t>
      </w:r>
    </w:p>
    <w:p w14:paraId="6F6270EC">
      <w:pPr>
        <w:spacing w:line="360" w:lineRule="auto"/>
        <w:ind w:firstLine="420" w:firstLineChars="200"/>
        <w:jc w:val="both"/>
        <w:rPr>
          <w:color w:val="auto"/>
          <w:szCs w:val="27"/>
          <w:highlight w:val="none"/>
        </w:rPr>
      </w:pPr>
      <w:r>
        <w:rPr>
          <w:rFonts w:hint="eastAsia"/>
          <w:color w:val="auto"/>
          <w:szCs w:val="27"/>
          <w:highlight w:val="none"/>
        </w:rPr>
        <w:t>①</w:t>
      </w:r>
      <w:r>
        <w:rPr>
          <w:color w:val="auto"/>
          <w:szCs w:val="27"/>
          <w:highlight w:val="none"/>
        </w:rPr>
        <w:t>按国家标准执行；</w:t>
      </w:r>
      <w:r>
        <w:rPr>
          <w:rFonts w:hint="eastAsia"/>
          <w:color w:val="auto"/>
          <w:szCs w:val="27"/>
          <w:highlight w:val="none"/>
        </w:rPr>
        <w:t>②</w:t>
      </w:r>
      <w:r>
        <w:rPr>
          <w:color w:val="auto"/>
          <w:szCs w:val="27"/>
          <w:highlight w:val="none"/>
        </w:rPr>
        <w:t>按部颁标准执行；</w:t>
      </w:r>
      <w:r>
        <w:rPr>
          <w:rFonts w:hint="eastAsia"/>
          <w:color w:val="auto"/>
          <w:szCs w:val="27"/>
          <w:highlight w:val="none"/>
        </w:rPr>
        <w:t>③若无以上标准，则应不低于同行业质量标准；④</w:t>
      </w:r>
      <w:r>
        <w:rPr>
          <w:color w:val="auto"/>
          <w:szCs w:val="27"/>
          <w:highlight w:val="none"/>
        </w:rPr>
        <w:t>有特殊要求的，按甲乙双方在合同中商定的技术条件、样品或补充的技术要求执行</w:t>
      </w:r>
      <w:r>
        <w:rPr>
          <w:rFonts w:hint="eastAsia"/>
          <w:color w:val="auto"/>
          <w:szCs w:val="27"/>
          <w:highlight w:val="none"/>
        </w:rPr>
        <w:t>；</w:t>
      </w:r>
    </w:p>
    <w:p w14:paraId="1224B004">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乙方提供和交付的货物技术标准应</w:t>
      </w:r>
      <w:r>
        <w:rPr>
          <w:rFonts w:hint="eastAsia" w:ascii="宋体" w:hAnsi="宋体" w:eastAsia="宋体" w:cs="宋体"/>
          <w:color w:val="auto"/>
          <w:highlight w:val="none"/>
          <w:lang w:eastAsia="zh-CN"/>
        </w:rPr>
        <w:t>在投标文件书面声明提供的服务标准和水平应</w:t>
      </w:r>
      <w:r>
        <w:rPr>
          <w:rFonts w:ascii="宋体" w:hAnsi="宋体" w:eastAsia="宋体" w:cs="宋体"/>
          <w:color w:val="auto"/>
          <w:highlight w:val="none"/>
        </w:rPr>
        <w:t>与招标采购文件规定的技术标准相一致。若技术标准中无相应规定，所投货物应符合相应的国际标准或原产地国家有关部门最新颁布的相应的正式标准。</w:t>
      </w:r>
    </w:p>
    <w:p w14:paraId="7FFC6023">
      <w:pPr>
        <w:spacing w:line="360" w:lineRule="auto"/>
        <w:ind w:firstLine="420" w:firstLineChars="200"/>
        <w:jc w:val="both"/>
        <w:rPr>
          <w:rFonts w:hint="eastAsia" w:ascii="Times New Roman" w:hAnsi="Times New Roman" w:eastAsia="宋体" w:cs="Times New Roman"/>
          <w:color w:val="auto"/>
          <w:szCs w:val="27"/>
          <w:highlight w:val="none"/>
        </w:rPr>
      </w:pPr>
      <w:r>
        <w:rPr>
          <w:rFonts w:hint="eastAsia" w:ascii="Times New Roman" w:hAnsi="Times New Roman" w:eastAsia="宋体" w:cs="Times New Roman"/>
          <w:color w:val="auto"/>
          <w:szCs w:val="27"/>
          <w:highlight w:val="none"/>
        </w:rPr>
        <w:t>进口产品的质量标准为                                             。</w:t>
      </w:r>
    </w:p>
    <w:p w14:paraId="41D3B85A">
      <w:pPr>
        <w:spacing w:line="360" w:lineRule="auto"/>
        <w:ind w:firstLine="420" w:firstLineChars="200"/>
        <w:jc w:val="both"/>
        <w:rPr>
          <w:rFonts w:hint="eastAsia" w:ascii="Times New Roman" w:hAnsi="Times New Roman" w:eastAsia="宋体" w:cs="Times New Roman"/>
          <w:color w:val="auto"/>
          <w:szCs w:val="27"/>
          <w:highlight w:val="none"/>
        </w:rPr>
      </w:pPr>
      <w:r>
        <w:rPr>
          <w:rFonts w:hint="eastAsia" w:ascii="Times New Roman" w:hAnsi="Times New Roman" w:eastAsia="宋体" w:cs="Times New Roman"/>
          <w:color w:val="auto"/>
          <w:szCs w:val="27"/>
          <w:highlight w:val="none"/>
        </w:rPr>
        <w:t>乙方</w:t>
      </w:r>
      <w:r>
        <w:rPr>
          <w:rFonts w:hint="eastAsia" w:ascii="Times New Roman" w:hAnsi="Times New Roman" w:eastAsia="宋体" w:cs="Times New Roman"/>
          <w:color w:val="auto"/>
          <w:szCs w:val="27"/>
          <w:highlight w:val="none"/>
          <w:lang w:eastAsia="zh-CN"/>
        </w:rPr>
        <w:t>需在投标文件中承诺</w:t>
      </w:r>
      <w:r>
        <w:rPr>
          <w:rFonts w:hint="eastAsia" w:ascii="Times New Roman" w:hAnsi="Times New Roman" w:eastAsia="宋体" w:cs="Times New Roman"/>
          <w:color w:val="auto"/>
          <w:szCs w:val="27"/>
          <w:highlight w:val="none"/>
        </w:rPr>
        <w:t>所提供的货物应是全新、未使用过的，是完全符合以上质量标准的正品；乙方所提供的货物在正确安装、正常使用和保养条件下，在其使用寿命内应具有满意的性能。</w:t>
      </w:r>
    </w:p>
    <w:p w14:paraId="4DF1AF04">
      <w:pPr>
        <w:pStyle w:val="13"/>
        <w:spacing w:line="360" w:lineRule="auto"/>
        <w:ind w:left="0" w:firstLine="482" w:firstLineChars="200"/>
        <w:jc w:val="both"/>
        <w:rPr>
          <w:rFonts w:ascii="宋体" w:hAnsi="宋体" w:eastAsia="宋体"/>
          <w:color w:val="auto"/>
          <w:sz w:val="24"/>
          <w:highlight w:val="none"/>
        </w:rPr>
      </w:pPr>
      <w:r>
        <w:rPr>
          <w:rFonts w:hint="eastAsia" w:ascii="宋体" w:hAnsi="宋体" w:eastAsia="宋体"/>
          <w:b/>
          <w:bCs/>
          <w:color w:val="auto"/>
          <w:sz w:val="24"/>
          <w:highlight w:val="none"/>
        </w:rPr>
        <w:t>第</w:t>
      </w:r>
      <w:r>
        <w:rPr>
          <w:rFonts w:ascii="宋体" w:hAnsi="宋体" w:eastAsia="宋体"/>
          <w:b/>
          <w:bCs/>
          <w:color w:val="auto"/>
          <w:sz w:val="24"/>
          <w:highlight w:val="none"/>
        </w:rPr>
        <w:t>三</w:t>
      </w:r>
      <w:r>
        <w:rPr>
          <w:rFonts w:hint="eastAsia" w:ascii="宋体" w:hAnsi="宋体" w:eastAsia="宋体"/>
          <w:b/>
          <w:bCs/>
          <w:color w:val="auto"/>
          <w:sz w:val="24"/>
          <w:highlight w:val="none"/>
        </w:rPr>
        <w:t>条</w:t>
      </w:r>
      <w:r>
        <w:rPr>
          <w:rFonts w:ascii="Times New Roman" w:hAnsi="Times New Roman" w:eastAsia="宋体" w:cs="Times New Roman"/>
          <w:color w:val="auto"/>
          <w:kern w:val="2"/>
          <w:sz w:val="21"/>
          <w:szCs w:val="27"/>
          <w:highlight w:val="none"/>
          <w:lang w:val="en-US" w:eastAsia="zh-CN" w:bidi="ar-SA"/>
        </w:rPr>
        <w:t>产品的包装标准和包装物的供应与回收       </w:t>
      </w:r>
      <w:r>
        <w:rPr>
          <w:rFonts w:hint="eastAsia" w:ascii="Times New Roman" w:hAnsi="Times New Roman" w:eastAsia="宋体" w:cs="Times New Roman"/>
          <w:color w:val="auto"/>
          <w:kern w:val="2"/>
          <w:sz w:val="21"/>
          <w:szCs w:val="27"/>
          <w:highlight w:val="none"/>
          <w:lang w:val="en-US" w:eastAsia="zh-CN" w:bidi="ar-SA"/>
        </w:rPr>
        <w:t xml:space="preserve">          。</w:t>
      </w:r>
    </w:p>
    <w:p w14:paraId="6FE86232">
      <w:pPr>
        <w:spacing w:line="360" w:lineRule="auto"/>
        <w:ind w:firstLine="420" w:firstLineChars="200"/>
        <w:jc w:val="both"/>
        <w:rPr>
          <w:color w:val="auto"/>
          <w:szCs w:val="27"/>
          <w:highlight w:val="none"/>
        </w:rPr>
      </w:pPr>
      <w:r>
        <w:rPr>
          <w:color w:val="auto"/>
          <w:szCs w:val="27"/>
          <w:highlight w:val="none"/>
        </w:rPr>
        <w:t>（国家或</w:t>
      </w:r>
      <w:r>
        <w:rPr>
          <w:rFonts w:hint="eastAsia"/>
          <w:color w:val="auto"/>
          <w:szCs w:val="27"/>
          <w:highlight w:val="none"/>
        </w:rPr>
        <w:t>行业</w:t>
      </w:r>
      <w:r>
        <w:rPr>
          <w:color w:val="auto"/>
          <w:szCs w:val="27"/>
          <w:highlight w:val="none"/>
        </w:rPr>
        <w:t>主管部门有技术规定的，按技术规定执行；国家与</w:t>
      </w:r>
      <w:r>
        <w:rPr>
          <w:rFonts w:hint="eastAsia"/>
          <w:color w:val="auto"/>
          <w:szCs w:val="27"/>
          <w:highlight w:val="none"/>
        </w:rPr>
        <w:t>行业</w:t>
      </w:r>
      <w:r>
        <w:rPr>
          <w:color w:val="auto"/>
          <w:szCs w:val="27"/>
          <w:highlight w:val="none"/>
        </w:rPr>
        <w:t>主管部门无技术规定的，由甲乙双方商定。）</w:t>
      </w:r>
    </w:p>
    <w:p w14:paraId="249FF767">
      <w:pPr>
        <w:spacing w:line="360" w:lineRule="auto"/>
        <w:ind w:firstLine="420" w:firstLineChars="200"/>
        <w:jc w:val="both"/>
        <w:rPr>
          <w:color w:val="auto"/>
          <w:szCs w:val="27"/>
          <w:highlight w:val="none"/>
        </w:rPr>
      </w:pPr>
      <w:r>
        <w:rPr>
          <w:rFonts w:hint="eastAsia" w:ascii="宋体" w:hAnsi="宋体" w:eastAsia="宋体" w:cs="宋体"/>
          <w:color w:val="auto"/>
          <w:sz w:val="21"/>
          <w:szCs w:val="21"/>
          <w:highlight w:val="none"/>
        </w:rPr>
        <w:t>【注：合同中约定的包装标准应与乙方在投标文件中承诺的一致，且投标文件应作为合同附件与合同具有同等法律效力。】</w:t>
      </w:r>
    </w:p>
    <w:p w14:paraId="78BB7975">
      <w:pPr>
        <w:spacing w:line="360" w:lineRule="auto"/>
        <w:ind w:firstLine="422" w:firstLineChars="200"/>
        <w:jc w:val="both"/>
        <w:rPr>
          <w:color w:val="auto"/>
          <w:szCs w:val="27"/>
          <w:highlight w:val="none"/>
        </w:rPr>
      </w:pPr>
      <w:r>
        <w:rPr>
          <w:rFonts w:hint="eastAsia"/>
          <w:b/>
          <w:bCs/>
          <w:color w:val="auto"/>
          <w:szCs w:val="27"/>
          <w:highlight w:val="none"/>
        </w:rPr>
        <w:t xml:space="preserve">第四条  </w:t>
      </w:r>
      <w:r>
        <w:rPr>
          <w:color w:val="auto"/>
          <w:szCs w:val="27"/>
          <w:highlight w:val="none"/>
        </w:rPr>
        <w:t>产品的交货方法、到货地点</w:t>
      </w:r>
      <w:r>
        <w:rPr>
          <w:rFonts w:hint="eastAsia"/>
          <w:color w:val="auto"/>
          <w:szCs w:val="27"/>
          <w:highlight w:val="none"/>
        </w:rPr>
        <w:t>和交货期限</w:t>
      </w:r>
    </w:p>
    <w:p w14:paraId="59B9C399">
      <w:pPr>
        <w:spacing w:line="360" w:lineRule="auto"/>
        <w:ind w:firstLine="420" w:firstLineChars="200"/>
        <w:jc w:val="both"/>
        <w:rPr>
          <w:color w:val="auto"/>
          <w:highlight w:val="none"/>
        </w:rPr>
      </w:pPr>
      <w:r>
        <w:rPr>
          <w:rFonts w:hint="eastAsia"/>
          <w:color w:val="auto"/>
          <w:szCs w:val="27"/>
          <w:highlight w:val="none"/>
        </w:rPr>
        <w:t>1.</w:t>
      </w:r>
      <w:r>
        <w:rPr>
          <w:color w:val="auto"/>
          <w:szCs w:val="27"/>
          <w:highlight w:val="none"/>
        </w:rPr>
        <w:t>交货方法，按下列第（ ）项执行：</w:t>
      </w:r>
    </w:p>
    <w:p w14:paraId="283AA0AA">
      <w:pPr>
        <w:spacing w:line="360" w:lineRule="auto"/>
        <w:ind w:firstLine="420" w:firstLineChars="200"/>
        <w:jc w:val="both"/>
        <w:rPr>
          <w:color w:val="auto"/>
          <w:highlight w:val="none"/>
        </w:rPr>
      </w:pPr>
      <w:r>
        <w:rPr>
          <w:rFonts w:hint="eastAsia"/>
          <w:color w:val="auto"/>
          <w:szCs w:val="27"/>
          <w:highlight w:val="none"/>
        </w:rPr>
        <w:t>①</w:t>
      </w:r>
      <w:r>
        <w:rPr>
          <w:color w:val="auto"/>
          <w:szCs w:val="27"/>
          <w:highlight w:val="none"/>
        </w:rPr>
        <w:t>乙方送货</w:t>
      </w:r>
      <w:r>
        <w:rPr>
          <w:rFonts w:hint="eastAsia"/>
          <w:color w:val="auto"/>
          <w:szCs w:val="27"/>
          <w:highlight w:val="none"/>
        </w:rPr>
        <w:t>上门；②</w:t>
      </w:r>
      <w:r>
        <w:rPr>
          <w:color w:val="auto"/>
          <w:szCs w:val="27"/>
          <w:highlight w:val="none"/>
        </w:rPr>
        <w:t>乙方代运；</w:t>
      </w:r>
      <w:r>
        <w:rPr>
          <w:rFonts w:hint="eastAsia"/>
          <w:color w:val="auto"/>
          <w:szCs w:val="27"/>
          <w:highlight w:val="none"/>
        </w:rPr>
        <w:t>③</w:t>
      </w:r>
      <w:r>
        <w:rPr>
          <w:color w:val="auto"/>
          <w:szCs w:val="27"/>
          <w:highlight w:val="none"/>
        </w:rPr>
        <w:t>甲方自提自运。</w:t>
      </w:r>
    </w:p>
    <w:p w14:paraId="7BF2949D">
      <w:pPr>
        <w:spacing w:line="360" w:lineRule="auto"/>
        <w:ind w:firstLine="420" w:firstLineChars="200"/>
        <w:jc w:val="both"/>
        <w:rPr>
          <w:color w:val="auto"/>
          <w:szCs w:val="27"/>
          <w:highlight w:val="none"/>
        </w:rPr>
      </w:pPr>
      <w:r>
        <w:rPr>
          <w:rFonts w:hint="eastAsia"/>
          <w:color w:val="auto"/>
          <w:szCs w:val="27"/>
          <w:highlight w:val="none"/>
        </w:rPr>
        <w:t>2.</w:t>
      </w:r>
      <w:r>
        <w:rPr>
          <w:color w:val="auto"/>
          <w:szCs w:val="27"/>
          <w:highlight w:val="none"/>
        </w:rPr>
        <w:t>到货地点</w:t>
      </w:r>
      <w:r>
        <w:rPr>
          <w:rFonts w:hint="eastAsia"/>
          <w:color w:val="auto"/>
          <w:szCs w:val="27"/>
          <w:highlight w:val="none"/>
        </w:rPr>
        <w:t>：</w:t>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u w:val="single"/>
        </w:rPr>
        <w:t xml:space="preserve">                 (</w:t>
      </w:r>
      <w:r>
        <w:rPr>
          <w:rFonts w:hint="eastAsia"/>
          <w:color w:val="auto"/>
          <w:szCs w:val="27"/>
          <w:highlight w:val="none"/>
        </w:rPr>
        <w:t>甲方指定的任何地点，安装并调试.)</w:t>
      </w:r>
    </w:p>
    <w:p w14:paraId="395FFB96">
      <w:pPr>
        <w:spacing w:line="360" w:lineRule="auto"/>
        <w:ind w:firstLine="420" w:firstLineChars="200"/>
        <w:jc w:val="both"/>
        <w:rPr>
          <w:color w:val="auto"/>
          <w:szCs w:val="27"/>
          <w:highlight w:val="none"/>
        </w:rPr>
      </w:pPr>
      <w:r>
        <w:rPr>
          <w:rFonts w:hint="eastAsia"/>
          <w:color w:val="auto"/>
          <w:szCs w:val="27"/>
          <w:highlight w:val="none"/>
        </w:rPr>
        <w:t>3.</w:t>
      </w:r>
      <w:r>
        <w:rPr>
          <w:color w:val="auto"/>
          <w:szCs w:val="27"/>
          <w:highlight w:val="none"/>
        </w:rPr>
        <w:t>产品</w:t>
      </w:r>
      <w:r>
        <w:rPr>
          <w:rFonts w:hint="eastAsia"/>
          <w:color w:val="auto"/>
          <w:szCs w:val="27"/>
          <w:highlight w:val="none"/>
        </w:rPr>
        <w:t>的交货期限</w:t>
      </w:r>
      <w:r>
        <w:rPr>
          <w:color w:val="auto"/>
          <w:szCs w:val="27"/>
          <w:highlight w:val="none"/>
          <w:u w:val="single"/>
        </w:rPr>
        <w:t>                         </w:t>
      </w:r>
      <w:r>
        <w:rPr>
          <w:color w:val="auto"/>
          <w:szCs w:val="27"/>
          <w:highlight w:val="none"/>
        </w:rPr>
        <w:t>。</w:t>
      </w:r>
    </w:p>
    <w:p w14:paraId="199C7D0E">
      <w:pPr>
        <w:spacing w:line="360" w:lineRule="auto"/>
        <w:ind w:firstLine="422" w:firstLineChars="200"/>
        <w:jc w:val="both"/>
        <w:rPr>
          <w:color w:val="auto"/>
          <w:szCs w:val="27"/>
          <w:highlight w:val="none"/>
        </w:rPr>
      </w:pPr>
      <w:r>
        <w:rPr>
          <w:rFonts w:hint="eastAsia"/>
          <w:b/>
          <w:bCs/>
          <w:color w:val="auto"/>
          <w:szCs w:val="27"/>
          <w:highlight w:val="none"/>
        </w:rPr>
        <w:t>第五条</w:t>
      </w:r>
      <w:r>
        <w:rPr>
          <w:rFonts w:hint="eastAsia"/>
          <w:color w:val="auto"/>
          <w:szCs w:val="27"/>
          <w:highlight w:val="none"/>
        </w:rPr>
        <w:t xml:space="preserve">  合同总价款</w:t>
      </w:r>
    </w:p>
    <w:p w14:paraId="07700327">
      <w:pPr>
        <w:spacing w:line="360" w:lineRule="auto"/>
        <w:ind w:firstLine="420" w:firstLineChars="200"/>
        <w:jc w:val="both"/>
        <w:rPr>
          <w:color w:val="auto"/>
          <w:szCs w:val="27"/>
          <w:highlight w:val="none"/>
          <w:u w:val="single"/>
        </w:rPr>
      </w:pPr>
      <w:r>
        <w:rPr>
          <w:rFonts w:hint="eastAsia"/>
          <w:color w:val="auto"/>
          <w:szCs w:val="27"/>
          <w:highlight w:val="none"/>
        </w:rPr>
        <w:t>合同总价款（大小写）：</w:t>
      </w:r>
      <w:r>
        <w:rPr>
          <w:rFonts w:hint="eastAsia"/>
          <w:color w:val="auto"/>
          <w:szCs w:val="27"/>
          <w:highlight w:val="none"/>
          <w:u w:val="single"/>
        </w:rPr>
        <w:t xml:space="preserve">                        </w:t>
      </w:r>
    </w:p>
    <w:p w14:paraId="1F9DACF1">
      <w:pPr>
        <w:numPr>
          <w:ilvl w:val="0"/>
          <w:numId w:val="3"/>
        </w:numPr>
        <w:spacing w:line="360" w:lineRule="auto"/>
        <w:ind w:left="0" w:firstLine="420" w:firstLineChars="200"/>
        <w:jc w:val="both"/>
        <w:rPr>
          <w:color w:val="auto"/>
          <w:highlight w:val="none"/>
        </w:rPr>
      </w:pPr>
      <w:r>
        <w:rPr>
          <w:rFonts w:hint="eastAsia"/>
          <w:color w:val="auto"/>
          <w:highlight w:val="none"/>
        </w:rPr>
        <w:t xml:space="preserve">付款条件                  </w:t>
      </w:r>
    </w:p>
    <w:p w14:paraId="3D696994">
      <w:pPr>
        <w:spacing w:line="360" w:lineRule="auto"/>
        <w:ind w:firstLine="420" w:firstLineChars="200"/>
        <w:jc w:val="both"/>
        <w:rPr>
          <w:color w:val="auto"/>
          <w:highlight w:val="none"/>
        </w:rPr>
      </w:pPr>
      <w:r>
        <w:rPr>
          <w:rFonts w:hint="eastAsia"/>
          <w:color w:val="auto"/>
          <w:highlight w:val="none"/>
        </w:rPr>
        <w:t>本合同以人民币付款。</w:t>
      </w:r>
    </w:p>
    <w:p w14:paraId="375965D0">
      <w:pPr>
        <w:spacing w:line="360" w:lineRule="auto"/>
        <w:ind w:firstLine="420" w:firstLineChars="200"/>
        <w:jc w:val="both"/>
        <w:rPr>
          <w:color w:val="auto"/>
          <w:highlight w:val="none"/>
        </w:rPr>
      </w:pPr>
      <w:r>
        <w:rPr>
          <w:rFonts w:hint="eastAsia"/>
          <w:color w:val="auto"/>
          <w:highlight w:val="none"/>
        </w:rPr>
        <w:t>该项目是否实行预付款：</w:t>
      </w:r>
    </w:p>
    <w:p w14:paraId="25E2C47F">
      <w:pPr>
        <w:spacing w:line="360" w:lineRule="auto"/>
        <w:ind w:firstLine="420" w:firstLineChars="200"/>
        <w:jc w:val="both"/>
        <w:rPr>
          <w:color w:val="auto"/>
          <w:highlight w:val="none"/>
        </w:rPr>
      </w:pPr>
      <w:r>
        <w:rPr>
          <w:rFonts w:hint="eastAsia"/>
          <w:color w:val="auto"/>
          <w:highlight w:val="none"/>
        </w:rPr>
        <w:t>实行预付款的条件和比例：</w:t>
      </w:r>
    </w:p>
    <w:p w14:paraId="5030CE0B">
      <w:pPr>
        <w:spacing w:line="360" w:lineRule="auto"/>
        <w:ind w:firstLine="420" w:firstLineChars="200"/>
        <w:jc w:val="both"/>
        <w:rPr>
          <w:color w:val="auto"/>
          <w:highlight w:val="none"/>
        </w:rPr>
      </w:pPr>
      <w:r>
        <w:rPr>
          <w:rFonts w:hint="eastAsia"/>
          <w:color w:val="auto"/>
          <w:highlight w:val="none"/>
        </w:rPr>
        <w:t>合同款项结算方式和支付比例：</w:t>
      </w:r>
      <w:r>
        <w:rPr>
          <w:rFonts w:hint="eastAsia"/>
          <w:color w:val="auto"/>
          <w:highlight w:val="none"/>
          <w:lang w:val="en-US"/>
        </w:rPr>
        <w:t xml:space="preserve">   </w:t>
      </w:r>
    </w:p>
    <w:p w14:paraId="2E0F9D28">
      <w:pPr>
        <w:spacing w:line="360" w:lineRule="auto"/>
        <w:ind w:firstLine="420" w:firstLineChars="200"/>
        <w:jc w:val="both"/>
        <w:rPr>
          <w:rFonts w:hint="eastAsia"/>
          <w:color w:val="auto"/>
          <w:highlight w:val="none"/>
          <w:u w:val="single"/>
        </w:rPr>
      </w:pPr>
      <w:r>
        <w:rPr>
          <w:rFonts w:hint="eastAsia"/>
          <w:color w:val="auto"/>
          <w:highlight w:val="none"/>
          <w:lang w:val="en-US"/>
        </w:rPr>
        <w:t>(</w:t>
      </w:r>
      <w:r>
        <w:rPr>
          <w:rFonts w:hint="eastAsia"/>
          <w:color w:val="auto"/>
          <w:highlight w:val="none"/>
        </w:rPr>
        <w:t>具体付款方式</w:t>
      </w:r>
      <w:r>
        <w:rPr>
          <w:rFonts w:hint="eastAsia"/>
          <w:color w:val="auto"/>
          <w:highlight w:val="none"/>
          <w:u w:val="single"/>
        </w:rPr>
        <w:t>按投标人须知前附表以及采、购双方的具体约定</w:t>
      </w:r>
    </w:p>
    <w:p w14:paraId="477CF04B">
      <w:pPr>
        <w:spacing w:line="360" w:lineRule="auto"/>
        <w:ind w:firstLine="420" w:firstLineChars="200"/>
        <w:jc w:val="both"/>
        <w:rPr>
          <w:rFonts w:hint="eastAsia"/>
          <w:color w:val="auto"/>
          <w:highlight w:val="none"/>
          <w:u w:val="none"/>
        </w:rPr>
      </w:pPr>
      <w:r>
        <w:rPr>
          <w:rFonts w:hint="eastAsia"/>
          <w:color w:val="auto"/>
          <w:highlight w:val="none"/>
          <w:u w:val="none"/>
        </w:rPr>
        <w:t>供应商在响应本项目时，须单独承诺：在甲方资金不能及时拨付到位时，乙方不得停止工作。附在响应文件中，否则为不实质招标文件要求。</w:t>
      </w:r>
    </w:p>
    <w:p w14:paraId="5A4A9C3C">
      <w:pPr>
        <w:numPr>
          <w:ilvl w:val="0"/>
          <w:numId w:val="3"/>
        </w:numPr>
        <w:spacing w:line="360" w:lineRule="auto"/>
        <w:ind w:left="0" w:firstLine="420" w:firstLineChars="200"/>
        <w:jc w:val="both"/>
        <w:rPr>
          <w:color w:val="auto"/>
          <w:szCs w:val="27"/>
          <w:highlight w:val="none"/>
        </w:rPr>
      </w:pPr>
      <w:r>
        <w:rPr>
          <w:color w:val="auto"/>
          <w:szCs w:val="27"/>
          <w:highlight w:val="none"/>
        </w:rPr>
        <w:t>验收方法</w:t>
      </w:r>
    </w:p>
    <w:p w14:paraId="363CE68D">
      <w:pPr>
        <w:spacing w:line="360" w:lineRule="auto"/>
        <w:ind w:firstLine="42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1.乙方安装调试后，在      天内通知甲方组织验收，采购代理机构保留受托参与本项目验收的权利。验收不合格的，乙方应负责重新提供达到本合同约定的质量要求的产品。</w:t>
      </w:r>
    </w:p>
    <w:p w14:paraId="7E4E9ABA">
      <w:pPr>
        <w:spacing w:line="360" w:lineRule="auto"/>
        <w:ind w:firstLine="42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2.甲、乙双方应严格履行合同有关条款，如果验收过程中发现乙方在没有征得采购人同意的情况下擅自变更合同标的物，将拒绝通过验收，由此引起的一切后果及损失由乙方承担。</w:t>
      </w:r>
    </w:p>
    <w:p w14:paraId="7C03D273">
      <w:pPr>
        <w:spacing w:line="360" w:lineRule="auto"/>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highlight w:val="none"/>
        </w:rPr>
        <w:t>3.甲方应承担项目验收的主体责任。</w:t>
      </w:r>
      <w:r>
        <w:rPr>
          <w:rFonts w:hint="eastAsia" w:ascii="宋体" w:hAnsi="宋体" w:eastAsia="宋体" w:cs="宋体"/>
          <w:color w:val="auto"/>
          <w:sz w:val="21"/>
          <w:szCs w:val="22"/>
          <w:highlight w:val="none"/>
        </w:rPr>
        <w:t>供应商须保证如期完成供货，并协助采购人顺利完成验收工作，需在投标文件中承诺如期完成供货</w:t>
      </w:r>
      <w:r>
        <w:rPr>
          <w:rFonts w:hint="eastAsia" w:ascii="宋体" w:hAnsi="宋体" w:eastAsia="宋体" w:cs="宋体"/>
          <w:color w:val="auto"/>
          <w:sz w:val="21"/>
          <w:szCs w:val="21"/>
          <w:highlight w:val="none"/>
        </w:rPr>
        <w:t>保证书。</w:t>
      </w:r>
      <w:r>
        <w:rPr>
          <w:rFonts w:hint="eastAsia" w:ascii="Times New Roman" w:hAnsi="Times New Roman" w:eastAsia="宋体" w:cs="Times New Roman"/>
          <w:color w:val="auto"/>
          <w:sz w:val="21"/>
          <w:szCs w:val="21"/>
          <w:highlight w:val="none"/>
        </w:rPr>
        <w:t>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6FAC3F3">
      <w:pPr>
        <w:spacing w:line="360" w:lineRule="auto"/>
        <w:ind w:firstLine="420" w:firstLineChars="200"/>
        <w:jc w:val="both"/>
        <w:rPr>
          <w:rFonts w:hint="eastAsia" w:ascii="Times New Roman" w:hAnsi="Times New Roman" w:eastAsia="宋体" w:cs="Times New Roman"/>
          <w:color w:val="auto"/>
          <w:highlight w:val="none"/>
          <w:lang w:val="en-US"/>
        </w:rPr>
      </w:pPr>
      <w:r>
        <w:rPr>
          <w:rFonts w:hint="eastAsia" w:ascii="Times New Roman" w:hAnsi="Times New Roman" w:eastAsia="宋体" w:cs="Times New Roman"/>
          <w:color w:val="auto"/>
          <w:highlight w:val="none"/>
          <w:lang w:val="en-US"/>
        </w:rPr>
        <w:t>4、甲方视情况可以邀请参加本项目的其他投标人或者第三方机构参与验收，参与验收的投标人或者第三方机构的意见作为验收书的参考资料一并存档。</w:t>
      </w:r>
    </w:p>
    <w:p w14:paraId="54206953">
      <w:pPr>
        <w:spacing w:line="360" w:lineRule="auto"/>
        <w:ind w:firstLine="420" w:firstLineChars="200"/>
        <w:jc w:val="both"/>
        <w:rPr>
          <w:rFonts w:hint="eastAsia" w:ascii="Times New Roman" w:hAnsi="Times New Roman" w:eastAsia="宋体" w:cs="Times New Roman"/>
          <w:color w:val="auto"/>
          <w:highlight w:val="none"/>
          <w:lang w:val="en-US"/>
        </w:rPr>
      </w:pPr>
      <w:r>
        <w:rPr>
          <w:rFonts w:hint="eastAsia" w:ascii="Times New Roman" w:hAnsi="Times New Roman" w:eastAsia="宋体" w:cs="Times New Roman"/>
          <w:color w:val="auto"/>
          <w:highlight w:val="none"/>
          <w:lang w:val="en-US"/>
        </w:rPr>
        <w:t>5、乙方所交产品不符合合同规定的，如果甲方同意利用，应当按质论价；如果甲方不能利用的，应根据产品的具体情况，由乙方负责包换或退货，并承担调换或退货而支付的实际费用,同时，乙方应按规定，对更换件相应延长质量保证期，并赔偿甲方相应的损失。乙方不能调换的，按不能交货处理。供应商在响应文件中需对上述单独做出</w:t>
      </w:r>
      <w:r>
        <w:rPr>
          <w:rFonts w:hint="eastAsia" w:ascii="Times New Roman" w:hAnsi="Times New Roman" w:eastAsia="宋体" w:cs="Times New Roman"/>
          <w:color w:val="auto"/>
          <w:highlight w:val="none"/>
          <w:lang w:val="en-US" w:eastAsia="zh-CN"/>
        </w:rPr>
        <w:t>书面声明</w:t>
      </w:r>
      <w:r>
        <w:rPr>
          <w:rFonts w:hint="eastAsia" w:ascii="Times New Roman" w:hAnsi="Times New Roman" w:eastAsia="宋体" w:cs="Times New Roman"/>
          <w:color w:val="auto"/>
          <w:highlight w:val="none"/>
          <w:lang w:val="en-US"/>
        </w:rPr>
        <w:t>；</w:t>
      </w:r>
    </w:p>
    <w:p w14:paraId="4C1844FA">
      <w:pPr>
        <w:spacing w:line="360" w:lineRule="auto"/>
        <w:ind w:firstLine="420" w:firstLineChars="200"/>
        <w:jc w:val="both"/>
        <w:rPr>
          <w:rFonts w:hint="eastAsia" w:ascii="Times New Roman" w:hAnsi="Times New Roman" w:eastAsia="宋体" w:cs="Times New Roman"/>
          <w:color w:val="auto"/>
          <w:highlight w:val="none"/>
          <w:lang w:val="en-US"/>
        </w:rPr>
      </w:pPr>
      <w:r>
        <w:rPr>
          <w:rFonts w:hint="eastAsia" w:ascii="Times New Roman" w:hAnsi="Times New Roman" w:eastAsia="宋体" w:cs="Times New Roman"/>
          <w:color w:val="auto"/>
          <w:highlight w:val="none"/>
          <w:lang w:val="en-US"/>
        </w:rPr>
        <w:t>6、 如果乙方没有按照规定的时间交货和提供服务，应向甲方支付违约金，违约金从货款中扣除，按每周迟交货物或未提供服务交货价的0.5%计收。但违约金的最高限额为迟交货物或 提供服务合同价的5%。一周按7天计算，不足7天按一周计算。如果达到最高限额，甲方应考虑终止合同，由此给甲方造成的损失由乙方承担。供应商在响应文件中需对上述单独做出</w:t>
      </w:r>
      <w:r>
        <w:rPr>
          <w:rFonts w:hint="eastAsia" w:ascii="Times New Roman" w:hAnsi="Times New Roman" w:eastAsia="宋体" w:cs="Times New Roman"/>
          <w:color w:val="auto"/>
          <w:highlight w:val="none"/>
          <w:lang w:val="en-US" w:eastAsia="zh-CN"/>
        </w:rPr>
        <w:t>书面声明</w:t>
      </w:r>
      <w:r>
        <w:rPr>
          <w:rFonts w:hint="eastAsia" w:ascii="Times New Roman" w:hAnsi="Times New Roman" w:eastAsia="宋体" w:cs="Times New Roman"/>
          <w:color w:val="auto"/>
          <w:highlight w:val="none"/>
          <w:lang w:val="en-US"/>
        </w:rPr>
        <w:t>；</w:t>
      </w:r>
    </w:p>
    <w:p w14:paraId="13B57346">
      <w:pPr>
        <w:spacing w:line="360" w:lineRule="auto"/>
        <w:ind w:firstLine="420" w:firstLineChars="200"/>
        <w:jc w:val="both"/>
        <w:rPr>
          <w:rFonts w:hint="eastAsia" w:ascii="Times New Roman" w:hAnsi="Times New Roman" w:eastAsia="宋体" w:cs="Times New Roman"/>
          <w:color w:val="auto"/>
          <w:highlight w:val="none"/>
          <w:lang w:val="en-US"/>
        </w:rPr>
      </w:pPr>
      <w:r>
        <w:rPr>
          <w:rFonts w:hint="eastAsia" w:ascii="Times New Roman" w:hAnsi="Times New Roman" w:eastAsia="宋体" w:cs="Times New Roman"/>
          <w:color w:val="auto"/>
          <w:highlight w:val="none"/>
          <w:lang w:val="en-US"/>
        </w:rPr>
        <w:t xml:space="preserve">7. 乙方应在响应文件中书面保证对其所提供的货物承担所有权担保责任，并应保证甲方在中华人民共和国内使用该货物时不侵犯第三人的知识产权。否则乙方应承担由此引起的一切 法律责任及费用。 </w:t>
      </w:r>
    </w:p>
    <w:p w14:paraId="2C4921AF">
      <w:pPr>
        <w:spacing w:line="360" w:lineRule="auto"/>
        <w:ind w:firstLine="420" w:firstLineChars="200"/>
        <w:jc w:val="both"/>
        <w:rPr>
          <w:rFonts w:hint="eastAsia" w:ascii="Times New Roman" w:hAnsi="Times New Roman" w:eastAsia="宋体" w:cs="Times New Roman"/>
          <w:color w:val="auto"/>
          <w:highlight w:val="none"/>
          <w:lang w:val="en-US"/>
        </w:rPr>
      </w:pPr>
      <w:r>
        <w:rPr>
          <w:rFonts w:hint="eastAsia" w:ascii="Times New Roman" w:hAnsi="Times New Roman" w:eastAsia="宋体" w:cs="Times New Roman"/>
          <w:color w:val="auto"/>
          <w:highlight w:val="none"/>
          <w:lang w:val="en-US"/>
        </w:rPr>
        <w:t>涉及安全、消防、环保等其他需要由质检或行业主管部门进行验收的项目，必须邀请相关部门或相关专家参与验收。</w:t>
      </w:r>
    </w:p>
    <w:p w14:paraId="1B610DBC">
      <w:pPr>
        <w:spacing w:line="360" w:lineRule="auto"/>
        <w:ind w:firstLine="420" w:firstLineChars="200"/>
        <w:jc w:val="both"/>
        <w:rPr>
          <w:rFonts w:hint="eastAsia" w:ascii="Times New Roman" w:hAnsi="Times New Roman" w:eastAsia="宋体" w:cs="Times New Roman"/>
          <w:color w:val="auto"/>
          <w:highlight w:val="none"/>
          <w:lang w:val="en-US"/>
        </w:rPr>
      </w:pPr>
      <w:r>
        <w:rPr>
          <w:rFonts w:hint="eastAsia" w:ascii="Times New Roman" w:hAnsi="Times New Roman" w:eastAsia="宋体" w:cs="Times New Roman"/>
          <w:color w:val="auto"/>
          <w:highlight w:val="none"/>
          <w:lang w:val="en-US"/>
        </w:rPr>
        <w:t>检测、验收费用承担方式：</w:t>
      </w:r>
    </w:p>
    <w:p w14:paraId="6985393B">
      <w:pPr>
        <w:spacing w:line="360" w:lineRule="auto"/>
        <w:ind w:firstLine="422" w:firstLineChars="200"/>
        <w:jc w:val="both"/>
        <w:rPr>
          <w:color w:val="auto"/>
          <w:highlight w:val="none"/>
        </w:rPr>
      </w:pPr>
      <w:r>
        <w:rPr>
          <w:b/>
          <w:bCs/>
          <w:color w:val="auto"/>
          <w:szCs w:val="27"/>
          <w:highlight w:val="none"/>
        </w:rPr>
        <w:t>第八条 </w:t>
      </w:r>
      <w:r>
        <w:rPr>
          <w:color w:val="auto"/>
          <w:szCs w:val="27"/>
          <w:highlight w:val="none"/>
        </w:rPr>
        <w:t xml:space="preserve"> 对产品提出异议的时间和办法</w:t>
      </w:r>
    </w:p>
    <w:p w14:paraId="2D5764D2">
      <w:pPr>
        <w:spacing w:line="360" w:lineRule="auto"/>
        <w:ind w:firstLine="420" w:firstLineChars="200"/>
        <w:jc w:val="both"/>
        <w:rPr>
          <w:color w:val="auto"/>
          <w:highlight w:val="none"/>
        </w:rPr>
      </w:pPr>
      <w:r>
        <w:rPr>
          <w:rFonts w:hint="eastAsia"/>
          <w:color w:val="auto"/>
          <w:szCs w:val="27"/>
          <w:highlight w:val="none"/>
        </w:rPr>
        <w:t>1.</w:t>
      </w:r>
      <w:r>
        <w:rPr>
          <w:color w:val="auto"/>
          <w:szCs w:val="27"/>
          <w:highlight w:val="none"/>
        </w:rPr>
        <w:t>甲方在验收中，如果发现产品不</w:t>
      </w:r>
      <w:r>
        <w:rPr>
          <w:rFonts w:hint="eastAsia"/>
          <w:color w:val="auto"/>
          <w:szCs w:val="27"/>
          <w:highlight w:val="none"/>
        </w:rPr>
        <w:t>符合合同约定的</w:t>
      </w:r>
      <w:r>
        <w:rPr>
          <w:color w:val="auto"/>
          <w:szCs w:val="27"/>
          <w:highlight w:val="none"/>
        </w:rPr>
        <w:t>，应一面妥为保管，一面在</w:t>
      </w:r>
      <w:r>
        <w:rPr>
          <w:color w:val="auto"/>
          <w:szCs w:val="27"/>
          <w:highlight w:val="none"/>
          <w:u w:val="single"/>
        </w:rPr>
        <w:t xml:space="preserve">         </w:t>
      </w:r>
      <w:r>
        <w:rPr>
          <w:rFonts w:hint="eastAsia"/>
          <w:color w:val="auto"/>
          <w:szCs w:val="27"/>
          <w:highlight w:val="none"/>
        </w:rPr>
        <w:t>工作日</w:t>
      </w:r>
      <w:r>
        <w:rPr>
          <w:color w:val="auto"/>
          <w:szCs w:val="27"/>
          <w:highlight w:val="none"/>
        </w:rPr>
        <w:t>内向乙方</w:t>
      </w:r>
      <w:r>
        <w:rPr>
          <w:rFonts w:hint="eastAsia"/>
          <w:color w:val="auto"/>
          <w:szCs w:val="27"/>
          <w:highlight w:val="none"/>
        </w:rPr>
        <w:t>书面</w:t>
      </w:r>
      <w:r>
        <w:rPr>
          <w:color w:val="auto"/>
          <w:szCs w:val="27"/>
          <w:highlight w:val="none"/>
        </w:rPr>
        <w:t>提出异议</w:t>
      </w:r>
      <w:r>
        <w:rPr>
          <w:rFonts w:hint="eastAsia"/>
          <w:color w:val="auto"/>
          <w:szCs w:val="27"/>
          <w:highlight w:val="none"/>
        </w:rPr>
        <w:t>，具体说明产品</w:t>
      </w:r>
      <w:r>
        <w:rPr>
          <w:color w:val="auto"/>
          <w:szCs w:val="27"/>
          <w:highlight w:val="none"/>
        </w:rPr>
        <w:t>不符合规定的</w:t>
      </w:r>
      <w:r>
        <w:rPr>
          <w:rFonts w:hint="eastAsia"/>
          <w:color w:val="auto"/>
          <w:szCs w:val="27"/>
          <w:highlight w:val="none"/>
        </w:rPr>
        <w:t>内容并附相关验收材料，同时</w:t>
      </w:r>
      <w:r>
        <w:rPr>
          <w:color w:val="auto"/>
          <w:szCs w:val="27"/>
          <w:highlight w:val="none"/>
        </w:rPr>
        <w:t>提出不符合规定产品的处理意见。</w:t>
      </w:r>
    </w:p>
    <w:p w14:paraId="31A4C413">
      <w:pPr>
        <w:spacing w:line="360" w:lineRule="auto"/>
        <w:ind w:firstLine="420" w:firstLineChars="200"/>
        <w:jc w:val="both"/>
        <w:rPr>
          <w:color w:val="auto"/>
          <w:highlight w:val="none"/>
        </w:rPr>
      </w:pPr>
      <w:r>
        <w:rPr>
          <w:rFonts w:hint="eastAsia"/>
          <w:color w:val="auto"/>
          <w:szCs w:val="27"/>
          <w:highlight w:val="none"/>
        </w:rPr>
        <w:t>2.</w:t>
      </w:r>
      <w:r>
        <w:rPr>
          <w:color w:val="auto"/>
          <w:szCs w:val="27"/>
          <w:highlight w:val="none"/>
        </w:rPr>
        <w:t>甲方因使用、保管、保养不善等造成产品质量下降的，不得提出异议。</w:t>
      </w:r>
    </w:p>
    <w:p w14:paraId="501B83A2">
      <w:pPr>
        <w:spacing w:line="360" w:lineRule="auto"/>
        <w:ind w:firstLine="420" w:firstLineChars="200"/>
        <w:jc w:val="both"/>
        <w:rPr>
          <w:color w:val="auto"/>
          <w:highlight w:val="none"/>
        </w:rPr>
      </w:pPr>
      <w:r>
        <w:rPr>
          <w:rFonts w:hint="eastAsia"/>
          <w:color w:val="auto"/>
          <w:szCs w:val="27"/>
          <w:highlight w:val="none"/>
        </w:rPr>
        <w:t>3.</w:t>
      </w:r>
      <w:r>
        <w:rPr>
          <w:color w:val="auto"/>
          <w:szCs w:val="27"/>
          <w:highlight w:val="none"/>
        </w:rPr>
        <w:t>乙方在接到</w:t>
      </w:r>
      <w:r>
        <w:rPr>
          <w:rFonts w:hint="eastAsia"/>
          <w:color w:val="auto"/>
          <w:szCs w:val="27"/>
          <w:highlight w:val="none"/>
        </w:rPr>
        <w:t>甲</w:t>
      </w:r>
      <w:r>
        <w:rPr>
          <w:color w:val="auto"/>
          <w:szCs w:val="27"/>
          <w:highlight w:val="none"/>
        </w:rPr>
        <w:t>方异议后，应在</w:t>
      </w:r>
      <w:r>
        <w:rPr>
          <w:rFonts w:hint="eastAsia"/>
          <w:color w:val="auto"/>
          <w:szCs w:val="27"/>
          <w:highlight w:val="none"/>
        </w:rPr>
        <w:t xml:space="preserve"> </w:t>
      </w:r>
      <w:r>
        <w:rPr>
          <w:color w:val="auto"/>
          <w:szCs w:val="27"/>
          <w:highlight w:val="none"/>
          <w:u w:val="single"/>
        </w:rPr>
        <w:t xml:space="preserve">       </w:t>
      </w:r>
      <w:r>
        <w:rPr>
          <w:rFonts w:hint="eastAsia"/>
          <w:color w:val="auto"/>
          <w:szCs w:val="27"/>
          <w:highlight w:val="none"/>
        </w:rPr>
        <w:t xml:space="preserve"> 工作日</w:t>
      </w:r>
      <w:r>
        <w:rPr>
          <w:color w:val="auto"/>
          <w:szCs w:val="27"/>
          <w:highlight w:val="none"/>
        </w:rPr>
        <w:t>内负责处理，否则，即视为默认甲方提出的异议和处理意见。</w:t>
      </w:r>
    </w:p>
    <w:p w14:paraId="0EB49043">
      <w:pPr>
        <w:spacing w:line="360" w:lineRule="auto"/>
        <w:ind w:firstLine="422" w:firstLineChars="200"/>
        <w:jc w:val="both"/>
        <w:rPr>
          <w:color w:val="auto"/>
          <w:szCs w:val="27"/>
          <w:highlight w:val="none"/>
        </w:rPr>
      </w:pPr>
      <w:r>
        <w:rPr>
          <w:rFonts w:hint="eastAsia"/>
          <w:b/>
          <w:bCs/>
          <w:color w:val="auto"/>
          <w:szCs w:val="27"/>
          <w:highlight w:val="none"/>
        </w:rPr>
        <w:t>第九条</w:t>
      </w:r>
      <w:r>
        <w:rPr>
          <w:rFonts w:hint="eastAsia"/>
          <w:color w:val="auto"/>
          <w:szCs w:val="27"/>
          <w:highlight w:val="none"/>
        </w:rPr>
        <w:t xml:space="preserve">  乙方应提供完善周到的技术支持和售后服务，否则甲方视情节轻重从乙方的质量保证金中扣除部分或全部补偿甲方。</w:t>
      </w:r>
    </w:p>
    <w:p w14:paraId="39D9334B">
      <w:pPr>
        <w:spacing w:line="360" w:lineRule="auto"/>
        <w:ind w:firstLine="420" w:firstLineChars="200"/>
        <w:jc w:val="both"/>
        <w:rPr>
          <w:color w:val="auto"/>
          <w:szCs w:val="27"/>
          <w:highlight w:val="none"/>
        </w:rPr>
      </w:pPr>
      <w:r>
        <w:rPr>
          <w:rFonts w:hint="eastAsia"/>
          <w:color w:val="auto"/>
          <w:szCs w:val="27"/>
          <w:highlight w:val="none"/>
        </w:rPr>
        <w:t>1.保修</w:t>
      </w:r>
    </w:p>
    <w:p w14:paraId="3F99535F">
      <w:pPr>
        <w:spacing w:line="360" w:lineRule="auto"/>
        <w:ind w:firstLine="420" w:firstLineChars="200"/>
        <w:jc w:val="both"/>
        <w:rPr>
          <w:color w:val="auto"/>
          <w:szCs w:val="27"/>
          <w:highlight w:val="none"/>
        </w:rPr>
      </w:pPr>
      <w:r>
        <w:rPr>
          <w:rFonts w:hint="eastAsia"/>
          <w:color w:val="auto"/>
          <w:szCs w:val="27"/>
          <w:highlight w:val="none"/>
        </w:rPr>
        <w:t>乙方对其所提供的货物免费保修</w:t>
      </w:r>
      <w:r>
        <w:rPr>
          <w:rFonts w:hint="eastAsia"/>
          <w:color w:val="auto"/>
          <w:szCs w:val="27"/>
          <w:highlight w:val="none"/>
          <w:u w:val="single"/>
        </w:rPr>
        <w:t xml:space="preserve">      </w:t>
      </w:r>
      <w:r>
        <w:rPr>
          <w:rFonts w:hint="eastAsia"/>
          <w:color w:val="auto"/>
          <w:szCs w:val="27"/>
          <w:highlight w:val="none"/>
        </w:rPr>
        <w:t>年，保修期从</w:t>
      </w:r>
      <w:r>
        <w:rPr>
          <w:rFonts w:hint="eastAsia"/>
          <w:color w:val="auto"/>
          <w:szCs w:val="27"/>
          <w:highlight w:val="none"/>
          <w:u w:val="single"/>
        </w:rPr>
        <w:t xml:space="preserve">             </w:t>
      </w:r>
      <w:r>
        <w:rPr>
          <w:rFonts w:hint="eastAsia"/>
          <w:color w:val="auto"/>
          <w:szCs w:val="27"/>
          <w:highlight w:val="none"/>
        </w:rPr>
        <w:t>开始。乙方应在接到报修通知后</w:t>
      </w:r>
      <w:r>
        <w:rPr>
          <w:rFonts w:hint="eastAsia"/>
          <w:color w:val="auto"/>
          <w:szCs w:val="27"/>
          <w:highlight w:val="none"/>
          <w:u w:val="single"/>
        </w:rPr>
        <w:t xml:space="preserve">      </w:t>
      </w:r>
      <w:r>
        <w:rPr>
          <w:rFonts w:hint="eastAsia"/>
          <w:color w:val="auto"/>
          <w:szCs w:val="27"/>
          <w:highlight w:val="none"/>
        </w:rPr>
        <w:t>天内上门维修，负责更换有瑕疵的货物、部件或提供相应的质量保证期内的服务。由此造成的损失，甲方保留索赔的权利。</w:t>
      </w:r>
    </w:p>
    <w:p w14:paraId="57E26411">
      <w:pPr>
        <w:spacing w:line="360" w:lineRule="auto"/>
        <w:ind w:firstLine="420" w:firstLineChars="200"/>
        <w:jc w:val="both"/>
        <w:rPr>
          <w:color w:val="auto"/>
          <w:szCs w:val="27"/>
          <w:highlight w:val="none"/>
        </w:rPr>
      </w:pPr>
      <w:r>
        <w:rPr>
          <w:rFonts w:hint="eastAsia"/>
          <w:color w:val="auto"/>
          <w:szCs w:val="27"/>
          <w:highlight w:val="none"/>
        </w:rPr>
        <w:t>如果乙方在收到报修通知后</w:t>
      </w:r>
      <w:r>
        <w:rPr>
          <w:rFonts w:hint="eastAsia"/>
          <w:color w:val="auto"/>
          <w:szCs w:val="27"/>
          <w:highlight w:val="none"/>
          <w:u w:val="single"/>
        </w:rPr>
        <w:t xml:space="preserve">      </w:t>
      </w:r>
      <w:r>
        <w:rPr>
          <w:rFonts w:hint="eastAsia"/>
          <w:color w:val="auto"/>
          <w:szCs w:val="27"/>
          <w:highlight w:val="none"/>
        </w:rPr>
        <w:t>天内没有弥补缺陷，甲方可采取必要的补救措施，但费用和风险由乙方承担。</w:t>
      </w:r>
    </w:p>
    <w:p w14:paraId="5B074E1A">
      <w:pPr>
        <w:spacing w:line="360" w:lineRule="auto"/>
        <w:ind w:firstLine="420" w:firstLineChars="200"/>
        <w:jc w:val="both"/>
        <w:rPr>
          <w:rFonts w:hint="eastAsia" w:ascii="Times New Roman" w:hAnsi="Times New Roman" w:eastAsia="宋体" w:cs="Times New Roman"/>
          <w:color w:val="auto"/>
          <w:szCs w:val="27"/>
          <w:highlight w:val="none"/>
        </w:rPr>
      </w:pPr>
      <w:r>
        <w:rPr>
          <w:rFonts w:hint="eastAsia" w:ascii="Times New Roman" w:hAnsi="Times New Roman" w:eastAsia="宋体" w:cs="Times New Roman"/>
          <w:color w:val="auto"/>
          <w:szCs w:val="27"/>
          <w:highlight w:val="none"/>
        </w:rPr>
        <w:t>2.维修</w:t>
      </w:r>
    </w:p>
    <w:p w14:paraId="710C87B5">
      <w:pPr>
        <w:spacing w:line="360" w:lineRule="auto"/>
        <w:ind w:firstLine="420" w:firstLineChars="200"/>
        <w:jc w:val="both"/>
        <w:rPr>
          <w:rFonts w:hint="eastAsia" w:ascii="Times New Roman" w:hAnsi="Times New Roman" w:eastAsia="宋体" w:cs="Times New Roman"/>
          <w:color w:val="auto"/>
          <w:szCs w:val="27"/>
          <w:highlight w:val="none"/>
        </w:rPr>
      </w:pPr>
      <w:r>
        <w:rPr>
          <w:rFonts w:hint="eastAsia" w:ascii="Times New Roman" w:hAnsi="Times New Roman" w:eastAsia="宋体" w:cs="Times New Roman"/>
          <w:color w:val="auto"/>
          <w:szCs w:val="27"/>
          <w:highlight w:val="none"/>
        </w:rPr>
        <w:t>保修期届满后，乙方应对其提供的货物负有维修义务，但所涉及的费用由甲方承担。</w:t>
      </w:r>
    </w:p>
    <w:p w14:paraId="1CCA609E">
      <w:pPr>
        <w:spacing w:line="360" w:lineRule="auto"/>
        <w:ind w:firstLine="422" w:firstLineChars="200"/>
        <w:jc w:val="both"/>
        <w:rPr>
          <w:color w:val="auto"/>
          <w:highlight w:val="none"/>
        </w:rPr>
      </w:pPr>
      <w:r>
        <w:rPr>
          <w:b/>
          <w:bCs/>
          <w:color w:val="auto"/>
          <w:szCs w:val="27"/>
          <w:highlight w:val="none"/>
        </w:rPr>
        <w:t>第</w:t>
      </w:r>
      <w:r>
        <w:rPr>
          <w:rFonts w:hint="eastAsia"/>
          <w:b/>
          <w:bCs/>
          <w:color w:val="auto"/>
          <w:szCs w:val="27"/>
          <w:highlight w:val="none"/>
        </w:rPr>
        <w:t>十</w:t>
      </w:r>
      <w:r>
        <w:rPr>
          <w:b/>
          <w:bCs/>
          <w:color w:val="auto"/>
          <w:szCs w:val="27"/>
          <w:highlight w:val="none"/>
        </w:rPr>
        <w:t>条</w:t>
      </w:r>
      <w:r>
        <w:rPr>
          <w:color w:val="auto"/>
          <w:szCs w:val="27"/>
          <w:highlight w:val="none"/>
        </w:rPr>
        <w:t>  乙方的违约责任</w:t>
      </w:r>
    </w:p>
    <w:p w14:paraId="6EAE5CA2">
      <w:pPr>
        <w:spacing w:line="360" w:lineRule="auto"/>
        <w:ind w:firstLine="420" w:firstLineChars="200"/>
        <w:jc w:val="both"/>
        <w:rPr>
          <w:color w:val="auto"/>
          <w:highlight w:val="none"/>
        </w:rPr>
      </w:pPr>
      <w:r>
        <w:rPr>
          <w:color w:val="auto"/>
          <w:szCs w:val="27"/>
          <w:highlight w:val="none"/>
        </w:rPr>
        <w:t>1.乙方不能交货的，应向甲方偿付不能交货部分货款的</w:t>
      </w:r>
      <w:r>
        <w:rPr>
          <w:color w:val="auto"/>
          <w:szCs w:val="27"/>
          <w:highlight w:val="none"/>
          <w:u w:val="single"/>
        </w:rPr>
        <w:t>      %</w:t>
      </w:r>
      <w:r>
        <w:rPr>
          <w:color w:val="auto"/>
          <w:szCs w:val="27"/>
          <w:highlight w:val="none"/>
        </w:rPr>
        <w:t>（通用产品的幅度为</w:t>
      </w:r>
      <w:r>
        <w:rPr>
          <w:rFonts w:hint="eastAsia"/>
          <w:color w:val="auto"/>
          <w:szCs w:val="27"/>
          <w:highlight w:val="none"/>
        </w:rPr>
        <w:t>1%－5%</w:t>
      </w:r>
      <w:r>
        <w:rPr>
          <w:color w:val="auto"/>
          <w:szCs w:val="27"/>
          <w:highlight w:val="none"/>
        </w:rPr>
        <w:t>，专用产品的幅度为</w:t>
      </w:r>
      <w:r>
        <w:rPr>
          <w:rFonts w:hint="eastAsia"/>
          <w:color w:val="auto"/>
          <w:szCs w:val="27"/>
          <w:highlight w:val="none"/>
        </w:rPr>
        <w:t>10%－30%</w:t>
      </w:r>
      <w:r>
        <w:rPr>
          <w:color w:val="auto"/>
          <w:szCs w:val="27"/>
          <w:highlight w:val="none"/>
        </w:rPr>
        <w:t>）的违约金。</w:t>
      </w:r>
    </w:p>
    <w:p w14:paraId="58AC6EB0">
      <w:pPr>
        <w:spacing w:line="360" w:lineRule="auto"/>
        <w:ind w:firstLine="420" w:firstLineChars="200"/>
        <w:jc w:val="both"/>
        <w:rPr>
          <w:color w:val="auto"/>
          <w:szCs w:val="27"/>
          <w:highlight w:val="none"/>
        </w:rPr>
      </w:pPr>
      <w:r>
        <w:rPr>
          <w:rFonts w:hint="eastAsia"/>
          <w:color w:val="auto"/>
          <w:szCs w:val="27"/>
          <w:highlight w:val="none"/>
        </w:rPr>
        <w:t>2.</w:t>
      </w:r>
      <w:r>
        <w:rPr>
          <w:color w:val="auto"/>
          <w:szCs w:val="27"/>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auto"/>
          <w:highlight w:val="none"/>
        </w:rPr>
        <w:t>同时，乙方应按规定，对更换件相应延长质量保证期，并赔偿甲方相应的损失。</w:t>
      </w:r>
      <w:r>
        <w:rPr>
          <w:color w:val="auto"/>
          <w:szCs w:val="27"/>
          <w:highlight w:val="none"/>
        </w:rPr>
        <w:t>乙方不能修理或者不能调换的，按不能交货处理。</w:t>
      </w:r>
      <w:r>
        <w:rPr>
          <w:rFonts w:hint="eastAsia"/>
          <w:color w:val="auto"/>
          <w:szCs w:val="27"/>
          <w:highlight w:val="none"/>
        </w:rPr>
        <w:t>投标人在投标文件中需对上述单独做出保证，并附到投标文件中。</w:t>
      </w:r>
      <w:r>
        <w:rPr>
          <w:rFonts w:hint="eastAsia" w:ascii="宋体" w:hAnsi="宋体" w:eastAsia="宋体" w:cs="宋体"/>
          <w:color w:val="auto"/>
          <w:sz w:val="21"/>
          <w:szCs w:val="21"/>
          <w:highlight w:val="none"/>
        </w:rPr>
        <w:t>供应商须在投标分项报价表中如实填写产品生产厂家及原产地，所填信息将作为资格及产品核查依据。</w:t>
      </w:r>
    </w:p>
    <w:p w14:paraId="376D5D24">
      <w:pPr>
        <w:spacing w:line="360" w:lineRule="auto"/>
        <w:ind w:firstLine="420" w:firstLineChars="200"/>
        <w:jc w:val="both"/>
        <w:rPr>
          <w:color w:val="auto"/>
          <w:highlight w:val="none"/>
        </w:rPr>
      </w:pPr>
      <w:r>
        <w:rPr>
          <w:rFonts w:hint="eastAsia"/>
          <w:color w:val="auto"/>
          <w:szCs w:val="27"/>
          <w:highlight w:val="none"/>
        </w:rPr>
        <w:t>3.</w:t>
      </w:r>
      <w:r>
        <w:rPr>
          <w:color w:val="auto"/>
          <w:szCs w:val="27"/>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auto"/>
          <w:highlight w:val="none"/>
        </w:rPr>
        <w:t>每件货物包装箱内应附一份详细装箱单和质量证书。为进口件的，应出具报关手续和原产地、原产工厂证明、报关手续和商检证明等。</w:t>
      </w:r>
    </w:p>
    <w:p w14:paraId="2E63B28C">
      <w:pPr>
        <w:spacing w:line="360" w:lineRule="auto"/>
        <w:ind w:firstLine="420" w:firstLineChars="200"/>
        <w:jc w:val="both"/>
        <w:rPr>
          <w:color w:val="auto"/>
          <w:szCs w:val="27"/>
          <w:highlight w:val="none"/>
        </w:rPr>
      </w:pPr>
      <w:r>
        <w:rPr>
          <w:rFonts w:hint="eastAsia"/>
          <w:color w:val="auto"/>
          <w:szCs w:val="27"/>
          <w:highlight w:val="none"/>
          <w:lang w:val="en-US" w:eastAsia="zh-CN"/>
        </w:rPr>
        <w:t>4</w:t>
      </w:r>
      <w:r>
        <w:rPr>
          <w:rFonts w:hint="eastAsia"/>
          <w:color w:val="auto"/>
          <w:szCs w:val="27"/>
          <w:highlight w:val="none"/>
        </w:rPr>
        <w:t>.</w:t>
      </w:r>
      <w:r>
        <w:rPr>
          <w:color w:val="auto"/>
          <w:szCs w:val="27"/>
          <w:highlight w:val="none"/>
        </w:rPr>
        <w:t>乙方提前交货的产品、多交的产品和不符合合同规定的产品，甲方在代保管期内实际支付的保管、保养等费用以及非因甲方保管不善而发生的损失，应当由乙方承担。</w:t>
      </w:r>
    </w:p>
    <w:p w14:paraId="33362E6F">
      <w:pPr>
        <w:spacing w:line="360" w:lineRule="auto"/>
        <w:ind w:firstLine="420"/>
        <w:rPr>
          <w:rFonts w:ascii="Times New Roman" w:hAnsi="Times New Roman" w:eastAsia="Times New Roman" w:cs="Times New Roman"/>
          <w:color w:val="auto"/>
          <w:highlight w:val="none"/>
        </w:rPr>
      </w:pPr>
      <w:r>
        <w:rPr>
          <w:rFonts w:hint="eastAsia" w:eastAsia="宋体" w:cs="Times New Roman"/>
          <w:color w:val="auto"/>
          <w:highlight w:val="none"/>
          <w:lang w:val="en-US" w:eastAsia="zh-CN"/>
        </w:rPr>
        <w:t>5</w:t>
      </w:r>
      <w:r>
        <w:rPr>
          <w:rFonts w:ascii="Times New Roman" w:hAnsi="Times New Roman" w:eastAsia="Times New Roman" w:cs="Times New Roman"/>
          <w:color w:val="auto"/>
          <w:highlight w:val="none"/>
        </w:rPr>
        <w:t>.</w:t>
      </w:r>
      <w:r>
        <w:rPr>
          <w:rFonts w:ascii="宋体" w:hAnsi="宋体" w:eastAsia="宋体" w:cs="宋体"/>
          <w:color w:val="auto"/>
          <w:highlight w:val="none"/>
        </w:rPr>
        <w:t>乙方应对其所提供的货物承担所有权担保责任，并应保证甲方在中华人民共和国内使用该货物时不侵犯第三人的知识产权。否则乙方应承担由此引起的一切法律责任及费用。</w:t>
      </w:r>
    </w:p>
    <w:p w14:paraId="4ACC09FA">
      <w:pPr>
        <w:spacing w:line="360" w:lineRule="auto"/>
        <w:ind w:firstLine="420" w:firstLineChars="200"/>
        <w:jc w:val="both"/>
        <w:rPr>
          <w:color w:val="auto"/>
          <w:highlight w:val="none"/>
        </w:rPr>
      </w:pPr>
      <w:r>
        <w:rPr>
          <w:rFonts w:hint="eastAsia"/>
          <w:color w:val="auto"/>
          <w:szCs w:val="27"/>
          <w:highlight w:val="none"/>
          <w:lang w:val="en-US" w:eastAsia="zh-CN"/>
        </w:rPr>
        <w:t>6</w:t>
      </w:r>
      <w:r>
        <w:rPr>
          <w:rFonts w:hint="eastAsia"/>
          <w:color w:val="auto"/>
          <w:szCs w:val="27"/>
          <w:highlight w:val="none"/>
        </w:rPr>
        <w:t>.任何一方未经对方同意而单方面终止合同的，应向对方赔偿相当于本合同总价款</w:t>
      </w:r>
      <w:r>
        <w:rPr>
          <w:rFonts w:hint="eastAsia"/>
          <w:color w:val="auto"/>
          <w:szCs w:val="27"/>
          <w:highlight w:val="none"/>
          <w:u w:val="single"/>
        </w:rPr>
        <w:t xml:space="preserve">      %</w:t>
      </w:r>
      <w:r>
        <w:rPr>
          <w:rFonts w:hint="eastAsia"/>
          <w:color w:val="auto"/>
          <w:szCs w:val="27"/>
          <w:highlight w:val="none"/>
        </w:rPr>
        <w:t>违约金。</w:t>
      </w:r>
    </w:p>
    <w:p w14:paraId="7E6CF838">
      <w:pPr>
        <w:spacing w:line="360" w:lineRule="auto"/>
        <w:ind w:firstLine="422" w:firstLineChars="200"/>
        <w:jc w:val="both"/>
        <w:rPr>
          <w:color w:val="auto"/>
          <w:highlight w:val="none"/>
        </w:rPr>
      </w:pPr>
      <w:r>
        <w:rPr>
          <w:b/>
          <w:bCs/>
          <w:color w:val="auto"/>
          <w:szCs w:val="27"/>
          <w:highlight w:val="none"/>
        </w:rPr>
        <w:t>第十</w:t>
      </w:r>
      <w:r>
        <w:rPr>
          <w:rFonts w:hint="eastAsia"/>
          <w:b/>
          <w:bCs/>
          <w:color w:val="auto"/>
          <w:szCs w:val="27"/>
          <w:highlight w:val="none"/>
        </w:rPr>
        <w:t>一</w:t>
      </w:r>
      <w:r>
        <w:rPr>
          <w:b/>
          <w:bCs/>
          <w:color w:val="auto"/>
          <w:szCs w:val="27"/>
          <w:highlight w:val="none"/>
        </w:rPr>
        <w:t>条</w:t>
      </w:r>
      <w:r>
        <w:rPr>
          <w:color w:val="auto"/>
          <w:szCs w:val="27"/>
          <w:highlight w:val="none"/>
        </w:rPr>
        <w:t>  甲方的违约责任</w:t>
      </w:r>
    </w:p>
    <w:p w14:paraId="3B1FD3B2">
      <w:pPr>
        <w:spacing w:line="360" w:lineRule="auto"/>
        <w:ind w:firstLine="420" w:firstLineChars="200"/>
        <w:jc w:val="both"/>
        <w:rPr>
          <w:color w:val="auto"/>
          <w:highlight w:val="none"/>
        </w:rPr>
      </w:pPr>
      <w:r>
        <w:rPr>
          <w:rFonts w:hint="eastAsia"/>
          <w:color w:val="auto"/>
          <w:szCs w:val="27"/>
          <w:highlight w:val="none"/>
        </w:rPr>
        <w:t>1.</w:t>
      </w:r>
      <w:r>
        <w:rPr>
          <w:color w:val="auto"/>
          <w:szCs w:val="27"/>
          <w:highlight w:val="none"/>
        </w:rPr>
        <w:t>甲方中途退货，应向乙方偿付退货部分货款</w:t>
      </w:r>
      <w:r>
        <w:rPr>
          <w:rFonts w:hint="eastAsia"/>
          <w:color w:val="auto"/>
          <w:szCs w:val="27"/>
          <w:highlight w:val="none"/>
          <w:u w:val="single"/>
        </w:rPr>
        <w:t xml:space="preserve">             </w:t>
      </w:r>
      <w:r>
        <w:rPr>
          <w:rFonts w:hint="eastAsia"/>
          <w:color w:val="auto"/>
          <w:szCs w:val="27"/>
          <w:highlight w:val="none"/>
        </w:rPr>
        <w:t>%</w:t>
      </w:r>
      <w:r>
        <w:rPr>
          <w:color w:val="auto"/>
          <w:szCs w:val="27"/>
          <w:highlight w:val="none"/>
        </w:rPr>
        <w:t>（通用产品的幅度为1%</w:t>
      </w:r>
      <w:r>
        <w:rPr>
          <w:rFonts w:hint="eastAsia"/>
          <w:color w:val="auto"/>
          <w:szCs w:val="27"/>
          <w:highlight w:val="none"/>
        </w:rPr>
        <w:t>~5%</w:t>
      </w:r>
      <w:r>
        <w:rPr>
          <w:color w:val="auto"/>
          <w:szCs w:val="27"/>
          <w:highlight w:val="none"/>
        </w:rPr>
        <w:t>专用产品的幅度为</w:t>
      </w:r>
      <w:r>
        <w:rPr>
          <w:rFonts w:hint="eastAsia"/>
          <w:color w:val="auto"/>
          <w:szCs w:val="27"/>
          <w:highlight w:val="none"/>
        </w:rPr>
        <w:t>15%-30%</w:t>
      </w:r>
      <w:r>
        <w:rPr>
          <w:color w:val="auto"/>
          <w:szCs w:val="27"/>
          <w:highlight w:val="none"/>
        </w:rPr>
        <w:t>）的违约金。</w:t>
      </w:r>
    </w:p>
    <w:p w14:paraId="0AA1A885">
      <w:pPr>
        <w:spacing w:line="360" w:lineRule="auto"/>
        <w:ind w:firstLine="420" w:firstLineChars="200"/>
        <w:jc w:val="both"/>
        <w:rPr>
          <w:color w:val="auto"/>
          <w:szCs w:val="27"/>
          <w:highlight w:val="none"/>
        </w:rPr>
      </w:pPr>
      <w:r>
        <w:rPr>
          <w:rFonts w:hint="eastAsia"/>
          <w:color w:val="auto"/>
          <w:szCs w:val="27"/>
          <w:highlight w:val="none"/>
        </w:rPr>
        <w:t>2.</w:t>
      </w:r>
      <w:r>
        <w:rPr>
          <w:color w:val="auto"/>
          <w:szCs w:val="27"/>
          <w:highlight w:val="none"/>
        </w:rPr>
        <w:t>甲方违反合同规定拒绝接货的，应当承担由此造成的损失。</w:t>
      </w:r>
    </w:p>
    <w:p w14:paraId="65A28AAA">
      <w:pPr>
        <w:spacing w:line="360" w:lineRule="auto"/>
        <w:ind w:firstLine="420" w:firstLineChars="200"/>
        <w:jc w:val="both"/>
        <w:rPr>
          <w:color w:val="auto"/>
          <w:szCs w:val="27"/>
          <w:highlight w:val="none"/>
          <w:u w:val="single"/>
        </w:rPr>
      </w:pPr>
      <w:r>
        <w:rPr>
          <w:rFonts w:hint="eastAsia"/>
          <w:color w:val="auto"/>
          <w:szCs w:val="27"/>
          <w:highlight w:val="none"/>
        </w:rPr>
        <w:t>3.</w:t>
      </w:r>
      <w:r>
        <w:rPr>
          <w:color w:val="auto"/>
          <w:szCs w:val="27"/>
          <w:highlight w:val="none"/>
        </w:rPr>
        <w:t xml:space="preserve"> 甲方未按照合同约定支付货款，应向乙方</w:t>
      </w:r>
      <w:r>
        <w:rPr>
          <w:rFonts w:hint="eastAsia"/>
          <w:color w:val="auto"/>
          <w:szCs w:val="27"/>
          <w:highlight w:val="none"/>
        </w:rPr>
        <w:t>违约金</w:t>
      </w:r>
      <w:r>
        <w:rPr>
          <w:rFonts w:hint="eastAsia"/>
          <w:color w:val="auto"/>
          <w:szCs w:val="27"/>
          <w:highlight w:val="none"/>
          <w:u w:val="single"/>
        </w:rPr>
        <w:t xml:space="preserve">   </w:t>
      </w:r>
      <w:r>
        <w:rPr>
          <w:rFonts w:hint="eastAsia"/>
          <w:color w:val="auto"/>
          <w:szCs w:val="27"/>
          <w:highlight w:val="none"/>
        </w:rPr>
        <w:t>元。</w:t>
      </w:r>
    </w:p>
    <w:p w14:paraId="61A713F9">
      <w:pPr>
        <w:spacing w:line="360" w:lineRule="auto"/>
        <w:ind w:firstLine="422" w:firstLineChars="200"/>
        <w:jc w:val="both"/>
        <w:rPr>
          <w:b/>
          <w:color w:val="auto"/>
          <w:highlight w:val="none"/>
        </w:rPr>
      </w:pPr>
      <w:r>
        <w:rPr>
          <w:b/>
          <w:bCs/>
          <w:color w:val="auto"/>
          <w:szCs w:val="27"/>
          <w:highlight w:val="none"/>
        </w:rPr>
        <w:t>第十</w:t>
      </w:r>
      <w:r>
        <w:rPr>
          <w:rFonts w:hint="eastAsia"/>
          <w:b/>
          <w:bCs/>
          <w:color w:val="auto"/>
          <w:szCs w:val="27"/>
          <w:highlight w:val="none"/>
        </w:rPr>
        <w:t>二</w:t>
      </w:r>
      <w:r>
        <w:rPr>
          <w:b/>
          <w:bCs/>
          <w:color w:val="auto"/>
          <w:szCs w:val="27"/>
          <w:highlight w:val="none"/>
        </w:rPr>
        <w:t>条 </w:t>
      </w:r>
      <w:r>
        <w:rPr>
          <w:color w:val="auto"/>
          <w:szCs w:val="27"/>
          <w:highlight w:val="none"/>
        </w:rPr>
        <w:t xml:space="preserve"> 不可抗力</w:t>
      </w:r>
    </w:p>
    <w:p w14:paraId="3B006D7A">
      <w:pPr>
        <w:spacing w:line="360" w:lineRule="auto"/>
        <w:ind w:firstLine="42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AB3AA91">
      <w:pPr>
        <w:spacing w:line="360" w:lineRule="auto"/>
        <w:ind w:firstLine="420" w:firstLineChars="200"/>
        <w:jc w:val="both"/>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甲乙双方的任何一方由于不可抗力的原因不能履行合同时，应及时向对方通报不能履行或不能完全履行的理由，在取得有关</w:t>
      </w:r>
      <w:r>
        <w:rPr>
          <w:rFonts w:hint="eastAsia"/>
          <w:color w:val="auto"/>
          <w:szCs w:val="27"/>
          <w:highlight w:val="none"/>
        </w:rPr>
        <w:t>部门</w:t>
      </w:r>
      <w:r>
        <w:rPr>
          <w:color w:val="auto"/>
          <w:szCs w:val="27"/>
          <w:highlight w:val="none"/>
        </w:rPr>
        <w:t>证明以后，允许延期履行、部分履行或者不履行合同，并根据情况可部分或全部免予承担违约责任。</w:t>
      </w:r>
    </w:p>
    <w:p w14:paraId="64C1E9BA">
      <w:pPr>
        <w:spacing w:line="360" w:lineRule="auto"/>
        <w:ind w:firstLine="422" w:firstLineChars="200"/>
        <w:jc w:val="both"/>
        <w:rPr>
          <w:b/>
          <w:bCs/>
          <w:color w:val="auto"/>
          <w:szCs w:val="27"/>
          <w:highlight w:val="none"/>
        </w:rPr>
      </w:pPr>
      <w:r>
        <w:rPr>
          <w:b/>
          <w:bCs/>
          <w:color w:val="auto"/>
          <w:szCs w:val="27"/>
          <w:highlight w:val="none"/>
        </w:rPr>
        <w:t>第十</w:t>
      </w:r>
      <w:r>
        <w:rPr>
          <w:rFonts w:hint="eastAsia"/>
          <w:b/>
          <w:bCs/>
          <w:color w:val="auto"/>
          <w:szCs w:val="27"/>
          <w:highlight w:val="none"/>
        </w:rPr>
        <w:t>三</w:t>
      </w:r>
      <w:r>
        <w:rPr>
          <w:b/>
          <w:bCs/>
          <w:color w:val="auto"/>
          <w:szCs w:val="27"/>
          <w:highlight w:val="none"/>
        </w:rPr>
        <w:t>条</w:t>
      </w:r>
      <w:r>
        <w:rPr>
          <w:rFonts w:hint="eastAsia"/>
          <w:b/>
          <w:bCs/>
          <w:color w:val="auto"/>
          <w:szCs w:val="27"/>
          <w:highlight w:val="none"/>
        </w:rPr>
        <w:t xml:space="preserve">  </w:t>
      </w:r>
      <w:r>
        <w:rPr>
          <w:rFonts w:hint="eastAsia"/>
          <w:color w:val="auto"/>
          <w:szCs w:val="27"/>
          <w:highlight w:val="none"/>
        </w:rPr>
        <w:t>履约（或质量）保证金</w:t>
      </w:r>
    </w:p>
    <w:p w14:paraId="2C249C7F">
      <w:pPr>
        <w:spacing w:line="360" w:lineRule="auto"/>
        <w:ind w:firstLine="42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1.本项目不收取履约保证金。确需收取履约保证金的，甲方不得要求乙方以现款的形式提供。乙方提供的履约保证金按规定格式以银行保函形式提供，与此有关的费用由卖方承担。</w:t>
      </w:r>
    </w:p>
    <w:p w14:paraId="3367D94C">
      <w:pPr>
        <w:spacing w:line="360" w:lineRule="auto"/>
        <w:ind w:firstLine="42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2.若确需质量保证金的，质量保证金不得超过合同总价款的</w:t>
      </w:r>
      <w:r>
        <w:rPr>
          <w:rFonts w:hint="eastAsia" w:ascii="Times New Roman" w:hAnsi="Times New Roman" w:eastAsia="宋体" w:cs="Times New Roman"/>
          <w:color w:val="auto"/>
          <w:highlight w:val="none"/>
          <w:lang w:val="en-US"/>
        </w:rPr>
        <w:t>5%。</w:t>
      </w:r>
    </w:p>
    <w:p w14:paraId="44E19602">
      <w:pPr>
        <w:spacing w:line="360" w:lineRule="auto"/>
        <w:ind w:firstLine="42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3.如乙方未能履行其合同规定的任何义务，甲方有权从履约保证金中取得补偿。</w:t>
      </w:r>
    </w:p>
    <w:p w14:paraId="705B99A2">
      <w:pPr>
        <w:spacing w:line="360" w:lineRule="auto"/>
        <w:ind w:firstLine="422" w:firstLineChars="200"/>
        <w:jc w:val="both"/>
        <w:rPr>
          <w:b/>
          <w:color w:val="auto"/>
          <w:highlight w:val="none"/>
        </w:rPr>
      </w:pPr>
      <w:r>
        <w:rPr>
          <w:b/>
          <w:bCs/>
          <w:color w:val="auto"/>
          <w:szCs w:val="27"/>
          <w:highlight w:val="none"/>
        </w:rPr>
        <w:t>第十</w:t>
      </w:r>
      <w:r>
        <w:rPr>
          <w:rFonts w:hint="eastAsia"/>
          <w:b/>
          <w:bCs/>
          <w:color w:val="auto"/>
          <w:szCs w:val="27"/>
          <w:highlight w:val="none"/>
        </w:rPr>
        <w:t>四</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转让与分包</w:t>
      </w:r>
    </w:p>
    <w:p w14:paraId="1C0D43E7">
      <w:pPr>
        <w:spacing w:line="360" w:lineRule="auto"/>
        <w:ind w:firstLine="42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除甲方事先书面同意外，乙方不得部分转让或全部转让其应履行的合同义务。</w:t>
      </w:r>
    </w:p>
    <w:p w14:paraId="0835C557">
      <w:pPr>
        <w:spacing w:line="360" w:lineRule="auto"/>
        <w:ind w:firstLine="420" w:firstLineChars="200"/>
        <w:jc w:val="both"/>
        <w:rPr>
          <w:rFonts w:hint="eastAsia"/>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乙方应在投标文件中以其他书面形式对甲方确认本合同项下所授予的所有分包合同。但该确认不解除乙方承担的本合同下的任何责任或义务。意即在本合同项下，乙方对甲方负总责。</w:t>
      </w:r>
    </w:p>
    <w:p w14:paraId="03329BEB">
      <w:pPr>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3.供应商需在响应文件中出具声明函，本项目不挂靠、不转包、不违法分包，一旦发现挂靠、转包、违法分包等情形，甲方有权解除合同，且供应商承诺自愿接受甲方的经济处罚及其他处罚。</w:t>
      </w:r>
    </w:p>
    <w:p w14:paraId="43C3876A">
      <w:pPr>
        <w:spacing w:line="360" w:lineRule="auto"/>
        <w:ind w:firstLine="422" w:firstLineChars="200"/>
        <w:jc w:val="both"/>
        <w:rPr>
          <w:b/>
          <w:color w:val="auto"/>
          <w:highlight w:val="none"/>
        </w:rPr>
      </w:pPr>
      <w:r>
        <w:rPr>
          <w:b/>
          <w:bCs/>
          <w:color w:val="auto"/>
          <w:szCs w:val="27"/>
          <w:highlight w:val="none"/>
        </w:rPr>
        <w:t>第十</w:t>
      </w:r>
      <w:r>
        <w:rPr>
          <w:rFonts w:hint="eastAsia"/>
          <w:b/>
          <w:bCs/>
          <w:color w:val="auto"/>
          <w:szCs w:val="27"/>
          <w:highlight w:val="none"/>
        </w:rPr>
        <w:t>五</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合同文件及资料的使用</w:t>
      </w:r>
    </w:p>
    <w:p w14:paraId="73F5E824">
      <w:pPr>
        <w:spacing w:line="360" w:lineRule="auto"/>
        <w:ind w:firstLine="42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乙方</w:t>
      </w:r>
      <w:r>
        <w:rPr>
          <w:rFonts w:hint="eastAsia"/>
          <w:color w:val="auto"/>
          <w:highlight w:val="none"/>
          <w:lang w:eastAsia="zh-CN"/>
        </w:rPr>
        <w:t>需在投标文件中书面声明</w:t>
      </w:r>
      <w:r>
        <w:rPr>
          <w:rFonts w:hint="eastAsia"/>
          <w:color w:val="auto"/>
          <w:highlight w:val="none"/>
        </w:rPr>
        <w:t>在未经甲方同意的情况下，不得将合同、合同中的规定、有关计划、图纸、样本或甲方为上述内容向乙方提供的资料透露给任何人。投标人在投标文件中需对上述单独做出保证，并附到投标文件中。</w:t>
      </w:r>
    </w:p>
    <w:p w14:paraId="31849D21">
      <w:pPr>
        <w:spacing w:line="360" w:lineRule="auto"/>
        <w:ind w:firstLine="420" w:firstLineChars="200"/>
        <w:jc w:val="both"/>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除非执行合同需要，在事先未得到甲方同意的情况下，乙方不得使用前款所列的任何文件和资料。</w:t>
      </w:r>
    </w:p>
    <w:p w14:paraId="739D51AC">
      <w:pPr>
        <w:spacing w:line="360" w:lineRule="auto"/>
        <w:ind w:firstLine="422" w:firstLineChars="200"/>
        <w:jc w:val="both"/>
        <w:rPr>
          <w:color w:val="auto"/>
          <w:szCs w:val="27"/>
          <w:highlight w:val="none"/>
        </w:rPr>
      </w:pPr>
      <w:r>
        <w:rPr>
          <w:b/>
          <w:bCs/>
          <w:color w:val="auto"/>
          <w:szCs w:val="27"/>
          <w:highlight w:val="none"/>
        </w:rPr>
        <w:t>第十</w:t>
      </w:r>
      <w:r>
        <w:rPr>
          <w:rFonts w:hint="eastAsia"/>
          <w:b/>
          <w:bCs/>
          <w:color w:val="auto"/>
          <w:szCs w:val="27"/>
          <w:highlight w:val="none"/>
        </w:rPr>
        <w:t>六</w:t>
      </w:r>
      <w:r>
        <w:rPr>
          <w:b/>
          <w:bCs/>
          <w:color w:val="auto"/>
          <w:szCs w:val="27"/>
          <w:highlight w:val="none"/>
        </w:rPr>
        <w:t>条 </w:t>
      </w:r>
      <w:r>
        <w:rPr>
          <w:rFonts w:hint="eastAsia"/>
          <w:color w:val="auto"/>
          <w:szCs w:val="27"/>
          <w:highlight w:val="none"/>
        </w:rPr>
        <w:t>合同纠纷调处</w:t>
      </w:r>
    </w:p>
    <w:p w14:paraId="7900BDB0">
      <w:pPr>
        <w:spacing w:line="360" w:lineRule="auto"/>
        <w:ind w:firstLine="420" w:firstLineChars="200"/>
        <w:jc w:val="both"/>
        <w:rPr>
          <w:color w:val="auto"/>
          <w:highlight w:val="none"/>
        </w:rPr>
      </w:pPr>
      <w:r>
        <w:rPr>
          <w:rFonts w:hint="eastAsia"/>
          <w:color w:val="auto"/>
          <w:highlight w:val="none"/>
        </w:rPr>
        <w:t>1</w:t>
      </w:r>
      <w:r>
        <w:rPr>
          <w:rFonts w:hint="eastAsia"/>
          <w:color w:val="auto"/>
          <w:szCs w:val="27"/>
          <w:highlight w:val="none"/>
        </w:rPr>
        <w:t>.</w:t>
      </w:r>
      <w:r>
        <w:rPr>
          <w:color w:val="auto"/>
          <w:szCs w:val="27"/>
          <w:highlight w:val="none"/>
        </w:rPr>
        <w:t>按本合同规定应该偿付的违约金、赔偿金、保管保养费和各种经济损失，应当在明确责任后</w:t>
      </w:r>
      <w:r>
        <w:rPr>
          <w:rFonts w:hint="eastAsia"/>
          <w:color w:val="auto"/>
          <w:szCs w:val="27"/>
          <w:highlight w:val="none"/>
        </w:rPr>
        <w:t>10</w:t>
      </w:r>
      <w:r>
        <w:rPr>
          <w:color w:val="auto"/>
          <w:szCs w:val="27"/>
          <w:highlight w:val="none"/>
        </w:rPr>
        <w:t>天内，按银行规定的结算办法付清，否则按逾期付款处理。但任何一方不得自行扣发货物或扣付货款来充抵。</w:t>
      </w:r>
    </w:p>
    <w:p w14:paraId="72C6A887">
      <w:pPr>
        <w:spacing w:line="360" w:lineRule="auto"/>
        <w:ind w:firstLine="420" w:firstLineChars="200"/>
        <w:jc w:val="both"/>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本合同如发生纠纷，当事人双方应当及时协商解决，协商不成时，任何一方均可请</w:t>
      </w:r>
      <w:r>
        <w:rPr>
          <w:rFonts w:hint="eastAsia"/>
          <w:color w:val="auto"/>
          <w:szCs w:val="27"/>
          <w:highlight w:val="none"/>
        </w:rPr>
        <w:t>本项目政府采购监督管理部门</w:t>
      </w:r>
      <w:r>
        <w:rPr>
          <w:color w:val="auto"/>
          <w:szCs w:val="27"/>
          <w:highlight w:val="none"/>
        </w:rPr>
        <w:t>调解，调解不成，按以下第（</w:t>
      </w:r>
      <w:r>
        <w:rPr>
          <w:rFonts w:hint="eastAsia"/>
          <w:color w:val="auto"/>
          <w:szCs w:val="27"/>
          <w:highlight w:val="none"/>
        </w:rPr>
        <w:t xml:space="preserve"> </w:t>
      </w:r>
      <w:r>
        <w:rPr>
          <w:color w:val="auto"/>
          <w:szCs w:val="27"/>
          <w:highlight w:val="none"/>
        </w:rPr>
        <w:t>）项方式处理：</w:t>
      </w:r>
      <w:r>
        <w:rPr>
          <w:rFonts w:hint="eastAsia"/>
          <w:color w:val="auto"/>
          <w:szCs w:val="27"/>
          <w:highlight w:val="none"/>
        </w:rPr>
        <w:t>①根据《中华人民共和国仲裁法》的规定向</w:t>
      </w:r>
      <w:r>
        <w:rPr>
          <w:rFonts w:hint="eastAsia"/>
          <w:b/>
          <w:bCs/>
          <w:color w:val="auto"/>
          <w:szCs w:val="27"/>
          <w:highlight w:val="none"/>
          <w:u w:val="single"/>
        </w:rPr>
        <w:t>周口仲裁委员会</w:t>
      </w:r>
      <w:r>
        <w:rPr>
          <w:rFonts w:hint="eastAsia"/>
          <w:color w:val="auto"/>
          <w:szCs w:val="27"/>
          <w:highlight w:val="none"/>
        </w:rPr>
        <w:t>申请仲裁。②</w:t>
      </w:r>
      <w:r>
        <w:rPr>
          <w:color w:val="auto"/>
          <w:szCs w:val="27"/>
          <w:highlight w:val="none"/>
        </w:rPr>
        <w:t>向</w:t>
      </w:r>
      <w:r>
        <w:rPr>
          <w:rFonts w:hint="eastAsia"/>
          <w:color w:val="auto"/>
          <w:highlight w:val="none"/>
        </w:rPr>
        <w:t>合同签订地有级别管辖权的</w:t>
      </w:r>
      <w:r>
        <w:rPr>
          <w:color w:val="auto"/>
          <w:szCs w:val="27"/>
          <w:highlight w:val="none"/>
        </w:rPr>
        <w:t>人民法院起诉。</w:t>
      </w:r>
    </w:p>
    <w:p w14:paraId="254987DE">
      <w:pPr>
        <w:pStyle w:val="47"/>
        <w:spacing w:beforeLines="0" w:afterLines="0"/>
        <w:ind w:left="0" w:firstLine="420" w:firstLineChars="200"/>
        <w:jc w:val="both"/>
        <w:rPr>
          <w:color w:val="auto"/>
          <w:highlight w:val="none"/>
          <w:lang w:val="en-US"/>
        </w:rPr>
      </w:pPr>
      <w:r>
        <w:rPr>
          <w:rFonts w:hint="eastAsia"/>
          <w:color w:val="auto"/>
          <w:szCs w:val="27"/>
          <w:highlight w:val="none"/>
          <w:lang w:val="en-US"/>
        </w:rPr>
        <w:t>3、甲、乙双方均有权利向本项目具有监管职能的政府采购监督管理部门举报反映对方在合同履约中的违法违纪行为。</w:t>
      </w:r>
    </w:p>
    <w:p w14:paraId="2A3E5988">
      <w:pPr>
        <w:spacing w:line="360" w:lineRule="auto"/>
        <w:ind w:firstLine="422" w:firstLineChars="200"/>
        <w:jc w:val="both"/>
        <w:rPr>
          <w:color w:val="auto"/>
          <w:szCs w:val="27"/>
          <w:highlight w:val="none"/>
        </w:rPr>
      </w:pPr>
      <w:r>
        <w:rPr>
          <w:rFonts w:hint="eastAsia"/>
          <w:b/>
          <w:bCs/>
          <w:color w:val="auto"/>
          <w:szCs w:val="27"/>
          <w:highlight w:val="none"/>
        </w:rPr>
        <w:t xml:space="preserve">第十七条  </w:t>
      </w:r>
      <w:r>
        <w:rPr>
          <w:rFonts w:hint="eastAsia"/>
          <w:color w:val="auto"/>
          <w:szCs w:val="27"/>
          <w:highlight w:val="none"/>
        </w:rPr>
        <w:t>下列关于周口市公共资源交易中心政府采购代理机构名称</w:t>
      </w:r>
      <w:r>
        <w:rPr>
          <w:rFonts w:hint="eastAsia"/>
          <w:color w:val="auto"/>
          <w:szCs w:val="27"/>
          <w:highlight w:val="none"/>
          <w:u w:val="single"/>
        </w:rPr>
        <w:t>某项目（项目编号：某编号）</w:t>
      </w:r>
      <w:r>
        <w:rPr>
          <w:rFonts w:hint="eastAsia"/>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7EC8C3A">
      <w:pPr>
        <w:spacing w:line="360" w:lineRule="auto"/>
        <w:ind w:firstLine="420" w:firstLineChars="200"/>
        <w:jc w:val="both"/>
        <w:rPr>
          <w:color w:val="auto"/>
          <w:szCs w:val="27"/>
          <w:highlight w:val="none"/>
        </w:rPr>
      </w:pPr>
      <w:r>
        <w:rPr>
          <w:rFonts w:hint="eastAsia"/>
          <w:color w:val="auto"/>
          <w:szCs w:val="27"/>
          <w:highlight w:val="none"/>
        </w:rPr>
        <w:t xml:space="preserve">    </w:t>
      </w:r>
      <w:r>
        <w:rPr>
          <w:rFonts w:hint="eastAsia"/>
          <w:color w:val="auto"/>
          <w:highlight w:val="none"/>
        </w:rPr>
        <w:t>本合同一式</w:t>
      </w:r>
      <w:r>
        <w:rPr>
          <w:rFonts w:hint="eastAsia"/>
          <w:color w:val="auto"/>
          <w:highlight w:val="none"/>
          <w:u w:val="single"/>
        </w:rPr>
        <w:t xml:space="preserve">   </w:t>
      </w:r>
      <w:r>
        <w:rPr>
          <w:rFonts w:hint="eastAsia"/>
          <w:color w:val="auto"/>
          <w:highlight w:val="none"/>
        </w:rPr>
        <w:t>份，甲乙双方各执</w:t>
      </w:r>
      <w:r>
        <w:rPr>
          <w:rFonts w:hint="eastAsia"/>
          <w:color w:val="auto"/>
          <w:highlight w:val="none"/>
          <w:u w:val="single"/>
        </w:rPr>
        <w:t xml:space="preserve">   </w:t>
      </w:r>
      <w:r>
        <w:rPr>
          <w:rFonts w:hint="eastAsia"/>
          <w:color w:val="auto"/>
          <w:highlight w:val="none"/>
        </w:rPr>
        <w:t>份，自双方当事人签字盖章之日起生效。</w:t>
      </w:r>
    </w:p>
    <w:p w14:paraId="4E6FE08A">
      <w:pPr>
        <w:spacing w:line="360" w:lineRule="auto"/>
        <w:ind w:firstLine="420" w:firstLineChars="200"/>
        <w:jc w:val="both"/>
        <w:rPr>
          <w:color w:val="auto"/>
          <w:szCs w:val="27"/>
          <w:highlight w:val="none"/>
        </w:rPr>
      </w:pPr>
    </w:p>
    <w:p w14:paraId="745D8AF9">
      <w:pPr>
        <w:spacing w:line="360" w:lineRule="auto"/>
        <w:ind w:firstLine="420" w:firstLineChars="200"/>
        <w:jc w:val="both"/>
        <w:rPr>
          <w:color w:val="auto"/>
          <w:szCs w:val="27"/>
          <w:highlight w:val="none"/>
        </w:rPr>
      </w:pPr>
    </w:p>
    <w:p w14:paraId="0345DCDD">
      <w:pPr>
        <w:spacing w:line="360" w:lineRule="auto"/>
        <w:ind w:firstLine="420" w:firstLineChars="200"/>
        <w:jc w:val="both"/>
        <w:rPr>
          <w:color w:val="auto"/>
          <w:szCs w:val="27"/>
          <w:highlight w:val="non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r>
        <w:rPr>
          <w:color w:val="auto"/>
          <w:szCs w:val="27"/>
          <w:highlight w:val="none"/>
        </w:rPr>
        <w:t> </w:t>
      </w:r>
      <w:r>
        <w:rPr>
          <w:rFonts w:hint="eastAsia"/>
          <w:color w:val="auto"/>
          <w:szCs w:val="27"/>
          <w:highlight w:val="none"/>
        </w:rPr>
        <w:t xml:space="preserve">  </w:t>
      </w:r>
      <w:r>
        <w:rPr>
          <w:color w:val="auto"/>
          <w:szCs w:val="27"/>
          <w:highlight w:val="none"/>
        </w:rPr>
        <w:t>供货</w:t>
      </w:r>
      <w:r>
        <w:rPr>
          <w:rFonts w:hint="eastAsia"/>
          <w:color w:val="auto"/>
          <w:szCs w:val="27"/>
          <w:highlight w:val="none"/>
        </w:rPr>
        <w:t>人</w:t>
      </w:r>
      <w:r>
        <w:rPr>
          <w:color w:val="auto"/>
          <w:szCs w:val="27"/>
          <w:highlight w:val="none"/>
        </w:rPr>
        <w:t>（乙方）：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p>
    <w:p w14:paraId="469707A4">
      <w:pPr>
        <w:spacing w:line="360" w:lineRule="auto"/>
        <w:ind w:firstLine="420" w:firstLineChars="200"/>
        <w:jc w:val="both"/>
        <w:rPr>
          <w:color w:val="auto"/>
          <w:highlight w:val="none"/>
        </w:rPr>
      </w:pPr>
      <w:r>
        <w:rPr>
          <w:rFonts w:hint="eastAsia"/>
          <w:color w:val="auto"/>
          <w:szCs w:val="27"/>
          <w:highlight w:val="none"/>
        </w:rPr>
        <w:t xml:space="preserve">地址：                               </w:t>
      </w:r>
      <w:r>
        <w:rPr>
          <w:color w:val="auto"/>
          <w:szCs w:val="27"/>
          <w:highlight w:val="none"/>
        </w:rPr>
        <w:t>地址：</w:t>
      </w:r>
    </w:p>
    <w:p w14:paraId="6BAA09C0">
      <w:pPr>
        <w:spacing w:line="360" w:lineRule="auto"/>
        <w:ind w:firstLine="420" w:firstLineChars="200"/>
        <w:jc w:val="both"/>
        <w:rPr>
          <w:color w:val="auto"/>
          <w:szCs w:val="27"/>
          <w:highlight w:val="none"/>
        </w:rPr>
      </w:pPr>
      <w:r>
        <w:rPr>
          <w:color w:val="auto"/>
          <w:szCs w:val="27"/>
          <w:highlight w:val="none"/>
        </w:rPr>
        <w:t>法定代表人：</w:t>
      </w:r>
      <w:r>
        <w:rPr>
          <w:rFonts w:hint="eastAsia"/>
          <w:color w:val="auto"/>
          <w:szCs w:val="27"/>
          <w:highlight w:val="none"/>
        </w:rPr>
        <w:t xml:space="preserve">                         </w:t>
      </w:r>
      <w:r>
        <w:rPr>
          <w:color w:val="auto"/>
          <w:szCs w:val="27"/>
          <w:highlight w:val="none"/>
        </w:rPr>
        <w:t>法定代表人：</w:t>
      </w:r>
    </w:p>
    <w:p w14:paraId="46500CAD">
      <w:pPr>
        <w:spacing w:line="360" w:lineRule="auto"/>
        <w:ind w:firstLine="420" w:firstLineChars="200"/>
        <w:jc w:val="both"/>
        <w:rPr>
          <w:color w:val="auto"/>
          <w:highlight w:val="none"/>
          <w:u w:val="single"/>
        </w:rPr>
      </w:pPr>
      <w:r>
        <w:rPr>
          <w:rFonts w:hint="eastAsia"/>
          <w:color w:val="auto"/>
          <w:szCs w:val="27"/>
          <w:highlight w:val="none"/>
        </w:rPr>
        <w:t>委托代理人：                         委托代理人：</w:t>
      </w:r>
    </w:p>
    <w:p w14:paraId="2C9A2E35">
      <w:pPr>
        <w:spacing w:line="360" w:lineRule="auto"/>
        <w:ind w:firstLine="420" w:firstLineChars="200"/>
        <w:jc w:val="both"/>
        <w:rPr>
          <w:color w:val="auto"/>
          <w:highlight w:val="none"/>
        </w:rPr>
      </w:pPr>
      <w:r>
        <w:rPr>
          <w:rFonts w:hint="eastAsia"/>
          <w:color w:val="auto"/>
          <w:highlight w:val="none"/>
        </w:rPr>
        <w:t>电话：                               电话：</w:t>
      </w:r>
    </w:p>
    <w:p w14:paraId="0ECB6E99">
      <w:pPr>
        <w:spacing w:line="360" w:lineRule="auto"/>
        <w:ind w:firstLine="420" w:firstLineChars="200"/>
        <w:jc w:val="both"/>
        <w:rPr>
          <w:color w:val="auto"/>
          <w:szCs w:val="27"/>
          <w:highlight w:val="none"/>
        </w:rPr>
      </w:pPr>
      <w:r>
        <w:rPr>
          <w:color w:val="auto"/>
          <w:szCs w:val="27"/>
          <w:highlight w:val="none"/>
        </w:rPr>
        <w:t>开户银行：</w:t>
      </w:r>
      <w:r>
        <w:rPr>
          <w:rFonts w:hint="eastAsia"/>
          <w:color w:val="auto"/>
          <w:szCs w:val="27"/>
          <w:highlight w:val="none"/>
        </w:rPr>
        <w:t xml:space="preserve">                           </w:t>
      </w:r>
      <w:r>
        <w:rPr>
          <w:color w:val="auto"/>
          <w:szCs w:val="27"/>
          <w:highlight w:val="none"/>
        </w:rPr>
        <w:t>开户银行：</w:t>
      </w:r>
    </w:p>
    <w:p w14:paraId="7346DDB1">
      <w:pPr>
        <w:spacing w:line="360" w:lineRule="auto"/>
        <w:ind w:firstLine="420" w:firstLineChars="200"/>
        <w:jc w:val="both"/>
        <w:rPr>
          <w:color w:val="auto"/>
          <w:highlight w:val="none"/>
        </w:rPr>
      </w:pPr>
      <w:r>
        <w:rPr>
          <w:rFonts w:hint="eastAsia"/>
          <w:color w:val="auto"/>
          <w:szCs w:val="27"/>
          <w:highlight w:val="none"/>
        </w:rPr>
        <w:t>账号</w:t>
      </w:r>
      <w:r>
        <w:rPr>
          <w:color w:val="auto"/>
          <w:szCs w:val="27"/>
          <w:highlight w:val="none"/>
        </w:rPr>
        <w:t>：</w:t>
      </w:r>
      <w:r>
        <w:rPr>
          <w:rFonts w:hint="eastAsia"/>
          <w:color w:val="auto"/>
          <w:szCs w:val="27"/>
          <w:highlight w:val="none"/>
        </w:rPr>
        <w:t xml:space="preserve">                               账号</w:t>
      </w:r>
      <w:r>
        <w:rPr>
          <w:color w:val="auto"/>
          <w:szCs w:val="27"/>
          <w:highlight w:val="none"/>
        </w:rPr>
        <w:t>：</w:t>
      </w:r>
    </w:p>
    <w:p w14:paraId="23C60974">
      <w:pPr>
        <w:spacing w:line="640" w:lineRule="exact"/>
        <w:ind w:firstLine="1575" w:firstLineChars="750"/>
        <w:jc w:val="both"/>
        <w:rPr>
          <w:rFonts w:hint="eastAsia"/>
          <w:color w:val="auto"/>
          <w:szCs w:val="27"/>
          <w:highlight w:val="none"/>
          <w:u w:val="single"/>
        </w:rPr>
      </w:pPr>
    </w:p>
    <w:p w14:paraId="0B4867A5">
      <w:pPr>
        <w:pStyle w:val="18"/>
        <w:rPr>
          <w:rFonts w:hint="eastAsia"/>
          <w:color w:val="auto"/>
          <w:highlight w:val="none"/>
        </w:rPr>
      </w:pPr>
      <w:r>
        <w:rPr>
          <w:color w:val="auto"/>
          <w:szCs w:val="27"/>
          <w:highlight w:val="none"/>
          <w:u w:val="single"/>
        </w:rPr>
        <w:t>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r>
        <w:rPr>
          <w:rFonts w:hint="eastAsia"/>
          <w:color w:val="auto"/>
          <w:szCs w:val="27"/>
          <w:highlight w:val="none"/>
        </w:rPr>
        <w:t xml:space="preserve">           </w:t>
      </w:r>
      <w:r>
        <w:rPr>
          <w:rFonts w:hint="eastAsia"/>
          <w:color w:val="auto"/>
          <w:szCs w:val="27"/>
          <w:highlight w:val="none"/>
          <w:lang w:val="en-US"/>
        </w:rPr>
        <w:t xml:space="preserve">             </w:t>
      </w:r>
      <w:r>
        <w:rPr>
          <w:color w:val="auto"/>
          <w:szCs w:val="27"/>
          <w:highlight w:val="none"/>
          <w:u w:val="single"/>
        </w:rPr>
        <w:t xml:space="preserve">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r>
        <w:rPr>
          <w:rFonts w:hint="eastAsia"/>
          <w:color w:val="auto"/>
          <w:szCs w:val="27"/>
          <w:highlight w:val="none"/>
        </w:rPr>
        <w:t xml:space="preserve"> </w:t>
      </w:r>
    </w:p>
    <w:p w14:paraId="6488DE28">
      <w:pPr>
        <w:pStyle w:val="18"/>
        <w:rPr>
          <w:rFonts w:hint="eastAsia"/>
          <w:color w:val="auto"/>
          <w:highlight w:val="none"/>
        </w:rPr>
      </w:pPr>
    </w:p>
    <w:p w14:paraId="7FC7A19D">
      <w:pPr>
        <w:pStyle w:val="18"/>
        <w:rPr>
          <w:rFonts w:hint="eastAsia"/>
          <w:color w:val="auto"/>
          <w:highlight w:val="none"/>
        </w:rPr>
      </w:pPr>
    </w:p>
    <w:p w14:paraId="6DACA94D">
      <w:pPr>
        <w:pStyle w:val="18"/>
        <w:rPr>
          <w:rFonts w:hint="eastAsia"/>
          <w:color w:val="auto"/>
          <w:highlight w:val="none"/>
        </w:rPr>
      </w:pPr>
    </w:p>
    <w:p w14:paraId="09A03927">
      <w:pPr>
        <w:pStyle w:val="18"/>
        <w:rPr>
          <w:rFonts w:hint="eastAsia"/>
          <w:color w:val="auto"/>
          <w:highlight w:val="none"/>
        </w:rPr>
      </w:pPr>
    </w:p>
    <w:p w14:paraId="0001D3FA">
      <w:pPr>
        <w:pStyle w:val="18"/>
        <w:rPr>
          <w:rFonts w:hint="eastAsia"/>
          <w:color w:val="auto"/>
          <w:highlight w:val="none"/>
        </w:rPr>
      </w:pPr>
    </w:p>
    <w:p w14:paraId="230BF237">
      <w:pPr>
        <w:pStyle w:val="18"/>
        <w:rPr>
          <w:rFonts w:hint="eastAsia"/>
          <w:color w:val="auto"/>
          <w:highlight w:val="none"/>
        </w:rPr>
      </w:pPr>
    </w:p>
    <w:p w14:paraId="53D536CE">
      <w:pPr>
        <w:pStyle w:val="18"/>
        <w:rPr>
          <w:rFonts w:hint="eastAsia"/>
          <w:color w:val="auto"/>
          <w:highlight w:val="none"/>
        </w:rPr>
      </w:pPr>
    </w:p>
    <w:p w14:paraId="0FCB8C4F">
      <w:pPr>
        <w:pStyle w:val="18"/>
        <w:rPr>
          <w:rFonts w:hint="eastAsia"/>
          <w:color w:val="auto"/>
          <w:highlight w:val="none"/>
        </w:rPr>
      </w:pPr>
    </w:p>
    <w:p w14:paraId="2D948B0C">
      <w:pPr>
        <w:pStyle w:val="18"/>
        <w:rPr>
          <w:rFonts w:hint="eastAsia"/>
          <w:color w:val="auto"/>
          <w:highlight w:val="none"/>
        </w:rPr>
      </w:pPr>
    </w:p>
    <w:p w14:paraId="5577BB50">
      <w:pPr>
        <w:pStyle w:val="18"/>
        <w:rPr>
          <w:rFonts w:hint="eastAsia"/>
          <w:color w:val="auto"/>
          <w:highlight w:val="none"/>
        </w:rPr>
      </w:pPr>
    </w:p>
    <w:p w14:paraId="1290A6BB">
      <w:pPr>
        <w:pStyle w:val="18"/>
        <w:rPr>
          <w:rFonts w:hint="eastAsia"/>
          <w:color w:val="auto"/>
          <w:highlight w:val="none"/>
        </w:rPr>
      </w:pPr>
    </w:p>
    <w:p w14:paraId="512FC74C">
      <w:pPr>
        <w:pStyle w:val="18"/>
        <w:rPr>
          <w:rFonts w:hint="eastAsia"/>
          <w:color w:val="auto"/>
          <w:highlight w:val="none"/>
        </w:rPr>
      </w:pPr>
    </w:p>
    <w:p w14:paraId="4EE4BF27">
      <w:pPr>
        <w:pStyle w:val="18"/>
        <w:rPr>
          <w:rFonts w:hint="eastAsia"/>
          <w:color w:val="auto"/>
          <w:highlight w:val="none"/>
        </w:rPr>
      </w:pPr>
    </w:p>
    <w:p w14:paraId="785F85E2">
      <w:pPr>
        <w:pStyle w:val="18"/>
        <w:rPr>
          <w:rFonts w:hint="eastAsia"/>
          <w:color w:val="auto"/>
          <w:highlight w:val="none"/>
        </w:rPr>
      </w:pPr>
    </w:p>
    <w:p w14:paraId="6F751401">
      <w:pPr>
        <w:pStyle w:val="18"/>
        <w:rPr>
          <w:rFonts w:hint="eastAsia"/>
          <w:color w:val="auto"/>
          <w:highlight w:val="none"/>
        </w:rPr>
      </w:pPr>
    </w:p>
    <w:p w14:paraId="44A5E9AA">
      <w:pPr>
        <w:spacing w:line="900" w:lineRule="exact"/>
        <w:jc w:val="both"/>
        <w:rPr>
          <w:rFonts w:hint="eastAsia" w:ascii="宋体" w:hAnsi="宋体" w:cs="宋体"/>
          <w:b/>
          <w:bCs/>
          <w:color w:val="auto"/>
          <w:sz w:val="32"/>
          <w:szCs w:val="32"/>
          <w:highlight w:val="none"/>
        </w:rPr>
      </w:pPr>
      <w:bookmarkStart w:id="120" w:name="_Toc17699_WPSOffice_Level1"/>
      <w:r>
        <w:rPr>
          <w:rFonts w:hint="eastAsia" w:ascii="宋体" w:hAnsi="宋体" w:cs="宋体"/>
          <w:b/>
          <w:bCs/>
          <w:color w:val="auto"/>
          <w:sz w:val="32"/>
          <w:szCs w:val="32"/>
          <w:highlight w:val="none"/>
        </w:rPr>
        <w:br w:type="page"/>
      </w:r>
    </w:p>
    <w:p w14:paraId="33F0F998">
      <w:pPr>
        <w:pStyle w:val="2"/>
        <w:bidi w:val="0"/>
        <w:spacing w:line="240" w:lineRule="auto"/>
        <w:jc w:val="center"/>
        <w:rPr>
          <w:rFonts w:hint="eastAsia"/>
          <w:color w:val="auto"/>
          <w:highlight w:val="none"/>
        </w:rPr>
      </w:pPr>
      <w:bookmarkStart w:id="121" w:name="_Toc16474"/>
      <w:r>
        <w:rPr>
          <w:rFonts w:hint="eastAsia"/>
          <w:color w:val="auto"/>
          <w:highlight w:val="none"/>
        </w:rPr>
        <w:t>第七章 投标文件格式</w:t>
      </w:r>
      <w:bookmarkEnd w:id="120"/>
      <w:bookmarkEnd w:id="121"/>
    </w:p>
    <w:p w14:paraId="02D96A38">
      <w:pPr>
        <w:rPr>
          <w:rFonts w:hint="eastAsia" w:ascii="宋体" w:hAnsi="宋体" w:cs="宋体"/>
          <w:color w:val="auto"/>
          <w:highlight w:val="none"/>
        </w:rPr>
      </w:pPr>
      <w:bookmarkStart w:id="122" w:name="_Hlt50174972"/>
      <w:bookmarkEnd w:id="122"/>
      <w:bookmarkStart w:id="123" w:name="_Hlt50174708"/>
      <w:bookmarkEnd w:id="123"/>
      <w:bookmarkStart w:id="124" w:name="_Hlt519045470"/>
      <w:bookmarkEnd w:id="124"/>
      <w:bookmarkStart w:id="125" w:name="_Hlt50174722"/>
      <w:bookmarkEnd w:id="125"/>
      <w:bookmarkStart w:id="126" w:name="_Hlt519068595"/>
      <w:bookmarkEnd w:id="126"/>
      <w:bookmarkStart w:id="127" w:name="_Hlt533408877"/>
      <w:bookmarkEnd w:id="127"/>
      <w:bookmarkStart w:id="128" w:name="_Hlt509738521"/>
      <w:bookmarkStart w:id="129" w:name="_Hlt519045391"/>
      <w:bookmarkStart w:id="130" w:name="_Hlt509738509"/>
    </w:p>
    <w:p w14:paraId="6E9EED45">
      <w:pPr>
        <w:pStyle w:val="18"/>
        <w:rPr>
          <w:rFonts w:hint="eastAsia" w:ascii="宋体" w:hAnsi="宋体" w:cs="宋体"/>
          <w:color w:val="auto"/>
          <w:highlight w:val="none"/>
        </w:rPr>
      </w:pPr>
    </w:p>
    <w:p w14:paraId="682BA102">
      <w:pPr>
        <w:pStyle w:val="18"/>
        <w:rPr>
          <w:rFonts w:hint="eastAsia" w:ascii="宋体" w:hAnsi="宋体" w:cs="宋体"/>
          <w:color w:val="auto"/>
          <w:highlight w:val="none"/>
        </w:rPr>
      </w:pPr>
    </w:p>
    <w:p w14:paraId="38B89BC9">
      <w:pPr>
        <w:pStyle w:val="18"/>
        <w:rPr>
          <w:rFonts w:hint="eastAsia" w:ascii="宋体" w:hAnsi="宋体" w:cs="宋体"/>
          <w:color w:val="auto"/>
          <w:highlight w:val="none"/>
        </w:rPr>
      </w:pPr>
    </w:p>
    <w:p w14:paraId="735CBE1A">
      <w:pPr>
        <w:pStyle w:val="18"/>
        <w:rPr>
          <w:rFonts w:hint="eastAsia" w:ascii="宋体" w:hAnsi="宋体" w:cs="宋体"/>
          <w:color w:val="auto"/>
          <w:highlight w:val="none"/>
        </w:rPr>
      </w:pPr>
    </w:p>
    <w:p w14:paraId="396FD602">
      <w:pPr>
        <w:pStyle w:val="18"/>
        <w:rPr>
          <w:rFonts w:hint="eastAsia" w:ascii="宋体" w:hAnsi="宋体" w:cs="宋体"/>
          <w:color w:val="auto"/>
          <w:highlight w:val="none"/>
        </w:rPr>
      </w:pPr>
    </w:p>
    <w:p w14:paraId="46FD1153">
      <w:pPr>
        <w:pStyle w:val="18"/>
        <w:rPr>
          <w:rFonts w:hint="eastAsia" w:ascii="宋体" w:hAnsi="宋体" w:cs="宋体"/>
          <w:color w:val="auto"/>
          <w:highlight w:val="none"/>
        </w:rPr>
      </w:pPr>
    </w:p>
    <w:p w14:paraId="3DB98E61">
      <w:pPr>
        <w:pStyle w:val="18"/>
        <w:rPr>
          <w:rFonts w:hint="eastAsia" w:ascii="宋体" w:hAnsi="宋体" w:cs="宋体"/>
          <w:color w:val="auto"/>
          <w:highlight w:val="none"/>
        </w:rPr>
      </w:pPr>
    </w:p>
    <w:p w14:paraId="153B3D35">
      <w:pPr>
        <w:pStyle w:val="18"/>
        <w:rPr>
          <w:rFonts w:hint="eastAsia" w:ascii="宋体" w:hAnsi="宋体" w:cs="宋体"/>
          <w:color w:val="auto"/>
          <w:highlight w:val="none"/>
        </w:rPr>
      </w:pPr>
    </w:p>
    <w:p w14:paraId="126B7A49">
      <w:pPr>
        <w:pStyle w:val="18"/>
        <w:rPr>
          <w:rFonts w:hint="eastAsia" w:ascii="宋体" w:hAnsi="宋体" w:cs="宋体"/>
          <w:color w:val="auto"/>
          <w:highlight w:val="none"/>
        </w:rPr>
      </w:pPr>
    </w:p>
    <w:p w14:paraId="120FC018">
      <w:pPr>
        <w:pStyle w:val="18"/>
        <w:rPr>
          <w:rFonts w:hint="eastAsia" w:ascii="宋体" w:hAnsi="宋体" w:cs="宋体"/>
          <w:color w:val="auto"/>
          <w:highlight w:val="none"/>
        </w:rPr>
      </w:pPr>
    </w:p>
    <w:p w14:paraId="195892F3">
      <w:pPr>
        <w:pStyle w:val="18"/>
        <w:rPr>
          <w:rFonts w:hint="eastAsia" w:ascii="宋体" w:hAnsi="宋体" w:cs="宋体"/>
          <w:color w:val="auto"/>
          <w:highlight w:val="none"/>
        </w:rPr>
      </w:pPr>
    </w:p>
    <w:p w14:paraId="3068683F">
      <w:pPr>
        <w:pStyle w:val="18"/>
        <w:rPr>
          <w:rFonts w:hint="eastAsia" w:ascii="宋体" w:hAnsi="宋体" w:cs="宋体"/>
          <w:color w:val="auto"/>
          <w:highlight w:val="none"/>
        </w:rPr>
      </w:pPr>
    </w:p>
    <w:p w14:paraId="47A8A5C0">
      <w:pPr>
        <w:pStyle w:val="18"/>
        <w:rPr>
          <w:rFonts w:hint="eastAsia" w:ascii="宋体" w:hAnsi="宋体" w:cs="宋体"/>
          <w:color w:val="auto"/>
          <w:highlight w:val="none"/>
        </w:rPr>
      </w:pPr>
    </w:p>
    <w:p w14:paraId="7A3BA160">
      <w:pPr>
        <w:pStyle w:val="18"/>
        <w:rPr>
          <w:rFonts w:hint="eastAsia" w:ascii="宋体" w:hAnsi="宋体" w:cs="宋体"/>
          <w:color w:val="auto"/>
          <w:highlight w:val="none"/>
        </w:rPr>
      </w:pPr>
    </w:p>
    <w:p w14:paraId="10AC7562">
      <w:pPr>
        <w:pStyle w:val="18"/>
        <w:rPr>
          <w:rFonts w:hint="eastAsia" w:ascii="宋体" w:hAnsi="宋体" w:cs="宋体"/>
          <w:color w:val="auto"/>
          <w:highlight w:val="none"/>
        </w:rPr>
      </w:pPr>
    </w:p>
    <w:p w14:paraId="65E590F0">
      <w:pPr>
        <w:pStyle w:val="18"/>
        <w:rPr>
          <w:rFonts w:hint="eastAsia" w:ascii="宋体" w:hAnsi="宋体" w:cs="宋体"/>
          <w:color w:val="auto"/>
          <w:highlight w:val="none"/>
        </w:rPr>
      </w:pPr>
    </w:p>
    <w:p w14:paraId="1CD2515A">
      <w:pPr>
        <w:pStyle w:val="18"/>
        <w:rPr>
          <w:rFonts w:hint="eastAsia" w:ascii="宋体" w:hAnsi="宋体" w:cs="宋体"/>
          <w:color w:val="auto"/>
          <w:highlight w:val="none"/>
        </w:rPr>
      </w:pPr>
    </w:p>
    <w:p w14:paraId="444FAF48">
      <w:pPr>
        <w:pStyle w:val="18"/>
        <w:rPr>
          <w:rFonts w:hint="eastAsia" w:ascii="宋体" w:hAnsi="宋体" w:cs="宋体"/>
          <w:color w:val="auto"/>
          <w:highlight w:val="none"/>
        </w:rPr>
      </w:pPr>
    </w:p>
    <w:p w14:paraId="6E3B8246">
      <w:pPr>
        <w:pStyle w:val="18"/>
        <w:rPr>
          <w:rFonts w:hint="eastAsia" w:ascii="宋体" w:hAnsi="宋体" w:cs="宋体"/>
          <w:color w:val="auto"/>
          <w:highlight w:val="none"/>
        </w:rPr>
      </w:pPr>
    </w:p>
    <w:p w14:paraId="3F1E8C15">
      <w:pPr>
        <w:pStyle w:val="18"/>
        <w:rPr>
          <w:rFonts w:hint="eastAsia" w:ascii="宋体" w:hAnsi="宋体" w:cs="宋体"/>
          <w:color w:val="auto"/>
          <w:highlight w:val="none"/>
        </w:rPr>
      </w:pPr>
    </w:p>
    <w:p w14:paraId="05330D26">
      <w:pPr>
        <w:rPr>
          <w:rFonts w:hint="eastAsia" w:ascii="宋体" w:hAnsi="宋体" w:eastAsia="宋体" w:cs="宋体"/>
          <w:color w:val="auto"/>
          <w:highlight w:val="none"/>
        </w:rPr>
      </w:pPr>
      <w:bookmarkStart w:id="131" w:name="_Toc20284_WPSOffice_Level2"/>
      <w:r>
        <w:rPr>
          <w:rFonts w:hint="eastAsia" w:ascii="宋体" w:hAnsi="宋体" w:eastAsia="宋体" w:cs="宋体"/>
          <w:color w:val="auto"/>
          <w:highlight w:val="none"/>
        </w:rPr>
        <w:br w:type="page"/>
      </w:r>
    </w:p>
    <w:p w14:paraId="6A7200D9">
      <w:pPr>
        <w:pStyle w:val="17"/>
        <w:rPr>
          <w:rFonts w:hint="eastAsia" w:ascii="宋体" w:hAnsi="宋体" w:eastAsia="宋体" w:cs="宋体"/>
          <w:color w:val="auto"/>
          <w:highlight w:val="none"/>
        </w:rPr>
      </w:pPr>
      <w:r>
        <w:rPr>
          <w:rFonts w:hint="eastAsia" w:ascii="宋体" w:hAnsi="宋体" w:eastAsia="宋体" w:cs="宋体"/>
          <w:color w:val="auto"/>
          <w:highlight w:val="none"/>
        </w:rPr>
        <w:t>投标文件资料清单</w:t>
      </w:r>
      <w:bookmarkEnd w:id="131"/>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1244C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4D321C8">
            <w:pPr>
              <w:spacing w:line="400" w:lineRule="exact"/>
              <w:jc w:val="center"/>
              <w:rPr>
                <w:rFonts w:hint="eastAsia" w:ascii="宋体" w:hAnsi="宋体" w:cs="宋体"/>
                <w:b/>
                <w:color w:val="auto"/>
                <w:sz w:val="24"/>
                <w:highlight w:val="none"/>
              </w:rPr>
            </w:pPr>
            <w:r>
              <w:rPr>
                <w:rFonts w:hint="eastAsia" w:ascii="宋体" w:hAnsi="宋体" w:cs="宋体"/>
                <w:b/>
                <w:color w:val="auto"/>
                <w:sz w:val="24"/>
                <w:highlight w:val="none"/>
              </w:rPr>
              <w:t>序号</w:t>
            </w:r>
          </w:p>
        </w:tc>
        <w:tc>
          <w:tcPr>
            <w:tcW w:w="5460" w:type="dxa"/>
            <w:noWrap w:val="0"/>
            <w:vAlign w:val="center"/>
          </w:tcPr>
          <w:p w14:paraId="27C0A936">
            <w:pPr>
              <w:spacing w:line="400" w:lineRule="exact"/>
              <w:jc w:val="center"/>
              <w:rPr>
                <w:rFonts w:hint="eastAsia" w:ascii="宋体" w:hAnsi="宋体" w:cs="宋体"/>
                <w:b/>
                <w:color w:val="auto"/>
                <w:sz w:val="24"/>
                <w:highlight w:val="none"/>
              </w:rPr>
            </w:pPr>
            <w:r>
              <w:rPr>
                <w:rFonts w:hint="eastAsia" w:ascii="宋体" w:hAnsi="宋体" w:cs="宋体"/>
                <w:b/>
                <w:color w:val="auto"/>
                <w:sz w:val="24"/>
                <w:highlight w:val="none"/>
              </w:rPr>
              <w:t>资料名称</w:t>
            </w:r>
          </w:p>
        </w:tc>
        <w:tc>
          <w:tcPr>
            <w:tcW w:w="1854" w:type="dxa"/>
            <w:noWrap w:val="0"/>
            <w:vAlign w:val="center"/>
          </w:tcPr>
          <w:p w14:paraId="06142A70">
            <w:pPr>
              <w:spacing w:line="400" w:lineRule="exact"/>
              <w:jc w:val="center"/>
              <w:rPr>
                <w:rFonts w:hint="eastAsia" w:ascii="宋体" w:hAnsi="宋体" w:cs="宋体"/>
                <w:b/>
                <w:color w:val="auto"/>
                <w:sz w:val="24"/>
                <w:highlight w:val="none"/>
              </w:rPr>
            </w:pPr>
            <w:r>
              <w:rPr>
                <w:rFonts w:hint="eastAsia" w:ascii="宋体" w:hAnsi="宋体" w:cs="宋体"/>
                <w:b/>
                <w:color w:val="auto"/>
                <w:sz w:val="24"/>
                <w:highlight w:val="none"/>
              </w:rPr>
              <w:t>页码范围</w:t>
            </w:r>
          </w:p>
        </w:tc>
      </w:tr>
      <w:tr w14:paraId="65B7E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7C640AB3">
            <w:pPr>
              <w:jc w:val="center"/>
              <w:rPr>
                <w:rFonts w:hint="eastAsia" w:ascii="宋体" w:hAnsi="宋体" w:cs="宋体"/>
                <w:color w:val="auto"/>
                <w:sz w:val="24"/>
                <w:highlight w:val="none"/>
              </w:rPr>
            </w:pPr>
            <w:r>
              <w:rPr>
                <w:rFonts w:hint="eastAsia" w:ascii="宋体" w:hAnsi="宋体" w:cs="宋体"/>
                <w:color w:val="auto"/>
                <w:sz w:val="24"/>
                <w:highlight w:val="none"/>
              </w:rPr>
              <w:t>一</w:t>
            </w:r>
          </w:p>
        </w:tc>
        <w:tc>
          <w:tcPr>
            <w:tcW w:w="5460" w:type="dxa"/>
            <w:noWrap w:val="0"/>
            <w:vAlign w:val="center"/>
          </w:tcPr>
          <w:p w14:paraId="56392449">
            <w:pPr>
              <w:rPr>
                <w:rFonts w:hint="eastAsia" w:ascii="宋体" w:hAnsi="宋体" w:cs="宋体"/>
                <w:color w:val="auto"/>
                <w:highlight w:val="none"/>
                <w:u w:val="single"/>
              </w:rPr>
            </w:pPr>
            <w:r>
              <w:rPr>
                <w:rFonts w:hint="eastAsia" w:ascii="宋体" w:hAnsi="宋体" w:cs="宋体"/>
                <w:bCs/>
                <w:color w:val="auto"/>
                <w:sz w:val="24"/>
                <w:highlight w:val="none"/>
              </w:rPr>
              <w:t>开标一览表</w:t>
            </w:r>
          </w:p>
        </w:tc>
        <w:tc>
          <w:tcPr>
            <w:tcW w:w="1854" w:type="dxa"/>
            <w:noWrap w:val="0"/>
            <w:vAlign w:val="center"/>
          </w:tcPr>
          <w:p w14:paraId="4C817086">
            <w:pPr>
              <w:spacing w:line="360" w:lineRule="auto"/>
              <w:jc w:val="center"/>
              <w:rPr>
                <w:rFonts w:hint="eastAsia" w:ascii="宋体" w:hAnsi="宋体" w:cs="宋体"/>
                <w:b/>
                <w:color w:val="auto"/>
                <w:sz w:val="24"/>
                <w:highlight w:val="none"/>
              </w:rPr>
            </w:pPr>
          </w:p>
        </w:tc>
      </w:tr>
      <w:tr w14:paraId="3325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02B53F3">
            <w:pPr>
              <w:jc w:val="center"/>
              <w:rPr>
                <w:rFonts w:hint="eastAsia" w:ascii="宋体" w:hAnsi="宋体" w:cs="宋体"/>
                <w:color w:val="auto"/>
                <w:sz w:val="24"/>
                <w:highlight w:val="none"/>
              </w:rPr>
            </w:pPr>
            <w:r>
              <w:rPr>
                <w:rFonts w:hint="eastAsia" w:ascii="宋体" w:hAnsi="宋体" w:cs="宋体"/>
                <w:color w:val="auto"/>
                <w:sz w:val="24"/>
                <w:highlight w:val="none"/>
              </w:rPr>
              <w:t>二</w:t>
            </w:r>
          </w:p>
        </w:tc>
        <w:tc>
          <w:tcPr>
            <w:tcW w:w="5460" w:type="dxa"/>
            <w:noWrap w:val="0"/>
            <w:vAlign w:val="center"/>
          </w:tcPr>
          <w:p w14:paraId="0E6E1466">
            <w:pPr>
              <w:rPr>
                <w:rFonts w:hint="eastAsia" w:ascii="宋体" w:hAnsi="宋体" w:cs="宋体"/>
                <w:bCs/>
                <w:color w:val="auto"/>
                <w:sz w:val="24"/>
                <w:highlight w:val="none"/>
              </w:rPr>
            </w:pPr>
            <w:r>
              <w:rPr>
                <w:rFonts w:hint="eastAsia" w:ascii="宋体" w:hAnsi="宋体" w:cs="宋体"/>
                <w:color w:val="auto"/>
                <w:sz w:val="24"/>
                <w:highlight w:val="none"/>
              </w:rPr>
              <w:t>投标人情况综合简介</w:t>
            </w:r>
          </w:p>
        </w:tc>
        <w:tc>
          <w:tcPr>
            <w:tcW w:w="1854" w:type="dxa"/>
            <w:noWrap w:val="0"/>
            <w:vAlign w:val="center"/>
          </w:tcPr>
          <w:p w14:paraId="5E50ECE0">
            <w:pPr>
              <w:spacing w:line="360" w:lineRule="auto"/>
              <w:jc w:val="center"/>
              <w:rPr>
                <w:rFonts w:hint="eastAsia" w:ascii="宋体" w:hAnsi="宋体" w:cs="宋体"/>
                <w:b/>
                <w:color w:val="auto"/>
                <w:sz w:val="24"/>
                <w:highlight w:val="none"/>
              </w:rPr>
            </w:pPr>
          </w:p>
        </w:tc>
      </w:tr>
      <w:tr w14:paraId="1905C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6331BE0">
            <w:pPr>
              <w:jc w:val="center"/>
              <w:rPr>
                <w:rFonts w:hint="eastAsia" w:ascii="宋体" w:hAnsi="宋体" w:cs="宋体"/>
                <w:bCs/>
                <w:color w:val="auto"/>
                <w:sz w:val="24"/>
                <w:highlight w:val="none"/>
              </w:rPr>
            </w:pPr>
            <w:r>
              <w:rPr>
                <w:rFonts w:hint="eastAsia" w:ascii="宋体" w:hAnsi="宋体" w:cs="宋体"/>
                <w:bCs/>
                <w:color w:val="auto"/>
                <w:sz w:val="24"/>
                <w:highlight w:val="none"/>
              </w:rPr>
              <w:t>三</w:t>
            </w:r>
          </w:p>
        </w:tc>
        <w:tc>
          <w:tcPr>
            <w:tcW w:w="5460" w:type="dxa"/>
            <w:noWrap w:val="0"/>
            <w:vAlign w:val="center"/>
          </w:tcPr>
          <w:p w14:paraId="11A072B4">
            <w:pPr>
              <w:rPr>
                <w:rFonts w:hint="eastAsia" w:ascii="宋体" w:hAnsi="宋体" w:cs="宋体"/>
                <w:bCs/>
                <w:color w:val="auto"/>
                <w:sz w:val="24"/>
                <w:highlight w:val="none"/>
              </w:rPr>
            </w:pPr>
            <w:r>
              <w:rPr>
                <w:rFonts w:hint="eastAsia" w:ascii="宋体" w:hAnsi="宋体" w:cs="宋体"/>
                <w:bCs/>
                <w:color w:val="auto"/>
                <w:sz w:val="24"/>
                <w:highlight w:val="none"/>
              </w:rPr>
              <w:t>投标函</w:t>
            </w:r>
          </w:p>
        </w:tc>
        <w:tc>
          <w:tcPr>
            <w:tcW w:w="1854" w:type="dxa"/>
            <w:noWrap w:val="0"/>
            <w:vAlign w:val="center"/>
          </w:tcPr>
          <w:p w14:paraId="7C8599DD">
            <w:pPr>
              <w:spacing w:line="360" w:lineRule="auto"/>
              <w:jc w:val="center"/>
              <w:rPr>
                <w:rFonts w:hint="eastAsia" w:ascii="宋体" w:hAnsi="宋体" w:cs="宋体"/>
                <w:b/>
                <w:color w:val="auto"/>
                <w:sz w:val="24"/>
                <w:highlight w:val="none"/>
              </w:rPr>
            </w:pPr>
          </w:p>
        </w:tc>
      </w:tr>
      <w:tr w14:paraId="06FB0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4279755A">
            <w:pPr>
              <w:jc w:val="center"/>
              <w:rPr>
                <w:rFonts w:hint="eastAsia" w:ascii="宋体" w:hAnsi="宋体" w:cs="宋体"/>
                <w:color w:val="auto"/>
                <w:sz w:val="24"/>
                <w:highlight w:val="none"/>
              </w:rPr>
            </w:pPr>
            <w:r>
              <w:rPr>
                <w:rFonts w:hint="eastAsia" w:ascii="宋体" w:hAnsi="宋体" w:cs="宋体"/>
                <w:color w:val="auto"/>
                <w:sz w:val="24"/>
                <w:highlight w:val="none"/>
              </w:rPr>
              <w:t>四</w:t>
            </w:r>
          </w:p>
        </w:tc>
        <w:tc>
          <w:tcPr>
            <w:tcW w:w="5460" w:type="dxa"/>
            <w:noWrap w:val="0"/>
            <w:vAlign w:val="center"/>
          </w:tcPr>
          <w:p w14:paraId="673BBCB6">
            <w:pPr>
              <w:pStyle w:val="48"/>
              <w:rPr>
                <w:rFonts w:hint="eastAsia" w:ascii="宋体" w:hAnsi="宋体" w:cs="宋体"/>
                <w:bCs/>
                <w:color w:val="auto"/>
                <w:highlight w:val="none"/>
              </w:rPr>
            </w:pPr>
            <w:r>
              <w:rPr>
                <w:rFonts w:hint="eastAsia" w:ascii="宋体" w:hAnsi="宋体" w:cs="宋体"/>
                <w:bCs/>
                <w:color w:val="auto"/>
                <w:highlight w:val="none"/>
              </w:rPr>
              <w:t>投标分项报价表</w:t>
            </w:r>
          </w:p>
        </w:tc>
        <w:tc>
          <w:tcPr>
            <w:tcW w:w="1854" w:type="dxa"/>
            <w:noWrap w:val="0"/>
            <w:vAlign w:val="center"/>
          </w:tcPr>
          <w:p w14:paraId="599339BB">
            <w:pPr>
              <w:spacing w:line="360" w:lineRule="auto"/>
              <w:jc w:val="center"/>
              <w:rPr>
                <w:rFonts w:hint="eastAsia" w:ascii="宋体" w:hAnsi="宋体" w:cs="宋体"/>
                <w:b/>
                <w:color w:val="auto"/>
                <w:sz w:val="24"/>
                <w:highlight w:val="none"/>
              </w:rPr>
            </w:pPr>
          </w:p>
        </w:tc>
      </w:tr>
      <w:tr w14:paraId="32199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0859503E">
            <w:pPr>
              <w:jc w:val="center"/>
              <w:rPr>
                <w:rFonts w:hint="eastAsia" w:ascii="宋体" w:hAnsi="宋体" w:cs="宋体"/>
                <w:color w:val="auto"/>
                <w:sz w:val="24"/>
                <w:highlight w:val="none"/>
              </w:rPr>
            </w:pPr>
            <w:r>
              <w:rPr>
                <w:rFonts w:hint="eastAsia" w:ascii="宋体" w:hAnsi="宋体" w:cs="宋体"/>
                <w:color w:val="auto"/>
                <w:sz w:val="24"/>
                <w:highlight w:val="none"/>
              </w:rPr>
              <w:t>五</w:t>
            </w:r>
          </w:p>
        </w:tc>
        <w:tc>
          <w:tcPr>
            <w:tcW w:w="5460" w:type="dxa"/>
            <w:noWrap w:val="0"/>
            <w:vAlign w:val="center"/>
          </w:tcPr>
          <w:p w14:paraId="238819CB">
            <w:pPr>
              <w:rPr>
                <w:rFonts w:hint="eastAsia" w:ascii="宋体" w:hAnsi="宋体" w:cs="宋体"/>
                <w:bCs/>
                <w:color w:val="auto"/>
                <w:sz w:val="24"/>
                <w:highlight w:val="none"/>
              </w:rPr>
            </w:pPr>
            <w:r>
              <w:rPr>
                <w:rFonts w:hint="eastAsia" w:ascii="宋体" w:hAnsi="宋体" w:cs="宋体"/>
                <w:color w:val="auto"/>
                <w:sz w:val="24"/>
                <w:highlight w:val="none"/>
              </w:rPr>
              <w:t>投标响应表</w:t>
            </w:r>
          </w:p>
        </w:tc>
        <w:tc>
          <w:tcPr>
            <w:tcW w:w="1854" w:type="dxa"/>
            <w:noWrap w:val="0"/>
            <w:vAlign w:val="center"/>
          </w:tcPr>
          <w:p w14:paraId="2D1801B2">
            <w:pPr>
              <w:spacing w:line="360" w:lineRule="auto"/>
              <w:jc w:val="center"/>
              <w:rPr>
                <w:rFonts w:hint="eastAsia" w:ascii="宋体" w:hAnsi="宋体" w:cs="宋体"/>
                <w:b/>
                <w:color w:val="auto"/>
                <w:sz w:val="24"/>
                <w:highlight w:val="none"/>
              </w:rPr>
            </w:pPr>
          </w:p>
        </w:tc>
      </w:tr>
      <w:tr w14:paraId="576F9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noWrap w:val="0"/>
            <w:vAlign w:val="center"/>
          </w:tcPr>
          <w:p w14:paraId="3A7F13FF">
            <w:pPr>
              <w:jc w:val="center"/>
              <w:rPr>
                <w:rFonts w:hint="eastAsia" w:ascii="宋体" w:hAnsi="宋体" w:cs="宋体"/>
                <w:color w:val="auto"/>
                <w:sz w:val="24"/>
                <w:highlight w:val="none"/>
              </w:rPr>
            </w:pPr>
            <w:r>
              <w:rPr>
                <w:rFonts w:hint="eastAsia" w:ascii="宋体" w:hAnsi="宋体" w:cs="宋体"/>
                <w:color w:val="auto"/>
                <w:sz w:val="24"/>
                <w:highlight w:val="none"/>
              </w:rPr>
              <w:t>六</w:t>
            </w:r>
          </w:p>
        </w:tc>
        <w:tc>
          <w:tcPr>
            <w:tcW w:w="5460" w:type="dxa"/>
            <w:noWrap w:val="0"/>
            <w:vAlign w:val="center"/>
          </w:tcPr>
          <w:p w14:paraId="2C87D72B">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产品质量承诺</w:t>
            </w:r>
          </w:p>
        </w:tc>
        <w:tc>
          <w:tcPr>
            <w:tcW w:w="1854" w:type="dxa"/>
            <w:noWrap w:val="0"/>
            <w:vAlign w:val="center"/>
          </w:tcPr>
          <w:p w14:paraId="76A23CB5">
            <w:pPr>
              <w:spacing w:line="360" w:lineRule="auto"/>
              <w:rPr>
                <w:rFonts w:hint="eastAsia" w:ascii="宋体" w:hAnsi="宋体" w:cs="宋体"/>
                <w:b/>
                <w:color w:val="auto"/>
                <w:sz w:val="24"/>
                <w:highlight w:val="none"/>
              </w:rPr>
            </w:pPr>
          </w:p>
        </w:tc>
      </w:tr>
      <w:tr w14:paraId="4E207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0ABFC017">
            <w:pPr>
              <w:jc w:val="center"/>
              <w:rPr>
                <w:rFonts w:hint="eastAsia" w:ascii="宋体" w:hAnsi="宋体" w:cs="宋体"/>
                <w:color w:val="auto"/>
                <w:sz w:val="24"/>
                <w:highlight w:val="none"/>
              </w:rPr>
            </w:pPr>
            <w:r>
              <w:rPr>
                <w:rFonts w:hint="eastAsia" w:ascii="宋体" w:hAnsi="宋体" w:cs="宋体"/>
                <w:color w:val="auto"/>
                <w:sz w:val="24"/>
                <w:highlight w:val="none"/>
              </w:rPr>
              <w:t>七</w:t>
            </w:r>
          </w:p>
        </w:tc>
        <w:tc>
          <w:tcPr>
            <w:tcW w:w="5460" w:type="dxa"/>
            <w:noWrap w:val="0"/>
            <w:vAlign w:val="center"/>
          </w:tcPr>
          <w:p w14:paraId="0F84C757">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所供货物组部件、备品、备件清单</w:t>
            </w:r>
          </w:p>
        </w:tc>
        <w:tc>
          <w:tcPr>
            <w:tcW w:w="1854" w:type="dxa"/>
            <w:noWrap w:val="0"/>
            <w:vAlign w:val="center"/>
          </w:tcPr>
          <w:p w14:paraId="02A23E52">
            <w:pPr>
              <w:spacing w:line="360" w:lineRule="auto"/>
              <w:rPr>
                <w:rFonts w:hint="eastAsia" w:ascii="宋体" w:hAnsi="宋体" w:cs="宋体"/>
                <w:b/>
                <w:color w:val="auto"/>
                <w:sz w:val="24"/>
                <w:highlight w:val="none"/>
              </w:rPr>
            </w:pPr>
          </w:p>
        </w:tc>
      </w:tr>
      <w:tr w14:paraId="7F82F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noWrap w:val="0"/>
            <w:vAlign w:val="center"/>
          </w:tcPr>
          <w:p w14:paraId="2EFC26F6">
            <w:pPr>
              <w:jc w:val="center"/>
              <w:rPr>
                <w:rFonts w:hint="eastAsia" w:ascii="宋体" w:hAnsi="宋体" w:cs="宋体"/>
                <w:color w:val="auto"/>
                <w:sz w:val="24"/>
                <w:highlight w:val="none"/>
              </w:rPr>
            </w:pPr>
            <w:r>
              <w:rPr>
                <w:rFonts w:hint="eastAsia" w:ascii="宋体" w:hAnsi="宋体" w:cs="宋体"/>
                <w:color w:val="auto"/>
                <w:sz w:val="24"/>
                <w:highlight w:val="none"/>
              </w:rPr>
              <w:t>八</w:t>
            </w:r>
          </w:p>
        </w:tc>
        <w:tc>
          <w:tcPr>
            <w:tcW w:w="5460" w:type="dxa"/>
            <w:noWrap w:val="0"/>
            <w:vAlign w:val="center"/>
          </w:tcPr>
          <w:p w14:paraId="467979B9">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有关证明文件</w:t>
            </w:r>
          </w:p>
        </w:tc>
        <w:tc>
          <w:tcPr>
            <w:tcW w:w="1854" w:type="dxa"/>
            <w:noWrap w:val="0"/>
            <w:vAlign w:val="center"/>
          </w:tcPr>
          <w:p w14:paraId="52E98545">
            <w:pPr>
              <w:spacing w:line="360" w:lineRule="auto"/>
              <w:rPr>
                <w:rFonts w:hint="eastAsia" w:ascii="宋体" w:hAnsi="宋体" w:cs="宋体"/>
                <w:b/>
                <w:color w:val="auto"/>
                <w:sz w:val="24"/>
                <w:highlight w:val="none"/>
              </w:rPr>
            </w:pPr>
          </w:p>
        </w:tc>
      </w:tr>
      <w:tr w14:paraId="14A4A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68603B5B">
            <w:pPr>
              <w:jc w:val="center"/>
              <w:rPr>
                <w:rFonts w:hint="eastAsia" w:ascii="宋体" w:hAnsi="宋体" w:cs="宋体"/>
                <w:color w:val="auto"/>
                <w:sz w:val="24"/>
                <w:highlight w:val="none"/>
              </w:rPr>
            </w:pPr>
            <w:r>
              <w:rPr>
                <w:rFonts w:hint="eastAsia" w:ascii="宋体" w:hAnsi="宋体" w:cs="宋体"/>
                <w:color w:val="auto"/>
                <w:sz w:val="24"/>
                <w:highlight w:val="none"/>
              </w:rPr>
              <w:t>九</w:t>
            </w:r>
          </w:p>
        </w:tc>
        <w:tc>
          <w:tcPr>
            <w:tcW w:w="5460" w:type="dxa"/>
            <w:noWrap w:val="0"/>
            <w:vAlign w:val="center"/>
          </w:tcPr>
          <w:p w14:paraId="34940C66">
            <w:pPr>
              <w:rPr>
                <w:rFonts w:hint="eastAsia" w:ascii="宋体" w:hAnsi="宋体" w:eastAsia="宋体" w:cs="宋体"/>
                <w:color w:val="auto"/>
                <w:kern w:val="2"/>
                <w:sz w:val="24"/>
                <w:highlight w:val="none"/>
                <w:lang w:val="en-US" w:eastAsia="zh-CN" w:bidi="ar-SA"/>
              </w:rPr>
            </w:pPr>
            <w:r>
              <w:rPr>
                <w:rFonts w:hint="eastAsia" w:ascii="宋体" w:hAnsi="宋体" w:eastAsia="宋体" w:cs="宋体"/>
                <w:color w:val="auto"/>
                <w:sz w:val="24"/>
                <w:highlight w:val="none"/>
              </w:rPr>
              <w:t>中小企业声明函</w:t>
            </w:r>
          </w:p>
        </w:tc>
        <w:tc>
          <w:tcPr>
            <w:tcW w:w="1854" w:type="dxa"/>
            <w:noWrap w:val="0"/>
            <w:vAlign w:val="center"/>
          </w:tcPr>
          <w:p w14:paraId="3B9F3E1F">
            <w:pPr>
              <w:spacing w:line="360" w:lineRule="auto"/>
              <w:rPr>
                <w:rFonts w:hint="eastAsia" w:ascii="宋体" w:hAnsi="宋体" w:cs="宋体"/>
                <w:b/>
                <w:color w:val="auto"/>
                <w:sz w:val="24"/>
                <w:highlight w:val="none"/>
              </w:rPr>
            </w:pPr>
          </w:p>
        </w:tc>
      </w:tr>
      <w:tr w14:paraId="63B37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25C206ED">
            <w:pPr>
              <w:jc w:val="center"/>
              <w:rPr>
                <w:rFonts w:hint="eastAsia" w:ascii="宋体" w:hAnsi="宋体" w:cs="宋体"/>
                <w:color w:val="auto"/>
                <w:sz w:val="24"/>
                <w:highlight w:val="none"/>
              </w:rPr>
            </w:pPr>
            <w:r>
              <w:rPr>
                <w:rFonts w:hint="eastAsia" w:ascii="宋体" w:hAnsi="宋体" w:cs="宋体"/>
                <w:color w:val="auto"/>
                <w:sz w:val="24"/>
                <w:highlight w:val="none"/>
              </w:rPr>
              <w:t>十</w:t>
            </w:r>
          </w:p>
        </w:tc>
        <w:tc>
          <w:tcPr>
            <w:tcW w:w="5460" w:type="dxa"/>
            <w:noWrap w:val="0"/>
            <w:vAlign w:val="center"/>
          </w:tcPr>
          <w:p w14:paraId="3C056D63">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售后服务</w:t>
            </w:r>
          </w:p>
        </w:tc>
        <w:tc>
          <w:tcPr>
            <w:tcW w:w="1854" w:type="dxa"/>
            <w:noWrap w:val="0"/>
            <w:vAlign w:val="center"/>
          </w:tcPr>
          <w:p w14:paraId="0C0667D8">
            <w:pPr>
              <w:spacing w:line="360" w:lineRule="auto"/>
              <w:rPr>
                <w:rFonts w:hint="eastAsia" w:ascii="宋体" w:hAnsi="宋体" w:cs="宋体"/>
                <w:b/>
                <w:color w:val="auto"/>
                <w:sz w:val="24"/>
                <w:highlight w:val="none"/>
              </w:rPr>
            </w:pPr>
          </w:p>
        </w:tc>
      </w:tr>
      <w:tr w14:paraId="2EF0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276E901F">
            <w:pPr>
              <w:jc w:val="center"/>
              <w:rPr>
                <w:rFonts w:hint="eastAsia" w:ascii="宋体" w:hAnsi="宋体" w:cs="宋体"/>
                <w:color w:val="auto"/>
                <w:sz w:val="24"/>
                <w:highlight w:val="none"/>
              </w:rPr>
            </w:pPr>
            <w:r>
              <w:rPr>
                <w:rFonts w:hint="eastAsia" w:ascii="宋体" w:hAnsi="宋体" w:cs="宋体"/>
                <w:color w:val="auto"/>
                <w:sz w:val="24"/>
                <w:highlight w:val="none"/>
              </w:rPr>
              <w:t>十一</w:t>
            </w:r>
          </w:p>
        </w:tc>
        <w:tc>
          <w:tcPr>
            <w:tcW w:w="5460" w:type="dxa"/>
            <w:noWrap w:val="0"/>
            <w:vAlign w:val="center"/>
          </w:tcPr>
          <w:p w14:paraId="3199CC2B">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所投货物的技术资料等</w:t>
            </w:r>
          </w:p>
        </w:tc>
        <w:tc>
          <w:tcPr>
            <w:tcW w:w="1854" w:type="dxa"/>
            <w:noWrap w:val="0"/>
            <w:vAlign w:val="center"/>
          </w:tcPr>
          <w:p w14:paraId="6B0CC44C">
            <w:pPr>
              <w:spacing w:line="360" w:lineRule="auto"/>
              <w:rPr>
                <w:rFonts w:hint="eastAsia" w:ascii="宋体" w:hAnsi="宋体" w:cs="宋体"/>
                <w:b/>
                <w:color w:val="auto"/>
                <w:sz w:val="24"/>
                <w:highlight w:val="none"/>
              </w:rPr>
            </w:pPr>
          </w:p>
        </w:tc>
      </w:tr>
      <w:tr w14:paraId="4C303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29FF3C38">
            <w:pPr>
              <w:jc w:val="center"/>
              <w:rPr>
                <w:rFonts w:hint="eastAsia" w:ascii="宋体" w:hAnsi="宋体" w:cs="宋体"/>
                <w:color w:val="auto"/>
                <w:sz w:val="24"/>
                <w:highlight w:val="none"/>
              </w:rPr>
            </w:pPr>
            <w:r>
              <w:rPr>
                <w:rFonts w:hint="eastAsia" w:ascii="宋体" w:hAnsi="宋体" w:cs="宋体"/>
                <w:color w:val="auto"/>
                <w:sz w:val="24"/>
                <w:highlight w:val="none"/>
              </w:rPr>
              <w:t>十二</w:t>
            </w:r>
          </w:p>
        </w:tc>
        <w:tc>
          <w:tcPr>
            <w:tcW w:w="5460" w:type="dxa"/>
            <w:noWrap w:val="0"/>
            <w:vAlign w:val="center"/>
          </w:tcPr>
          <w:p w14:paraId="25CAD9E4">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其他投标人认为需要提供得材料等</w:t>
            </w:r>
          </w:p>
        </w:tc>
        <w:tc>
          <w:tcPr>
            <w:tcW w:w="1854" w:type="dxa"/>
            <w:noWrap w:val="0"/>
            <w:vAlign w:val="center"/>
          </w:tcPr>
          <w:p w14:paraId="092FBD2A">
            <w:pPr>
              <w:spacing w:line="360" w:lineRule="auto"/>
              <w:rPr>
                <w:rFonts w:hint="eastAsia" w:ascii="宋体" w:hAnsi="宋体" w:cs="宋体"/>
                <w:b/>
                <w:color w:val="auto"/>
                <w:sz w:val="24"/>
                <w:highlight w:val="none"/>
              </w:rPr>
            </w:pPr>
          </w:p>
        </w:tc>
      </w:tr>
      <w:tr w14:paraId="7B10B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7B83D204">
            <w:pPr>
              <w:rPr>
                <w:rFonts w:hint="eastAsia" w:ascii="宋体" w:hAnsi="宋体" w:cs="宋体"/>
                <w:color w:val="auto"/>
                <w:sz w:val="24"/>
                <w:highlight w:val="none"/>
              </w:rPr>
            </w:pPr>
            <w:r>
              <w:rPr>
                <w:rFonts w:hint="eastAsia" w:ascii="宋体" w:hAnsi="宋体" w:cs="宋体"/>
                <w:color w:val="auto"/>
                <w:sz w:val="24"/>
                <w:highlight w:val="none"/>
              </w:rPr>
              <w:t>十三</w:t>
            </w:r>
          </w:p>
        </w:tc>
        <w:tc>
          <w:tcPr>
            <w:tcW w:w="5460" w:type="dxa"/>
            <w:noWrap w:val="0"/>
            <w:vAlign w:val="center"/>
          </w:tcPr>
          <w:p w14:paraId="2EC0CED8">
            <w:pPr>
              <w:rPr>
                <w:rFonts w:hint="eastAsia" w:ascii="宋体" w:hAnsi="宋体" w:cs="宋体"/>
                <w:color w:val="auto"/>
                <w:sz w:val="24"/>
                <w:highlight w:val="none"/>
              </w:rPr>
            </w:pPr>
            <w:r>
              <w:rPr>
                <w:rFonts w:hint="eastAsia" w:ascii="宋体" w:hAnsi="宋体" w:cs="宋体"/>
                <w:color w:val="auto"/>
                <w:sz w:val="24"/>
                <w:highlight w:val="none"/>
              </w:rPr>
              <w:t>政府采购供应商诚信承诺书</w:t>
            </w:r>
          </w:p>
          <w:p w14:paraId="50570259">
            <w:pPr>
              <w:rPr>
                <w:rFonts w:hint="eastAsia" w:ascii="宋体" w:hAnsi="宋体" w:cs="宋体"/>
                <w:color w:val="auto"/>
                <w:sz w:val="24"/>
                <w:highlight w:val="none"/>
              </w:rPr>
            </w:pPr>
          </w:p>
        </w:tc>
        <w:tc>
          <w:tcPr>
            <w:tcW w:w="1854" w:type="dxa"/>
            <w:noWrap w:val="0"/>
            <w:vAlign w:val="center"/>
          </w:tcPr>
          <w:p w14:paraId="5CB76C8A">
            <w:pPr>
              <w:spacing w:line="360" w:lineRule="auto"/>
              <w:rPr>
                <w:rFonts w:hint="eastAsia" w:ascii="宋体" w:hAnsi="宋体" w:cs="宋体"/>
                <w:b/>
                <w:color w:val="auto"/>
                <w:sz w:val="24"/>
                <w:highlight w:val="none"/>
              </w:rPr>
            </w:pPr>
          </w:p>
        </w:tc>
      </w:tr>
      <w:tr w14:paraId="34D4D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noWrap w:val="0"/>
            <w:vAlign w:val="center"/>
          </w:tcPr>
          <w:p w14:paraId="10E7A699">
            <w:pPr>
              <w:jc w:val="center"/>
              <w:rPr>
                <w:rFonts w:hint="eastAsia" w:ascii="宋体" w:hAnsi="宋体" w:cs="宋体"/>
                <w:color w:val="auto"/>
                <w:sz w:val="24"/>
                <w:highlight w:val="none"/>
              </w:rPr>
            </w:pPr>
          </w:p>
        </w:tc>
        <w:tc>
          <w:tcPr>
            <w:tcW w:w="5460" w:type="dxa"/>
            <w:noWrap w:val="0"/>
            <w:vAlign w:val="center"/>
          </w:tcPr>
          <w:p w14:paraId="4FFAC8CA">
            <w:pPr>
              <w:rPr>
                <w:rFonts w:hint="eastAsia" w:ascii="宋体" w:hAnsi="宋体" w:cs="宋体"/>
                <w:color w:val="auto"/>
                <w:sz w:val="24"/>
                <w:highlight w:val="none"/>
              </w:rPr>
            </w:pPr>
          </w:p>
        </w:tc>
        <w:tc>
          <w:tcPr>
            <w:tcW w:w="1854" w:type="dxa"/>
            <w:noWrap w:val="0"/>
            <w:vAlign w:val="center"/>
          </w:tcPr>
          <w:p w14:paraId="1186972A">
            <w:pPr>
              <w:spacing w:line="360" w:lineRule="auto"/>
              <w:rPr>
                <w:rFonts w:hint="eastAsia" w:ascii="宋体" w:hAnsi="宋体" w:cs="宋体"/>
                <w:b/>
                <w:color w:val="auto"/>
                <w:sz w:val="24"/>
                <w:highlight w:val="none"/>
              </w:rPr>
            </w:pPr>
          </w:p>
        </w:tc>
      </w:tr>
      <w:tr w14:paraId="439FD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74E29309">
            <w:pPr>
              <w:spacing w:line="500" w:lineRule="exact"/>
              <w:rPr>
                <w:rFonts w:hint="eastAsia" w:ascii="宋体" w:hAnsi="宋体" w:cs="宋体"/>
                <w:b/>
                <w:color w:val="auto"/>
                <w:sz w:val="28"/>
                <w:highlight w:val="none"/>
              </w:rPr>
            </w:pPr>
            <w:r>
              <w:rPr>
                <w:rFonts w:hint="eastAsia" w:ascii="宋体" w:hAnsi="宋体" w:cs="宋体"/>
                <w:b/>
                <w:color w:val="auto"/>
                <w:sz w:val="28"/>
                <w:highlight w:val="none"/>
              </w:rPr>
              <w:t>备注：投标文件资料清单是投标人制作投标文件的参考格式，并非必须格式，请各位投标人根据所投项目需要自行增减，是否依据了本格式或自行增减了多少格式并不是废标的条款。</w:t>
            </w:r>
          </w:p>
        </w:tc>
      </w:tr>
    </w:tbl>
    <w:p w14:paraId="7A903BD5">
      <w:pPr>
        <w:spacing w:line="500" w:lineRule="exact"/>
        <w:rPr>
          <w:rFonts w:hint="eastAsia" w:ascii="宋体" w:hAnsi="宋体" w:cs="宋体"/>
          <w:color w:val="auto"/>
          <w:sz w:val="28"/>
          <w:highlight w:val="none"/>
        </w:rPr>
      </w:pPr>
    </w:p>
    <w:p w14:paraId="191085F5">
      <w:pPr>
        <w:pStyle w:val="18"/>
        <w:rPr>
          <w:rFonts w:hint="eastAsia"/>
          <w:color w:val="auto"/>
          <w:highlight w:val="none"/>
        </w:rPr>
      </w:pPr>
    </w:p>
    <w:p w14:paraId="01012654">
      <w:pPr>
        <w:pStyle w:val="18"/>
        <w:rPr>
          <w:rFonts w:hint="eastAsia"/>
          <w:color w:val="auto"/>
          <w:highlight w:val="none"/>
        </w:rPr>
      </w:pPr>
    </w:p>
    <w:p w14:paraId="028A58D4">
      <w:pPr>
        <w:pStyle w:val="18"/>
        <w:rPr>
          <w:rFonts w:hint="eastAsia"/>
          <w:color w:val="auto"/>
          <w:highlight w:val="none"/>
        </w:rPr>
      </w:pPr>
    </w:p>
    <w:p w14:paraId="177C527C">
      <w:pPr>
        <w:pStyle w:val="18"/>
        <w:rPr>
          <w:rFonts w:hint="eastAsia"/>
          <w:color w:val="auto"/>
          <w:highlight w:val="none"/>
        </w:rPr>
      </w:pPr>
    </w:p>
    <w:p w14:paraId="60FE3B00">
      <w:pPr>
        <w:pStyle w:val="18"/>
        <w:rPr>
          <w:rFonts w:hint="eastAsia"/>
          <w:color w:val="auto"/>
          <w:highlight w:val="none"/>
        </w:rPr>
      </w:pPr>
    </w:p>
    <w:p w14:paraId="7F6D1EB3">
      <w:pPr>
        <w:pStyle w:val="18"/>
        <w:rPr>
          <w:rFonts w:hint="eastAsia"/>
          <w:color w:val="auto"/>
          <w:highlight w:val="none"/>
        </w:rPr>
      </w:pPr>
    </w:p>
    <w:p w14:paraId="2F756852">
      <w:pPr>
        <w:pStyle w:val="18"/>
        <w:rPr>
          <w:rFonts w:hint="eastAsia"/>
          <w:color w:val="auto"/>
          <w:highlight w:val="none"/>
        </w:rPr>
      </w:pPr>
    </w:p>
    <w:p w14:paraId="4AE66E84">
      <w:pPr>
        <w:pStyle w:val="4"/>
        <w:rPr>
          <w:rFonts w:hint="eastAsia" w:hAnsi="宋体" w:cs="宋体"/>
          <w:color w:val="auto"/>
          <w:sz w:val="28"/>
          <w:highlight w:val="none"/>
        </w:rPr>
      </w:pPr>
      <w:bookmarkStart w:id="132" w:name="_Toc2396_WPSOffice_Level2"/>
      <w:bookmarkStart w:id="133" w:name="_Toc11579"/>
      <w:bookmarkStart w:id="134" w:name="_Toc40975449"/>
      <w:bookmarkStart w:id="135" w:name="_Toc197934561"/>
      <w:r>
        <w:rPr>
          <w:rFonts w:hint="eastAsia" w:hAnsi="宋体" w:cs="宋体"/>
          <w:color w:val="auto"/>
          <w:sz w:val="28"/>
          <w:highlight w:val="none"/>
        </w:rPr>
        <w:t>一．开标一览表</w:t>
      </w:r>
      <w:bookmarkEnd w:id="132"/>
      <w:bookmarkEnd w:id="133"/>
      <w:bookmarkEnd w:id="134"/>
      <w:bookmarkEnd w:id="135"/>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11328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6852C964">
            <w:pPr>
              <w:widowControl/>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项 目 名 称</w:t>
            </w:r>
          </w:p>
        </w:tc>
        <w:tc>
          <w:tcPr>
            <w:tcW w:w="6309" w:type="dxa"/>
            <w:tcBorders>
              <w:top w:val="single" w:color="auto" w:sz="4" w:space="0"/>
              <w:bottom w:val="single" w:color="auto" w:sz="4" w:space="0"/>
              <w:right w:val="single" w:color="auto" w:sz="4" w:space="0"/>
            </w:tcBorders>
            <w:noWrap w:val="0"/>
            <w:vAlign w:val="center"/>
          </w:tcPr>
          <w:p w14:paraId="1DD461AC">
            <w:pPr>
              <w:spacing w:line="360" w:lineRule="exact"/>
              <w:jc w:val="center"/>
              <w:rPr>
                <w:rFonts w:hint="eastAsia" w:ascii="宋体" w:hAnsi="宋体" w:cs="宋体"/>
                <w:bCs/>
                <w:color w:val="auto"/>
                <w:sz w:val="24"/>
                <w:highlight w:val="none"/>
                <w:u w:val="single"/>
              </w:rPr>
            </w:pPr>
          </w:p>
        </w:tc>
      </w:tr>
      <w:tr w14:paraId="4AE15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58B3B5A7">
            <w:pPr>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投标人全称</w:t>
            </w:r>
          </w:p>
        </w:tc>
        <w:tc>
          <w:tcPr>
            <w:tcW w:w="6309" w:type="dxa"/>
            <w:tcBorders>
              <w:top w:val="nil"/>
            </w:tcBorders>
            <w:noWrap w:val="0"/>
            <w:vAlign w:val="center"/>
          </w:tcPr>
          <w:p w14:paraId="454B4105">
            <w:pPr>
              <w:spacing w:line="360" w:lineRule="auto"/>
              <w:rPr>
                <w:rFonts w:hint="eastAsia" w:ascii="宋体" w:hAnsi="宋体" w:cs="宋体"/>
                <w:color w:val="auto"/>
                <w:sz w:val="24"/>
                <w:highlight w:val="none"/>
              </w:rPr>
            </w:pPr>
          </w:p>
        </w:tc>
      </w:tr>
      <w:tr w14:paraId="3AD19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652C1EA0">
            <w:pPr>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投标范围</w:t>
            </w:r>
          </w:p>
        </w:tc>
        <w:tc>
          <w:tcPr>
            <w:tcW w:w="6309" w:type="dxa"/>
            <w:tcBorders>
              <w:top w:val="nil"/>
            </w:tcBorders>
            <w:noWrap w:val="0"/>
            <w:vAlign w:val="center"/>
          </w:tcPr>
          <w:p w14:paraId="29690A56">
            <w:pPr>
              <w:widowControl/>
              <w:spacing w:line="360" w:lineRule="exact"/>
              <w:rPr>
                <w:rFonts w:hint="default" w:ascii="宋体" w:hAnsi="宋体" w:eastAsia="宋体" w:cs="宋体"/>
                <w:b/>
                <w:color w:val="auto"/>
                <w:sz w:val="24"/>
                <w:highlight w:val="none"/>
                <w:lang w:val="en-US" w:eastAsia="zh-CN"/>
              </w:rPr>
            </w:pPr>
          </w:p>
        </w:tc>
      </w:tr>
      <w:tr w14:paraId="7B8D1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69803F02">
            <w:pPr>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1、最终投标报价</w:t>
            </w:r>
          </w:p>
          <w:p w14:paraId="47F0E469">
            <w:pPr>
              <w:spacing w:line="360" w:lineRule="exact"/>
              <w:jc w:val="center"/>
              <w:rPr>
                <w:rFonts w:ascii="宋体" w:hAnsi="宋体" w:cs="宋体"/>
                <w:b/>
                <w:color w:val="auto"/>
                <w:sz w:val="24"/>
                <w:highlight w:val="none"/>
              </w:rPr>
            </w:pPr>
            <w:r>
              <w:rPr>
                <w:rFonts w:hint="eastAsia" w:ascii="宋体" w:hAnsi="宋体" w:cs="宋体"/>
                <w:b/>
                <w:color w:val="auto"/>
                <w:sz w:val="24"/>
                <w:highlight w:val="none"/>
              </w:rPr>
              <w:t>（人民币）</w:t>
            </w:r>
          </w:p>
          <w:p w14:paraId="64E3F432">
            <w:pPr>
              <w:spacing w:line="360" w:lineRule="exact"/>
              <w:rPr>
                <w:rFonts w:hint="eastAsia"/>
                <w:color w:val="auto"/>
                <w:highlight w:val="none"/>
              </w:rPr>
            </w:pPr>
          </w:p>
        </w:tc>
        <w:tc>
          <w:tcPr>
            <w:tcW w:w="6309" w:type="dxa"/>
            <w:tcBorders>
              <w:top w:val="nil"/>
            </w:tcBorders>
            <w:noWrap w:val="0"/>
            <w:vAlign w:val="center"/>
          </w:tcPr>
          <w:p w14:paraId="6DB2AE5A">
            <w:pPr>
              <w:spacing w:line="360" w:lineRule="exact"/>
              <w:jc w:val="center"/>
              <w:rPr>
                <w:rFonts w:ascii="宋体" w:hAnsi="宋体" w:cs="宋体"/>
                <w:b/>
                <w:color w:val="auto"/>
                <w:sz w:val="24"/>
                <w:highlight w:val="none"/>
              </w:rPr>
            </w:pPr>
            <w:r>
              <w:rPr>
                <w:rFonts w:hint="eastAsia" w:ascii="宋体" w:hAnsi="宋体" w:cs="宋体"/>
                <w:b/>
                <w:color w:val="auto"/>
                <w:sz w:val="24"/>
                <w:highlight w:val="none"/>
              </w:rPr>
              <w:t xml:space="preserve">1、投标报价：        元、大写：         </w:t>
            </w:r>
          </w:p>
          <w:p w14:paraId="18031830">
            <w:pPr>
              <w:pStyle w:val="21"/>
              <w:ind w:right="-21" w:firstLine="540"/>
              <w:rPr>
                <w:rFonts w:hint="eastAsia"/>
                <w:color w:val="auto"/>
                <w:highlight w:val="none"/>
                <w:lang w:val="en-US" w:eastAsia="zh-CN"/>
              </w:rPr>
            </w:pPr>
          </w:p>
        </w:tc>
      </w:tr>
      <w:tr w14:paraId="08507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6A4FF5E4">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备注</w:t>
            </w:r>
          </w:p>
        </w:tc>
        <w:tc>
          <w:tcPr>
            <w:tcW w:w="6309" w:type="dxa"/>
            <w:tcBorders>
              <w:top w:val="nil"/>
            </w:tcBorders>
            <w:noWrap w:val="0"/>
            <w:vAlign w:val="center"/>
          </w:tcPr>
          <w:p w14:paraId="7067A9F1">
            <w:pPr>
              <w:spacing w:line="360" w:lineRule="auto"/>
              <w:jc w:val="left"/>
              <w:rPr>
                <w:rFonts w:hint="eastAsia" w:ascii="宋体" w:hAnsi="宋体" w:cs="宋体"/>
                <w:color w:val="auto"/>
                <w:sz w:val="24"/>
                <w:szCs w:val="28"/>
                <w:highlight w:val="none"/>
              </w:rPr>
            </w:pPr>
          </w:p>
        </w:tc>
      </w:tr>
    </w:tbl>
    <w:p w14:paraId="416A6FBE">
      <w:pPr>
        <w:spacing w:line="380" w:lineRule="exact"/>
        <w:ind w:firstLine="3600" w:firstLineChars="1500"/>
        <w:rPr>
          <w:rFonts w:hint="eastAsia" w:ascii="宋体" w:hAnsi="宋体" w:cs="宋体"/>
          <w:color w:val="auto"/>
          <w:sz w:val="24"/>
          <w:highlight w:val="none"/>
        </w:rPr>
      </w:pPr>
    </w:p>
    <w:p w14:paraId="00B55E4A">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r>
        <w:rPr>
          <w:rFonts w:hint="eastAsia" w:ascii="宋体" w:hAnsi="宋体" w:cs="宋体"/>
          <w:color w:val="auto"/>
          <w:sz w:val="24"/>
          <w:highlight w:val="none"/>
        </w:rPr>
        <w:t>）</w:t>
      </w:r>
    </w:p>
    <w:p w14:paraId="1A55E1D4">
      <w:pPr>
        <w:spacing w:line="380" w:lineRule="exact"/>
        <w:ind w:right="640" w:firstLine="1560" w:firstLineChars="650"/>
        <w:rPr>
          <w:rFonts w:hint="eastAsia" w:ascii="宋体" w:hAnsi="宋体" w:cs="宋体"/>
          <w:color w:val="auto"/>
          <w:sz w:val="24"/>
          <w:highlight w:val="none"/>
        </w:rPr>
      </w:pPr>
    </w:p>
    <w:p w14:paraId="2E779FF9">
      <w:pPr>
        <w:spacing w:line="380" w:lineRule="exact"/>
        <w:ind w:right="640" w:firstLine="3600" w:firstLineChars="15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被授权人和法人：</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签字）</w:t>
      </w:r>
    </w:p>
    <w:p w14:paraId="689C7D59">
      <w:pPr>
        <w:spacing w:line="380" w:lineRule="exact"/>
        <w:jc w:val="center"/>
        <w:rPr>
          <w:rFonts w:hint="eastAsia" w:ascii="宋体" w:hAnsi="宋体" w:cs="宋体"/>
          <w:color w:val="auto"/>
          <w:sz w:val="24"/>
          <w:highlight w:val="none"/>
        </w:rPr>
      </w:pPr>
    </w:p>
    <w:p w14:paraId="4C2F6FE9">
      <w:pPr>
        <w:jc w:val="center"/>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7981EE66">
      <w:pPr>
        <w:spacing w:before="100" w:beforeAutospacing="1" w:after="100" w:afterAutospacing="1" w:line="360" w:lineRule="auto"/>
        <w:rPr>
          <w:rFonts w:hint="eastAsia" w:ascii="宋体" w:hAnsi="宋体" w:cs="宋体"/>
          <w:b/>
          <w:color w:val="auto"/>
          <w:sz w:val="24"/>
          <w:highlight w:val="none"/>
        </w:rPr>
      </w:pPr>
      <w:r>
        <w:rPr>
          <w:rFonts w:hint="eastAsia" w:ascii="宋体" w:hAnsi="宋体" w:cs="宋体"/>
          <w:b/>
          <w:color w:val="auto"/>
          <w:sz w:val="24"/>
          <w:highlight w:val="none"/>
        </w:rPr>
        <w:t xml:space="preserve">                                           </w:t>
      </w:r>
    </w:p>
    <w:p w14:paraId="062BFA93">
      <w:pPr>
        <w:spacing w:line="500" w:lineRule="exact"/>
        <w:jc w:val="center"/>
        <w:rPr>
          <w:rFonts w:hint="eastAsia" w:ascii="宋体" w:hAnsi="宋体" w:cs="宋体"/>
          <w:b/>
          <w:bCs/>
          <w:color w:val="auto"/>
          <w:sz w:val="30"/>
          <w:highlight w:val="none"/>
        </w:rPr>
      </w:pPr>
    </w:p>
    <w:p w14:paraId="23B0CE38">
      <w:pPr>
        <w:spacing w:line="500" w:lineRule="exact"/>
        <w:jc w:val="center"/>
        <w:rPr>
          <w:rFonts w:hint="eastAsia" w:ascii="宋体" w:hAnsi="宋体" w:cs="宋体"/>
          <w:b/>
          <w:bCs/>
          <w:color w:val="auto"/>
          <w:sz w:val="30"/>
          <w:highlight w:val="none"/>
        </w:rPr>
      </w:pPr>
    </w:p>
    <w:p w14:paraId="10DF676D">
      <w:pPr>
        <w:spacing w:line="500" w:lineRule="exact"/>
        <w:jc w:val="center"/>
        <w:rPr>
          <w:rFonts w:hint="eastAsia" w:ascii="宋体" w:hAnsi="宋体" w:cs="宋体"/>
          <w:b/>
          <w:bCs/>
          <w:color w:val="auto"/>
          <w:sz w:val="30"/>
          <w:highlight w:val="none"/>
        </w:rPr>
      </w:pPr>
    </w:p>
    <w:p w14:paraId="67D17871">
      <w:pPr>
        <w:pStyle w:val="16"/>
        <w:rPr>
          <w:rFonts w:hint="eastAsia" w:ascii="宋体" w:hAnsi="宋体" w:cs="宋体"/>
          <w:b/>
          <w:bCs/>
          <w:color w:val="auto"/>
          <w:sz w:val="30"/>
          <w:highlight w:val="none"/>
        </w:rPr>
      </w:pPr>
    </w:p>
    <w:p w14:paraId="52A7F4E5">
      <w:pPr>
        <w:pStyle w:val="4"/>
        <w:rPr>
          <w:rFonts w:hint="eastAsia" w:hAnsi="宋体" w:cs="宋体"/>
          <w:color w:val="auto"/>
          <w:sz w:val="28"/>
          <w:highlight w:val="none"/>
        </w:rPr>
      </w:pPr>
      <w:bookmarkStart w:id="136" w:name="_Hlt533408916"/>
      <w:bookmarkEnd w:id="136"/>
      <w:bookmarkStart w:id="137" w:name="_Hlt533408409"/>
      <w:bookmarkEnd w:id="137"/>
      <w:bookmarkStart w:id="138" w:name="_Hlt519045798"/>
      <w:bookmarkEnd w:id="138"/>
      <w:bookmarkStart w:id="139" w:name="_Hlt533409360"/>
      <w:bookmarkEnd w:id="139"/>
      <w:bookmarkStart w:id="140" w:name="_Hlt509716873"/>
      <w:bookmarkEnd w:id="140"/>
      <w:bookmarkStart w:id="141" w:name="_Toc11175_WPSOffice_Level2"/>
      <w:bookmarkStart w:id="142" w:name="_Toc516969097"/>
      <w:bookmarkStart w:id="143" w:name="_Toc40975450"/>
      <w:bookmarkStart w:id="144" w:name="_Toc21649"/>
      <w:bookmarkStart w:id="145" w:name="_Toc197934563"/>
      <w:r>
        <w:rPr>
          <w:rFonts w:hint="eastAsia" w:hAnsi="宋体" w:cs="宋体"/>
          <w:color w:val="auto"/>
          <w:sz w:val="28"/>
          <w:highlight w:val="none"/>
        </w:rPr>
        <w:t>二．投标人综合情况简介</w:t>
      </w:r>
      <w:bookmarkEnd w:id="141"/>
      <w:bookmarkEnd w:id="142"/>
      <w:bookmarkEnd w:id="143"/>
      <w:bookmarkEnd w:id="144"/>
    </w:p>
    <w:p w14:paraId="609DCA8E">
      <w:pPr>
        <w:spacing w:line="500" w:lineRule="exact"/>
        <w:jc w:val="center"/>
        <w:rPr>
          <w:rFonts w:hint="eastAsia" w:ascii="宋体" w:hAnsi="宋体" w:cs="宋体"/>
          <w:color w:val="auto"/>
          <w:sz w:val="24"/>
          <w:highlight w:val="none"/>
        </w:rPr>
      </w:pPr>
      <w:r>
        <w:rPr>
          <w:rFonts w:hint="eastAsia" w:ascii="宋体" w:hAnsi="宋体" w:cs="宋体"/>
          <w:color w:val="auto"/>
          <w:sz w:val="24"/>
          <w:highlight w:val="none"/>
        </w:rPr>
        <w:t>(投标人可自行制作格式)</w:t>
      </w:r>
    </w:p>
    <w:p w14:paraId="4A77E47B">
      <w:pPr>
        <w:pStyle w:val="49"/>
        <w:rPr>
          <w:rFonts w:hint="eastAsia" w:ascii="宋体" w:hAnsi="宋体" w:eastAsia="宋体" w:cs="仿宋_GB2312"/>
          <w:b/>
          <w:bCs/>
          <w:color w:val="auto"/>
          <w:sz w:val="24"/>
          <w:szCs w:val="24"/>
          <w:highlight w:val="none"/>
          <w:lang w:eastAsia="zh-CN"/>
        </w:rPr>
      </w:pPr>
      <w:bookmarkStart w:id="146" w:name="_Toc7826"/>
      <w:r>
        <w:rPr>
          <w:rFonts w:hint="eastAsia" w:ascii="宋体" w:hAnsi="宋体" w:eastAsia="宋体" w:cs="仿宋_GB2312"/>
          <w:b/>
          <w:bCs/>
          <w:color w:val="auto"/>
          <w:sz w:val="24"/>
          <w:szCs w:val="24"/>
          <w:highlight w:val="none"/>
        </w:rPr>
        <w:t>营业执照；纳税凭证，社保缴纳凭证（依法免税或不需要缴纳社会保障资金的供应商应提供相应的证明文件）</w:t>
      </w:r>
      <w:r>
        <w:rPr>
          <w:rFonts w:hint="eastAsia" w:ascii="宋体" w:hAnsi="宋体" w:eastAsia="宋体" w:cs="仿宋_GB2312"/>
          <w:b/>
          <w:bCs/>
          <w:color w:val="auto"/>
          <w:sz w:val="24"/>
          <w:szCs w:val="24"/>
          <w:highlight w:val="none"/>
          <w:lang w:eastAsia="zh-CN"/>
        </w:rPr>
        <w:t>；</w:t>
      </w:r>
      <w:r>
        <w:rPr>
          <w:rFonts w:hint="eastAsia" w:ascii="宋体" w:hAnsi="宋体" w:eastAsia="宋体" w:cs="仿宋_GB2312"/>
          <w:b/>
          <w:bCs/>
          <w:color w:val="auto"/>
          <w:sz w:val="24"/>
          <w:szCs w:val="24"/>
          <w:highlight w:val="none"/>
        </w:rPr>
        <w:t>财务审计报告；信用中国、中国政府采购网查询截图；参加政府采购活动前三年内，在经营活动中没有重大违法记录书面声明等材料</w:t>
      </w:r>
      <w:r>
        <w:rPr>
          <w:rFonts w:hint="eastAsia" w:ascii="宋体" w:hAnsi="宋体" w:eastAsia="宋体" w:cs="仿宋_GB2312"/>
          <w:b/>
          <w:bCs/>
          <w:color w:val="auto"/>
          <w:sz w:val="24"/>
          <w:szCs w:val="24"/>
          <w:highlight w:val="none"/>
          <w:lang w:eastAsia="zh-CN"/>
        </w:rPr>
        <w:t>；</w:t>
      </w:r>
      <w:bookmarkEnd w:id="146"/>
      <w:bookmarkStart w:id="147" w:name="_Toc251248817"/>
      <w:bookmarkStart w:id="148" w:name="_Toc459216757"/>
      <w:bookmarkStart w:id="149" w:name="_Toc144974880"/>
      <w:bookmarkStart w:id="150" w:name="_Toc152042601"/>
      <w:bookmarkStart w:id="151" w:name="_Toc152045812"/>
    </w:p>
    <w:p w14:paraId="045B6516">
      <w:pPr>
        <w:tabs>
          <w:tab w:val="left" w:pos="1035"/>
        </w:tabs>
        <w:spacing w:line="500" w:lineRule="exact"/>
        <w:ind w:firstLine="361" w:firstLineChars="150"/>
        <w:rPr>
          <w:rFonts w:hint="eastAsia" w:ascii="宋体" w:hAnsi="宋体" w:eastAsia="宋体" w:cs="仿宋_GB2312"/>
          <w:b/>
          <w:bCs/>
          <w:color w:val="auto"/>
          <w:sz w:val="24"/>
          <w:szCs w:val="24"/>
          <w:highlight w:val="none"/>
          <w:lang w:val="zh-CN" w:eastAsia="zh-CN" w:bidi="zh-CN"/>
        </w:rPr>
      </w:pPr>
      <w:r>
        <w:rPr>
          <w:rFonts w:hint="eastAsia" w:ascii="宋体" w:hAnsi="宋体" w:eastAsia="宋体" w:cs="仿宋_GB2312"/>
          <w:b/>
          <w:bCs/>
          <w:color w:val="auto"/>
          <w:sz w:val="24"/>
          <w:szCs w:val="24"/>
          <w:highlight w:val="none"/>
        </w:rPr>
        <w:t>近年发生的诉讼及仲裁情况</w:t>
      </w:r>
      <w:bookmarkEnd w:id="147"/>
      <w:bookmarkEnd w:id="148"/>
      <w:bookmarkEnd w:id="149"/>
      <w:bookmarkEnd w:id="150"/>
      <w:bookmarkEnd w:id="151"/>
      <w:r>
        <w:rPr>
          <w:rFonts w:hint="eastAsia" w:ascii="宋体" w:hAnsi="宋体" w:eastAsia="宋体" w:cs="仿宋_GB2312"/>
          <w:b/>
          <w:bCs/>
          <w:color w:val="auto"/>
          <w:sz w:val="24"/>
          <w:szCs w:val="24"/>
          <w:highlight w:val="none"/>
          <w:lang w:eastAsia="zh-CN"/>
        </w:rPr>
        <w:t>：</w:t>
      </w:r>
      <w:r>
        <w:rPr>
          <w:rFonts w:hint="eastAsia" w:ascii="宋体" w:hAnsi="宋体" w:eastAsia="宋体" w:cs="仿宋_GB2312"/>
          <w:b/>
          <w:bCs/>
          <w:color w:val="auto"/>
          <w:sz w:val="24"/>
          <w:szCs w:val="24"/>
          <w:highlight w:val="none"/>
          <w:lang w:val="zh-CN" w:eastAsia="zh-CN" w:bidi="zh-CN"/>
        </w:rPr>
        <w:t>投标人应提供其近三年诉讼情况说明</w:t>
      </w:r>
      <w:r>
        <w:rPr>
          <w:rFonts w:hint="eastAsia" w:ascii="宋体" w:hAnsi="宋体" w:cs="仿宋_GB2312"/>
          <w:b/>
          <w:bCs/>
          <w:color w:val="auto"/>
          <w:sz w:val="24"/>
          <w:szCs w:val="24"/>
          <w:highlight w:val="none"/>
          <w:lang w:val="zh-CN" w:eastAsia="zh-CN" w:bidi="zh-CN"/>
        </w:rPr>
        <w:t>。</w:t>
      </w:r>
    </w:p>
    <w:p w14:paraId="015A3B19">
      <w:pPr>
        <w:spacing w:line="500" w:lineRule="exact"/>
        <w:jc w:val="center"/>
        <w:rPr>
          <w:rFonts w:hint="eastAsia" w:ascii="宋体" w:hAnsi="宋体" w:cs="宋体"/>
          <w:color w:val="auto"/>
          <w:sz w:val="28"/>
          <w:highlight w:val="none"/>
        </w:rPr>
      </w:pPr>
    </w:p>
    <w:p w14:paraId="7733C9FE">
      <w:pPr>
        <w:spacing w:line="500" w:lineRule="exact"/>
        <w:jc w:val="center"/>
        <w:rPr>
          <w:rFonts w:hint="eastAsia" w:ascii="宋体" w:hAnsi="宋体" w:cs="宋体"/>
          <w:color w:val="auto"/>
          <w:sz w:val="28"/>
          <w:highlight w:val="none"/>
        </w:rPr>
      </w:pPr>
    </w:p>
    <w:p w14:paraId="7C190436">
      <w:pPr>
        <w:spacing w:line="500" w:lineRule="exact"/>
        <w:jc w:val="center"/>
        <w:rPr>
          <w:rFonts w:hint="eastAsia" w:ascii="宋体" w:hAnsi="宋体" w:cs="宋体"/>
          <w:color w:val="auto"/>
          <w:sz w:val="28"/>
          <w:highlight w:val="none"/>
        </w:rPr>
        <w:sectPr>
          <w:pgSz w:w="11906" w:h="16838"/>
          <w:pgMar w:top="1389" w:right="1304" w:bottom="1440" w:left="1304" w:header="851" w:footer="992" w:gutter="0"/>
          <w:cols w:space="720" w:num="1"/>
          <w:rtlGutter w:val="0"/>
          <w:docGrid w:linePitch="312" w:charSpace="0"/>
        </w:sectPr>
      </w:pPr>
    </w:p>
    <w:p w14:paraId="7AC13BC2">
      <w:pPr>
        <w:pStyle w:val="4"/>
        <w:spacing w:after="240"/>
        <w:rPr>
          <w:rFonts w:hint="eastAsia" w:hAnsi="宋体" w:cs="宋体"/>
          <w:color w:val="auto"/>
          <w:sz w:val="28"/>
          <w:highlight w:val="none"/>
        </w:rPr>
      </w:pPr>
      <w:bookmarkStart w:id="152" w:name="_Toc8885"/>
      <w:r>
        <w:rPr>
          <w:rFonts w:hint="eastAsia" w:hAnsi="宋体" w:cs="宋体"/>
          <w:color w:val="auto"/>
          <w:sz w:val="28"/>
          <w:highlight w:val="none"/>
        </w:rPr>
        <w:t>三．</w:t>
      </w:r>
      <w:bookmarkStart w:id="153" w:name="_Toc1391_WPSOffice_Level2"/>
      <w:bookmarkStart w:id="154" w:name="_Toc516969098"/>
      <w:bookmarkStart w:id="155" w:name="_Toc40975451"/>
      <w:r>
        <w:rPr>
          <w:rFonts w:hint="eastAsia" w:hAnsi="宋体" w:cs="宋体"/>
          <w:color w:val="auto"/>
          <w:sz w:val="28"/>
          <w:highlight w:val="none"/>
        </w:rPr>
        <w:t>投标函</w:t>
      </w:r>
      <w:bookmarkEnd w:id="152"/>
      <w:bookmarkEnd w:id="153"/>
      <w:bookmarkEnd w:id="154"/>
      <w:bookmarkEnd w:id="155"/>
    </w:p>
    <w:p w14:paraId="0E136E35">
      <w:pPr>
        <w:pStyle w:val="12"/>
        <w:spacing w:line="360" w:lineRule="auto"/>
        <w:rPr>
          <w:rFonts w:hint="eastAsia" w:ascii="宋体" w:hAnsi="宋体" w:cs="宋体"/>
          <w:color w:val="auto"/>
          <w:sz w:val="24"/>
          <w:highlight w:val="none"/>
        </w:rPr>
      </w:pPr>
      <w:r>
        <w:rPr>
          <w:rFonts w:hint="eastAsia" w:ascii="宋体" w:hAnsi="宋体" w:cs="宋体"/>
          <w:color w:val="auto"/>
          <w:sz w:val="24"/>
          <w:highlight w:val="none"/>
        </w:rPr>
        <w:t>致：</w:t>
      </w:r>
      <w:r>
        <w:rPr>
          <w:rFonts w:hint="eastAsia" w:ascii="宋体" w:hAnsi="宋体" w:eastAsia="宋体" w:cs="宋体"/>
          <w:b w:val="0"/>
          <w:color w:val="auto"/>
          <w:kern w:val="2"/>
          <w:sz w:val="24"/>
          <w:highlight w:val="none"/>
          <w:lang w:val="en-US" w:eastAsia="zh-CN" w:bidi="ar-SA"/>
        </w:rPr>
        <w:t>（采购人</w:t>
      </w:r>
      <w:r>
        <w:rPr>
          <w:rFonts w:hint="eastAsia" w:ascii="宋体" w:hAnsi="宋体" w:cs="宋体"/>
          <w:b w:val="0"/>
          <w:color w:val="auto"/>
          <w:kern w:val="2"/>
          <w:sz w:val="24"/>
          <w:highlight w:val="none"/>
          <w:lang w:val="en-US" w:eastAsia="zh-CN" w:bidi="ar-SA"/>
        </w:rPr>
        <w:t>及</w:t>
      </w:r>
      <w:r>
        <w:rPr>
          <w:rFonts w:hint="eastAsia" w:ascii="宋体" w:hAnsi="宋体" w:eastAsia="宋体" w:cs="宋体"/>
          <w:b w:val="0"/>
          <w:color w:val="auto"/>
          <w:kern w:val="2"/>
          <w:sz w:val="24"/>
          <w:highlight w:val="none"/>
          <w:lang w:val="en-US" w:eastAsia="zh-CN" w:bidi="ar-SA"/>
        </w:rPr>
        <w:t>采购代理机构）</w:t>
      </w:r>
    </w:p>
    <w:p w14:paraId="05D4CDCA">
      <w:pPr>
        <w:spacing w:line="360" w:lineRule="auto"/>
        <w:ind w:left="239" w:leftChars="114" w:firstLine="386" w:firstLineChars="161"/>
        <w:rPr>
          <w:rFonts w:hint="eastAsia" w:ascii="宋体" w:hAnsi="宋体" w:cs="宋体"/>
          <w:b/>
          <w:bCs/>
          <w:color w:val="auto"/>
          <w:sz w:val="24"/>
          <w:highlight w:val="none"/>
          <w:u w:val="single"/>
        </w:rPr>
      </w:pPr>
      <w:r>
        <w:rPr>
          <w:rFonts w:hint="eastAsia" w:ascii="宋体" w:hAnsi="宋体" w:cs="宋体"/>
          <w:color w:val="auto"/>
          <w:sz w:val="24"/>
          <w:highlight w:val="none"/>
        </w:rPr>
        <w:t>根据</w:t>
      </w:r>
      <w:r>
        <w:rPr>
          <w:rFonts w:hint="eastAsia" w:ascii="宋体" w:hAnsi="宋体" w:eastAsia="宋体" w:cs="宋体"/>
          <w:color w:val="auto"/>
          <w:sz w:val="24"/>
          <w:highlight w:val="none"/>
        </w:rPr>
        <w:t>贵方“</w:t>
      </w:r>
      <w:r>
        <w:rPr>
          <w:rFonts w:hint="eastAsia" w:ascii="宋体" w:hAnsi="宋体" w:eastAsia="宋体" w:cs="宋体"/>
          <w:color w:val="auto"/>
          <w:sz w:val="24"/>
          <w:highlight w:val="none"/>
          <w:lang w:val="en-US" w:eastAsia="zh-CN"/>
        </w:rPr>
        <w:t>项目名称、项目编号</w:t>
      </w:r>
      <w:r>
        <w:rPr>
          <w:rFonts w:hint="eastAsia" w:ascii="宋体" w:hAnsi="宋体" w:eastAsia="宋体" w:cs="宋体"/>
          <w:color w:val="auto"/>
          <w:sz w:val="24"/>
          <w:highlight w:val="none"/>
        </w:rPr>
        <w:t>”项</w:t>
      </w:r>
      <w:r>
        <w:rPr>
          <w:rFonts w:hint="eastAsia" w:ascii="宋体" w:hAnsi="宋体" w:cs="宋体"/>
          <w:color w:val="auto"/>
          <w:sz w:val="24"/>
          <w:highlight w:val="none"/>
        </w:rPr>
        <w:t>目招标邀请书或招标公告，正式授权下述签字人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（姓名）代表投标人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（投标人全称），提交规定形式的投标文件。</w:t>
      </w:r>
    </w:p>
    <w:p w14:paraId="3F5E980A">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据此函，我方兹宣布同意如下：</w:t>
      </w:r>
    </w:p>
    <w:p w14:paraId="49AD444E">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（1）如我公司中标，愿意按招标文件规定提供交付货物（包括安装调试等工作）的总报价为人民币</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元，供货期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36A70E2F">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（2）我方根据招标文件的规定，严格履行合同的责任和义务,并保证于买方要求的日期内完成供货、安装及服务，并通过买方验收。</w:t>
      </w:r>
    </w:p>
    <w:p w14:paraId="744BD2BB">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（3）我方承诺报价低于同类货物和服务的市场平均价格。</w:t>
      </w:r>
    </w:p>
    <w:p w14:paraId="7915D171">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3CB6F4D3">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（5）我方同意从招标文件规定的开标日期起遵循本投标文件，并在招标文件规定的投标有效期之前均具有约束力。</w:t>
      </w:r>
    </w:p>
    <w:p w14:paraId="1EE703EE">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27FB8919">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（7）我方完全理解贵方不一定接受最低报价的投标。</w:t>
      </w:r>
    </w:p>
    <w:p w14:paraId="067AFD92">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（8）我方同意招标文件规定的付款方式。</w:t>
      </w:r>
    </w:p>
    <w:p w14:paraId="188F6233">
      <w:pPr>
        <w:spacing w:line="360" w:lineRule="auto"/>
        <w:ind w:firstLine="630"/>
        <w:rPr>
          <w:rFonts w:hint="eastAsia" w:ascii="宋体" w:hAnsi="宋体" w:cs="宋体"/>
          <w:color w:val="auto"/>
          <w:sz w:val="24"/>
          <w:highlight w:val="none"/>
          <w:u w:val="single"/>
        </w:rPr>
      </w:pPr>
      <w:r>
        <w:rPr>
          <w:rFonts w:hint="eastAsia" w:ascii="宋体" w:hAnsi="宋体" w:cs="宋体"/>
          <w:color w:val="auto"/>
          <w:sz w:val="24"/>
          <w:highlight w:val="none"/>
        </w:rPr>
        <w:t>（9）与本投标有关的通讯地址：</w:t>
      </w:r>
      <w:r>
        <w:rPr>
          <w:rFonts w:hint="eastAsia" w:ascii="宋体" w:hAnsi="宋体" w:cs="宋体"/>
          <w:color w:val="auto"/>
          <w:sz w:val="24"/>
          <w:highlight w:val="none"/>
          <w:u w:val="single"/>
        </w:rPr>
        <w:t xml:space="preserve">                                  </w:t>
      </w:r>
    </w:p>
    <w:p w14:paraId="6C732A49">
      <w:pPr>
        <w:pStyle w:val="40"/>
        <w:ind w:firstLine="720" w:firstLineChars="300"/>
        <w:rPr>
          <w:rFonts w:hint="default" w:ascii="宋体" w:hAnsi="宋体" w:eastAsia="宋体" w:cs="宋体"/>
          <w:color w:val="auto"/>
          <w:kern w:val="2"/>
          <w:sz w:val="24"/>
          <w:highlight w:val="none"/>
          <w:lang w:val="en-US" w:eastAsia="zh-CN" w:bidi="ar-SA"/>
        </w:rPr>
      </w:pPr>
      <w:r>
        <w:rPr>
          <w:rFonts w:hint="eastAsia" w:ascii="宋体" w:hAnsi="宋体" w:eastAsia="宋体" w:cs="宋体"/>
          <w:color w:val="auto"/>
          <w:kern w:val="2"/>
          <w:sz w:val="24"/>
          <w:highlight w:val="none"/>
          <w:lang w:val="en-US" w:eastAsia="zh-CN" w:bidi="ar-SA"/>
        </w:rPr>
        <w:t>（10）本项目项目责任人：   电话：</w:t>
      </w:r>
    </w:p>
    <w:p w14:paraId="014D53DC">
      <w:pPr>
        <w:spacing w:line="380" w:lineRule="exact"/>
        <w:ind w:firstLine="3600" w:firstLineChars="1500"/>
        <w:rPr>
          <w:rFonts w:hint="eastAsia" w:ascii="宋体" w:hAnsi="宋体" w:cs="宋体"/>
          <w:color w:val="auto"/>
          <w:sz w:val="24"/>
          <w:highlight w:val="none"/>
        </w:rPr>
      </w:pPr>
    </w:p>
    <w:p w14:paraId="0EF3C145">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b w:val="0"/>
          <w:bCs w:val="0"/>
          <w:color w:val="auto"/>
          <w:sz w:val="24"/>
          <w:szCs w:val="28"/>
          <w:highlight w:val="none"/>
          <w:lang w:val="en-US" w:eastAsia="zh-CN"/>
        </w:rPr>
        <w:t>签章</w:t>
      </w:r>
      <w:r>
        <w:rPr>
          <w:rFonts w:hint="eastAsia" w:ascii="宋体" w:hAnsi="宋体" w:cs="宋体"/>
          <w:color w:val="auto"/>
          <w:sz w:val="24"/>
          <w:highlight w:val="none"/>
        </w:rPr>
        <w:t>）</w:t>
      </w:r>
    </w:p>
    <w:p w14:paraId="067F16B2">
      <w:pPr>
        <w:spacing w:line="380" w:lineRule="exact"/>
        <w:ind w:right="640" w:firstLine="1560" w:firstLineChars="650"/>
        <w:rPr>
          <w:rFonts w:hint="eastAsia" w:ascii="宋体" w:hAnsi="宋体" w:cs="宋体"/>
          <w:color w:val="auto"/>
          <w:sz w:val="24"/>
          <w:highlight w:val="none"/>
        </w:rPr>
      </w:pPr>
    </w:p>
    <w:p w14:paraId="7015C4E3">
      <w:pPr>
        <w:spacing w:line="380" w:lineRule="exact"/>
        <w:ind w:right="640" w:firstLine="3600" w:firstLineChars="1500"/>
        <w:rPr>
          <w:rFonts w:hint="eastAsia" w:ascii="宋体" w:hAnsi="宋体" w:cs="宋体"/>
          <w:color w:val="auto"/>
          <w:sz w:val="24"/>
          <w:highlight w:val="none"/>
        </w:rPr>
      </w:pPr>
      <w:r>
        <w:rPr>
          <w:rFonts w:hint="eastAsia" w:ascii="宋体" w:hAnsi="宋体" w:cs="宋体"/>
          <w:color w:val="auto"/>
          <w:sz w:val="24"/>
          <w:highlight w:val="none"/>
        </w:rPr>
        <w:t>法人代表：（签</w:t>
      </w:r>
      <w:r>
        <w:rPr>
          <w:rFonts w:hint="eastAsia" w:ascii="宋体" w:hAnsi="宋体" w:cs="宋体"/>
          <w:color w:val="auto"/>
          <w:sz w:val="24"/>
          <w:highlight w:val="none"/>
          <w:lang w:val="en-US" w:eastAsia="zh-CN"/>
        </w:rPr>
        <w:t>字</w:t>
      </w:r>
      <w:r>
        <w:rPr>
          <w:rFonts w:hint="eastAsia" w:ascii="宋体" w:hAnsi="宋体" w:cs="宋体"/>
          <w:color w:val="auto"/>
          <w:sz w:val="24"/>
          <w:highlight w:val="none"/>
        </w:rPr>
        <w:t>）</w:t>
      </w:r>
    </w:p>
    <w:p w14:paraId="7B317599">
      <w:pPr>
        <w:spacing w:line="380" w:lineRule="exact"/>
        <w:jc w:val="center"/>
        <w:rPr>
          <w:rFonts w:hint="eastAsia" w:ascii="宋体" w:hAnsi="宋体" w:cs="宋体"/>
          <w:color w:val="auto"/>
          <w:sz w:val="24"/>
          <w:highlight w:val="none"/>
        </w:rPr>
      </w:pPr>
    </w:p>
    <w:p w14:paraId="797EC128">
      <w:pPr>
        <w:jc w:val="center"/>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70ABCE9C">
      <w:pPr>
        <w:pStyle w:val="4"/>
        <w:rPr>
          <w:rFonts w:hint="eastAsia" w:hAnsi="宋体" w:cs="宋体"/>
          <w:color w:val="auto"/>
          <w:sz w:val="28"/>
          <w:szCs w:val="36"/>
          <w:highlight w:val="none"/>
        </w:rPr>
      </w:pPr>
      <w:r>
        <w:rPr>
          <w:rFonts w:hint="eastAsia" w:ascii="宋体" w:hAnsi="宋体" w:eastAsia="宋体" w:cs="宋体"/>
          <w:b/>
          <w:color w:val="auto"/>
          <w:kern w:val="0"/>
          <w:sz w:val="32"/>
          <w:szCs w:val="32"/>
          <w:highlight w:val="none"/>
          <w:lang w:val="en-US" w:eastAsia="zh-CN"/>
        </w:rPr>
        <w:t xml:space="preserve"> </w:t>
      </w:r>
      <w:bookmarkEnd w:id="145"/>
      <w:bookmarkStart w:id="156" w:name="_Toc40975452"/>
      <w:bookmarkStart w:id="157" w:name="_Toc220232409"/>
      <w:bookmarkStart w:id="158" w:name="_Toc18759"/>
      <w:bookmarkStart w:id="159" w:name="_Toc24077_WPSOffice_Level2"/>
      <w:r>
        <w:rPr>
          <w:rFonts w:hint="eastAsia" w:hAnsi="宋体" w:cs="宋体"/>
          <w:color w:val="auto"/>
          <w:sz w:val="28"/>
          <w:highlight w:val="none"/>
        </w:rPr>
        <w:t>四．投标分项报价表</w:t>
      </w:r>
      <w:bookmarkEnd w:id="156"/>
      <w:bookmarkEnd w:id="157"/>
      <w:bookmarkEnd w:id="158"/>
      <w:bookmarkEnd w:id="159"/>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74AA9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center"/>
          </w:tcPr>
          <w:p w14:paraId="64C05ACE">
            <w:pPr>
              <w:pStyle w:val="50"/>
              <w:widowControl w:val="0"/>
              <w:spacing w:before="0" w:beforeAutospacing="0" w:after="0" w:afterAutospacing="0"/>
              <w:rPr>
                <w:rFonts w:hint="eastAsia" w:cs="宋体"/>
                <w:bCs w:val="0"/>
                <w:color w:val="auto"/>
                <w:kern w:val="2"/>
                <w:sz w:val="24"/>
                <w:szCs w:val="20"/>
                <w:highlight w:val="none"/>
              </w:rPr>
            </w:pPr>
            <w:r>
              <w:rPr>
                <w:rFonts w:hint="eastAsia" w:cs="宋体"/>
                <w:bCs w:val="0"/>
                <w:color w:val="auto"/>
                <w:kern w:val="2"/>
                <w:sz w:val="24"/>
                <w:szCs w:val="20"/>
                <w:highlight w:val="none"/>
              </w:rPr>
              <w:t>序号</w:t>
            </w:r>
          </w:p>
        </w:tc>
        <w:tc>
          <w:tcPr>
            <w:tcW w:w="2205" w:type="dxa"/>
            <w:noWrap w:val="0"/>
            <w:vAlign w:val="center"/>
          </w:tcPr>
          <w:p w14:paraId="2EF392CA">
            <w:pPr>
              <w:jc w:val="center"/>
              <w:rPr>
                <w:rFonts w:hint="eastAsia" w:ascii="宋体" w:hAnsi="宋体" w:eastAsia="宋体" w:cs="宋体"/>
                <w:b/>
                <w:color w:val="auto"/>
                <w:sz w:val="24"/>
                <w:highlight w:val="none"/>
                <w:lang w:val="en-US" w:eastAsia="zh-CN"/>
              </w:rPr>
            </w:pPr>
            <w:r>
              <w:rPr>
                <w:rFonts w:hint="eastAsia" w:ascii="宋体" w:hAnsi="宋体" w:cs="宋体"/>
                <w:b/>
                <w:color w:val="auto"/>
                <w:sz w:val="24"/>
                <w:highlight w:val="none"/>
              </w:rPr>
              <w:t>品名品牌、规格型号</w:t>
            </w:r>
            <w:r>
              <w:rPr>
                <w:rFonts w:hint="eastAsia" w:ascii="宋体" w:hAnsi="宋体" w:cs="宋体"/>
                <w:b/>
                <w:color w:val="auto"/>
                <w:sz w:val="24"/>
                <w:highlight w:val="none"/>
                <w:lang w:val="en-US" w:eastAsia="zh-CN"/>
              </w:rPr>
              <w:t>等</w:t>
            </w:r>
          </w:p>
        </w:tc>
        <w:tc>
          <w:tcPr>
            <w:tcW w:w="957" w:type="dxa"/>
            <w:noWrap w:val="0"/>
            <w:vAlign w:val="center"/>
          </w:tcPr>
          <w:p w14:paraId="37BF515B">
            <w:pPr>
              <w:jc w:val="center"/>
              <w:rPr>
                <w:rFonts w:hint="eastAsia" w:ascii="宋体" w:hAnsi="宋体" w:cs="宋体"/>
                <w:b/>
                <w:color w:val="auto"/>
                <w:sz w:val="24"/>
                <w:highlight w:val="none"/>
              </w:rPr>
            </w:pPr>
            <w:r>
              <w:rPr>
                <w:rFonts w:hint="eastAsia" w:ascii="宋体" w:hAnsi="宋体" w:cs="宋体"/>
                <w:b/>
                <w:color w:val="auto"/>
                <w:sz w:val="24"/>
                <w:highlight w:val="none"/>
              </w:rPr>
              <w:t>单位</w:t>
            </w:r>
          </w:p>
        </w:tc>
        <w:tc>
          <w:tcPr>
            <w:tcW w:w="840" w:type="dxa"/>
            <w:noWrap w:val="0"/>
            <w:vAlign w:val="center"/>
          </w:tcPr>
          <w:p w14:paraId="243CFC37">
            <w:pPr>
              <w:jc w:val="center"/>
              <w:rPr>
                <w:rFonts w:hint="eastAsia" w:ascii="宋体" w:hAnsi="宋体" w:cs="宋体"/>
                <w:b/>
                <w:color w:val="auto"/>
                <w:sz w:val="24"/>
                <w:highlight w:val="none"/>
              </w:rPr>
            </w:pPr>
            <w:r>
              <w:rPr>
                <w:rFonts w:hint="eastAsia" w:ascii="宋体" w:hAnsi="宋体" w:cs="宋体"/>
                <w:b/>
                <w:color w:val="auto"/>
                <w:sz w:val="24"/>
                <w:highlight w:val="none"/>
              </w:rPr>
              <w:t>数量</w:t>
            </w:r>
          </w:p>
        </w:tc>
        <w:tc>
          <w:tcPr>
            <w:tcW w:w="1260" w:type="dxa"/>
            <w:noWrap w:val="0"/>
            <w:vAlign w:val="center"/>
          </w:tcPr>
          <w:p w14:paraId="18907567">
            <w:pPr>
              <w:jc w:val="center"/>
              <w:rPr>
                <w:rFonts w:hint="eastAsia" w:ascii="宋体" w:hAnsi="宋体" w:cs="宋体"/>
                <w:b/>
                <w:color w:val="auto"/>
                <w:sz w:val="24"/>
                <w:highlight w:val="none"/>
              </w:rPr>
            </w:pPr>
            <w:r>
              <w:rPr>
                <w:rFonts w:hint="eastAsia" w:ascii="宋体" w:hAnsi="宋体" w:cs="宋体"/>
                <w:b/>
                <w:color w:val="auto"/>
                <w:sz w:val="24"/>
                <w:highlight w:val="none"/>
              </w:rPr>
              <w:t>单价</w:t>
            </w:r>
          </w:p>
        </w:tc>
        <w:tc>
          <w:tcPr>
            <w:tcW w:w="1340" w:type="dxa"/>
            <w:noWrap w:val="0"/>
            <w:vAlign w:val="center"/>
          </w:tcPr>
          <w:p w14:paraId="20E2BEEE">
            <w:pPr>
              <w:jc w:val="center"/>
              <w:rPr>
                <w:rFonts w:hint="eastAsia" w:ascii="宋体" w:hAnsi="宋体" w:cs="宋体"/>
                <w:b/>
                <w:color w:val="auto"/>
                <w:sz w:val="24"/>
                <w:highlight w:val="none"/>
              </w:rPr>
            </w:pPr>
            <w:r>
              <w:rPr>
                <w:rFonts w:hint="eastAsia" w:ascii="宋体" w:hAnsi="宋体" w:cs="宋体"/>
                <w:b/>
                <w:color w:val="auto"/>
                <w:sz w:val="24"/>
                <w:highlight w:val="none"/>
              </w:rPr>
              <w:t>小计</w:t>
            </w:r>
          </w:p>
        </w:tc>
        <w:tc>
          <w:tcPr>
            <w:tcW w:w="922" w:type="dxa"/>
            <w:noWrap w:val="0"/>
            <w:vAlign w:val="center"/>
          </w:tcPr>
          <w:p w14:paraId="38D44377">
            <w:pPr>
              <w:jc w:val="center"/>
              <w:rPr>
                <w:rFonts w:hint="eastAsia" w:ascii="宋体" w:hAnsi="宋体" w:cs="宋体"/>
                <w:b/>
                <w:color w:val="auto"/>
                <w:sz w:val="24"/>
                <w:highlight w:val="none"/>
              </w:rPr>
            </w:pPr>
            <w:r>
              <w:rPr>
                <w:rFonts w:hint="eastAsia" w:ascii="宋体" w:hAnsi="宋体" w:cs="宋体"/>
                <w:b/>
                <w:color w:val="auto"/>
                <w:sz w:val="24"/>
                <w:highlight w:val="none"/>
              </w:rPr>
              <w:t>备注</w:t>
            </w:r>
          </w:p>
        </w:tc>
      </w:tr>
      <w:tr w14:paraId="56F03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5D0EABC8">
            <w:pPr>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205" w:type="dxa"/>
            <w:noWrap w:val="0"/>
            <w:vAlign w:val="top"/>
          </w:tcPr>
          <w:p w14:paraId="763A66A1">
            <w:pPr>
              <w:rPr>
                <w:rFonts w:hint="eastAsia" w:ascii="宋体" w:hAnsi="宋体" w:cs="宋体"/>
                <w:color w:val="auto"/>
                <w:sz w:val="24"/>
                <w:highlight w:val="none"/>
              </w:rPr>
            </w:pPr>
          </w:p>
        </w:tc>
        <w:tc>
          <w:tcPr>
            <w:tcW w:w="957" w:type="dxa"/>
            <w:noWrap w:val="0"/>
            <w:vAlign w:val="top"/>
          </w:tcPr>
          <w:p w14:paraId="2B76C224">
            <w:pPr>
              <w:rPr>
                <w:rFonts w:hint="eastAsia" w:ascii="宋体" w:hAnsi="宋体" w:cs="宋体"/>
                <w:color w:val="auto"/>
                <w:sz w:val="24"/>
                <w:highlight w:val="none"/>
              </w:rPr>
            </w:pPr>
          </w:p>
        </w:tc>
        <w:tc>
          <w:tcPr>
            <w:tcW w:w="840" w:type="dxa"/>
            <w:noWrap w:val="0"/>
            <w:vAlign w:val="top"/>
          </w:tcPr>
          <w:p w14:paraId="79D450C7">
            <w:pPr>
              <w:rPr>
                <w:rFonts w:hint="eastAsia" w:ascii="宋体" w:hAnsi="宋体" w:cs="宋体"/>
                <w:color w:val="auto"/>
                <w:sz w:val="24"/>
                <w:highlight w:val="none"/>
              </w:rPr>
            </w:pPr>
          </w:p>
        </w:tc>
        <w:tc>
          <w:tcPr>
            <w:tcW w:w="1260" w:type="dxa"/>
            <w:noWrap w:val="0"/>
            <w:vAlign w:val="top"/>
          </w:tcPr>
          <w:p w14:paraId="098C024D">
            <w:pPr>
              <w:rPr>
                <w:rFonts w:hint="eastAsia" w:ascii="宋体" w:hAnsi="宋体" w:cs="宋体"/>
                <w:color w:val="auto"/>
                <w:sz w:val="24"/>
                <w:highlight w:val="none"/>
              </w:rPr>
            </w:pPr>
          </w:p>
        </w:tc>
        <w:tc>
          <w:tcPr>
            <w:tcW w:w="1340" w:type="dxa"/>
            <w:noWrap w:val="0"/>
            <w:vAlign w:val="top"/>
          </w:tcPr>
          <w:p w14:paraId="123A97BA">
            <w:pPr>
              <w:rPr>
                <w:rFonts w:hint="eastAsia" w:ascii="宋体" w:hAnsi="宋体" w:cs="宋体"/>
                <w:color w:val="auto"/>
                <w:sz w:val="24"/>
                <w:highlight w:val="none"/>
              </w:rPr>
            </w:pPr>
          </w:p>
        </w:tc>
        <w:tc>
          <w:tcPr>
            <w:tcW w:w="922" w:type="dxa"/>
            <w:noWrap w:val="0"/>
            <w:vAlign w:val="top"/>
          </w:tcPr>
          <w:p w14:paraId="72712CE2">
            <w:pPr>
              <w:rPr>
                <w:rFonts w:hint="eastAsia" w:ascii="宋体" w:hAnsi="宋体" w:cs="宋体"/>
                <w:color w:val="auto"/>
                <w:sz w:val="24"/>
                <w:highlight w:val="none"/>
              </w:rPr>
            </w:pPr>
          </w:p>
        </w:tc>
      </w:tr>
      <w:tr w14:paraId="672BD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47057422">
            <w:pPr>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205" w:type="dxa"/>
            <w:noWrap w:val="0"/>
            <w:vAlign w:val="top"/>
          </w:tcPr>
          <w:p w14:paraId="4C83C2C1">
            <w:pPr>
              <w:rPr>
                <w:rFonts w:hint="eastAsia" w:ascii="宋体" w:hAnsi="宋体" w:cs="宋体"/>
                <w:color w:val="auto"/>
                <w:sz w:val="24"/>
                <w:highlight w:val="none"/>
              </w:rPr>
            </w:pPr>
          </w:p>
        </w:tc>
        <w:tc>
          <w:tcPr>
            <w:tcW w:w="957" w:type="dxa"/>
            <w:noWrap w:val="0"/>
            <w:vAlign w:val="top"/>
          </w:tcPr>
          <w:p w14:paraId="352C695C">
            <w:pPr>
              <w:rPr>
                <w:rFonts w:hint="eastAsia" w:ascii="宋体" w:hAnsi="宋体" w:cs="宋体"/>
                <w:color w:val="auto"/>
                <w:sz w:val="24"/>
                <w:highlight w:val="none"/>
              </w:rPr>
            </w:pPr>
          </w:p>
        </w:tc>
        <w:tc>
          <w:tcPr>
            <w:tcW w:w="840" w:type="dxa"/>
            <w:noWrap w:val="0"/>
            <w:vAlign w:val="top"/>
          </w:tcPr>
          <w:p w14:paraId="0AD32511">
            <w:pPr>
              <w:rPr>
                <w:rFonts w:hint="eastAsia" w:ascii="宋体" w:hAnsi="宋体" w:cs="宋体"/>
                <w:color w:val="auto"/>
                <w:sz w:val="24"/>
                <w:highlight w:val="none"/>
              </w:rPr>
            </w:pPr>
          </w:p>
        </w:tc>
        <w:tc>
          <w:tcPr>
            <w:tcW w:w="1260" w:type="dxa"/>
            <w:noWrap w:val="0"/>
            <w:vAlign w:val="top"/>
          </w:tcPr>
          <w:p w14:paraId="3E85D2EA">
            <w:pPr>
              <w:rPr>
                <w:rFonts w:hint="eastAsia" w:ascii="宋体" w:hAnsi="宋体" w:cs="宋体"/>
                <w:color w:val="auto"/>
                <w:sz w:val="24"/>
                <w:highlight w:val="none"/>
              </w:rPr>
            </w:pPr>
          </w:p>
        </w:tc>
        <w:tc>
          <w:tcPr>
            <w:tcW w:w="1340" w:type="dxa"/>
            <w:noWrap w:val="0"/>
            <w:vAlign w:val="top"/>
          </w:tcPr>
          <w:p w14:paraId="0057A31B">
            <w:pPr>
              <w:rPr>
                <w:rFonts w:hint="eastAsia" w:ascii="宋体" w:hAnsi="宋体" w:cs="宋体"/>
                <w:color w:val="auto"/>
                <w:sz w:val="24"/>
                <w:highlight w:val="none"/>
              </w:rPr>
            </w:pPr>
          </w:p>
        </w:tc>
        <w:tc>
          <w:tcPr>
            <w:tcW w:w="922" w:type="dxa"/>
            <w:noWrap w:val="0"/>
            <w:vAlign w:val="top"/>
          </w:tcPr>
          <w:p w14:paraId="5D188FAA">
            <w:pPr>
              <w:rPr>
                <w:rFonts w:hint="eastAsia" w:ascii="宋体" w:hAnsi="宋体" w:cs="宋体"/>
                <w:color w:val="auto"/>
                <w:sz w:val="24"/>
                <w:highlight w:val="none"/>
              </w:rPr>
            </w:pPr>
          </w:p>
        </w:tc>
      </w:tr>
      <w:tr w14:paraId="0585B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85D1FBB">
            <w:pPr>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205" w:type="dxa"/>
            <w:noWrap w:val="0"/>
            <w:vAlign w:val="top"/>
          </w:tcPr>
          <w:p w14:paraId="6EA7513B">
            <w:pPr>
              <w:rPr>
                <w:rFonts w:hint="eastAsia" w:ascii="宋体" w:hAnsi="宋体" w:cs="宋体"/>
                <w:color w:val="auto"/>
                <w:sz w:val="24"/>
                <w:highlight w:val="none"/>
              </w:rPr>
            </w:pPr>
          </w:p>
        </w:tc>
        <w:tc>
          <w:tcPr>
            <w:tcW w:w="957" w:type="dxa"/>
            <w:noWrap w:val="0"/>
            <w:vAlign w:val="top"/>
          </w:tcPr>
          <w:p w14:paraId="3A115115">
            <w:pPr>
              <w:rPr>
                <w:rFonts w:hint="eastAsia" w:ascii="宋体" w:hAnsi="宋体" w:cs="宋体"/>
                <w:color w:val="auto"/>
                <w:sz w:val="24"/>
                <w:highlight w:val="none"/>
              </w:rPr>
            </w:pPr>
          </w:p>
        </w:tc>
        <w:tc>
          <w:tcPr>
            <w:tcW w:w="840" w:type="dxa"/>
            <w:noWrap w:val="0"/>
            <w:vAlign w:val="top"/>
          </w:tcPr>
          <w:p w14:paraId="458251C4">
            <w:pPr>
              <w:rPr>
                <w:rFonts w:hint="eastAsia" w:ascii="宋体" w:hAnsi="宋体" w:cs="宋体"/>
                <w:color w:val="auto"/>
                <w:sz w:val="24"/>
                <w:highlight w:val="none"/>
              </w:rPr>
            </w:pPr>
          </w:p>
        </w:tc>
        <w:tc>
          <w:tcPr>
            <w:tcW w:w="1260" w:type="dxa"/>
            <w:noWrap w:val="0"/>
            <w:vAlign w:val="top"/>
          </w:tcPr>
          <w:p w14:paraId="2D864F49">
            <w:pPr>
              <w:rPr>
                <w:rFonts w:hint="eastAsia" w:ascii="宋体" w:hAnsi="宋体" w:cs="宋体"/>
                <w:color w:val="auto"/>
                <w:sz w:val="24"/>
                <w:highlight w:val="none"/>
              </w:rPr>
            </w:pPr>
          </w:p>
        </w:tc>
        <w:tc>
          <w:tcPr>
            <w:tcW w:w="1340" w:type="dxa"/>
            <w:noWrap w:val="0"/>
            <w:vAlign w:val="top"/>
          </w:tcPr>
          <w:p w14:paraId="02EB935E">
            <w:pPr>
              <w:rPr>
                <w:rFonts w:hint="eastAsia" w:ascii="宋体" w:hAnsi="宋体" w:cs="宋体"/>
                <w:color w:val="auto"/>
                <w:sz w:val="24"/>
                <w:highlight w:val="none"/>
              </w:rPr>
            </w:pPr>
          </w:p>
        </w:tc>
        <w:tc>
          <w:tcPr>
            <w:tcW w:w="922" w:type="dxa"/>
            <w:noWrap w:val="0"/>
            <w:vAlign w:val="top"/>
          </w:tcPr>
          <w:p w14:paraId="296A6365">
            <w:pPr>
              <w:rPr>
                <w:rFonts w:hint="eastAsia" w:ascii="宋体" w:hAnsi="宋体" w:cs="宋体"/>
                <w:color w:val="auto"/>
                <w:sz w:val="24"/>
                <w:highlight w:val="none"/>
              </w:rPr>
            </w:pPr>
          </w:p>
        </w:tc>
      </w:tr>
      <w:tr w14:paraId="56AAE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47E67D05">
            <w:pPr>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2205" w:type="dxa"/>
            <w:noWrap w:val="0"/>
            <w:vAlign w:val="top"/>
          </w:tcPr>
          <w:p w14:paraId="4666B8EF">
            <w:pPr>
              <w:rPr>
                <w:rFonts w:hint="eastAsia" w:ascii="宋体" w:hAnsi="宋体" w:cs="宋体"/>
                <w:color w:val="auto"/>
                <w:sz w:val="24"/>
                <w:highlight w:val="none"/>
              </w:rPr>
            </w:pPr>
          </w:p>
        </w:tc>
        <w:tc>
          <w:tcPr>
            <w:tcW w:w="957" w:type="dxa"/>
            <w:noWrap w:val="0"/>
            <w:vAlign w:val="top"/>
          </w:tcPr>
          <w:p w14:paraId="23B55652">
            <w:pPr>
              <w:rPr>
                <w:rFonts w:hint="eastAsia" w:ascii="宋体" w:hAnsi="宋体" w:cs="宋体"/>
                <w:color w:val="auto"/>
                <w:sz w:val="24"/>
                <w:highlight w:val="none"/>
              </w:rPr>
            </w:pPr>
          </w:p>
        </w:tc>
        <w:tc>
          <w:tcPr>
            <w:tcW w:w="840" w:type="dxa"/>
            <w:noWrap w:val="0"/>
            <w:vAlign w:val="top"/>
          </w:tcPr>
          <w:p w14:paraId="7DF19CFD">
            <w:pPr>
              <w:rPr>
                <w:rFonts w:hint="eastAsia" w:ascii="宋体" w:hAnsi="宋体" w:cs="宋体"/>
                <w:color w:val="auto"/>
                <w:sz w:val="24"/>
                <w:highlight w:val="none"/>
              </w:rPr>
            </w:pPr>
          </w:p>
        </w:tc>
        <w:tc>
          <w:tcPr>
            <w:tcW w:w="1260" w:type="dxa"/>
            <w:noWrap w:val="0"/>
            <w:vAlign w:val="top"/>
          </w:tcPr>
          <w:p w14:paraId="7FC00D51">
            <w:pPr>
              <w:rPr>
                <w:rFonts w:hint="eastAsia" w:ascii="宋体" w:hAnsi="宋体" w:cs="宋体"/>
                <w:color w:val="auto"/>
                <w:sz w:val="24"/>
                <w:highlight w:val="none"/>
              </w:rPr>
            </w:pPr>
          </w:p>
        </w:tc>
        <w:tc>
          <w:tcPr>
            <w:tcW w:w="1340" w:type="dxa"/>
            <w:noWrap w:val="0"/>
            <w:vAlign w:val="top"/>
          </w:tcPr>
          <w:p w14:paraId="6AE115AB">
            <w:pPr>
              <w:rPr>
                <w:rFonts w:hint="eastAsia" w:ascii="宋体" w:hAnsi="宋体" w:cs="宋体"/>
                <w:color w:val="auto"/>
                <w:sz w:val="24"/>
                <w:highlight w:val="none"/>
              </w:rPr>
            </w:pPr>
          </w:p>
        </w:tc>
        <w:tc>
          <w:tcPr>
            <w:tcW w:w="922" w:type="dxa"/>
            <w:noWrap w:val="0"/>
            <w:vAlign w:val="top"/>
          </w:tcPr>
          <w:p w14:paraId="373DA8E0">
            <w:pPr>
              <w:rPr>
                <w:rFonts w:hint="eastAsia" w:ascii="宋体" w:hAnsi="宋体" w:cs="宋体"/>
                <w:color w:val="auto"/>
                <w:sz w:val="24"/>
                <w:highlight w:val="none"/>
              </w:rPr>
            </w:pPr>
          </w:p>
        </w:tc>
      </w:tr>
      <w:tr w14:paraId="0DDF5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9F58423">
            <w:pPr>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2205" w:type="dxa"/>
            <w:noWrap w:val="0"/>
            <w:vAlign w:val="top"/>
          </w:tcPr>
          <w:p w14:paraId="6E338A66">
            <w:pPr>
              <w:rPr>
                <w:rFonts w:hint="eastAsia" w:ascii="宋体" w:hAnsi="宋体" w:cs="宋体"/>
                <w:color w:val="auto"/>
                <w:sz w:val="24"/>
                <w:highlight w:val="none"/>
              </w:rPr>
            </w:pPr>
          </w:p>
        </w:tc>
        <w:tc>
          <w:tcPr>
            <w:tcW w:w="957" w:type="dxa"/>
            <w:noWrap w:val="0"/>
            <w:vAlign w:val="top"/>
          </w:tcPr>
          <w:p w14:paraId="35517B79">
            <w:pPr>
              <w:rPr>
                <w:rFonts w:hint="eastAsia" w:ascii="宋体" w:hAnsi="宋体" w:cs="宋体"/>
                <w:color w:val="auto"/>
                <w:sz w:val="24"/>
                <w:highlight w:val="none"/>
              </w:rPr>
            </w:pPr>
          </w:p>
        </w:tc>
        <w:tc>
          <w:tcPr>
            <w:tcW w:w="840" w:type="dxa"/>
            <w:noWrap w:val="0"/>
            <w:vAlign w:val="top"/>
          </w:tcPr>
          <w:p w14:paraId="0ACA54DF">
            <w:pPr>
              <w:rPr>
                <w:rFonts w:hint="eastAsia" w:ascii="宋体" w:hAnsi="宋体" w:cs="宋体"/>
                <w:color w:val="auto"/>
                <w:sz w:val="24"/>
                <w:highlight w:val="none"/>
              </w:rPr>
            </w:pPr>
          </w:p>
        </w:tc>
        <w:tc>
          <w:tcPr>
            <w:tcW w:w="1260" w:type="dxa"/>
            <w:noWrap w:val="0"/>
            <w:vAlign w:val="top"/>
          </w:tcPr>
          <w:p w14:paraId="45ACB1D9">
            <w:pPr>
              <w:rPr>
                <w:rFonts w:hint="eastAsia" w:ascii="宋体" w:hAnsi="宋体" w:cs="宋体"/>
                <w:color w:val="auto"/>
                <w:sz w:val="24"/>
                <w:highlight w:val="none"/>
              </w:rPr>
            </w:pPr>
          </w:p>
        </w:tc>
        <w:tc>
          <w:tcPr>
            <w:tcW w:w="1340" w:type="dxa"/>
            <w:noWrap w:val="0"/>
            <w:vAlign w:val="top"/>
          </w:tcPr>
          <w:p w14:paraId="0CABB83B">
            <w:pPr>
              <w:rPr>
                <w:rFonts w:hint="eastAsia" w:ascii="宋体" w:hAnsi="宋体" w:cs="宋体"/>
                <w:color w:val="auto"/>
                <w:sz w:val="24"/>
                <w:highlight w:val="none"/>
              </w:rPr>
            </w:pPr>
          </w:p>
        </w:tc>
        <w:tc>
          <w:tcPr>
            <w:tcW w:w="922" w:type="dxa"/>
            <w:noWrap w:val="0"/>
            <w:vAlign w:val="top"/>
          </w:tcPr>
          <w:p w14:paraId="5822DD6E">
            <w:pPr>
              <w:rPr>
                <w:rFonts w:hint="eastAsia" w:ascii="宋体" w:hAnsi="宋体" w:cs="宋体"/>
                <w:color w:val="auto"/>
                <w:sz w:val="24"/>
                <w:highlight w:val="none"/>
              </w:rPr>
            </w:pPr>
          </w:p>
        </w:tc>
      </w:tr>
      <w:tr w14:paraId="6ACAF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191401B5">
            <w:pPr>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2205" w:type="dxa"/>
            <w:noWrap w:val="0"/>
            <w:vAlign w:val="top"/>
          </w:tcPr>
          <w:p w14:paraId="5118481A">
            <w:pPr>
              <w:rPr>
                <w:rFonts w:hint="eastAsia" w:ascii="宋体" w:hAnsi="宋体" w:cs="宋体"/>
                <w:color w:val="auto"/>
                <w:sz w:val="24"/>
                <w:highlight w:val="none"/>
              </w:rPr>
            </w:pPr>
          </w:p>
        </w:tc>
        <w:tc>
          <w:tcPr>
            <w:tcW w:w="957" w:type="dxa"/>
            <w:noWrap w:val="0"/>
            <w:vAlign w:val="top"/>
          </w:tcPr>
          <w:p w14:paraId="048A2035">
            <w:pPr>
              <w:rPr>
                <w:rFonts w:hint="eastAsia" w:ascii="宋体" w:hAnsi="宋体" w:cs="宋体"/>
                <w:color w:val="auto"/>
                <w:sz w:val="24"/>
                <w:highlight w:val="none"/>
              </w:rPr>
            </w:pPr>
          </w:p>
        </w:tc>
        <w:tc>
          <w:tcPr>
            <w:tcW w:w="840" w:type="dxa"/>
            <w:noWrap w:val="0"/>
            <w:vAlign w:val="top"/>
          </w:tcPr>
          <w:p w14:paraId="72E32A3F">
            <w:pPr>
              <w:rPr>
                <w:rFonts w:hint="eastAsia" w:ascii="宋体" w:hAnsi="宋体" w:cs="宋体"/>
                <w:color w:val="auto"/>
                <w:sz w:val="24"/>
                <w:highlight w:val="none"/>
              </w:rPr>
            </w:pPr>
          </w:p>
        </w:tc>
        <w:tc>
          <w:tcPr>
            <w:tcW w:w="1260" w:type="dxa"/>
            <w:noWrap w:val="0"/>
            <w:vAlign w:val="top"/>
          </w:tcPr>
          <w:p w14:paraId="1B72166E">
            <w:pPr>
              <w:rPr>
                <w:rFonts w:hint="eastAsia" w:ascii="宋体" w:hAnsi="宋体" w:cs="宋体"/>
                <w:color w:val="auto"/>
                <w:sz w:val="24"/>
                <w:highlight w:val="none"/>
              </w:rPr>
            </w:pPr>
          </w:p>
        </w:tc>
        <w:tc>
          <w:tcPr>
            <w:tcW w:w="1340" w:type="dxa"/>
            <w:noWrap w:val="0"/>
            <w:vAlign w:val="top"/>
          </w:tcPr>
          <w:p w14:paraId="38F104CE">
            <w:pPr>
              <w:rPr>
                <w:rFonts w:hint="eastAsia" w:ascii="宋体" w:hAnsi="宋体" w:cs="宋体"/>
                <w:color w:val="auto"/>
                <w:sz w:val="24"/>
                <w:highlight w:val="none"/>
              </w:rPr>
            </w:pPr>
          </w:p>
        </w:tc>
        <w:tc>
          <w:tcPr>
            <w:tcW w:w="922" w:type="dxa"/>
            <w:noWrap w:val="0"/>
            <w:vAlign w:val="top"/>
          </w:tcPr>
          <w:p w14:paraId="2F7446CC">
            <w:pPr>
              <w:rPr>
                <w:rFonts w:hint="eastAsia" w:ascii="宋体" w:hAnsi="宋体" w:cs="宋体"/>
                <w:color w:val="auto"/>
                <w:sz w:val="24"/>
                <w:highlight w:val="none"/>
              </w:rPr>
            </w:pPr>
          </w:p>
        </w:tc>
      </w:tr>
      <w:tr w14:paraId="63519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60075F1">
            <w:pPr>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2205" w:type="dxa"/>
            <w:noWrap w:val="0"/>
            <w:vAlign w:val="top"/>
          </w:tcPr>
          <w:p w14:paraId="20FF76FE">
            <w:pPr>
              <w:rPr>
                <w:rFonts w:hint="eastAsia" w:ascii="宋体" w:hAnsi="宋体" w:cs="宋体"/>
                <w:color w:val="auto"/>
                <w:sz w:val="24"/>
                <w:highlight w:val="none"/>
              </w:rPr>
            </w:pPr>
          </w:p>
        </w:tc>
        <w:tc>
          <w:tcPr>
            <w:tcW w:w="957" w:type="dxa"/>
            <w:noWrap w:val="0"/>
            <w:vAlign w:val="top"/>
          </w:tcPr>
          <w:p w14:paraId="66EBDAAF">
            <w:pPr>
              <w:rPr>
                <w:rFonts w:hint="eastAsia" w:ascii="宋体" w:hAnsi="宋体" w:cs="宋体"/>
                <w:color w:val="auto"/>
                <w:sz w:val="24"/>
                <w:highlight w:val="none"/>
              </w:rPr>
            </w:pPr>
          </w:p>
        </w:tc>
        <w:tc>
          <w:tcPr>
            <w:tcW w:w="840" w:type="dxa"/>
            <w:noWrap w:val="0"/>
            <w:vAlign w:val="top"/>
          </w:tcPr>
          <w:p w14:paraId="4E4DD912">
            <w:pPr>
              <w:rPr>
                <w:rFonts w:hint="eastAsia" w:ascii="宋体" w:hAnsi="宋体" w:cs="宋体"/>
                <w:color w:val="auto"/>
                <w:sz w:val="24"/>
                <w:highlight w:val="none"/>
              </w:rPr>
            </w:pPr>
          </w:p>
        </w:tc>
        <w:tc>
          <w:tcPr>
            <w:tcW w:w="1260" w:type="dxa"/>
            <w:noWrap w:val="0"/>
            <w:vAlign w:val="top"/>
          </w:tcPr>
          <w:p w14:paraId="63FD5A97">
            <w:pPr>
              <w:rPr>
                <w:rFonts w:hint="eastAsia" w:ascii="宋体" w:hAnsi="宋体" w:cs="宋体"/>
                <w:color w:val="auto"/>
                <w:sz w:val="24"/>
                <w:highlight w:val="none"/>
              </w:rPr>
            </w:pPr>
          </w:p>
        </w:tc>
        <w:tc>
          <w:tcPr>
            <w:tcW w:w="1340" w:type="dxa"/>
            <w:noWrap w:val="0"/>
            <w:vAlign w:val="top"/>
          </w:tcPr>
          <w:p w14:paraId="3BA3E778">
            <w:pPr>
              <w:rPr>
                <w:rFonts w:hint="eastAsia" w:ascii="宋体" w:hAnsi="宋体" w:cs="宋体"/>
                <w:color w:val="auto"/>
                <w:sz w:val="24"/>
                <w:highlight w:val="none"/>
              </w:rPr>
            </w:pPr>
          </w:p>
        </w:tc>
        <w:tc>
          <w:tcPr>
            <w:tcW w:w="922" w:type="dxa"/>
            <w:noWrap w:val="0"/>
            <w:vAlign w:val="top"/>
          </w:tcPr>
          <w:p w14:paraId="21BEC961">
            <w:pPr>
              <w:rPr>
                <w:rFonts w:hint="eastAsia" w:ascii="宋体" w:hAnsi="宋体" w:cs="宋体"/>
                <w:color w:val="auto"/>
                <w:sz w:val="24"/>
                <w:highlight w:val="none"/>
              </w:rPr>
            </w:pPr>
          </w:p>
        </w:tc>
      </w:tr>
      <w:tr w14:paraId="64155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050D7335">
            <w:pPr>
              <w:jc w:val="center"/>
              <w:rPr>
                <w:rFonts w:hint="eastAsia" w:ascii="宋体" w:hAnsi="宋体" w:cs="宋体"/>
                <w:color w:val="auto"/>
                <w:sz w:val="24"/>
                <w:highlight w:val="none"/>
              </w:rPr>
            </w:pPr>
            <w:r>
              <w:rPr>
                <w:rFonts w:hint="eastAsia" w:ascii="宋体" w:hAnsi="宋体" w:cs="宋体"/>
                <w:color w:val="auto"/>
                <w:sz w:val="24"/>
                <w:highlight w:val="none"/>
              </w:rPr>
              <w:t>8</w:t>
            </w:r>
          </w:p>
        </w:tc>
        <w:tc>
          <w:tcPr>
            <w:tcW w:w="2205" w:type="dxa"/>
            <w:noWrap w:val="0"/>
            <w:vAlign w:val="top"/>
          </w:tcPr>
          <w:p w14:paraId="2E968B3E">
            <w:pPr>
              <w:rPr>
                <w:rFonts w:hint="eastAsia" w:ascii="宋体" w:hAnsi="宋体" w:cs="宋体"/>
                <w:color w:val="auto"/>
                <w:sz w:val="24"/>
                <w:highlight w:val="none"/>
              </w:rPr>
            </w:pPr>
          </w:p>
        </w:tc>
        <w:tc>
          <w:tcPr>
            <w:tcW w:w="957" w:type="dxa"/>
            <w:noWrap w:val="0"/>
            <w:vAlign w:val="top"/>
          </w:tcPr>
          <w:p w14:paraId="1CBA2118">
            <w:pPr>
              <w:rPr>
                <w:rFonts w:hint="eastAsia" w:ascii="宋体" w:hAnsi="宋体" w:cs="宋体"/>
                <w:color w:val="auto"/>
                <w:sz w:val="24"/>
                <w:highlight w:val="none"/>
              </w:rPr>
            </w:pPr>
          </w:p>
        </w:tc>
        <w:tc>
          <w:tcPr>
            <w:tcW w:w="840" w:type="dxa"/>
            <w:noWrap w:val="0"/>
            <w:vAlign w:val="top"/>
          </w:tcPr>
          <w:p w14:paraId="1B38DDF0">
            <w:pPr>
              <w:rPr>
                <w:rFonts w:hint="eastAsia" w:ascii="宋体" w:hAnsi="宋体" w:cs="宋体"/>
                <w:color w:val="auto"/>
                <w:sz w:val="24"/>
                <w:highlight w:val="none"/>
              </w:rPr>
            </w:pPr>
          </w:p>
        </w:tc>
        <w:tc>
          <w:tcPr>
            <w:tcW w:w="1260" w:type="dxa"/>
            <w:noWrap w:val="0"/>
            <w:vAlign w:val="top"/>
          </w:tcPr>
          <w:p w14:paraId="2AD2340C">
            <w:pPr>
              <w:rPr>
                <w:rFonts w:hint="eastAsia" w:ascii="宋体" w:hAnsi="宋体" w:cs="宋体"/>
                <w:color w:val="auto"/>
                <w:sz w:val="24"/>
                <w:highlight w:val="none"/>
              </w:rPr>
            </w:pPr>
          </w:p>
        </w:tc>
        <w:tc>
          <w:tcPr>
            <w:tcW w:w="1340" w:type="dxa"/>
            <w:noWrap w:val="0"/>
            <w:vAlign w:val="top"/>
          </w:tcPr>
          <w:p w14:paraId="69447456">
            <w:pPr>
              <w:rPr>
                <w:rFonts w:hint="eastAsia" w:ascii="宋体" w:hAnsi="宋体" w:cs="宋体"/>
                <w:color w:val="auto"/>
                <w:sz w:val="24"/>
                <w:highlight w:val="none"/>
              </w:rPr>
            </w:pPr>
          </w:p>
        </w:tc>
        <w:tc>
          <w:tcPr>
            <w:tcW w:w="922" w:type="dxa"/>
            <w:noWrap w:val="0"/>
            <w:vAlign w:val="top"/>
          </w:tcPr>
          <w:p w14:paraId="0376F4AC">
            <w:pPr>
              <w:rPr>
                <w:rFonts w:hint="eastAsia" w:ascii="宋体" w:hAnsi="宋体" w:cs="宋体"/>
                <w:color w:val="auto"/>
                <w:sz w:val="24"/>
                <w:highlight w:val="none"/>
              </w:rPr>
            </w:pPr>
          </w:p>
        </w:tc>
      </w:tr>
      <w:tr w14:paraId="10EE0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55B2F07">
            <w:pPr>
              <w:jc w:val="center"/>
              <w:rPr>
                <w:rFonts w:hint="eastAsia" w:ascii="宋体" w:hAnsi="宋体" w:cs="宋体"/>
                <w:color w:val="auto"/>
                <w:sz w:val="24"/>
                <w:highlight w:val="none"/>
              </w:rPr>
            </w:pPr>
            <w:r>
              <w:rPr>
                <w:rFonts w:hint="eastAsia" w:ascii="宋体" w:hAnsi="宋体" w:cs="宋体"/>
                <w:color w:val="auto"/>
                <w:sz w:val="24"/>
                <w:highlight w:val="none"/>
              </w:rPr>
              <w:t>9</w:t>
            </w:r>
          </w:p>
        </w:tc>
        <w:tc>
          <w:tcPr>
            <w:tcW w:w="2205" w:type="dxa"/>
            <w:noWrap w:val="0"/>
            <w:vAlign w:val="top"/>
          </w:tcPr>
          <w:p w14:paraId="4997BB48">
            <w:pPr>
              <w:rPr>
                <w:rFonts w:hint="eastAsia" w:ascii="宋体" w:hAnsi="宋体" w:cs="宋体"/>
                <w:color w:val="auto"/>
                <w:sz w:val="24"/>
                <w:highlight w:val="none"/>
              </w:rPr>
            </w:pPr>
          </w:p>
        </w:tc>
        <w:tc>
          <w:tcPr>
            <w:tcW w:w="957" w:type="dxa"/>
            <w:noWrap w:val="0"/>
            <w:vAlign w:val="top"/>
          </w:tcPr>
          <w:p w14:paraId="7DF61B98">
            <w:pPr>
              <w:rPr>
                <w:rFonts w:hint="eastAsia" w:ascii="宋体" w:hAnsi="宋体" w:cs="宋体"/>
                <w:color w:val="auto"/>
                <w:sz w:val="24"/>
                <w:highlight w:val="none"/>
              </w:rPr>
            </w:pPr>
          </w:p>
        </w:tc>
        <w:tc>
          <w:tcPr>
            <w:tcW w:w="840" w:type="dxa"/>
            <w:noWrap w:val="0"/>
            <w:vAlign w:val="top"/>
          </w:tcPr>
          <w:p w14:paraId="7E79F610">
            <w:pPr>
              <w:rPr>
                <w:rFonts w:hint="eastAsia" w:ascii="宋体" w:hAnsi="宋体" w:cs="宋体"/>
                <w:color w:val="auto"/>
                <w:sz w:val="24"/>
                <w:highlight w:val="none"/>
              </w:rPr>
            </w:pPr>
          </w:p>
        </w:tc>
        <w:tc>
          <w:tcPr>
            <w:tcW w:w="1260" w:type="dxa"/>
            <w:noWrap w:val="0"/>
            <w:vAlign w:val="top"/>
          </w:tcPr>
          <w:p w14:paraId="3A40419A">
            <w:pPr>
              <w:rPr>
                <w:rFonts w:hint="eastAsia" w:ascii="宋体" w:hAnsi="宋体" w:cs="宋体"/>
                <w:color w:val="auto"/>
                <w:sz w:val="24"/>
                <w:highlight w:val="none"/>
              </w:rPr>
            </w:pPr>
          </w:p>
        </w:tc>
        <w:tc>
          <w:tcPr>
            <w:tcW w:w="1340" w:type="dxa"/>
            <w:noWrap w:val="0"/>
            <w:vAlign w:val="top"/>
          </w:tcPr>
          <w:p w14:paraId="4AD75EFC">
            <w:pPr>
              <w:rPr>
                <w:rFonts w:hint="eastAsia" w:ascii="宋体" w:hAnsi="宋体" w:cs="宋体"/>
                <w:color w:val="auto"/>
                <w:sz w:val="24"/>
                <w:highlight w:val="none"/>
              </w:rPr>
            </w:pPr>
          </w:p>
        </w:tc>
        <w:tc>
          <w:tcPr>
            <w:tcW w:w="922" w:type="dxa"/>
            <w:noWrap w:val="0"/>
            <w:vAlign w:val="top"/>
          </w:tcPr>
          <w:p w14:paraId="6286F439">
            <w:pPr>
              <w:rPr>
                <w:rFonts w:hint="eastAsia" w:ascii="宋体" w:hAnsi="宋体" w:cs="宋体"/>
                <w:color w:val="auto"/>
                <w:sz w:val="24"/>
                <w:highlight w:val="none"/>
              </w:rPr>
            </w:pPr>
          </w:p>
        </w:tc>
      </w:tr>
      <w:tr w14:paraId="3DA70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042B905">
            <w:pPr>
              <w:jc w:val="center"/>
              <w:rPr>
                <w:rFonts w:hint="eastAsia" w:ascii="宋体" w:hAnsi="宋体" w:cs="宋体"/>
                <w:color w:val="auto"/>
                <w:sz w:val="24"/>
                <w:highlight w:val="none"/>
              </w:rPr>
            </w:pPr>
            <w:r>
              <w:rPr>
                <w:rFonts w:hint="eastAsia" w:ascii="宋体" w:hAnsi="宋体" w:cs="宋体"/>
                <w:color w:val="auto"/>
                <w:sz w:val="24"/>
                <w:highlight w:val="none"/>
              </w:rPr>
              <w:t>10</w:t>
            </w:r>
          </w:p>
        </w:tc>
        <w:tc>
          <w:tcPr>
            <w:tcW w:w="2205" w:type="dxa"/>
            <w:noWrap w:val="0"/>
            <w:vAlign w:val="top"/>
          </w:tcPr>
          <w:p w14:paraId="7153CE94">
            <w:pPr>
              <w:rPr>
                <w:rFonts w:hint="eastAsia" w:ascii="宋体" w:hAnsi="宋体" w:cs="宋体"/>
                <w:color w:val="auto"/>
                <w:sz w:val="24"/>
                <w:highlight w:val="none"/>
              </w:rPr>
            </w:pPr>
          </w:p>
        </w:tc>
        <w:tc>
          <w:tcPr>
            <w:tcW w:w="957" w:type="dxa"/>
            <w:noWrap w:val="0"/>
            <w:vAlign w:val="top"/>
          </w:tcPr>
          <w:p w14:paraId="3A4208C3">
            <w:pPr>
              <w:rPr>
                <w:rFonts w:hint="eastAsia" w:ascii="宋体" w:hAnsi="宋体" w:cs="宋体"/>
                <w:color w:val="auto"/>
                <w:sz w:val="24"/>
                <w:highlight w:val="none"/>
              </w:rPr>
            </w:pPr>
          </w:p>
        </w:tc>
        <w:tc>
          <w:tcPr>
            <w:tcW w:w="840" w:type="dxa"/>
            <w:noWrap w:val="0"/>
            <w:vAlign w:val="top"/>
          </w:tcPr>
          <w:p w14:paraId="40C43FD7">
            <w:pPr>
              <w:rPr>
                <w:rFonts w:hint="eastAsia" w:ascii="宋体" w:hAnsi="宋体" w:cs="宋体"/>
                <w:color w:val="auto"/>
                <w:sz w:val="24"/>
                <w:highlight w:val="none"/>
              </w:rPr>
            </w:pPr>
          </w:p>
        </w:tc>
        <w:tc>
          <w:tcPr>
            <w:tcW w:w="1260" w:type="dxa"/>
            <w:noWrap w:val="0"/>
            <w:vAlign w:val="top"/>
          </w:tcPr>
          <w:p w14:paraId="3F74DBE6">
            <w:pPr>
              <w:rPr>
                <w:rFonts w:hint="eastAsia" w:ascii="宋体" w:hAnsi="宋体" w:cs="宋体"/>
                <w:color w:val="auto"/>
                <w:sz w:val="24"/>
                <w:highlight w:val="none"/>
              </w:rPr>
            </w:pPr>
          </w:p>
        </w:tc>
        <w:tc>
          <w:tcPr>
            <w:tcW w:w="1340" w:type="dxa"/>
            <w:noWrap w:val="0"/>
            <w:vAlign w:val="top"/>
          </w:tcPr>
          <w:p w14:paraId="3504B4AE">
            <w:pPr>
              <w:rPr>
                <w:rFonts w:hint="eastAsia" w:ascii="宋体" w:hAnsi="宋体" w:cs="宋体"/>
                <w:color w:val="auto"/>
                <w:sz w:val="24"/>
                <w:highlight w:val="none"/>
              </w:rPr>
            </w:pPr>
          </w:p>
        </w:tc>
        <w:tc>
          <w:tcPr>
            <w:tcW w:w="922" w:type="dxa"/>
            <w:noWrap w:val="0"/>
            <w:vAlign w:val="top"/>
          </w:tcPr>
          <w:p w14:paraId="217CDAD0">
            <w:pPr>
              <w:rPr>
                <w:rFonts w:hint="eastAsia" w:ascii="宋体" w:hAnsi="宋体" w:cs="宋体"/>
                <w:color w:val="auto"/>
                <w:sz w:val="24"/>
                <w:highlight w:val="none"/>
              </w:rPr>
            </w:pPr>
          </w:p>
        </w:tc>
      </w:tr>
      <w:tr w14:paraId="6F1FB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89E3DCD">
            <w:pPr>
              <w:jc w:val="center"/>
              <w:rPr>
                <w:rFonts w:hint="eastAsia" w:ascii="宋体" w:hAnsi="宋体" w:cs="宋体"/>
                <w:color w:val="auto"/>
                <w:sz w:val="24"/>
                <w:highlight w:val="none"/>
              </w:rPr>
            </w:pPr>
            <w:r>
              <w:rPr>
                <w:rFonts w:hint="eastAsia" w:ascii="宋体" w:hAnsi="宋体" w:cs="宋体"/>
                <w:color w:val="auto"/>
                <w:sz w:val="24"/>
                <w:highlight w:val="none"/>
              </w:rPr>
              <w:t>11</w:t>
            </w:r>
          </w:p>
        </w:tc>
        <w:tc>
          <w:tcPr>
            <w:tcW w:w="2205" w:type="dxa"/>
            <w:noWrap w:val="0"/>
            <w:vAlign w:val="top"/>
          </w:tcPr>
          <w:p w14:paraId="2581AF8A">
            <w:pPr>
              <w:rPr>
                <w:rFonts w:hint="eastAsia" w:ascii="宋体" w:hAnsi="宋体" w:cs="宋体"/>
                <w:color w:val="auto"/>
                <w:sz w:val="24"/>
                <w:highlight w:val="none"/>
              </w:rPr>
            </w:pPr>
          </w:p>
        </w:tc>
        <w:tc>
          <w:tcPr>
            <w:tcW w:w="957" w:type="dxa"/>
            <w:noWrap w:val="0"/>
            <w:vAlign w:val="top"/>
          </w:tcPr>
          <w:p w14:paraId="2907717C">
            <w:pPr>
              <w:rPr>
                <w:rFonts w:hint="eastAsia" w:ascii="宋体" w:hAnsi="宋体" w:cs="宋体"/>
                <w:color w:val="auto"/>
                <w:sz w:val="24"/>
                <w:highlight w:val="none"/>
              </w:rPr>
            </w:pPr>
          </w:p>
        </w:tc>
        <w:tc>
          <w:tcPr>
            <w:tcW w:w="840" w:type="dxa"/>
            <w:noWrap w:val="0"/>
            <w:vAlign w:val="top"/>
          </w:tcPr>
          <w:p w14:paraId="2CFBB7CD">
            <w:pPr>
              <w:rPr>
                <w:rFonts w:hint="eastAsia" w:ascii="宋体" w:hAnsi="宋体" w:cs="宋体"/>
                <w:color w:val="auto"/>
                <w:sz w:val="24"/>
                <w:highlight w:val="none"/>
              </w:rPr>
            </w:pPr>
          </w:p>
        </w:tc>
        <w:tc>
          <w:tcPr>
            <w:tcW w:w="1260" w:type="dxa"/>
            <w:noWrap w:val="0"/>
            <w:vAlign w:val="top"/>
          </w:tcPr>
          <w:p w14:paraId="265F17FD">
            <w:pPr>
              <w:rPr>
                <w:rFonts w:hint="eastAsia" w:ascii="宋体" w:hAnsi="宋体" w:cs="宋体"/>
                <w:color w:val="auto"/>
                <w:sz w:val="24"/>
                <w:highlight w:val="none"/>
              </w:rPr>
            </w:pPr>
          </w:p>
        </w:tc>
        <w:tc>
          <w:tcPr>
            <w:tcW w:w="1340" w:type="dxa"/>
            <w:noWrap w:val="0"/>
            <w:vAlign w:val="top"/>
          </w:tcPr>
          <w:p w14:paraId="5D511B01">
            <w:pPr>
              <w:rPr>
                <w:rFonts w:hint="eastAsia" w:ascii="宋体" w:hAnsi="宋体" w:cs="宋体"/>
                <w:color w:val="auto"/>
                <w:sz w:val="24"/>
                <w:highlight w:val="none"/>
              </w:rPr>
            </w:pPr>
          </w:p>
        </w:tc>
        <w:tc>
          <w:tcPr>
            <w:tcW w:w="922" w:type="dxa"/>
            <w:noWrap w:val="0"/>
            <w:vAlign w:val="top"/>
          </w:tcPr>
          <w:p w14:paraId="3F3688AD">
            <w:pPr>
              <w:rPr>
                <w:rFonts w:hint="eastAsia" w:ascii="宋体" w:hAnsi="宋体" w:cs="宋体"/>
                <w:color w:val="auto"/>
                <w:sz w:val="24"/>
                <w:highlight w:val="none"/>
              </w:rPr>
            </w:pPr>
          </w:p>
        </w:tc>
      </w:tr>
      <w:tr w14:paraId="2473F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52F1A261">
            <w:pPr>
              <w:jc w:val="center"/>
              <w:rPr>
                <w:rFonts w:hint="eastAsia" w:ascii="宋体" w:hAnsi="宋体" w:cs="宋体"/>
                <w:color w:val="auto"/>
                <w:sz w:val="24"/>
                <w:highlight w:val="none"/>
              </w:rPr>
            </w:pPr>
            <w:r>
              <w:rPr>
                <w:rFonts w:hint="eastAsia" w:ascii="宋体" w:hAnsi="宋体" w:cs="宋体"/>
                <w:color w:val="auto"/>
                <w:sz w:val="24"/>
                <w:highlight w:val="none"/>
              </w:rPr>
              <w:t>12</w:t>
            </w:r>
          </w:p>
        </w:tc>
        <w:tc>
          <w:tcPr>
            <w:tcW w:w="2205" w:type="dxa"/>
            <w:noWrap w:val="0"/>
            <w:vAlign w:val="top"/>
          </w:tcPr>
          <w:p w14:paraId="510B374C">
            <w:pPr>
              <w:rPr>
                <w:rFonts w:hint="eastAsia" w:ascii="宋体" w:hAnsi="宋体" w:cs="宋体"/>
                <w:color w:val="auto"/>
                <w:sz w:val="24"/>
                <w:highlight w:val="none"/>
              </w:rPr>
            </w:pPr>
          </w:p>
        </w:tc>
        <w:tc>
          <w:tcPr>
            <w:tcW w:w="957" w:type="dxa"/>
            <w:noWrap w:val="0"/>
            <w:vAlign w:val="top"/>
          </w:tcPr>
          <w:p w14:paraId="2A40C28F">
            <w:pPr>
              <w:rPr>
                <w:rFonts w:hint="eastAsia" w:ascii="宋体" w:hAnsi="宋体" w:cs="宋体"/>
                <w:color w:val="auto"/>
                <w:sz w:val="24"/>
                <w:highlight w:val="none"/>
              </w:rPr>
            </w:pPr>
          </w:p>
        </w:tc>
        <w:tc>
          <w:tcPr>
            <w:tcW w:w="840" w:type="dxa"/>
            <w:noWrap w:val="0"/>
            <w:vAlign w:val="top"/>
          </w:tcPr>
          <w:p w14:paraId="6751D3F1">
            <w:pPr>
              <w:rPr>
                <w:rFonts w:hint="eastAsia" w:ascii="宋体" w:hAnsi="宋体" w:cs="宋体"/>
                <w:color w:val="auto"/>
                <w:sz w:val="24"/>
                <w:highlight w:val="none"/>
              </w:rPr>
            </w:pPr>
          </w:p>
        </w:tc>
        <w:tc>
          <w:tcPr>
            <w:tcW w:w="1260" w:type="dxa"/>
            <w:noWrap w:val="0"/>
            <w:vAlign w:val="top"/>
          </w:tcPr>
          <w:p w14:paraId="58123A70">
            <w:pPr>
              <w:rPr>
                <w:rFonts w:hint="eastAsia" w:ascii="宋体" w:hAnsi="宋体" w:cs="宋体"/>
                <w:color w:val="auto"/>
                <w:sz w:val="24"/>
                <w:highlight w:val="none"/>
              </w:rPr>
            </w:pPr>
          </w:p>
        </w:tc>
        <w:tc>
          <w:tcPr>
            <w:tcW w:w="1340" w:type="dxa"/>
            <w:noWrap w:val="0"/>
            <w:vAlign w:val="top"/>
          </w:tcPr>
          <w:p w14:paraId="41148929">
            <w:pPr>
              <w:rPr>
                <w:rFonts w:hint="eastAsia" w:ascii="宋体" w:hAnsi="宋体" w:cs="宋体"/>
                <w:color w:val="auto"/>
                <w:sz w:val="24"/>
                <w:highlight w:val="none"/>
              </w:rPr>
            </w:pPr>
          </w:p>
        </w:tc>
        <w:tc>
          <w:tcPr>
            <w:tcW w:w="922" w:type="dxa"/>
            <w:noWrap w:val="0"/>
            <w:vAlign w:val="top"/>
          </w:tcPr>
          <w:p w14:paraId="4FCF3F2D">
            <w:pPr>
              <w:rPr>
                <w:rFonts w:hint="eastAsia" w:ascii="宋体" w:hAnsi="宋体" w:cs="宋体"/>
                <w:color w:val="auto"/>
                <w:sz w:val="24"/>
                <w:highlight w:val="none"/>
              </w:rPr>
            </w:pPr>
          </w:p>
        </w:tc>
      </w:tr>
      <w:tr w14:paraId="54250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22FA070">
            <w:pPr>
              <w:jc w:val="center"/>
              <w:rPr>
                <w:rFonts w:hint="eastAsia" w:ascii="宋体" w:hAnsi="宋体" w:cs="宋体"/>
                <w:color w:val="auto"/>
                <w:sz w:val="24"/>
                <w:highlight w:val="none"/>
              </w:rPr>
            </w:pPr>
            <w:r>
              <w:rPr>
                <w:rFonts w:hint="eastAsia" w:ascii="宋体" w:hAnsi="宋体" w:cs="宋体"/>
                <w:color w:val="auto"/>
                <w:sz w:val="24"/>
                <w:highlight w:val="none"/>
              </w:rPr>
              <w:t>13</w:t>
            </w:r>
          </w:p>
        </w:tc>
        <w:tc>
          <w:tcPr>
            <w:tcW w:w="2205" w:type="dxa"/>
            <w:noWrap w:val="0"/>
            <w:vAlign w:val="top"/>
          </w:tcPr>
          <w:p w14:paraId="53A2A7D8">
            <w:pPr>
              <w:rPr>
                <w:rFonts w:hint="eastAsia" w:ascii="宋体" w:hAnsi="宋体" w:cs="宋体"/>
                <w:color w:val="auto"/>
                <w:sz w:val="24"/>
                <w:highlight w:val="none"/>
              </w:rPr>
            </w:pPr>
          </w:p>
        </w:tc>
        <w:tc>
          <w:tcPr>
            <w:tcW w:w="957" w:type="dxa"/>
            <w:noWrap w:val="0"/>
            <w:vAlign w:val="top"/>
          </w:tcPr>
          <w:p w14:paraId="71F6A683">
            <w:pPr>
              <w:rPr>
                <w:rFonts w:hint="eastAsia" w:ascii="宋体" w:hAnsi="宋体" w:cs="宋体"/>
                <w:color w:val="auto"/>
                <w:sz w:val="24"/>
                <w:highlight w:val="none"/>
              </w:rPr>
            </w:pPr>
          </w:p>
        </w:tc>
        <w:tc>
          <w:tcPr>
            <w:tcW w:w="840" w:type="dxa"/>
            <w:noWrap w:val="0"/>
            <w:vAlign w:val="top"/>
          </w:tcPr>
          <w:p w14:paraId="147EBDA5">
            <w:pPr>
              <w:rPr>
                <w:rFonts w:hint="eastAsia" w:ascii="宋体" w:hAnsi="宋体" w:cs="宋体"/>
                <w:color w:val="auto"/>
                <w:sz w:val="24"/>
                <w:highlight w:val="none"/>
              </w:rPr>
            </w:pPr>
          </w:p>
        </w:tc>
        <w:tc>
          <w:tcPr>
            <w:tcW w:w="1260" w:type="dxa"/>
            <w:noWrap w:val="0"/>
            <w:vAlign w:val="top"/>
          </w:tcPr>
          <w:p w14:paraId="18591ABA">
            <w:pPr>
              <w:rPr>
                <w:rFonts w:hint="eastAsia" w:ascii="宋体" w:hAnsi="宋体" w:cs="宋体"/>
                <w:color w:val="auto"/>
                <w:sz w:val="24"/>
                <w:highlight w:val="none"/>
              </w:rPr>
            </w:pPr>
          </w:p>
        </w:tc>
        <w:tc>
          <w:tcPr>
            <w:tcW w:w="1340" w:type="dxa"/>
            <w:noWrap w:val="0"/>
            <w:vAlign w:val="top"/>
          </w:tcPr>
          <w:p w14:paraId="2F723FCE">
            <w:pPr>
              <w:rPr>
                <w:rFonts w:hint="eastAsia" w:ascii="宋体" w:hAnsi="宋体" w:cs="宋体"/>
                <w:color w:val="auto"/>
                <w:sz w:val="24"/>
                <w:highlight w:val="none"/>
              </w:rPr>
            </w:pPr>
          </w:p>
        </w:tc>
        <w:tc>
          <w:tcPr>
            <w:tcW w:w="922" w:type="dxa"/>
            <w:noWrap w:val="0"/>
            <w:vAlign w:val="top"/>
          </w:tcPr>
          <w:p w14:paraId="11934AF4">
            <w:pPr>
              <w:rPr>
                <w:rFonts w:hint="eastAsia" w:ascii="宋体" w:hAnsi="宋体" w:cs="宋体"/>
                <w:color w:val="auto"/>
                <w:sz w:val="24"/>
                <w:highlight w:val="none"/>
              </w:rPr>
            </w:pPr>
          </w:p>
        </w:tc>
      </w:tr>
      <w:tr w14:paraId="2ADAF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AEAC4A0">
            <w:pPr>
              <w:jc w:val="center"/>
              <w:rPr>
                <w:rFonts w:hint="eastAsia" w:ascii="宋体" w:hAnsi="宋体" w:cs="宋体"/>
                <w:color w:val="auto"/>
                <w:sz w:val="24"/>
                <w:highlight w:val="none"/>
              </w:rPr>
            </w:pPr>
          </w:p>
        </w:tc>
        <w:tc>
          <w:tcPr>
            <w:tcW w:w="2205" w:type="dxa"/>
            <w:noWrap w:val="0"/>
            <w:vAlign w:val="center"/>
          </w:tcPr>
          <w:p w14:paraId="074957DF">
            <w:pPr>
              <w:pStyle w:val="48"/>
              <w:rPr>
                <w:rFonts w:hint="eastAsia" w:ascii="宋体" w:hAnsi="宋体" w:cs="宋体"/>
                <w:color w:val="auto"/>
                <w:highlight w:val="none"/>
              </w:rPr>
            </w:pPr>
            <w:r>
              <w:rPr>
                <w:rFonts w:hint="eastAsia" w:ascii="宋体" w:hAnsi="宋体" w:cs="宋体"/>
                <w:color w:val="auto"/>
                <w:highlight w:val="none"/>
              </w:rPr>
              <w:t>其他费用</w:t>
            </w:r>
          </w:p>
        </w:tc>
        <w:tc>
          <w:tcPr>
            <w:tcW w:w="957" w:type="dxa"/>
            <w:noWrap w:val="0"/>
            <w:vAlign w:val="top"/>
          </w:tcPr>
          <w:p w14:paraId="2FB452C3">
            <w:pPr>
              <w:rPr>
                <w:rFonts w:hint="eastAsia" w:ascii="宋体" w:hAnsi="宋体" w:cs="宋体"/>
                <w:color w:val="auto"/>
                <w:sz w:val="24"/>
                <w:highlight w:val="none"/>
              </w:rPr>
            </w:pPr>
          </w:p>
        </w:tc>
        <w:tc>
          <w:tcPr>
            <w:tcW w:w="840" w:type="dxa"/>
            <w:noWrap w:val="0"/>
            <w:vAlign w:val="top"/>
          </w:tcPr>
          <w:p w14:paraId="44A4D58D">
            <w:pPr>
              <w:rPr>
                <w:rFonts w:hint="eastAsia" w:ascii="宋体" w:hAnsi="宋体" w:cs="宋体"/>
                <w:color w:val="auto"/>
                <w:sz w:val="24"/>
                <w:highlight w:val="none"/>
              </w:rPr>
            </w:pPr>
          </w:p>
        </w:tc>
        <w:tc>
          <w:tcPr>
            <w:tcW w:w="1260" w:type="dxa"/>
            <w:noWrap w:val="0"/>
            <w:vAlign w:val="top"/>
          </w:tcPr>
          <w:p w14:paraId="0826A829">
            <w:pPr>
              <w:rPr>
                <w:rFonts w:hint="eastAsia" w:ascii="宋体" w:hAnsi="宋体" w:cs="宋体"/>
                <w:color w:val="auto"/>
                <w:sz w:val="24"/>
                <w:highlight w:val="none"/>
              </w:rPr>
            </w:pPr>
          </w:p>
        </w:tc>
        <w:tc>
          <w:tcPr>
            <w:tcW w:w="1340" w:type="dxa"/>
            <w:noWrap w:val="0"/>
            <w:vAlign w:val="top"/>
          </w:tcPr>
          <w:p w14:paraId="5391D78B">
            <w:pPr>
              <w:rPr>
                <w:rFonts w:hint="eastAsia" w:ascii="宋体" w:hAnsi="宋体" w:cs="宋体"/>
                <w:color w:val="auto"/>
                <w:sz w:val="24"/>
                <w:highlight w:val="none"/>
              </w:rPr>
            </w:pPr>
          </w:p>
        </w:tc>
        <w:tc>
          <w:tcPr>
            <w:tcW w:w="922" w:type="dxa"/>
            <w:noWrap w:val="0"/>
            <w:vAlign w:val="top"/>
          </w:tcPr>
          <w:p w14:paraId="2A1BBD45">
            <w:pPr>
              <w:rPr>
                <w:rFonts w:hint="eastAsia" w:ascii="宋体" w:hAnsi="宋体" w:cs="宋体"/>
                <w:color w:val="auto"/>
                <w:sz w:val="24"/>
                <w:highlight w:val="none"/>
              </w:rPr>
            </w:pPr>
          </w:p>
        </w:tc>
      </w:tr>
      <w:tr w14:paraId="6A82C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1D224D4">
            <w:pPr>
              <w:jc w:val="center"/>
              <w:rPr>
                <w:rFonts w:hint="eastAsia" w:ascii="宋体" w:hAnsi="宋体" w:cs="宋体"/>
                <w:color w:val="auto"/>
                <w:sz w:val="24"/>
                <w:highlight w:val="none"/>
              </w:rPr>
            </w:pPr>
          </w:p>
        </w:tc>
        <w:tc>
          <w:tcPr>
            <w:tcW w:w="2205" w:type="dxa"/>
            <w:noWrap w:val="0"/>
            <w:vAlign w:val="center"/>
          </w:tcPr>
          <w:p w14:paraId="4F49800E">
            <w:pPr>
              <w:pStyle w:val="48"/>
              <w:rPr>
                <w:rFonts w:hint="eastAsia" w:ascii="宋体" w:hAnsi="宋体" w:cs="宋体"/>
                <w:color w:val="auto"/>
                <w:highlight w:val="none"/>
              </w:rPr>
            </w:pPr>
            <w:r>
              <w:rPr>
                <w:rFonts w:hint="eastAsia" w:ascii="宋体" w:hAnsi="宋体" w:cs="宋体"/>
                <w:color w:val="auto"/>
                <w:highlight w:val="none"/>
              </w:rPr>
              <w:t>合计</w:t>
            </w:r>
          </w:p>
        </w:tc>
        <w:tc>
          <w:tcPr>
            <w:tcW w:w="957" w:type="dxa"/>
            <w:noWrap w:val="0"/>
            <w:vAlign w:val="top"/>
          </w:tcPr>
          <w:p w14:paraId="47DE3FFB">
            <w:pPr>
              <w:rPr>
                <w:rFonts w:hint="eastAsia" w:ascii="宋体" w:hAnsi="宋体" w:cs="宋体"/>
                <w:color w:val="auto"/>
                <w:sz w:val="24"/>
                <w:highlight w:val="none"/>
              </w:rPr>
            </w:pPr>
          </w:p>
        </w:tc>
        <w:tc>
          <w:tcPr>
            <w:tcW w:w="840" w:type="dxa"/>
            <w:noWrap w:val="0"/>
            <w:vAlign w:val="top"/>
          </w:tcPr>
          <w:p w14:paraId="34079D71">
            <w:pPr>
              <w:rPr>
                <w:rFonts w:hint="eastAsia" w:ascii="宋体" w:hAnsi="宋体" w:cs="宋体"/>
                <w:color w:val="auto"/>
                <w:sz w:val="24"/>
                <w:highlight w:val="none"/>
              </w:rPr>
            </w:pPr>
          </w:p>
        </w:tc>
        <w:tc>
          <w:tcPr>
            <w:tcW w:w="1260" w:type="dxa"/>
            <w:noWrap w:val="0"/>
            <w:vAlign w:val="top"/>
          </w:tcPr>
          <w:p w14:paraId="33E2325D">
            <w:pPr>
              <w:rPr>
                <w:rFonts w:hint="eastAsia" w:ascii="宋体" w:hAnsi="宋体" w:cs="宋体"/>
                <w:color w:val="auto"/>
                <w:sz w:val="24"/>
                <w:highlight w:val="none"/>
              </w:rPr>
            </w:pPr>
          </w:p>
        </w:tc>
        <w:tc>
          <w:tcPr>
            <w:tcW w:w="1340" w:type="dxa"/>
            <w:noWrap w:val="0"/>
            <w:vAlign w:val="top"/>
          </w:tcPr>
          <w:p w14:paraId="143BB4C3">
            <w:pPr>
              <w:rPr>
                <w:rFonts w:hint="eastAsia" w:ascii="宋体" w:hAnsi="宋体" w:cs="宋体"/>
                <w:color w:val="auto"/>
                <w:sz w:val="24"/>
                <w:highlight w:val="none"/>
              </w:rPr>
            </w:pPr>
          </w:p>
        </w:tc>
        <w:tc>
          <w:tcPr>
            <w:tcW w:w="922" w:type="dxa"/>
            <w:noWrap w:val="0"/>
            <w:vAlign w:val="top"/>
          </w:tcPr>
          <w:p w14:paraId="58E74877">
            <w:pPr>
              <w:rPr>
                <w:rFonts w:hint="eastAsia" w:ascii="宋体" w:hAnsi="宋体" w:cs="宋体"/>
                <w:color w:val="auto"/>
                <w:sz w:val="24"/>
                <w:highlight w:val="none"/>
              </w:rPr>
            </w:pPr>
          </w:p>
        </w:tc>
        <w:bookmarkStart w:id="160" w:name="_Hlt533408944"/>
        <w:bookmarkStart w:id="161" w:name="_Hlt514495724"/>
      </w:tr>
      <w:bookmarkEnd w:id="128"/>
      <w:bookmarkEnd w:id="129"/>
      <w:bookmarkEnd w:id="130"/>
      <w:bookmarkEnd w:id="160"/>
      <w:bookmarkEnd w:id="161"/>
    </w:tbl>
    <w:p w14:paraId="0DBC315A">
      <w:pPr>
        <w:pStyle w:val="12"/>
        <w:spacing w:line="360" w:lineRule="auto"/>
        <w:rPr>
          <w:rFonts w:hint="eastAsia" w:ascii="宋体" w:hAnsi="宋体" w:cs="宋体"/>
          <w:color w:val="auto"/>
          <w:sz w:val="24"/>
          <w:highlight w:val="none"/>
        </w:rPr>
      </w:pPr>
      <w:bookmarkStart w:id="162" w:name="_Toc27270_WPSOffice_Level2"/>
      <w:bookmarkStart w:id="163" w:name="_Toc197934552"/>
    </w:p>
    <w:p w14:paraId="10F11158">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r>
        <w:rPr>
          <w:rFonts w:hint="eastAsia" w:ascii="宋体" w:hAnsi="宋体" w:cs="宋体"/>
          <w:color w:val="auto"/>
          <w:sz w:val="24"/>
          <w:highlight w:val="none"/>
        </w:rPr>
        <w:t>）</w:t>
      </w:r>
    </w:p>
    <w:p w14:paraId="495FA86D">
      <w:pPr>
        <w:spacing w:line="380" w:lineRule="exact"/>
        <w:ind w:right="640" w:firstLine="1560" w:firstLineChars="650"/>
        <w:rPr>
          <w:rFonts w:hint="eastAsia" w:ascii="宋体" w:hAnsi="宋体" w:cs="宋体"/>
          <w:color w:val="auto"/>
          <w:sz w:val="24"/>
          <w:highlight w:val="none"/>
        </w:rPr>
      </w:pPr>
    </w:p>
    <w:p w14:paraId="1AA4F58D">
      <w:pPr>
        <w:spacing w:line="380" w:lineRule="exact"/>
        <w:ind w:right="640" w:firstLine="3600" w:firstLineChars="1500"/>
        <w:rPr>
          <w:rFonts w:hint="eastAsia" w:ascii="宋体" w:hAnsi="宋体" w:cs="宋体"/>
          <w:color w:val="auto"/>
          <w:sz w:val="24"/>
          <w:highlight w:val="none"/>
        </w:rPr>
      </w:pPr>
      <w:r>
        <w:rPr>
          <w:rFonts w:hint="eastAsia" w:ascii="宋体" w:hAnsi="宋体" w:cs="宋体"/>
          <w:color w:val="auto"/>
          <w:sz w:val="24"/>
          <w:highlight w:val="none"/>
        </w:rPr>
        <w:t>法人代表：（签</w:t>
      </w:r>
      <w:r>
        <w:rPr>
          <w:rFonts w:hint="eastAsia" w:ascii="宋体" w:hAnsi="宋体" w:cs="宋体"/>
          <w:color w:val="auto"/>
          <w:sz w:val="24"/>
          <w:highlight w:val="none"/>
          <w:lang w:val="en-US" w:eastAsia="zh-CN"/>
        </w:rPr>
        <w:t>字</w:t>
      </w:r>
      <w:r>
        <w:rPr>
          <w:rFonts w:hint="eastAsia" w:ascii="宋体" w:hAnsi="宋体" w:cs="宋体"/>
          <w:color w:val="auto"/>
          <w:sz w:val="24"/>
          <w:highlight w:val="none"/>
        </w:rPr>
        <w:t>）</w:t>
      </w:r>
    </w:p>
    <w:p w14:paraId="67E55A8F">
      <w:pPr>
        <w:spacing w:line="380" w:lineRule="exact"/>
        <w:jc w:val="center"/>
        <w:rPr>
          <w:rFonts w:hint="eastAsia" w:ascii="宋体" w:hAnsi="宋体" w:cs="宋体"/>
          <w:color w:val="auto"/>
          <w:sz w:val="24"/>
          <w:highlight w:val="none"/>
        </w:rPr>
      </w:pPr>
    </w:p>
    <w:p w14:paraId="7DF67CB9">
      <w:pPr>
        <w:jc w:val="center"/>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52092596">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备注：</w:t>
      </w:r>
    </w:p>
    <w:p w14:paraId="5F6288D9">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报价为所投货物的单价组成。包括货物出厂价格、运费、税金及其它。</w:t>
      </w:r>
    </w:p>
    <w:p w14:paraId="52EE7154">
      <w:pPr>
        <w:pStyle w:val="18"/>
        <w:rPr>
          <w:rFonts w:hint="eastAsia"/>
          <w:color w:val="auto"/>
          <w:highlight w:val="none"/>
        </w:rPr>
      </w:pPr>
    </w:p>
    <w:p w14:paraId="2BED2490">
      <w:pPr>
        <w:pStyle w:val="18"/>
        <w:rPr>
          <w:rFonts w:hint="eastAsia"/>
          <w:color w:val="auto"/>
          <w:highlight w:val="none"/>
        </w:rPr>
      </w:pPr>
    </w:p>
    <w:p w14:paraId="42ED7147">
      <w:pPr>
        <w:pStyle w:val="18"/>
        <w:rPr>
          <w:rFonts w:hint="eastAsia"/>
          <w:color w:val="auto"/>
          <w:highlight w:val="none"/>
        </w:rPr>
      </w:pPr>
    </w:p>
    <w:p w14:paraId="04D65F54">
      <w:pPr>
        <w:pStyle w:val="18"/>
        <w:rPr>
          <w:rFonts w:hint="eastAsia"/>
          <w:color w:val="auto"/>
          <w:highlight w:val="none"/>
        </w:rPr>
      </w:pPr>
    </w:p>
    <w:p w14:paraId="1585F41A">
      <w:pPr>
        <w:pStyle w:val="18"/>
        <w:rPr>
          <w:rFonts w:hint="eastAsia"/>
          <w:color w:val="auto"/>
          <w:highlight w:val="none"/>
        </w:rPr>
      </w:pPr>
    </w:p>
    <w:p w14:paraId="65ABE415">
      <w:pPr>
        <w:pStyle w:val="18"/>
        <w:rPr>
          <w:rFonts w:hint="eastAsia"/>
          <w:color w:val="auto"/>
          <w:highlight w:val="none"/>
        </w:rPr>
      </w:pPr>
    </w:p>
    <w:p w14:paraId="584DCFA9">
      <w:pPr>
        <w:pStyle w:val="18"/>
        <w:rPr>
          <w:rFonts w:hint="eastAsia"/>
          <w:color w:val="auto"/>
          <w:highlight w:val="none"/>
        </w:rPr>
      </w:pPr>
    </w:p>
    <w:p w14:paraId="11DF92D3">
      <w:pPr>
        <w:pStyle w:val="4"/>
        <w:rPr>
          <w:rFonts w:hint="eastAsia" w:hAnsi="宋体" w:cs="宋体"/>
          <w:color w:val="auto"/>
          <w:sz w:val="28"/>
          <w:highlight w:val="none"/>
        </w:rPr>
      </w:pPr>
      <w:bookmarkStart w:id="164" w:name="_Toc28756"/>
      <w:bookmarkStart w:id="165" w:name="_Toc40975453"/>
      <w:r>
        <w:rPr>
          <w:rFonts w:hint="eastAsia" w:hAnsi="宋体" w:cs="宋体"/>
          <w:color w:val="auto"/>
          <w:sz w:val="28"/>
          <w:highlight w:val="none"/>
        </w:rPr>
        <w:t>五．投标响应表</w:t>
      </w:r>
      <w:bookmarkEnd w:id="162"/>
      <w:bookmarkEnd w:id="163"/>
      <w:bookmarkEnd w:id="164"/>
      <w:bookmarkEnd w:id="165"/>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1FC73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032B165C">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按招标文件规定填写</w:t>
            </w:r>
          </w:p>
        </w:tc>
        <w:tc>
          <w:tcPr>
            <w:tcW w:w="3534" w:type="dxa"/>
            <w:gridSpan w:val="2"/>
            <w:noWrap w:val="0"/>
            <w:vAlign w:val="center"/>
          </w:tcPr>
          <w:p w14:paraId="44CFD7CC">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按投标人所投内容填写</w:t>
            </w:r>
          </w:p>
        </w:tc>
      </w:tr>
      <w:tr w14:paraId="6EB9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2E808CC5">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第一部分：技术部分响应</w:t>
            </w:r>
          </w:p>
        </w:tc>
      </w:tr>
      <w:tr w14:paraId="45E05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3196AD16">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序号</w:t>
            </w:r>
          </w:p>
        </w:tc>
        <w:tc>
          <w:tcPr>
            <w:tcW w:w="1470" w:type="dxa"/>
            <w:noWrap w:val="0"/>
            <w:vAlign w:val="center"/>
          </w:tcPr>
          <w:p w14:paraId="4893D559">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品名</w:t>
            </w:r>
          </w:p>
        </w:tc>
        <w:tc>
          <w:tcPr>
            <w:tcW w:w="2520" w:type="dxa"/>
            <w:noWrap w:val="0"/>
            <w:vAlign w:val="center"/>
          </w:tcPr>
          <w:p w14:paraId="11007D2D">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技术规格及配置</w:t>
            </w:r>
          </w:p>
        </w:tc>
        <w:tc>
          <w:tcPr>
            <w:tcW w:w="2310" w:type="dxa"/>
            <w:noWrap w:val="0"/>
            <w:vAlign w:val="center"/>
          </w:tcPr>
          <w:p w14:paraId="5CFDBA73">
            <w:pPr>
              <w:pStyle w:val="11"/>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品牌、型号</w:t>
            </w:r>
          </w:p>
          <w:p w14:paraId="25C78CAE">
            <w:pPr>
              <w:pStyle w:val="11"/>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技术规格及配置</w:t>
            </w:r>
          </w:p>
        </w:tc>
        <w:tc>
          <w:tcPr>
            <w:tcW w:w="1224" w:type="dxa"/>
            <w:noWrap w:val="0"/>
            <w:vAlign w:val="center"/>
          </w:tcPr>
          <w:p w14:paraId="6D99A58A">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偏离说明</w:t>
            </w:r>
          </w:p>
        </w:tc>
      </w:tr>
      <w:tr w14:paraId="3FEE3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2A8D0E6">
            <w:pPr>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1470" w:type="dxa"/>
            <w:noWrap w:val="0"/>
            <w:vAlign w:val="top"/>
          </w:tcPr>
          <w:p w14:paraId="48284704">
            <w:pPr>
              <w:rPr>
                <w:rFonts w:hint="eastAsia" w:ascii="宋体" w:hAnsi="宋体" w:cs="宋体"/>
                <w:color w:val="auto"/>
                <w:sz w:val="24"/>
                <w:highlight w:val="none"/>
              </w:rPr>
            </w:pPr>
          </w:p>
        </w:tc>
        <w:tc>
          <w:tcPr>
            <w:tcW w:w="2520" w:type="dxa"/>
            <w:noWrap w:val="0"/>
            <w:vAlign w:val="top"/>
          </w:tcPr>
          <w:p w14:paraId="714A1DFD">
            <w:pPr>
              <w:rPr>
                <w:rFonts w:hint="eastAsia" w:ascii="宋体" w:hAnsi="宋体" w:cs="宋体"/>
                <w:color w:val="auto"/>
                <w:sz w:val="24"/>
                <w:highlight w:val="none"/>
              </w:rPr>
            </w:pPr>
          </w:p>
        </w:tc>
        <w:tc>
          <w:tcPr>
            <w:tcW w:w="2310" w:type="dxa"/>
            <w:noWrap w:val="0"/>
            <w:vAlign w:val="top"/>
          </w:tcPr>
          <w:p w14:paraId="17FA9C8F">
            <w:pPr>
              <w:rPr>
                <w:rFonts w:hint="eastAsia" w:ascii="宋体" w:hAnsi="宋体" w:cs="宋体"/>
                <w:color w:val="auto"/>
                <w:sz w:val="24"/>
                <w:highlight w:val="none"/>
              </w:rPr>
            </w:pPr>
          </w:p>
        </w:tc>
        <w:tc>
          <w:tcPr>
            <w:tcW w:w="1224" w:type="dxa"/>
            <w:noWrap w:val="0"/>
            <w:vAlign w:val="top"/>
          </w:tcPr>
          <w:p w14:paraId="0F80A51A">
            <w:pPr>
              <w:rPr>
                <w:rFonts w:hint="eastAsia" w:ascii="宋体" w:hAnsi="宋体" w:cs="宋体"/>
                <w:color w:val="auto"/>
                <w:sz w:val="24"/>
                <w:highlight w:val="none"/>
              </w:rPr>
            </w:pPr>
          </w:p>
        </w:tc>
      </w:tr>
      <w:tr w14:paraId="16A48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1DDF5EE">
            <w:pPr>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1470" w:type="dxa"/>
            <w:noWrap w:val="0"/>
            <w:vAlign w:val="top"/>
          </w:tcPr>
          <w:p w14:paraId="2E7C5F59">
            <w:pPr>
              <w:rPr>
                <w:rFonts w:hint="eastAsia" w:ascii="宋体" w:hAnsi="宋体" w:cs="宋体"/>
                <w:color w:val="auto"/>
                <w:sz w:val="24"/>
                <w:highlight w:val="none"/>
              </w:rPr>
            </w:pPr>
          </w:p>
        </w:tc>
        <w:tc>
          <w:tcPr>
            <w:tcW w:w="2520" w:type="dxa"/>
            <w:noWrap w:val="0"/>
            <w:vAlign w:val="top"/>
          </w:tcPr>
          <w:p w14:paraId="2FE06FD5">
            <w:pPr>
              <w:rPr>
                <w:rFonts w:hint="eastAsia" w:ascii="宋体" w:hAnsi="宋体" w:cs="宋体"/>
                <w:color w:val="auto"/>
                <w:sz w:val="24"/>
                <w:highlight w:val="none"/>
              </w:rPr>
            </w:pPr>
          </w:p>
        </w:tc>
        <w:tc>
          <w:tcPr>
            <w:tcW w:w="2310" w:type="dxa"/>
            <w:noWrap w:val="0"/>
            <w:vAlign w:val="top"/>
          </w:tcPr>
          <w:p w14:paraId="1D9DE92C">
            <w:pPr>
              <w:rPr>
                <w:rFonts w:hint="eastAsia" w:ascii="宋体" w:hAnsi="宋体" w:cs="宋体"/>
                <w:color w:val="auto"/>
                <w:sz w:val="24"/>
                <w:highlight w:val="none"/>
              </w:rPr>
            </w:pPr>
          </w:p>
        </w:tc>
        <w:tc>
          <w:tcPr>
            <w:tcW w:w="1224" w:type="dxa"/>
            <w:noWrap w:val="0"/>
            <w:vAlign w:val="top"/>
          </w:tcPr>
          <w:p w14:paraId="10E9D147">
            <w:pPr>
              <w:rPr>
                <w:rFonts w:hint="eastAsia" w:ascii="宋体" w:hAnsi="宋体" w:cs="宋体"/>
                <w:color w:val="auto"/>
                <w:sz w:val="24"/>
                <w:highlight w:val="none"/>
              </w:rPr>
            </w:pPr>
          </w:p>
        </w:tc>
      </w:tr>
      <w:tr w14:paraId="4B4B7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10D9FF9">
            <w:pPr>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1470" w:type="dxa"/>
            <w:noWrap w:val="0"/>
            <w:vAlign w:val="top"/>
          </w:tcPr>
          <w:p w14:paraId="17B5FCC8">
            <w:pPr>
              <w:rPr>
                <w:rFonts w:hint="eastAsia" w:ascii="宋体" w:hAnsi="宋体" w:cs="宋体"/>
                <w:color w:val="auto"/>
                <w:sz w:val="24"/>
                <w:highlight w:val="none"/>
              </w:rPr>
            </w:pPr>
          </w:p>
        </w:tc>
        <w:tc>
          <w:tcPr>
            <w:tcW w:w="2520" w:type="dxa"/>
            <w:noWrap w:val="0"/>
            <w:vAlign w:val="top"/>
          </w:tcPr>
          <w:p w14:paraId="65C14209">
            <w:pPr>
              <w:rPr>
                <w:rFonts w:hint="eastAsia" w:ascii="宋体" w:hAnsi="宋体" w:cs="宋体"/>
                <w:color w:val="auto"/>
                <w:sz w:val="24"/>
                <w:highlight w:val="none"/>
              </w:rPr>
            </w:pPr>
          </w:p>
        </w:tc>
        <w:tc>
          <w:tcPr>
            <w:tcW w:w="2310" w:type="dxa"/>
            <w:noWrap w:val="0"/>
            <w:vAlign w:val="top"/>
          </w:tcPr>
          <w:p w14:paraId="16A64F56">
            <w:pPr>
              <w:pStyle w:val="48"/>
              <w:rPr>
                <w:rFonts w:hint="eastAsia" w:ascii="宋体" w:hAnsi="宋体" w:cs="宋体"/>
                <w:color w:val="auto"/>
                <w:highlight w:val="none"/>
              </w:rPr>
            </w:pPr>
          </w:p>
        </w:tc>
        <w:tc>
          <w:tcPr>
            <w:tcW w:w="1224" w:type="dxa"/>
            <w:noWrap w:val="0"/>
            <w:vAlign w:val="top"/>
          </w:tcPr>
          <w:p w14:paraId="232848CB">
            <w:pPr>
              <w:rPr>
                <w:rFonts w:hint="eastAsia" w:ascii="宋体" w:hAnsi="宋体" w:cs="宋体"/>
                <w:color w:val="auto"/>
                <w:sz w:val="24"/>
                <w:highlight w:val="none"/>
              </w:rPr>
            </w:pPr>
          </w:p>
        </w:tc>
      </w:tr>
      <w:tr w14:paraId="20579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E41E7FB">
            <w:pPr>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1470" w:type="dxa"/>
            <w:noWrap w:val="0"/>
            <w:vAlign w:val="top"/>
          </w:tcPr>
          <w:p w14:paraId="4E0E3176">
            <w:pPr>
              <w:rPr>
                <w:rFonts w:hint="eastAsia" w:ascii="宋体" w:hAnsi="宋体" w:cs="宋体"/>
                <w:color w:val="auto"/>
                <w:sz w:val="24"/>
                <w:highlight w:val="none"/>
              </w:rPr>
            </w:pPr>
          </w:p>
        </w:tc>
        <w:tc>
          <w:tcPr>
            <w:tcW w:w="2520" w:type="dxa"/>
            <w:noWrap w:val="0"/>
            <w:vAlign w:val="top"/>
          </w:tcPr>
          <w:p w14:paraId="7C31B0D7">
            <w:pPr>
              <w:rPr>
                <w:rFonts w:hint="eastAsia" w:ascii="宋体" w:hAnsi="宋体" w:cs="宋体"/>
                <w:color w:val="auto"/>
                <w:sz w:val="24"/>
                <w:highlight w:val="none"/>
              </w:rPr>
            </w:pPr>
          </w:p>
        </w:tc>
        <w:tc>
          <w:tcPr>
            <w:tcW w:w="2310" w:type="dxa"/>
            <w:noWrap w:val="0"/>
            <w:vAlign w:val="top"/>
          </w:tcPr>
          <w:p w14:paraId="79A282BB">
            <w:pPr>
              <w:rPr>
                <w:rFonts w:hint="eastAsia" w:ascii="宋体" w:hAnsi="宋体" w:cs="宋体"/>
                <w:color w:val="auto"/>
                <w:sz w:val="24"/>
                <w:highlight w:val="none"/>
              </w:rPr>
            </w:pPr>
          </w:p>
        </w:tc>
        <w:tc>
          <w:tcPr>
            <w:tcW w:w="1224" w:type="dxa"/>
            <w:noWrap w:val="0"/>
            <w:vAlign w:val="top"/>
          </w:tcPr>
          <w:p w14:paraId="7A92A230">
            <w:pPr>
              <w:rPr>
                <w:rFonts w:hint="eastAsia" w:ascii="宋体" w:hAnsi="宋体" w:cs="宋体"/>
                <w:color w:val="auto"/>
                <w:sz w:val="24"/>
                <w:highlight w:val="none"/>
              </w:rPr>
            </w:pPr>
          </w:p>
        </w:tc>
      </w:tr>
      <w:tr w14:paraId="6D9C0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3EF78EA1">
            <w:pPr>
              <w:pStyle w:val="11"/>
              <w:jc w:val="center"/>
              <w:rPr>
                <w:rFonts w:hint="eastAsia" w:hAnsi="宋体" w:cs="宋体"/>
                <w:color w:val="auto"/>
                <w:sz w:val="24"/>
                <w:highlight w:val="none"/>
                <w:lang w:val="en-US" w:eastAsia="zh-CN"/>
              </w:rPr>
            </w:pPr>
            <w:r>
              <w:rPr>
                <w:rFonts w:hint="eastAsia" w:hAnsi="宋体" w:cs="宋体"/>
                <w:b/>
                <w:color w:val="auto"/>
                <w:sz w:val="24"/>
                <w:highlight w:val="none"/>
                <w:lang w:val="en-US" w:eastAsia="zh-CN"/>
              </w:rPr>
              <w:t>第二部分：资信及报价部分响应</w:t>
            </w:r>
          </w:p>
        </w:tc>
      </w:tr>
      <w:tr w14:paraId="03AE7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11AE1CA">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序号</w:t>
            </w:r>
          </w:p>
        </w:tc>
        <w:tc>
          <w:tcPr>
            <w:tcW w:w="1470" w:type="dxa"/>
            <w:noWrap w:val="0"/>
            <w:vAlign w:val="center"/>
          </w:tcPr>
          <w:p w14:paraId="054442AD">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内容</w:t>
            </w:r>
          </w:p>
        </w:tc>
        <w:tc>
          <w:tcPr>
            <w:tcW w:w="2520" w:type="dxa"/>
            <w:noWrap w:val="0"/>
            <w:vAlign w:val="center"/>
          </w:tcPr>
          <w:p w14:paraId="1D487537">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招标要求</w:t>
            </w:r>
          </w:p>
        </w:tc>
        <w:tc>
          <w:tcPr>
            <w:tcW w:w="2310" w:type="dxa"/>
            <w:noWrap w:val="0"/>
            <w:vAlign w:val="center"/>
          </w:tcPr>
          <w:p w14:paraId="664EDDFF">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投标承诺</w:t>
            </w:r>
          </w:p>
        </w:tc>
        <w:tc>
          <w:tcPr>
            <w:tcW w:w="1224" w:type="dxa"/>
            <w:noWrap w:val="0"/>
            <w:vAlign w:val="center"/>
          </w:tcPr>
          <w:p w14:paraId="367DA1FC">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偏离说明</w:t>
            </w:r>
          </w:p>
        </w:tc>
      </w:tr>
      <w:tr w14:paraId="4B4CA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FEF1A08">
            <w:pPr>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1470" w:type="dxa"/>
            <w:noWrap w:val="0"/>
            <w:vAlign w:val="center"/>
          </w:tcPr>
          <w:p w14:paraId="0C9D4C4E">
            <w:pPr>
              <w:jc w:val="center"/>
              <w:rPr>
                <w:rFonts w:hint="eastAsia" w:ascii="宋体" w:hAnsi="宋体" w:cs="宋体"/>
                <w:color w:val="auto"/>
                <w:sz w:val="24"/>
                <w:highlight w:val="none"/>
              </w:rPr>
            </w:pPr>
            <w:r>
              <w:rPr>
                <w:rFonts w:hint="eastAsia" w:ascii="宋体" w:hAnsi="宋体" w:cs="宋体"/>
                <w:color w:val="auto"/>
                <w:sz w:val="24"/>
                <w:highlight w:val="none"/>
              </w:rPr>
              <w:t>供货期</w:t>
            </w:r>
          </w:p>
        </w:tc>
        <w:tc>
          <w:tcPr>
            <w:tcW w:w="2520" w:type="dxa"/>
            <w:noWrap w:val="0"/>
            <w:vAlign w:val="top"/>
          </w:tcPr>
          <w:p w14:paraId="73C70C1E">
            <w:pPr>
              <w:rPr>
                <w:rFonts w:hint="eastAsia" w:ascii="宋体" w:hAnsi="宋体" w:cs="宋体"/>
                <w:color w:val="auto"/>
                <w:sz w:val="24"/>
                <w:highlight w:val="none"/>
              </w:rPr>
            </w:pPr>
          </w:p>
        </w:tc>
        <w:tc>
          <w:tcPr>
            <w:tcW w:w="2310" w:type="dxa"/>
            <w:noWrap w:val="0"/>
            <w:vAlign w:val="top"/>
          </w:tcPr>
          <w:p w14:paraId="4513C4B2">
            <w:pPr>
              <w:rPr>
                <w:rFonts w:hint="eastAsia" w:ascii="宋体" w:hAnsi="宋体" w:cs="宋体"/>
                <w:color w:val="auto"/>
                <w:sz w:val="24"/>
                <w:highlight w:val="none"/>
              </w:rPr>
            </w:pPr>
          </w:p>
        </w:tc>
        <w:tc>
          <w:tcPr>
            <w:tcW w:w="1224" w:type="dxa"/>
            <w:noWrap w:val="0"/>
            <w:vAlign w:val="top"/>
          </w:tcPr>
          <w:p w14:paraId="337CDB4F">
            <w:pPr>
              <w:rPr>
                <w:rFonts w:hint="eastAsia" w:ascii="宋体" w:hAnsi="宋体" w:cs="宋体"/>
                <w:color w:val="auto"/>
                <w:sz w:val="24"/>
                <w:highlight w:val="none"/>
              </w:rPr>
            </w:pPr>
          </w:p>
        </w:tc>
      </w:tr>
      <w:tr w14:paraId="3F85B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FAC284D">
            <w:pPr>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1470" w:type="dxa"/>
            <w:noWrap w:val="0"/>
            <w:vAlign w:val="center"/>
          </w:tcPr>
          <w:p w14:paraId="7DF167E2">
            <w:pPr>
              <w:rPr>
                <w:rFonts w:hint="eastAsia" w:ascii="宋体" w:hAnsi="宋体" w:cs="宋体"/>
                <w:color w:val="auto"/>
                <w:sz w:val="24"/>
                <w:highlight w:val="none"/>
              </w:rPr>
            </w:pPr>
            <w:r>
              <w:rPr>
                <w:rFonts w:hint="eastAsia" w:ascii="宋体" w:hAnsi="宋体" w:cs="宋体"/>
                <w:color w:val="auto"/>
                <w:sz w:val="24"/>
                <w:highlight w:val="none"/>
              </w:rPr>
              <w:t>免费质保期</w:t>
            </w:r>
          </w:p>
        </w:tc>
        <w:tc>
          <w:tcPr>
            <w:tcW w:w="2520" w:type="dxa"/>
            <w:noWrap w:val="0"/>
            <w:vAlign w:val="top"/>
          </w:tcPr>
          <w:p w14:paraId="336B866E">
            <w:pPr>
              <w:rPr>
                <w:rFonts w:hint="eastAsia" w:ascii="宋体" w:hAnsi="宋体" w:cs="宋体"/>
                <w:color w:val="auto"/>
                <w:sz w:val="24"/>
                <w:highlight w:val="none"/>
              </w:rPr>
            </w:pPr>
          </w:p>
        </w:tc>
        <w:tc>
          <w:tcPr>
            <w:tcW w:w="2310" w:type="dxa"/>
            <w:noWrap w:val="0"/>
            <w:vAlign w:val="top"/>
          </w:tcPr>
          <w:p w14:paraId="4BCDA02B">
            <w:pPr>
              <w:rPr>
                <w:rFonts w:hint="eastAsia" w:ascii="宋体" w:hAnsi="宋体" w:cs="宋体"/>
                <w:color w:val="auto"/>
                <w:sz w:val="24"/>
                <w:highlight w:val="none"/>
              </w:rPr>
            </w:pPr>
          </w:p>
        </w:tc>
        <w:tc>
          <w:tcPr>
            <w:tcW w:w="1224" w:type="dxa"/>
            <w:noWrap w:val="0"/>
            <w:vAlign w:val="top"/>
          </w:tcPr>
          <w:p w14:paraId="19077CC7">
            <w:pPr>
              <w:rPr>
                <w:rFonts w:hint="eastAsia" w:ascii="宋体" w:hAnsi="宋体" w:cs="宋体"/>
                <w:color w:val="auto"/>
                <w:sz w:val="24"/>
                <w:highlight w:val="none"/>
              </w:rPr>
            </w:pPr>
          </w:p>
        </w:tc>
      </w:tr>
      <w:tr w14:paraId="086D7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B1C6D28">
            <w:pPr>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1470" w:type="dxa"/>
            <w:noWrap w:val="0"/>
            <w:vAlign w:val="center"/>
          </w:tcPr>
          <w:p w14:paraId="5622DA7A">
            <w:pPr>
              <w:jc w:val="center"/>
              <w:rPr>
                <w:rFonts w:hint="eastAsia" w:ascii="宋体" w:hAnsi="宋体" w:cs="宋体"/>
                <w:color w:val="auto"/>
                <w:sz w:val="24"/>
                <w:highlight w:val="none"/>
              </w:rPr>
            </w:pPr>
            <w:r>
              <w:rPr>
                <w:rFonts w:hint="eastAsia" w:ascii="宋体" w:hAnsi="宋体" w:cs="宋体"/>
                <w:color w:val="auto"/>
                <w:sz w:val="24"/>
                <w:highlight w:val="none"/>
              </w:rPr>
              <w:t>付款响应</w:t>
            </w:r>
          </w:p>
        </w:tc>
        <w:tc>
          <w:tcPr>
            <w:tcW w:w="2520" w:type="dxa"/>
            <w:noWrap w:val="0"/>
            <w:vAlign w:val="top"/>
          </w:tcPr>
          <w:p w14:paraId="7BD1EBF3">
            <w:pPr>
              <w:rPr>
                <w:rFonts w:hint="eastAsia" w:ascii="宋体" w:hAnsi="宋体" w:cs="宋体"/>
                <w:color w:val="auto"/>
                <w:sz w:val="24"/>
                <w:highlight w:val="none"/>
              </w:rPr>
            </w:pPr>
          </w:p>
        </w:tc>
        <w:tc>
          <w:tcPr>
            <w:tcW w:w="2310" w:type="dxa"/>
            <w:noWrap w:val="0"/>
            <w:vAlign w:val="top"/>
          </w:tcPr>
          <w:p w14:paraId="5C0B9908">
            <w:pPr>
              <w:rPr>
                <w:rFonts w:hint="eastAsia" w:ascii="宋体" w:hAnsi="宋体" w:cs="宋体"/>
                <w:color w:val="auto"/>
                <w:sz w:val="24"/>
                <w:highlight w:val="none"/>
              </w:rPr>
            </w:pPr>
          </w:p>
        </w:tc>
        <w:tc>
          <w:tcPr>
            <w:tcW w:w="1224" w:type="dxa"/>
            <w:noWrap w:val="0"/>
            <w:vAlign w:val="top"/>
          </w:tcPr>
          <w:p w14:paraId="74F65877">
            <w:pPr>
              <w:rPr>
                <w:rFonts w:hint="eastAsia" w:ascii="宋体" w:hAnsi="宋体" w:cs="宋体"/>
                <w:color w:val="auto"/>
                <w:sz w:val="24"/>
                <w:highlight w:val="none"/>
              </w:rPr>
            </w:pPr>
          </w:p>
        </w:tc>
      </w:tr>
      <w:tr w14:paraId="07927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4098B04">
            <w:pPr>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1470" w:type="dxa"/>
            <w:noWrap w:val="0"/>
            <w:vAlign w:val="center"/>
          </w:tcPr>
          <w:p w14:paraId="5862AE4A">
            <w:pPr>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w:t>
            </w:r>
          </w:p>
        </w:tc>
        <w:tc>
          <w:tcPr>
            <w:tcW w:w="2520" w:type="dxa"/>
            <w:noWrap w:val="0"/>
            <w:vAlign w:val="top"/>
          </w:tcPr>
          <w:p w14:paraId="43779758">
            <w:pPr>
              <w:rPr>
                <w:rFonts w:hint="eastAsia" w:ascii="宋体" w:hAnsi="宋体" w:cs="宋体"/>
                <w:color w:val="auto"/>
                <w:sz w:val="24"/>
                <w:highlight w:val="none"/>
              </w:rPr>
            </w:pPr>
          </w:p>
        </w:tc>
        <w:tc>
          <w:tcPr>
            <w:tcW w:w="2310" w:type="dxa"/>
            <w:noWrap w:val="0"/>
            <w:vAlign w:val="top"/>
          </w:tcPr>
          <w:p w14:paraId="386D9C33">
            <w:pPr>
              <w:rPr>
                <w:rFonts w:hint="eastAsia" w:ascii="宋体" w:hAnsi="宋体" w:cs="宋体"/>
                <w:color w:val="auto"/>
                <w:sz w:val="24"/>
                <w:highlight w:val="none"/>
              </w:rPr>
            </w:pPr>
          </w:p>
        </w:tc>
        <w:tc>
          <w:tcPr>
            <w:tcW w:w="1224" w:type="dxa"/>
            <w:noWrap w:val="0"/>
            <w:vAlign w:val="top"/>
          </w:tcPr>
          <w:p w14:paraId="52EDE3A8">
            <w:pPr>
              <w:rPr>
                <w:rFonts w:hint="eastAsia" w:ascii="宋体" w:hAnsi="宋体" w:cs="宋体"/>
                <w:color w:val="auto"/>
                <w:sz w:val="24"/>
                <w:highlight w:val="none"/>
              </w:rPr>
            </w:pPr>
          </w:p>
        </w:tc>
      </w:tr>
      <w:tr w14:paraId="32484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AEC2A23">
            <w:pPr>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1470" w:type="dxa"/>
            <w:noWrap w:val="0"/>
            <w:vAlign w:val="center"/>
          </w:tcPr>
          <w:p w14:paraId="1C53A97D">
            <w:pPr>
              <w:jc w:val="center"/>
              <w:rPr>
                <w:rFonts w:hint="eastAsia" w:ascii="宋体" w:hAnsi="宋体" w:cs="宋体"/>
                <w:color w:val="auto"/>
                <w:sz w:val="24"/>
                <w:highlight w:val="none"/>
              </w:rPr>
            </w:pPr>
            <w:r>
              <w:rPr>
                <w:rFonts w:hint="eastAsia" w:ascii="宋体" w:hAnsi="宋体" w:cs="宋体"/>
                <w:color w:val="auto"/>
                <w:sz w:val="24"/>
                <w:highlight w:val="none"/>
              </w:rPr>
              <w:t>其他</w:t>
            </w:r>
          </w:p>
        </w:tc>
        <w:tc>
          <w:tcPr>
            <w:tcW w:w="2520" w:type="dxa"/>
            <w:noWrap w:val="0"/>
            <w:vAlign w:val="top"/>
          </w:tcPr>
          <w:p w14:paraId="358B267A">
            <w:pPr>
              <w:rPr>
                <w:rFonts w:hint="eastAsia" w:ascii="宋体" w:hAnsi="宋体" w:cs="宋体"/>
                <w:color w:val="auto"/>
                <w:sz w:val="24"/>
                <w:highlight w:val="none"/>
              </w:rPr>
            </w:pPr>
          </w:p>
        </w:tc>
        <w:tc>
          <w:tcPr>
            <w:tcW w:w="2310" w:type="dxa"/>
            <w:noWrap w:val="0"/>
            <w:vAlign w:val="top"/>
          </w:tcPr>
          <w:p w14:paraId="12440A60">
            <w:pPr>
              <w:rPr>
                <w:rFonts w:hint="eastAsia" w:ascii="宋体" w:hAnsi="宋体" w:cs="宋体"/>
                <w:color w:val="auto"/>
                <w:sz w:val="24"/>
                <w:highlight w:val="none"/>
              </w:rPr>
            </w:pPr>
          </w:p>
        </w:tc>
        <w:tc>
          <w:tcPr>
            <w:tcW w:w="1224" w:type="dxa"/>
            <w:noWrap w:val="0"/>
            <w:vAlign w:val="top"/>
          </w:tcPr>
          <w:p w14:paraId="15A8F799">
            <w:pPr>
              <w:rPr>
                <w:rFonts w:hint="eastAsia" w:ascii="宋体" w:hAnsi="宋体" w:cs="宋体"/>
                <w:color w:val="auto"/>
                <w:sz w:val="24"/>
                <w:highlight w:val="none"/>
              </w:rPr>
            </w:pPr>
          </w:p>
        </w:tc>
      </w:tr>
    </w:tbl>
    <w:p w14:paraId="77EC4FF0">
      <w:pPr>
        <w:spacing w:line="380" w:lineRule="exact"/>
        <w:jc w:val="left"/>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r>
        <w:rPr>
          <w:rFonts w:hint="eastAsia" w:ascii="宋体" w:hAnsi="宋体" w:cs="宋体"/>
          <w:color w:val="auto"/>
          <w:sz w:val="24"/>
          <w:highlight w:val="none"/>
        </w:rPr>
        <w:t>）</w:t>
      </w:r>
    </w:p>
    <w:p w14:paraId="5AB94F4C">
      <w:pPr>
        <w:spacing w:line="380" w:lineRule="exact"/>
        <w:ind w:right="640" w:firstLine="1560" w:firstLineChars="650"/>
        <w:jc w:val="left"/>
        <w:rPr>
          <w:rFonts w:hint="eastAsia" w:ascii="宋体" w:hAnsi="宋体" w:cs="宋体"/>
          <w:color w:val="auto"/>
          <w:sz w:val="24"/>
          <w:highlight w:val="none"/>
        </w:rPr>
      </w:pPr>
    </w:p>
    <w:p w14:paraId="55C63C95">
      <w:pPr>
        <w:spacing w:line="380" w:lineRule="exact"/>
        <w:ind w:right="640"/>
        <w:jc w:val="left"/>
        <w:rPr>
          <w:rFonts w:hint="eastAsia" w:ascii="宋体" w:hAnsi="宋体" w:cs="宋体"/>
          <w:color w:val="auto"/>
          <w:sz w:val="24"/>
          <w:highlight w:val="none"/>
        </w:rPr>
      </w:pPr>
      <w:r>
        <w:rPr>
          <w:rFonts w:hint="eastAsia" w:ascii="宋体" w:hAnsi="宋体" w:cs="宋体"/>
          <w:color w:val="auto"/>
          <w:sz w:val="24"/>
          <w:highlight w:val="none"/>
        </w:rPr>
        <w:t>法人代表：（签</w:t>
      </w:r>
      <w:r>
        <w:rPr>
          <w:rFonts w:hint="eastAsia" w:ascii="宋体" w:hAnsi="宋体" w:cs="宋体"/>
          <w:color w:val="auto"/>
          <w:sz w:val="24"/>
          <w:highlight w:val="none"/>
          <w:lang w:val="en-US" w:eastAsia="zh-CN"/>
        </w:rPr>
        <w:t>字</w:t>
      </w:r>
      <w:r>
        <w:rPr>
          <w:rFonts w:hint="eastAsia" w:ascii="宋体" w:hAnsi="宋体" w:cs="宋体"/>
          <w:color w:val="auto"/>
          <w:sz w:val="24"/>
          <w:highlight w:val="none"/>
        </w:rPr>
        <w:t>）</w:t>
      </w:r>
    </w:p>
    <w:p w14:paraId="2C260602">
      <w:pPr>
        <w:jc w:val="right"/>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08A0E253">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备注：</w:t>
      </w:r>
    </w:p>
    <w:p w14:paraId="5DAEA661">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1、投标人必须逐项对应描述投标货物主要参数、配置及服务要求，如不进行描述，仅在响应栏填“响应”或未填写的，将可能导致投标无效；</w:t>
      </w:r>
    </w:p>
    <w:p w14:paraId="2CD41B49">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2、投标人所投产品如与招标文件要求的规格及配置不一致，则须在上表偏离说明中详细注明。</w:t>
      </w:r>
    </w:p>
    <w:p w14:paraId="3FF09238">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3、响应部分可后附详细说明及技术资料，并应注明投标文件中对应的页码范围。</w:t>
      </w:r>
    </w:p>
    <w:p w14:paraId="786AA5E2">
      <w:pPr>
        <w:pStyle w:val="18"/>
        <w:rPr>
          <w:rFonts w:hint="eastAsia"/>
          <w:color w:val="auto"/>
          <w:highlight w:val="none"/>
        </w:rPr>
      </w:pPr>
    </w:p>
    <w:p w14:paraId="7D89F6DF">
      <w:pPr>
        <w:pStyle w:val="18"/>
        <w:rPr>
          <w:rFonts w:hint="eastAsia"/>
          <w:color w:val="auto"/>
          <w:highlight w:val="none"/>
        </w:rPr>
      </w:pPr>
    </w:p>
    <w:p w14:paraId="1C8C0BB7">
      <w:pPr>
        <w:pStyle w:val="18"/>
        <w:rPr>
          <w:rFonts w:hint="eastAsia"/>
          <w:color w:val="auto"/>
          <w:highlight w:val="none"/>
        </w:rPr>
      </w:pPr>
    </w:p>
    <w:p w14:paraId="084F4C7B">
      <w:pPr>
        <w:pStyle w:val="18"/>
        <w:rPr>
          <w:rFonts w:hint="eastAsia"/>
          <w:color w:val="auto"/>
          <w:highlight w:val="none"/>
        </w:rPr>
      </w:pPr>
    </w:p>
    <w:p w14:paraId="2B30B6AE">
      <w:pPr>
        <w:pStyle w:val="18"/>
        <w:rPr>
          <w:rFonts w:hint="eastAsia"/>
          <w:color w:val="auto"/>
          <w:highlight w:val="none"/>
        </w:rPr>
      </w:pPr>
    </w:p>
    <w:p w14:paraId="36314CAC">
      <w:pPr>
        <w:pStyle w:val="18"/>
        <w:rPr>
          <w:rFonts w:hint="eastAsia"/>
          <w:color w:val="auto"/>
          <w:highlight w:val="none"/>
        </w:rPr>
      </w:pPr>
    </w:p>
    <w:p w14:paraId="485328A2">
      <w:pPr>
        <w:pStyle w:val="4"/>
        <w:rPr>
          <w:rFonts w:hint="eastAsia" w:hAnsi="宋体" w:cs="宋体"/>
          <w:color w:val="auto"/>
          <w:sz w:val="28"/>
          <w:szCs w:val="36"/>
          <w:highlight w:val="none"/>
        </w:rPr>
      </w:pPr>
      <w:bookmarkStart w:id="166" w:name="_Hlt509738950"/>
      <w:bookmarkEnd w:id="166"/>
      <w:bookmarkStart w:id="167" w:name="_Toc2238_WPSOffice_Level2"/>
      <w:bookmarkStart w:id="168" w:name="_Toc40975454"/>
      <w:bookmarkStart w:id="169" w:name="_Toc20432"/>
      <w:bookmarkStart w:id="170" w:name="_Toc220232400"/>
      <w:r>
        <w:rPr>
          <w:rFonts w:hint="eastAsia" w:hAnsi="宋体" w:cs="宋体"/>
          <w:color w:val="auto"/>
          <w:sz w:val="28"/>
          <w:highlight w:val="none"/>
        </w:rPr>
        <w:t>六．产品质量承诺</w:t>
      </w:r>
      <w:bookmarkEnd w:id="167"/>
      <w:bookmarkEnd w:id="168"/>
      <w:bookmarkEnd w:id="169"/>
      <w:bookmarkEnd w:id="170"/>
    </w:p>
    <w:p w14:paraId="077AC763">
      <w:pPr>
        <w:spacing w:before="48" w:beforeLines="20" w:after="48" w:afterLines="20" w:line="360" w:lineRule="auto"/>
        <w:ind w:firstLine="480" w:firstLineChars="200"/>
        <w:jc w:val="center"/>
        <w:rPr>
          <w:rFonts w:hint="eastAsia" w:ascii="宋体" w:hAnsi="宋体" w:cs="宋体"/>
          <w:color w:val="auto"/>
          <w:sz w:val="24"/>
          <w:highlight w:val="none"/>
        </w:rPr>
      </w:pPr>
      <w:r>
        <w:rPr>
          <w:rFonts w:hint="eastAsia" w:ascii="宋体" w:hAnsi="宋体" w:cs="宋体"/>
          <w:color w:val="auto"/>
          <w:sz w:val="24"/>
          <w:highlight w:val="none"/>
        </w:rPr>
        <w:t>(投标人可自行制作格式)</w:t>
      </w:r>
    </w:p>
    <w:p w14:paraId="066100A6">
      <w:pPr>
        <w:spacing w:before="48" w:beforeLines="20" w:after="48" w:afterLines="20" w:line="360" w:lineRule="auto"/>
        <w:rPr>
          <w:rFonts w:hint="eastAsia" w:ascii="宋体" w:hAnsi="宋体" w:cs="宋体"/>
          <w:color w:val="auto"/>
          <w:sz w:val="28"/>
          <w:highlight w:val="none"/>
        </w:rPr>
      </w:pPr>
    </w:p>
    <w:p w14:paraId="4032DC3C">
      <w:pPr>
        <w:pStyle w:val="18"/>
        <w:rPr>
          <w:rFonts w:hint="eastAsia"/>
          <w:color w:val="auto"/>
          <w:highlight w:val="none"/>
        </w:rPr>
      </w:pPr>
    </w:p>
    <w:p w14:paraId="4B7A7FF9">
      <w:pPr>
        <w:pStyle w:val="18"/>
        <w:rPr>
          <w:rFonts w:hint="eastAsia"/>
          <w:color w:val="auto"/>
          <w:highlight w:val="none"/>
        </w:rPr>
      </w:pPr>
    </w:p>
    <w:p w14:paraId="70C08AED">
      <w:pPr>
        <w:adjustRightInd w:val="0"/>
        <w:rPr>
          <w:rFonts w:hint="eastAsia" w:ascii="宋体" w:hAnsi="宋体" w:eastAsia="宋体" w:cs="宋体"/>
          <w:color w:val="auto"/>
          <w:sz w:val="28"/>
          <w:szCs w:val="28"/>
          <w:highlight w:val="none"/>
        </w:rPr>
      </w:pPr>
    </w:p>
    <w:p w14:paraId="5499547F">
      <w:pPr>
        <w:pStyle w:val="4"/>
        <w:rPr>
          <w:rFonts w:hint="eastAsia" w:hAnsi="宋体" w:cs="宋体"/>
          <w:color w:val="auto"/>
          <w:sz w:val="28"/>
          <w:szCs w:val="36"/>
          <w:highlight w:val="none"/>
        </w:rPr>
      </w:pPr>
      <w:bookmarkStart w:id="171" w:name="_Toc1188"/>
      <w:bookmarkStart w:id="172" w:name="_Toc220232401"/>
      <w:bookmarkStart w:id="173" w:name="_Toc516969104"/>
      <w:bookmarkStart w:id="174" w:name="_Toc31042_WPSOffice_Level2"/>
      <w:bookmarkStart w:id="175" w:name="_Toc40975455"/>
      <w:bookmarkStart w:id="176" w:name="_Hlt510342906"/>
      <w:r>
        <w:rPr>
          <w:rFonts w:hint="eastAsia" w:hAnsi="宋体" w:cs="宋体"/>
          <w:color w:val="auto"/>
          <w:sz w:val="28"/>
          <w:highlight w:val="none"/>
        </w:rPr>
        <w:t>七．所</w:t>
      </w:r>
      <w:bookmarkStart w:id="177" w:name="_Hlt510342883"/>
      <w:bookmarkEnd w:id="177"/>
      <w:r>
        <w:rPr>
          <w:rFonts w:hint="eastAsia" w:hAnsi="宋体" w:cs="宋体"/>
          <w:color w:val="auto"/>
          <w:sz w:val="28"/>
          <w:highlight w:val="none"/>
        </w:rPr>
        <w:t>供货物组部件、备品、备件清单</w:t>
      </w:r>
      <w:bookmarkEnd w:id="171"/>
      <w:bookmarkEnd w:id="172"/>
      <w:bookmarkEnd w:id="173"/>
      <w:bookmarkEnd w:id="174"/>
      <w:bookmarkEnd w:id="175"/>
    </w:p>
    <w:bookmarkEnd w:id="176"/>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78EE3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noWrap w:val="0"/>
            <w:vAlign w:val="center"/>
          </w:tcPr>
          <w:p w14:paraId="2FAEEB11">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序号</w:t>
            </w:r>
          </w:p>
        </w:tc>
        <w:tc>
          <w:tcPr>
            <w:tcW w:w="1186" w:type="dxa"/>
            <w:noWrap w:val="0"/>
            <w:vAlign w:val="center"/>
          </w:tcPr>
          <w:p w14:paraId="1E9CBA3C">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名称</w:t>
            </w:r>
          </w:p>
        </w:tc>
        <w:tc>
          <w:tcPr>
            <w:tcW w:w="1730" w:type="dxa"/>
            <w:noWrap w:val="0"/>
            <w:vAlign w:val="center"/>
          </w:tcPr>
          <w:p w14:paraId="2F430D60">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规格型号</w:t>
            </w:r>
          </w:p>
        </w:tc>
        <w:tc>
          <w:tcPr>
            <w:tcW w:w="1037" w:type="dxa"/>
            <w:noWrap w:val="0"/>
            <w:vAlign w:val="center"/>
          </w:tcPr>
          <w:p w14:paraId="37B3F01B">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数量</w:t>
            </w:r>
          </w:p>
        </w:tc>
        <w:tc>
          <w:tcPr>
            <w:tcW w:w="1286" w:type="dxa"/>
            <w:noWrap w:val="0"/>
            <w:vAlign w:val="center"/>
          </w:tcPr>
          <w:p w14:paraId="66A2BC64">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单价</w:t>
            </w:r>
          </w:p>
        </w:tc>
        <w:tc>
          <w:tcPr>
            <w:tcW w:w="1236" w:type="dxa"/>
            <w:noWrap w:val="0"/>
            <w:vAlign w:val="center"/>
          </w:tcPr>
          <w:p w14:paraId="3C8E0575">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小计</w:t>
            </w:r>
          </w:p>
        </w:tc>
        <w:tc>
          <w:tcPr>
            <w:tcW w:w="1098" w:type="dxa"/>
            <w:noWrap w:val="0"/>
            <w:vAlign w:val="center"/>
          </w:tcPr>
          <w:p w14:paraId="03E9C3D4">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备注</w:t>
            </w:r>
          </w:p>
        </w:tc>
      </w:tr>
      <w:tr w14:paraId="57478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DCD64D8">
            <w:pPr>
              <w:pStyle w:val="11"/>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1</w:t>
            </w:r>
          </w:p>
        </w:tc>
        <w:tc>
          <w:tcPr>
            <w:tcW w:w="1186" w:type="dxa"/>
            <w:noWrap w:val="0"/>
            <w:vAlign w:val="top"/>
          </w:tcPr>
          <w:p w14:paraId="1BB673ED">
            <w:pPr>
              <w:rPr>
                <w:rFonts w:hint="eastAsia" w:ascii="宋体" w:hAnsi="宋体" w:cs="宋体"/>
                <w:color w:val="auto"/>
                <w:sz w:val="24"/>
                <w:highlight w:val="none"/>
              </w:rPr>
            </w:pPr>
          </w:p>
        </w:tc>
        <w:tc>
          <w:tcPr>
            <w:tcW w:w="1730" w:type="dxa"/>
            <w:noWrap w:val="0"/>
            <w:vAlign w:val="top"/>
          </w:tcPr>
          <w:p w14:paraId="630C8405">
            <w:pPr>
              <w:rPr>
                <w:rFonts w:hint="eastAsia" w:ascii="宋体" w:hAnsi="宋体" w:cs="宋体"/>
                <w:color w:val="auto"/>
                <w:sz w:val="24"/>
                <w:highlight w:val="none"/>
              </w:rPr>
            </w:pPr>
          </w:p>
        </w:tc>
        <w:tc>
          <w:tcPr>
            <w:tcW w:w="1037" w:type="dxa"/>
            <w:noWrap w:val="0"/>
            <w:vAlign w:val="top"/>
          </w:tcPr>
          <w:p w14:paraId="33C5BDD5">
            <w:pPr>
              <w:rPr>
                <w:rFonts w:hint="eastAsia" w:ascii="宋体" w:hAnsi="宋体" w:cs="宋体"/>
                <w:color w:val="auto"/>
                <w:sz w:val="24"/>
                <w:highlight w:val="none"/>
              </w:rPr>
            </w:pPr>
          </w:p>
        </w:tc>
        <w:tc>
          <w:tcPr>
            <w:tcW w:w="1286" w:type="dxa"/>
            <w:noWrap w:val="0"/>
            <w:vAlign w:val="top"/>
          </w:tcPr>
          <w:p w14:paraId="77C3E162">
            <w:pPr>
              <w:pStyle w:val="11"/>
              <w:rPr>
                <w:rFonts w:hint="eastAsia" w:hAnsi="宋体" w:cs="宋体"/>
                <w:color w:val="auto"/>
                <w:sz w:val="24"/>
                <w:highlight w:val="none"/>
                <w:lang w:val="en-US" w:eastAsia="zh-CN"/>
              </w:rPr>
            </w:pPr>
          </w:p>
        </w:tc>
        <w:tc>
          <w:tcPr>
            <w:tcW w:w="1236" w:type="dxa"/>
            <w:noWrap w:val="0"/>
            <w:vAlign w:val="top"/>
          </w:tcPr>
          <w:p w14:paraId="771C8568">
            <w:pPr>
              <w:pStyle w:val="11"/>
              <w:rPr>
                <w:rFonts w:hint="eastAsia" w:hAnsi="宋体" w:cs="宋体"/>
                <w:color w:val="auto"/>
                <w:sz w:val="24"/>
                <w:highlight w:val="none"/>
                <w:lang w:val="en-US" w:eastAsia="zh-CN"/>
              </w:rPr>
            </w:pPr>
          </w:p>
        </w:tc>
        <w:tc>
          <w:tcPr>
            <w:tcW w:w="1098" w:type="dxa"/>
            <w:noWrap w:val="0"/>
            <w:vAlign w:val="top"/>
          </w:tcPr>
          <w:p w14:paraId="4676C351">
            <w:pPr>
              <w:pStyle w:val="11"/>
              <w:rPr>
                <w:rFonts w:hint="eastAsia" w:hAnsi="宋体" w:cs="宋体"/>
                <w:color w:val="auto"/>
                <w:sz w:val="24"/>
                <w:highlight w:val="none"/>
                <w:lang w:val="en-US" w:eastAsia="zh-CN"/>
              </w:rPr>
            </w:pPr>
          </w:p>
        </w:tc>
      </w:tr>
      <w:tr w14:paraId="59BB4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129FEA2F">
            <w:pPr>
              <w:pStyle w:val="11"/>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2</w:t>
            </w:r>
          </w:p>
        </w:tc>
        <w:tc>
          <w:tcPr>
            <w:tcW w:w="1186" w:type="dxa"/>
            <w:noWrap w:val="0"/>
            <w:vAlign w:val="top"/>
          </w:tcPr>
          <w:p w14:paraId="2A91CFB5">
            <w:pPr>
              <w:rPr>
                <w:rFonts w:hint="eastAsia" w:ascii="宋体" w:hAnsi="宋体" w:cs="宋体"/>
                <w:color w:val="auto"/>
                <w:sz w:val="24"/>
                <w:highlight w:val="none"/>
              </w:rPr>
            </w:pPr>
          </w:p>
        </w:tc>
        <w:tc>
          <w:tcPr>
            <w:tcW w:w="1730" w:type="dxa"/>
            <w:noWrap w:val="0"/>
            <w:vAlign w:val="top"/>
          </w:tcPr>
          <w:p w14:paraId="6A306989">
            <w:pPr>
              <w:rPr>
                <w:rFonts w:hint="eastAsia" w:ascii="宋体" w:hAnsi="宋体" w:cs="宋体"/>
                <w:color w:val="auto"/>
                <w:sz w:val="24"/>
                <w:highlight w:val="none"/>
              </w:rPr>
            </w:pPr>
          </w:p>
        </w:tc>
        <w:tc>
          <w:tcPr>
            <w:tcW w:w="1037" w:type="dxa"/>
            <w:noWrap w:val="0"/>
            <w:vAlign w:val="top"/>
          </w:tcPr>
          <w:p w14:paraId="054D6B1B">
            <w:pPr>
              <w:rPr>
                <w:rFonts w:hint="eastAsia" w:ascii="宋体" w:hAnsi="宋体" w:cs="宋体"/>
                <w:color w:val="auto"/>
                <w:sz w:val="24"/>
                <w:highlight w:val="none"/>
              </w:rPr>
            </w:pPr>
          </w:p>
        </w:tc>
        <w:tc>
          <w:tcPr>
            <w:tcW w:w="1286" w:type="dxa"/>
            <w:noWrap w:val="0"/>
            <w:vAlign w:val="top"/>
          </w:tcPr>
          <w:p w14:paraId="71B98B2E">
            <w:pPr>
              <w:pStyle w:val="11"/>
              <w:rPr>
                <w:rFonts w:hint="eastAsia" w:hAnsi="宋体" w:cs="宋体"/>
                <w:color w:val="auto"/>
                <w:sz w:val="24"/>
                <w:highlight w:val="none"/>
                <w:lang w:val="en-US" w:eastAsia="zh-CN"/>
              </w:rPr>
            </w:pPr>
          </w:p>
        </w:tc>
        <w:tc>
          <w:tcPr>
            <w:tcW w:w="1236" w:type="dxa"/>
            <w:noWrap w:val="0"/>
            <w:vAlign w:val="top"/>
          </w:tcPr>
          <w:p w14:paraId="4AB85176">
            <w:pPr>
              <w:pStyle w:val="11"/>
              <w:rPr>
                <w:rFonts w:hint="eastAsia" w:hAnsi="宋体" w:cs="宋体"/>
                <w:color w:val="auto"/>
                <w:sz w:val="24"/>
                <w:highlight w:val="none"/>
                <w:lang w:val="en-US" w:eastAsia="zh-CN"/>
              </w:rPr>
            </w:pPr>
          </w:p>
        </w:tc>
        <w:tc>
          <w:tcPr>
            <w:tcW w:w="1098" w:type="dxa"/>
            <w:noWrap w:val="0"/>
            <w:vAlign w:val="top"/>
          </w:tcPr>
          <w:p w14:paraId="7F8E7C6A">
            <w:pPr>
              <w:pStyle w:val="11"/>
              <w:rPr>
                <w:rFonts w:hint="eastAsia" w:hAnsi="宋体" w:cs="宋体"/>
                <w:color w:val="auto"/>
                <w:sz w:val="24"/>
                <w:highlight w:val="none"/>
                <w:lang w:val="en-US" w:eastAsia="zh-CN"/>
              </w:rPr>
            </w:pPr>
          </w:p>
        </w:tc>
      </w:tr>
      <w:tr w14:paraId="1D01E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6878BA95">
            <w:pPr>
              <w:pStyle w:val="11"/>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3</w:t>
            </w:r>
          </w:p>
        </w:tc>
        <w:tc>
          <w:tcPr>
            <w:tcW w:w="1186" w:type="dxa"/>
            <w:noWrap w:val="0"/>
            <w:vAlign w:val="top"/>
          </w:tcPr>
          <w:p w14:paraId="79E21732">
            <w:pPr>
              <w:rPr>
                <w:rFonts w:hint="eastAsia" w:ascii="宋体" w:hAnsi="宋体" w:cs="宋体"/>
                <w:color w:val="auto"/>
                <w:sz w:val="24"/>
                <w:highlight w:val="none"/>
              </w:rPr>
            </w:pPr>
          </w:p>
        </w:tc>
        <w:tc>
          <w:tcPr>
            <w:tcW w:w="1730" w:type="dxa"/>
            <w:noWrap w:val="0"/>
            <w:vAlign w:val="top"/>
          </w:tcPr>
          <w:p w14:paraId="54083AA3">
            <w:pPr>
              <w:rPr>
                <w:rFonts w:hint="eastAsia" w:ascii="宋体" w:hAnsi="宋体" w:cs="宋体"/>
                <w:color w:val="auto"/>
                <w:sz w:val="24"/>
                <w:highlight w:val="none"/>
              </w:rPr>
            </w:pPr>
          </w:p>
        </w:tc>
        <w:tc>
          <w:tcPr>
            <w:tcW w:w="1037" w:type="dxa"/>
            <w:noWrap w:val="0"/>
            <w:vAlign w:val="top"/>
          </w:tcPr>
          <w:p w14:paraId="30DA0889">
            <w:pPr>
              <w:rPr>
                <w:rFonts w:hint="eastAsia" w:ascii="宋体" w:hAnsi="宋体" w:cs="宋体"/>
                <w:color w:val="auto"/>
                <w:sz w:val="24"/>
                <w:highlight w:val="none"/>
              </w:rPr>
            </w:pPr>
          </w:p>
        </w:tc>
        <w:tc>
          <w:tcPr>
            <w:tcW w:w="1286" w:type="dxa"/>
            <w:noWrap w:val="0"/>
            <w:vAlign w:val="top"/>
          </w:tcPr>
          <w:p w14:paraId="3539F6D8">
            <w:pPr>
              <w:pStyle w:val="11"/>
              <w:rPr>
                <w:rFonts w:hint="eastAsia" w:hAnsi="宋体" w:cs="宋体"/>
                <w:color w:val="auto"/>
                <w:sz w:val="24"/>
                <w:highlight w:val="none"/>
                <w:lang w:val="en-US" w:eastAsia="zh-CN"/>
              </w:rPr>
            </w:pPr>
          </w:p>
        </w:tc>
        <w:tc>
          <w:tcPr>
            <w:tcW w:w="1236" w:type="dxa"/>
            <w:noWrap w:val="0"/>
            <w:vAlign w:val="top"/>
          </w:tcPr>
          <w:p w14:paraId="7A064C48">
            <w:pPr>
              <w:pStyle w:val="11"/>
              <w:rPr>
                <w:rFonts w:hint="eastAsia" w:hAnsi="宋体" w:cs="宋体"/>
                <w:color w:val="auto"/>
                <w:sz w:val="24"/>
                <w:highlight w:val="none"/>
                <w:lang w:val="en-US" w:eastAsia="zh-CN"/>
              </w:rPr>
            </w:pPr>
          </w:p>
        </w:tc>
        <w:tc>
          <w:tcPr>
            <w:tcW w:w="1098" w:type="dxa"/>
            <w:noWrap w:val="0"/>
            <w:vAlign w:val="top"/>
          </w:tcPr>
          <w:p w14:paraId="4910AA0E">
            <w:pPr>
              <w:pStyle w:val="11"/>
              <w:rPr>
                <w:rFonts w:hint="eastAsia" w:hAnsi="宋体" w:cs="宋体"/>
                <w:color w:val="auto"/>
                <w:sz w:val="24"/>
                <w:highlight w:val="none"/>
                <w:lang w:val="en-US" w:eastAsia="zh-CN"/>
              </w:rPr>
            </w:pPr>
          </w:p>
        </w:tc>
      </w:tr>
      <w:tr w14:paraId="36309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64F43027">
            <w:pPr>
              <w:pStyle w:val="11"/>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4</w:t>
            </w:r>
          </w:p>
        </w:tc>
        <w:tc>
          <w:tcPr>
            <w:tcW w:w="1186" w:type="dxa"/>
            <w:tcBorders>
              <w:right w:val="single" w:color="auto" w:sz="4" w:space="0"/>
            </w:tcBorders>
            <w:noWrap w:val="0"/>
            <w:vAlign w:val="top"/>
          </w:tcPr>
          <w:p w14:paraId="19ED56FD">
            <w:pPr>
              <w:rPr>
                <w:rFonts w:hint="eastAsia" w:ascii="宋体" w:hAnsi="宋体" w:cs="宋体"/>
                <w:color w:val="auto"/>
                <w:sz w:val="24"/>
                <w:highlight w:val="none"/>
              </w:rPr>
            </w:pPr>
          </w:p>
        </w:tc>
        <w:tc>
          <w:tcPr>
            <w:tcW w:w="1730" w:type="dxa"/>
            <w:tcBorders>
              <w:right w:val="single" w:color="auto" w:sz="4" w:space="0"/>
            </w:tcBorders>
            <w:noWrap w:val="0"/>
            <w:vAlign w:val="top"/>
          </w:tcPr>
          <w:p w14:paraId="74ACA649">
            <w:pPr>
              <w:rPr>
                <w:rFonts w:hint="eastAsia" w:ascii="宋体" w:hAnsi="宋体" w:cs="宋体"/>
                <w:color w:val="auto"/>
                <w:sz w:val="24"/>
                <w:highlight w:val="none"/>
              </w:rPr>
            </w:pPr>
          </w:p>
        </w:tc>
        <w:tc>
          <w:tcPr>
            <w:tcW w:w="1037" w:type="dxa"/>
            <w:tcBorders>
              <w:left w:val="single" w:color="auto" w:sz="4" w:space="0"/>
            </w:tcBorders>
            <w:noWrap w:val="0"/>
            <w:vAlign w:val="top"/>
          </w:tcPr>
          <w:p w14:paraId="1333968B">
            <w:pPr>
              <w:rPr>
                <w:rFonts w:hint="eastAsia" w:ascii="宋体" w:hAnsi="宋体" w:cs="宋体"/>
                <w:color w:val="auto"/>
                <w:sz w:val="24"/>
                <w:highlight w:val="none"/>
              </w:rPr>
            </w:pPr>
          </w:p>
        </w:tc>
        <w:tc>
          <w:tcPr>
            <w:tcW w:w="1286" w:type="dxa"/>
            <w:tcBorders>
              <w:left w:val="single" w:color="auto" w:sz="4" w:space="0"/>
            </w:tcBorders>
            <w:noWrap w:val="0"/>
            <w:vAlign w:val="top"/>
          </w:tcPr>
          <w:p w14:paraId="78760EAE">
            <w:pPr>
              <w:pStyle w:val="11"/>
              <w:rPr>
                <w:rFonts w:hint="eastAsia" w:hAnsi="宋体" w:cs="宋体"/>
                <w:color w:val="auto"/>
                <w:sz w:val="24"/>
                <w:highlight w:val="none"/>
                <w:lang w:val="en-US" w:eastAsia="zh-CN"/>
              </w:rPr>
            </w:pPr>
          </w:p>
        </w:tc>
        <w:tc>
          <w:tcPr>
            <w:tcW w:w="1236" w:type="dxa"/>
            <w:tcBorders>
              <w:left w:val="nil"/>
            </w:tcBorders>
            <w:noWrap w:val="0"/>
            <w:vAlign w:val="top"/>
          </w:tcPr>
          <w:p w14:paraId="73151087">
            <w:pPr>
              <w:pStyle w:val="11"/>
              <w:rPr>
                <w:rFonts w:hint="eastAsia" w:hAnsi="宋体" w:cs="宋体"/>
                <w:color w:val="auto"/>
                <w:sz w:val="24"/>
                <w:highlight w:val="none"/>
                <w:lang w:val="en-US" w:eastAsia="zh-CN"/>
              </w:rPr>
            </w:pPr>
          </w:p>
        </w:tc>
        <w:tc>
          <w:tcPr>
            <w:tcW w:w="1098" w:type="dxa"/>
            <w:noWrap w:val="0"/>
            <w:vAlign w:val="top"/>
          </w:tcPr>
          <w:p w14:paraId="0C30DE2F">
            <w:pPr>
              <w:pStyle w:val="11"/>
              <w:rPr>
                <w:rFonts w:hint="eastAsia" w:hAnsi="宋体" w:cs="宋体"/>
                <w:color w:val="auto"/>
                <w:sz w:val="24"/>
                <w:highlight w:val="none"/>
                <w:lang w:val="en-US" w:eastAsia="zh-CN"/>
              </w:rPr>
            </w:pPr>
          </w:p>
        </w:tc>
      </w:tr>
      <w:tr w14:paraId="2F3CD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3507AC47">
            <w:pPr>
              <w:pStyle w:val="11"/>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5</w:t>
            </w:r>
          </w:p>
        </w:tc>
        <w:tc>
          <w:tcPr>
            <w:tcW w:w="1186" w:type="dxa"/>
            <w:noWrap w:val="0"/>
            <w:vAlign w:val="top"/>
          </w:tcPr>
          <w:p w14:paraId="4957948C">
            <w:pPr>
              <w:rPr>
                <w:rFonts w:hint="eastAsia" w:ascii="宋体" w:hAnsi="宋体" w:cs="宋体"/>
                <w:color w:val="auto"/>
                <w:sz w:val="24"/>
                <w:highlight w:val="none"/>
              </w:rPr>
            </w:pPr>
          </w:p>
        </w:tc>
        <w:tc>
          <w:tcPr>
            <w:tcW w:w="1730" w:type="dxa"/>
            <w:noWrap w:val="0"/>
            <w:vAlign w:val="top"/>
          </w:tcPr>
          <w:p w14:paraId="6D80991F">
            <w:pPr>
              <w:rPr>
                <w:rFonts w:hint="eastAsia" w:ascii="宋体" w:hAnsi="宋体" w:cs="宋体"/>
                <w:color w:val="auto"/>
                <w:sz w:val="24"/>
                <w:highlight w:val="none"/>
              </w:rPr>
            </w:pPr>
          </w:p>
        </w:tc>
        <w:tc>
          <w:tcPr>
            <w:tcW w:w="1037" w:type="dxa"/>
            <w:noWrap w:val="0"/>
            <w:vAlign w:val="top"/>
          </w:tcPr>
          <w:p w14:paraId="06B9BD12">
            <w:pPr>
              <w:rPr>
                <w:rFonts w:hint="eastAsia" w:ascii="宋体" w:hAnsi="宋体" w:cs="宋体"/>
                <w:color w:val="auto"/>
                <w:sz w:val="24"/>
                <w:highlight w:val="none"/>
              </w:rPr>
            </w:pPr>
          </w:p>
        </w:tc>
        <w:tc>
          <w:tcPr>
            <w:tcW w:w="1286" w:type="dxa"/>
            <w:noWrap w:val="0"/>
            <w:vAlign w:val="top"/>
          </w:tcPr>
          <w:p w14:paraId="39C322E5">
            <w:pPr>
              <w:pStyle w:val="11"/>
              <w:rPr>
                <w:rFonts w:hint="eastAsia" w:hAnsi="宋体" w:cs="宋体"/>
                <w:color w:val="auto"/>
                <w:sz w:val="24"/>
                <w:highlight w:val="none"/>
                <w:lang w:val="en-US" w:eastAsia="zh-CN"/>
              </w:rPr>
            </w:pPr>
          </w:p>
        </w:tc>
        <w:tc>
          <w:tcPr>
            <w:tcW w:w="1236" w:type="dxa"/>
            <w:noWrap w:val="0"/>
            <w:vAlign w:val="top"/>
          </w:tcPr>
          <w:p w14:paraId="362970FE">
            <w:pPr>
              <w:pStyle w:val="11"/>
              <w:rPr>
                <w:rFonts w:hint="eastAsia" w:hAnsi="宋体" w:cs="宋体"/>
                <w:color w:val="auto"/>
                <w:sz w:val="24"/>
                <w:highlight w:val="none"/>
                <w:lang w:val="en-US" w:eastAsia="zh-CN"/>
              </w:rPr>
            </w:pPr>
          </w:p>
        </w:tc>
        <w:tc>
          <w:tcPr>
            <w:tcW w:w="1098" w:type="dxa"/>
            <w:noWrap w:val="0"/>
            <w:vAlign w:val="top"/>
          </w:tcPr>
          <w:p w14:paraId="7E4A517C">
            <w:pPr>
              <w:pStyle w:val="11"/>
              <w:rPr>
                <w:rFonts w:hint="eastAsia" w:hAnsi="宋体" w:cs="宋体"/>
                <w:color w:val="auto"/>
                <w:sz w:val="24"/>
                <w:highlight w:val="none"/>
                <w:lang w:val="en-US" w:eastAsia="zh-CN"/>
              </w:rPr>
            </w:pPr>
          </w:p>
        </w:tc>
      </w:tr>
      <w:tr w14:paraId="4B023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36A9C614">
            <w:pPr>
              <w:pStyle w:val="11"/>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6</w:t>
            </w:r>
          </w:p>
        </w:tc>
        <w:tc>
          <w:tcPr>
            <w:tcW w:w="1186" w:type="dxa"/>
            <w:noWrap w:val="0"/>
            <w:vAlign w:val="top"/>
          </w:tcPr>
          <w:p w14:paraId="614E409F">
            <w:pPr>
              <w:rPr>
                <w:rFonts w:hint="eastAsia" w:ascii="宋体" w:hAnsi="宋体" w:cs="宋体"/>
                <w:color w:val="auto"/>
                <w:sz w:val="24"/>
                <w:highlight w:val="none"/>
              </w:rPr>
            </w:pPr>
          </w:p>
        </w:tc>
        <w:tc>
          <w:tcPr>
            <w:tcW w:w="1730" w:type="dxa"/>
            <w:noWrap w:val="0"/>
            <w:vAlign w:val="top"/>
          </w:tcPr>
          <w:p w14:paraId="3806EBD2">
            <w:pPr>
              <w:rPr>
                <w:rFonts w:hint="eastAsia" w:ascii="宋体" w:hAnsi="宋体" w:cs="宋体"/>
                <w:color w:val="auto"/>
                <w:sz w:val="24"/>
                <w:highlight w:val="none"/>
              </w:rPr>
            </w:pPr>
          </w:p>
        </w:tc>
        <w:tc>
          <w:tcPr>
            <w:tcW w:w="1037" w:type="dxa"/>
            <w:noWrap w:val="0"/>
            <w:vAlign w:val="top"/>
          </w:tcPr>
          <w:p w14:paraId="020CC0A8">
            <w:pPr>
              <w:rPr>
                <w:rFonts w:hint="eastAsia" w:ascii="宋体" w:hAnsi="宋体" w:cs="宋体"/>
                <w:color w:val="auto"/>
                <w:sz w:val="24"/>
                <w:highlight w:val="none"/>
              </w:rPr>
            </w:pPr>
          </w:p>
        </w:tc>
        <w:tc>
          <w:tcPr>
            <w:tcW w:w="1286" w:type="dxa"/>
            <w:noWrap w:val="0"/>
            <w:vAlign w:val="top"/>
          </w:tcPr>
          <w:p w14:paraId="6713652D">
            <w:pPr>
              <w:pStyle w:val="11"/>
              <w:rPr>
                <w:rFonts w:hint="eastAsia" w:hAnsi="宋体" w:cs="宋体"/>
                <w:color w:val="auto"/>
                <w:sz w:val="24"/>
                <w:highlight w:val="none"/>
                <w:lang w:val="en-US" w:eastAsia="zh-CN"/>
              </w:rPr>
            </w:pPr>
          </w:p>
        </w:tc>
        <w:tc>
          <w:tcPr>
            <w:tcW w:w="1236" w:type="dxa"/>
            <w:noWrap w:val="0"/>
            <w:vAlign w:val="top"/>
          </w:tcPr>
          <w:p w14:paraId="17D27651">
            <w:pPr>
              <w:pStyle w:val="11"/>
              <w:rPr>
                <w:rFonts w:hint="eastAsia" w:hAnsi="宋体" w:cs="宋体"/>
                <w:color w:val="auto"/>
                <w:sz w:val="24"/>
                <w:highlight w:val="none"/>
                <w:lang w:val="en-US" w:eastAsia="zh-CN"/>
              </w:rPr>
            </w:pPr>
          </w:p>
        </w:tc>
        <w:tc>
          <w:tcPr>
            <w:tcW w:w="1098" w:type="dxa"/>
            <w:noWrap w:val="0"/>
            <w:vAlign w:val="top"/>
          </w:tcPr>
          <w:p w14:paraId="2843E4CF">
            <w:pPr>
              <w:pStyle w:val="11"/>
              <w:rPr>
                <w:rFonts w:hint="eastAsia" w:hAnsi="宋体" w:cs="宋体"/>
                <w:color w:val="auto"/>
                <w:sz w:val="24"/>
                <w:highlight w:val="none"/>
                <w:lang w:val="en-US" w:eastAsia="zh-CN"/>
              </w:rPr>
            </w:pPr>
          </w:p>
        </w:tc>
      </w:tr>
      <w:tr w14:paraId="7B24A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1FFB7625">
            <w:pPr>
              <w:pStyle w:val="11"/>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7</w:t>
            </w:r>
          </w:p>
        </w:tc>
        <w:tc>
          <w:tcPr>
            <w:tcW w:w="1186" w:type="dxa"/>
            <w:noWrap w:val="0"/>
            <w:vAlign w:val="top"/>
          </w:tcPr>
          <w:p w14:paraId="43C6E1A5">
            <w:pPr>
              <w:rPr>
                <w:rFonts w:hint="eastAsia" w:ascii="宋体" w:hAnsi="宋体" w:cs="宋体"/>
                <w:color w:val="auto"/>
                <w:sz w:val="24"/>
                <w:highlight w:val="none"/>
              </w:rPr>
            </w:pPr>
          </w:p>
        </w:tc>
        <w:tc>
          <w:tcPr>
            <w:tcW w:w="1730" w:type="dxa"/>
            <w:noWrap w:val="0"/>
            <w:vAlign w:val="top"/>
          </w:tcPr>
          <w:p w14:paraId="57B8788D">
            <w:pPr>
              <w:rPr>
                <w:rFonts w:hint="eastAsia" w:ascii="宋体" w:hAnsi="宋体" w:cs="宋体"/>
                <w:color w:val="auto"/>
                <w:sz w:val="24"/>
                <w:highlight w:val="none"/>
              </w:rPr>
            </w:pPr>
          </w:p>
        </w:tc>
        <w:tc>
          <w:tcPr>
            <w:tcW w:w="1037" w:type="dxa"/>
            <w:noWrap w:val="0"/>
            <w:vAlign w:val="top"/>
          </w:tcPr>
          <w:p w14:paraId="530DC398">
            <w:pPr>
              <w:rPr>
                <w:rFonts w:hint="eastAsia" w:ascii="宋体" w:hAnsi="宋体" w:cs="宋体"/>
                <w:color w:val="auto"/>
                <w:sz w:val="24"/>
                <w:highlight w:val="none"/>
              </w:rPr>
            </w:pPr>
          </w:p>
        </w:tc>
        <w:tc>
          <w:tcPr>
            <w:tcW w:w="1286" w:type="dxa"/>
            <w:noWrap w:val="0"/>
            <w:vAlign w:val="top"/>
          </w:tcPr>
          <w:p w14:paraId="2EF62403">
            <w:pPr>
              <w:pStyle w:val="11"/>
              <w:rPr>
                <w:rFonts w:hint="eastAsia" w:hAnsi="宋体" w:cs="宋体"/>
                <w:color w:val="auto"/>
                <w:sz w:val="24"/>
                <w:highlight w:val="none"/>
                <w:lang w:val="en-US" w:eastAsia="zh-CN"/>
              </w:rPr>
            </w:pPr>
          </w:p>
        </w:tc>
        <w:tc>
          <w:tcPr>
            <w:tcW w:w="1236" w:type="dxa"/>
            <w:noWrap w:val="0"/>
            <w:vAlign w:val="top"/>
          </w:tcPr>
          <w:p w14:paraId="5F6AD82E">
            <w:pPr>
              <w:pStyle w:val="11"/>
              <w:rPr>
                <w:rFonts w:hint="eastAsia" w:hAnsi="宋体" w:cs="宋体"/>
                <w:color w:val="auto"/>
                <w:sz w:val="24"/>
                <w:highlight w:val="none"/>
                <w:lang w:val="en-US" w:eastAsia="zh-CN"/>
              </w:rPr>
            </w:pPr>
          </w:p>
        </w:tc>
        <w:tc>
          <w:tcPr>
            <w:tcW w:w="1098" w:type="dxa"/>
            <w:noWrap w:val="0"/>
            <w:vAlign w:val="top"/>
          </w:tcPr>
          <w:p w14:paraId="2E91314B">
            <w:pPr>
              <w:pStyle w:val="11"/>
              <w:rPr>
                <w:rFonts w:hint="eastAsia" w:hAnsi="宋体" w:cs="宋体"/>
                <w:color w:val="auto"/>
                <w:sz w:val="24"/>
                <w:highlight w:val="none"/>
                <w:lang w:val="en-US" w:eastAsia="zh-CN"/>
              </w:rPr>
            </w:pPr>
          </w:p>
        </w:tc>
      </w:tr>
      <w:tr w14:paraId="69A55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3E3EA33C">
            <w:pPr>
              <w:pStyle w:val="11"/>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8</w:t>
            </w:r>
          </w:p>
        </w:tc>
        <w:tc>
          <w:tcPr>
            <w:tcW w:w="1186" w:type="dxa"/>
            <w:noWrap w:val="0"/>
            <w:vAlign w:val="top"/>
          </w:tcPr>
          <w:p w14:paraId="14CB6F56">
            <w:pPr>
              <w:rPr>
                <w:rFonts w:hint="eastAsia" w:ascii="宋体" w:hAnsi="宋体" w:cs="宋体"/>
                <w:color w:val="auto"/>
                <w:sz w:val="24"/>
                <w:highlight w:val="none"/>
              </w:rPr>
            </w:pPr>
          </w:p>
        </w:tc>
        <w:tc>
          <w:tcPr>
            <w:tcW w:w="1730" w:type="dxa"/>
            <w:noWrap w:val="0"/>
            <w:vAlign w:val="top"/>
          </w:tcPr>
          <w:p w14:paraId="656DF959">
            <w:pPr>
              <w:rPr>
                <w:rFonts w:hint="eastAsia" w:ascii="宋体" w:hAnsi="宋体" w:cs="宋体"/>
                <w:color w:val="auto"/>
                <w:sz w:val="24"/>
                <w:highlight w:val="none"/>
              </w:rPr>
            </w:pPr>
          </w:p>
        </w:tc>
        <w:tc>
          <w:tcPr>
            <w:tcW w:w="1037" w:type="dxa"/>
            <w:noWrap w:val="0"/>
            <w:vAlign w:val="top"/>
          </w:tcPr>
          <w:p w14:paraId="01174EDC">
            <w:pPr>
              <w:rPr>
                <w:rFonts w:hint="eastAsia" w:ascii="宋体" w:hAnsi="宋体" w:cs="宋体"/>
                <w:color w:val="auto"/>
                <w:sz w:val="24"/>
                <w:highlight w:val="none"/>
              </w:rPr>
            </w:pPr>
          </w:p>
        </w:tc>
        <w:tc>
          <w:tcPr>
            <w:tcW w:w="1286" w:type="dxa"/>
            <w:noWrap w:val="0"/>
            <w:vAlign w:val="top"/>
          </w:tcPr>
          <w:p w14:paraId="3DA1E4DF">
            <w:pPr>
              <w:pStyle w:val="11"/>
              <w:rPr>
                <w:rFonts w:hint="eastAsia" w:hAnsi="宋体" w:cs="宋体"/>
                <w:color w:val="auto"/>
                <w:sz w:val="24"/>
                <w:highlight w:val="none"/>
                <w:lang w:val="en-US" w:eastAsia="zh-CN"/>
              </w:rPr>
            </w:pPr>
          </w:p>
        </w:tc>
        <w:tc>
          <w:tcPr>
            <w:tcW w:w="1236" w:type="dxa"/>
            <w:noWrap w:val="0"/>
            <w:vAlign w:val="top"/>
          </w:tcPr>
          <w:p w14:paraId="042FBCB7">
            <w:pPr>
              <w:pStyle w:val="11"/>
              <w:rPr>
                <w:rFonts w:hint="eastAsia" w:hAnsi="宋体" w:cs="宋体"/>
                <w:color w:val="auto"/>
                <w:sz w:val="24"/>
                <w:highlight w:val="none"/>
                <w:lang w:val="en-US" w:eastAsia="zh-CN"/>
              </w:rPr>
            </w:pPr>
          </w:p>
        </w:tc>
        <w:tc>
          <w:tcPr>
            <w:tcW w:w="1098" w:type="dxa"/>
            <w:noWrap w:val="0"/>
            <w:vAlign w:val="top"/>
          </w:tcPr>
          <w:p w14:paraId="1780D3DF">
            <w:pPr>
              <w:pStyle w:val="11"/>
              <w:rPr>
                <w:rFonts w:hint="eastAsia" w:hAnsi="宋体" w:cs="宋体"/>
                <w:color w:val="auto"/>
                <w:sz w:val="24"/>
                <w:highlight w:val="none"/>
                <w:lang w:val="en-US" w:eastAsia="zh-CN"/>
              </w:rPr>
            </w:pPr>
          </w:p>
        </w:tc>
      </w:tr>
      <w:tr w14:paraId="04A73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0A669D36">
            <w:pPr>
              <w:pStyle w:val="11"/>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9</w:t>
            </w:r>
          </w:p>
        </w:tc>
        <w:tc>
          <w:tcPr>
            <w:tcW w:w="1186" w:type="dxa"/>
            <w:noWrap w:val="0"/>
            <w:vAlign w:val="top"/>
          </w:tcPr>
          <w:p w14:paraId="53232AC3">
            <w:pPr>
              <w:rPr>
                <w:rFonts w:hint="eastAsia" w:ascii="宋体" w:hAnsi="宋体" w:cs="宋体"/>
                <w:color w:val="auto"/>
                <w:sz w:val="24"/>
                <w:highlight w:val="none"/>
              </w:rPr>
            </w:pPr>
          </w:p>
        </w:tc>
        <w:tc>
          <w:tcPr>
            <w:tcW w:w="1730" w:type="dxa"/>
            <w:noWrap w:val="0"/>
            <w:vAlign w:val="top"/>
          </w:tcPr>
          <w:p w14:paraId="1D975DDB">
            <w:pPr>
              <w:rPr>
                <w:rFonts w:hint="eastAsia" w:ascii="宋体" w:hAnsi="宋体" w:cs="宋体"/>
                <w:color w:val="auto"/>
                <w:sz w:val="24"/>
                <w:highlight w:val="none"/>
              </w:rPr>
            </w:pPr>
          </w:p>
        </w:tc>
        <w:tc>
          <w:tcPr>
            <w:tcW w:w="1037" w:type="dxa"/>
            <w:noWrap w:val="0"/>
            <w:vAlign w:val="top"/>
          </w:tcPr>
          <w:p w14:paraId="715A0693">
            <w:pPr>
              <w:rPr>
                <w:rFonts w:hint="eastAsia" w:ascii="宋体" w:hAnsi="宋体" w:cs="宋体"/>
                <w:color w:val="auto"/>
                <w:sz w:val="24"/>
                <w:highlight w:val="none"/>
              </w:rPr>
            </w:pPr>
          </w:p>
        </w:tc>
        <w:tc>
          <w:tcPr>
            <w:tcW w:w="1286" w:type="dxa"/>
            <w:noWrap w:val="0"/>
            <w:vAlign w:val="top"/>
          </w:tcPr>
          <w:p w14:paraId="096A5C8F">
            <w:pPr>
              <w:pStyle w:val="11"/>
              <w:rPr>
                <w:rFonts w:hint="eastAsia" w:hAnsi="宋体" w:cs="宋体"/>
                <w:color w:val="auto"/>
                <w:sz w:val="24"/>
                <w:highlight w:val="none"/>
                <w:lang w:val="en-US" w:eastAsia="zh-CN"/>
              </w:rPr>
            </w:pPr>
          </w:p>
        </w:tc>
        <w:tc>
          <w:tcPr>
            <w:tcW w:w="1236" w:type="dxa"/>
            <w:noWrap w:val="0"/>
            <w:vAlign w:val="top"/>
          </w:tcPr>
          <w:p w14:paraId="111E95CF">
            <w:pPr>
              <w:pStyle w:val="11"/>
              <w:rPr>
                <w:rFonts w:hint="eastAsia" w:hAnsi="宋体" w:cs="宋体"/>
                <w:color w:val="auto"/>
                <w:sz w:val="24"/>
                <w:highlight w:val="none"/>
                <w:lang w:val="en-US" w:eastAsia="zh-CN"/>
              </w:rPr>
            </w:pPr>
          </w:p>
        </w:tc>
        <w:tc>
          <w:tcPr>
            <w:tcW w:w="1098" w:type="dxa"/>
            <w:noWrap w:val="0"/>
            <w:vAlign w:val="top"/>
          </w:tcPr>
          <w:p w14:paraId="2A8CB968">
            <w:pPr>
              <w:pStyle w:val="11"/>
              <w:rPr>
                <w:rFonts w:hint="eastAsia" w:hAnsi="宋体" w:cs="宋体"/>
                <w:color w:val="auto"/>
                <w:sz w:val="24"/>
                <w:highlight w:val="none"/>
                <w:lang w:val="en-US" w:eastAsia="zh-CN"/>
              </w:rPr>
            </w:pPr>
          </w:p>
        </w:tc>
      </w:tr>
      <w:tr w14:paraId="7EB97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noWrap w:val="0"/>
            <w:vAlign w:val="center"/>
          </w:tcPr>
          <w:p w14:paraId="75B2ADE0">
            <w:pPr>
              <w:pStyle w:val="11"/>
              <w:jc w:val="center"/>
              <w:rPr>
                <w:rFonts w:hint="eastAsia" w:hAnsi="宋体" w:cs="宋体"/>
                <w:color w:val="auto"/>
                <w:sz w:val="24"/>
                <w:highlight w:val="none"/>
                <w:lang w:val="en-US" w:eastAsia="zh-CN"/>
              </w:rPr>
            </w:pPr>
            <w:r>
              <w:rPr>
                <w:rFonts w:hint="eastAsia" w:hAnsi="宋体" w:cs="宋体"/>
                <w:b/>
                <w:color w:val="auto"/>
                <w:sz w:val="24"/>
                <w:highlight w:val="none"/>
                <w:lang w:val="en-US" w:eastAsia="zh-CN"/>
              </w:rPr>
              <w:t>合计</w:t>
            </w:r>
          </w:p>
        </w:tc>
        <w:tc>
          <w:tcPr>
            <w:tcW w:w="1236" w:type="dxa"/>
            <w:noWrap w:val="0"/>
            <w:vAlign w:val="center"/>
          </w:tcPr>
          <w:p w14:paraId="006DCDB2">
            <w:pPr>
              <w:pStyle w:val="11"/>
              <w:jc w:val="center"/>
              <w:rPr>
                <w:rFonts w:hint="eastAsia" w:hAnsi="宋体" w:cs="宋体"/>
                <w:color w:val="auto"/>
                <w:sz w:val="24"/>
                <w:highlight w:val="none"/>
                <w:lang w:val="en-US" w:eastAsia="zh-CN"/>
              </w:rPr>
            </w:pPr>
          </w:p>
        </w:tc>
        <w:tc>
          <w:tcPr>
            <w:tcW w:w="1098" w:type="dxa"/>
            <w:noWrap w:val="0"/>
            <w:vAlign w:val="center"/>
          </w:tcPr>
          <w:p w14:paraId="6995DCCC">
            <w:pPr>
              <w:pStyle w:val="11"/>
              <w:jc w:val="center"/>
              <w:rPr>
                <w:rFonts w:hint="eastAsia" w:hAnsi="宋体" w:cs="宋体"/>
                <w:color w:val="auto"/>
                <w:sz w:val="24"/>
                <w:highlight w:val="none"/>
                <w:lang w:val="en-US" w:eastAsia="zh-CN"/>
              </w:rPr>
            </w:pPr>
          </w:p>
        </w:tc>
      </w:tr>
    </w:tbl>
    <w:p w14:paraId="11813E63">
      <w:pPr>
        <w:pStyle w:val="12"/>
        <w:spacing w:line="360" w:lineRule="auto"/>
        <w:rPr>
          <w:rFonts w:hint="eastAsia" w:ascii="宋体" w:hAnsi="宋体" w:cs="宋体"/>
          <w:color w:val="auto"/>
          <w:sz w:val="24"/>
          <w:highlight w:val="none"/>
        </w:rPr>
      </w:pPr>
      <w:r>
        <w:rPr>
          <w:rFonts w:hint="eastAsia" w:ascii="宋体" w:hAnsi="宋体" w:cs="宋体"/>
          <w:color w:val="auto"/>
          <w:sz w:val="24"/>
          <w:highlight w:val="none"/>
        </w:rPr>
        <w:t>投标人电子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章：</w:t>
      </w:r>
    </w:p>
    <w:p w14:paraId="23BA66C3">
      <w:pPr>
        <w:spacing w:line="380" w:lineRule="exact"/>
        <w:ind w:right="64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被授权人</w:t>
      </w:r>
      <w:r>
        <w:rPr>
          <w:rFonts w:hint="eastAsia" w:ascii="宋体" w:hAnsi="宋体" w:cs="宋体"/>
          <w:color w:val="auto"/>
          <w:sz w:val="24"/>
          <w:highlight w:val="none"/>
          <w:lang w:val="en-US" w:eastAsia="zh-CN"/>
        </w:rPr>
        <w:t>和</w:t>
      </w:r>
      <w:r>
        <w:rPr>
          <w:rFonts w:hint="eastAsia" w:ascii="宋体" w:hAnsi="宋体" w:cs="宋体"/>
          <w:color w:val="auto"/>
          <w:sz w:val="24"/>
          <w:highlight w:val="none"/>
        </w:rPr>
        <w:t>法</w:t>
      </w:r>
      <w:r>
        <w:rPr>
          <w:rFonts w:hint="eastAsia" w:ascii="宋体" w:hAnsi="宋体" w:cs="宋体"/>
          <w:color w:val="auto"/>
          <w:sz w:val="24"/>
          <w:highlight w:val="none"/>
          <w:lang w:val="en-US" w:eastAsia="zh-CN"/>
        </w:rPr>
        <w:t>定代表人</w:t>
      </w:r>
      <w:r>
        <w:rPr>
          <w:rFonts w:hint="eastAsia" w:ascii="宋体" w:hAnsi="宋体" w:cs="宋体"/>
          <w:color w:val="auto"/>
          <w:sz w:val="24"/>
          <w:highlight w:val="none"/>
        </w:rPr>
        <w:t>：</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签字）</w:t>
      </w:r>
    </w:p>
    <w:p w14:paraId="033CF20C">
      <w:pPr>
        <w:rPr>
          <w:rFonts w:hint="eastAsia"/>
          <w:color w:val="auto"/>
          <w:highlight w:val="none"/>
        </w:rPr>
      </w:pPr>
    </w:p>
    <w:p w14:paraId="1AC830D8">
      <w:pPr>
        <w:rPr>
          <w:rFonts w:hint="eastAsia"/>
          <w:color w:val="auto"/>
          <w:highlight w:val="none"/>
        </w:rPr>
      </w:pPr>
      <w:r>
        <w:rPr>
          <w:rFonts w:hint="eastAsia" w:ascii="宋体" w:hAnsi="宋体" w:cs="宋体"/>
          <w:color w:val="auto"/>
          <w:sz w:val="24"/>
          <w:highlight w:val="none"/>
        </w:rPr>
        <w:t>年   月    日</w:t>
      </w:r>
    </w:p>
    <w:p w14:paraId="00725D09">
      <w:pPr>
        <w:spacing w:before="48" w:beforeLines="20" w:after="48" w:afterLines="20" w:line="360" w:lineRule="auto"/>
        <w:rPr>
          <w:rFonts w:hint="eastAsia" w:ascii="宋体" w:hAnsi="宋体" w:cs="宋体"/>
          <w:color w:val="auto"/>
          <w:sz w:val="28"/>
          <w:highlight w:val="none"/>
        </w:rPr>
      </w:pPr>
      <w:r>
        <w:rPr>
          <w:rFonts w:hint="eastAsia" w:ascii="宋体" w:hAnsi="宋体" w:cs="宋体"/>
          <w:color w:val="auto"/>
          <w:sz w:val="24"/>
          <w:szCs w:val="27"/>
          <w:highlight w:val="none"/>
        </w:rPr>
        <w:t>备注：备品备件系指免费质保期满后一定期限的易损件、耗材等。</w:t>
      </w:r>
    </w:p>
    <w:p w14:paraId="4ACD3E22">
      <w:pPr>
        <w:spacing w:before="48" w:beforeLines="20" w:after="48" w:afterLines="20" w:line="360" w:lineRule="auto"/>
        <w:rPr>
          <w:rFonts w:hint="eastAsia" w:ascii="宋体" w:hAnsi="宋体" w:cs="宋体"/>
          <w:color w:val="auto"/>
          <w:sz w:val="28"/>
          <w:highlight w:val="none"/>
        </w:rPr>
      </w:pPr>
    </w:p>
    <w:p w14:paraId="7ACEAAEC">
      <w:pPr>
        <w:spacing w:before="48" w:beforeLines="20" w:after="48" w:afterLines="20" w:line="360" w:lineRule="auto"/>
        <w:rPr>
          <w:rFonts w:hint="eastAsia" w:ascii="宋体" w:hAnsi="宋体" w:cs="宋体"/>
          <w:color w:val="auto"/>
          <w:sz w:val="28"/>
          <w:highlight w:val="none"/>
        </w:rPr>
      </w:pPr>
    </w:p>
    <w:p w14:paraId="499456E3">
      <w:pPr>
        <w:pStyle w:val="18"/>
        <w:rPr>
          <w:rFonts w:hint="eastAsia"/>
          <w:color w:val="auto"/>
          <w:highlight w:val="none"/>
        </w:rPr>
      </w:pPr>
    </w:p>
    <w:p w14:paraId="609296C2">
      <w:pPr>
        <w:pStyle w:val="4"/>
        <w:rPr>
          <w:rFonts w:hint="eastAsia" w:hAnsi="宋体" w:cs="宋体"/>
          <w:color w:val="auto"/>
          <w:sz w:val="28"/>
          <w:szCs w:val="36"/>
          <w:highlight w:val="none"/>
        </w:rPr>
      </w:pPr>
      <w:bookmarkStart w:id="178" w:name="_Toc40975456"/>
      <w:bookmarkStart w:id="179" w:name="_Toc516969105"/>
      <w:bookmarkStart w:id="180" w:name="_Toc220232402"/>
      <w:bookmarkStart w:id="181" w:name="_Toc14527"/>
      <w:bookmarkStart w:id="182" w:name="_Toc5312_WPSOffice_Level2"/>
      <w:r>
        <w:rPr>
          <w:rFonts w:hint="eastAsia" w:hAnsi="宋体" w:cs="宋体"/>
          <w:color w:val="auto"/>
          <w:sz w:val="28"/>
          <w:highlight w:val="none"/>
        </w:rPr>
        <w:t>八．有关证明文件</w:t>
      </w:r>
      <w:bookmarkEnd w:id="178"/>
      <w:bookmarkEnd w:id="179"/>
      <w:bookmarkEnd w:id="180"/>
      <w:bookmarkEnd w:id="181"/>
      <w:bookmarkEnd w:id="182"/>
    </w:p>
    <w:p w14:paraId="2E1A1905">
      <w:pPr>
        <w:tabs>
          <w:tab w:val="left" w:pos="462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提供符合投标邀请（招标公告）、货物需求一览表及评标办法规定的相关证明文件。</w:t>
      </w:r>
    </w:p>
    <w:p w14:paraId="33750B91">
      <w:pPr>
        <w:tabs>
          <w:tab w:val="left" w:pos="4620"/>
        </w:tabs>
        <w:spacing w:line="360" w:lineRule="auto"/>
        <w:ind w:firstLine="480" w:firstLineChars="200"/>
        <w:rPr>
          <w:rFonts w:hint="eastAsia" w:ascii="宋体" w:hAnsi="宋体" w:cs="宋体"/>
          <w:color w:val="auto"/>
          <w:sz w:val="24"/>
          <w:highlight w:val="none"/>
        </w:rPr>
      </w:pPr>
    </w:p>
    <w:p w14:paraId="09E8481A">
      <w:pPr>
        <w:tabs>
          <w:tab w:val="left" w:pos="4620"/>
        </w:tabs>
        <w:spacing w:line="360" w:lineRule="auto"/>
        <w:ind w:firstLine="480" w:firstLineChars="200"/>
        <w:rPr>
          <w:rFonts w:hint="eastAsia" w:ascii="宋体" w:hAnsi="宋体" w:cs="宋体"/>
          <w:color w:val="auto"/>
          <w:sz w:val="24"/>
          <w:highlight w:val="none"/>
        </w:rPr>
      </w:pPr>
    </w:p>
    <w:p w14:paraId="091660E3">
      <w:pPr>
        <w:tabs>
          <w:tab w:val="left" w:pos="4620"/>
        </w:tabs>
        <w:spacing w:line="360" w:lineRule="auto"/>
        <w:ind w:firstLine="480" w:firstLineChars="200"/>
        <w:rPr>
          <w:rFonts w:hint="eastAsia" w:ascii="宋体" w:hAnsi="宋体" w:cs="宋体"/>
          <w:color w:val="auto"/>
          <w:sz w:val="24"/>
          <w:highlight w:val="none"/>
        </w:rPr>
      </w:pPr>
    </w:p>
    <w:p w14:paraId="40C7F283">
      <w:pPr>
        <w:tabs>
          <w:tab w:val="left" w:pos="4620"/>
        </w:tabs>
        <w:spacing w:line="360" w:lineRule="auto"/>
        <w:ind w:firstLine="480" w:firstLineChars="200"/>
        <w:rPr>
          <w:rFonts w:hint="eastAsia" w:ascii="宋体" w:hAnsi="宋体" w:cs="宋体"/>
          <w:color w:val="auto"/>
          <w:sz w:val="24"/>
          <w:highlight w:val="none"/>
        </w:rPr>
      </w:pPr>
    </w:p>
    <w:p w14:paraId="68BB768D">
      <w:pPr>
        <w:tabs>
          <w:tab w:val="left" w:pos="4620"/>
        </w:tabs>
        <w:spacing w:line="360" w:lineRule="auto"/>
        <w:ind w:firstLine="480" w:firstLineChars="200"/>
        <w:rPr>
          <w:rFonts w:hint="eastAsia" w:ascii="宋体" w:hAnsi="宋体" w:eastAsia="宋体" w:cs="宋体"/>
          <w:color w:val="auto"/>
          <w:sz w:val="24"/>
          <w:highlight w:val="none"/>
          <w:lang w:eastAsia="zh-CN"/>
        </w:rPr>
      </w:pPr>
    </w:p>
    <w:p w14:paraId="143D9CB2">
      <w:pPr>
        <w:pStyle w:val="43"/>
        <w:rPr>
          <w:rFonts w:hint="eastAsia" w:ascii="宋体" w:hAnsi="宋体" w:eastAsia="宋体" w:cs="宋体"/>
          <w:color w:val="auto"/>
          <w:sz w:val="24"/>
          <w:highlight w:val="none"/>
          <w:lang w:eastAsia="zh-CN"/>
        </w:rPr>
      </w:pPr>
    </w:p>
    <w:p w14:paraId="22784FFD">
      <w:pPr>
        <w:pStyle w:val="43"/>
        <w:rPr>
          <w:rFonts w:hint="eastAsia" w:ascii="宋体" w:hAnsi="宋体" w:eastAsia="宋体" w:cs="宋体"/>
          <w:color w:val="auto"/>
          <w:sz w:val="24"/>
          <w:highlight w:val="none"/>
          <w:lang w:eastAsia="zh-CN"/>
        </w:rPr>
      </w:pPr>
    </w:p>
    <w:p w14:paraId="3E316FCB">
      <w:pPr>
        <w:pStyle w:val="43"/>
        <w:rPr>
          <w:rFonts w:hint="eastAsia" w:ascii="宋体" w:hAnsi="宋体" w:eastAsia="宋体" w:cs="宋体"/>
          <w:color w:val="auto"/>
          <w:sz w:val="24"/>
          <w:highlight w:val="none"/>
          <w:lang w:eastAsia="zh-CN"/>
        </w:rPr>
      </w:pPr>
    </w:p>
    <w:p w14:paraId="31884A96">
      <w:pPr>
        <w:pStyle w:val="43"/>
        <w:rPr>
          <w:rFonts w:hint="eastAsia" w:ascii="宋体" w:hAnsi="宋体" w:eastAsia="宋体" w:cs="宋体"/>
          <w:color w:val="auto"/>
          <w:sz w:val="24"/>
          <w:highlight w:val="none"/>
          <w:lang w:eastAsia="zh-CN"/>
        </w:rPr>
      </w:pPr>
    </w:p>
    <w:p w14:paraId="0EEEA098">
      <w:pPr>
        <w:pStyle w:val="43"/>
        <w:rPr>
          <w:rFonts w:hint="eastAsia" w:ascii="宋体" w:hAnsi="宋体" w:eastAsia="宋体" w:cs="宋体"/>
          <w:color w:val="auto"/>
          <w:sz w:val="24"/>
          <w:highlight w:val="none"/>
          <w:lang w:eastAsia="zh-CN"/>
        </w:rPr>
      </w:pPr>
    </w:p>
    <w:p w14:paraId="04CFCF9F">
      <w:pPr>
        <w:pStyle w:val="43"/>
        <w:rPr>
          <w:rFonts w:hint="eastAsia" w:ascii="宋体" w:hAnsi="宋体" w:eastAsia="宋体" w:cs="宋体"/>
          <w:color w:val="auto"/>
          <w:sz w:val="24"/>
          <w:highlight w:val="none"/>
          <w:lang w:eastAsia="zh-CN"/>
        </w:rPr>
      </w:pPr>
    </w:p>
    <w:p w14:paraId="1FD117E6">
      <w:pPr>
        <w:tabs>
          <w:tab w:val="left" w:pos="4620"/>
        </w:tabs>
        <w:spacing w:line="360" w:lineRule="auto"/>
        <w:ind w:firstLine="480" w:firstLineChars="200"/>
        <w:rPr>
          <w:rFonts w:hint="eastAsia" w:ascii="宋体" w:hAnsi="宋体" w:cs="宋体"/>
          <w:color w:val="auto"/>
          <w:sz w:val="24"/>
          <w:highlight w:val="none"/>
        </w:rPr>
      </w:pPr>
    </w:p>
    <w:p w14:paraId="09397828">
      <w:pPr>
        <w:tabs>
          <w:tab w:val="left" w:pos="4620"/>
        </w:tabs>
        <w:spacing w:line="360" w:lineRule="auto"/>
        <w:ind w:firstLine="480" w:firstLineChars="200"/>
        <w:rPr>
          <w:rFonts w:hint="eastAsia" w:ascii="宋体" w:hAnsi="宋体" w:cs="宋体"/>
          <w:color w:val="auto"/>
          <w:sz w:val="24"/>
          <w:highlight w:val="none"/>
        </w:rPr>
      </w:pPr>
    </w:p>
    <w:p w14:paraId="4E60B5FE">
      <w:pPr>
        <w:tabs>
          <w:tab w:val="left" w:pos="4620"/>
        </w:tabs>
        <w:spacing w:line="360" w:lineRule="auto"/>
        <w:ind w:firstLine="480" w:firstLineChars="200"/>
        <w:rPr>
          <w:rFonts w:hint="eastAsia" w:ascii="宋体" w:hAnsi="宋体" w:cs="宋体"/>
          <w:color w:val="auto"/>
          <w:sz w:val="24"/>
          <w:highlight w:val="none"/>
        </w:rPr>
      </w:pPr>
    </w:p>
    <w:p w14:paraId="21942F0B">
      <w:pPr>
        <w:tabs>
          <w:tab w:val="left" w:pos="4620"/>
        </w:tabs>
        <w:spacing w:line="360" w:lineRule="auto"/>
        <w:ind w:firstLine="480" w:firstLineChars="200"/>
        <w:rPr>
          <w:rFonts w:hint="eastAsia" w:ascii="宋体" w:hAnsi="宋体" w:cs="宋体"/>
          <w:color w:val="auto"/>
          <w:sz w:val="24"/>
          <w:highlight w:val="none"/>
        </w:rPr>
      </w:pPr>
    </w:p>
    <w:p w14:paraId="71D0E1FC">
      <w:pPr>
        <w:tabs>
          <w:tab w:val="left" w:pos="4620"/>
        </w:tabs>
        <w:spacing w:line="360" w:lineRule="auto"/>
        <w:ind w:firstLine="480" w:firstLineChars="200"/>
        <w:rPr>
          <w:rFonts w:hint="eastAsia" w:ascii="宋体" w:hAnsi="宋体" w:cs="宋体"/>
          <w:color w:val="auto"/>
          <w:sz w:val="24"/>
          <w:highlight w:val="none"/>
        </w:rPr>
      </w:pPr>
    </w:p>
    <w:p w14:paraId="07FD37B8">
      <w:pPr>
        <w:tabs>
          <w:tab w:val="left" w:pos="4620"/>
        </w:tabs>
        <w:spacing w:line="360" w:lineRule="auto"/>
        <w:ind w:firstLine="480" w:firstLineChars="200"/>
        <w:rPr>
          <w:rFonts w:hint="eastAsia" w:ascii="宋体" w:hAnsi="宋体" w:cs="宋体"/>
          <w:color w:val="auto"/>
          <w:sz w:val="24"/>
          <w:highlight w:val="none"/>
        </w:rPr>
      </w:pPr>
    </w:p>
    <w:p w14:paraId="2BE78E0E">
      <w:pPr>
        <w:tabs>
          <w:tab w:val="left" w:pos="4620"/>
        </w:tabs>
        <w:spacing w:line="360" w:lineRule="auto"/>
        <w:ind w:firstLine="480" w:firstLineChars="200"/>
        <w:rPr>
          <w:rFonts w:hint="eastAsia" w:ascii="宋体" w:hAnsi="宋体" w:cs="宋体"/>
          <w:color w:val="auto"/>
          <w:sz w:val="24"/>
          <w:highlight w:val="none"/>
        </w:rPr>
      </w:pPr>
    </w:p>
    <w:p w14:paraId="3EC51C0B">
      <w:pPr>
        <w:tabs>
          <w:tab w:val="left" w:pos="4620"/>
        </w:tabs>
        <w:spacing w:line="360" w:lineRule="auto"/>
        <w:ind w:firstLine="480" w:firstLineChars="200"/>
        <w:rPr>
          <w:rFonts w:hint="eastAsia" w:ascii="宋体" w:hAnsi="宋体" w:cs="宋体"/>
          <w:color w:val="auto"/>
          <w:sz w:val="24"/>
          <w:highlight w:val="none"/>
        </w:rPr>
      </w:pPr>
    </w:p>
    <w:p w14:paraId="66533E06">
      <w:pPr>
        <w:tabs>
          <w:tab w:val="left" w:pos="4620"/>
        </w:tabs>
        <w:spacing w:line="360" w:lineRule="auto"/>
        <w:ind w:firstLine="480" w:firstLineChars="200"/>
        <w:rPr>
          <w:rFonts w:hint="eastAsia" w:ascii="宋体" w:hAnsi="宋体" w:cs="宋体"/>
          <w:color w:val="auto"/>
          <w:sz w:val="24"/>
          <w:highlight w:val="none"/>
        </w:rPr>
      </w:pPr>
    </w:p>
    <w:p w14:paraId="3AEA0CB6">
      <w:pPr>
        <w:tabs>
          <w:tab w:val="left" w:pos="4620"/>
        </w:tabs>
        <w:spacing w:line="360" w:lineRule="auto"/>
        <w:ind w:firstLine="480" w:firstLineChars="200"/>
        <w:rPr>
          <w:rFonts w:hint="eastAsia" w:ascii="宋体" w:hAnsi="宋体" w:cs="宋体"/>
          <w:color w:val="auto"/>
          <w:sz w:val="24"/>
          <w:highlight w:val="none"/>
        </w:rPr>
      </w:pPr>
    </w:p>
    <w:p w14:paraId="63FD25AC">
      <w:pPr>
        <w:tabs>
          <w:tab w:val="left" w:pos="4620"/>
        </w:tabs>
        <w:spacing w:line="360" w:lineRule="auto"/>
        <w:ind w:firstLine="480" w:firstLineChars="200"/>
        <w:rPr>
          <w:rFonts w:hint="eastAsia" w:ascii="宋体" w:hAnsi="宋体" w:cs="宋体"/>
          <w:color w:val="auto"/>
          <w:sz w:val="24"/>
          <w:highlight w:val="none"/>
        </w:rPr>
      </w:pPr>
    </w:p>
    <w:p w14:paraId="5B9B0911">
      <w:pPr>
        <w:tabs>
          <w:tab w:val="left" w:pos="4620"/>
        </w:tabs>
        <w:spacing w:line="360" w:lineRule="auto"/>
        <w:ind w:firstLine="480" w:firstLineChars="200"/>
        <w:rPr>
          <w:rFonts w:hint="eastAsia" w:ascii="宋体" w:hAnsi="宋体" w:cs="宋体"/>
          <w:color w:val="auto"/>
          <w:sz w:val="24"/>
          <w:highlight w:val="none"/>
        </w:rPr>
      </w:pPr>
    </w:p>
    <w:p w14:paraId="2097478D">
      <w:pPr>
        <w:pStyle w:val="18"/>
        <w:rPr>
          <w:rFonts w:hint="eastAsia"/>
          <w:color w:val="auto"/>
          <w:highlight w:val="none"/>
        </w:rPr>
      </w:pPr>
    </w:p>
    <w:p w14:paraId="61B901F8">
      <w:pPr>
        <w:pStyle w:val="18"/>
        <w:rPr>
          <w:rFonts w:hint="eastAsia"/>
          <w:color w:val="auto"/>
          <w:highlight w:val="none"/>
        </w:rPr>
      </w:pPr>
    </w:p>
    <w:p w14:paraId="6B1ADF74">
      <w:pPr>
        <w:pStyle w:val="18"/>
        <w:rPr>
          <w:rFonts w:hint="eastAsia"/>
          <w:color w:val="auto"/>
          <w:highlight w:val="none"/>
        </w:rPr>
      </w:pPr>
    </w:p>
    <w:p w14:paraId="6D6BA0F5">
      <w:pPr>
        <w:tabs>
          <w:tab w:val="left" w:pos="4620"/>
        </w:tabs>
        <w:spacing w:line="360" w:lineRule="auto"/>
        <w:ind w:firstLine="480" w:firstLineChars="200"/>
        <w:rPr>
          <w:rFonts w:hint="eastAsia" w:ascii="宋体" w:hAnsi="宋体" w:cs="宋体"/>
          <w:color w:val="auto"/>
          <w:sz w:val="24"/>
          <w:highlight w:val="none"/>
        </w:rPr>
      </w:pPr>
    </w:p>
    <w:p w14:paraId="0101B389">
      <w:pPr>
        <w:pStyle w:val="18"/>
        <w:rPr>
          <w:rFonts w:hint="eastAsia"/>
          <w:color w:val="auto"/>
          <w:highlight w:val="none"/>
        </w:rPr>
      </w:pPr>
    </w:p>
    <w:p w14:paraId="45557B81">
      <w:pPr>
        <w:pStyle w:val="18"/>
        <w:rPr>
          <w:rFonts w:hint="eastAsia"/>
          <w:color w:val="auto"/>
          <w:highlight w:val="none"/>
        </w:rPr>
      </w:pPr>
    </w:p>
    <w:p w14:paraId="6C2DEFD0">
      <w:pPr>
        <w:pStyle w:val="18"/>
        <w:rPr>
          <w:rFonts w:hint="eastAsia"/>
          <w:color w:val="auto"/>
          <w:highlight w:val="none"/>
        </w:rPr>
      </w:pPr>
    </w:p>
    <w:p w14:paraId="08DF2C5D">
      <w:pPr>
        <w:pStyle w:val="4"/>
        <w:rPr>
          <w:rFonts w:hint="eastAsia"/>
          <w:b/>
          <w:bCs/>
          <w:color w:val="auto"/>
          <w:sz w:val="28"/>
          <w:szCs w:val="28"/>
          <w:highlight w:val="none"/>
        </w:rPr>
      </w:pPr>
      <w:bookmarkStart w:id="183" w:name="_Toc40975457"/>
      <w:bookmarkStart w:id="184" w:name="_Toc13715_WPSOffice_Level2"/>
      <w:bookmarkStart w:id="185" w:name="_Toc32601"/>
      <w:r>
        <w:rPr>
          <w:rFonts w:hint="eastAsia" w:hAnsi="宋体" w:cs="宋体"/>
          <w:color w:val="auto"/>
          <w:sz w:val="28"/>
          <w:szCs w:val="28"/>
          <w:highlight w:val="none"/>
        </w:rPr>
        <w:t>九．</w:t>
      </w:r>
      <w:bookmarkEnd w:id="183"/>
      <w:bookmarkEnd w:id="184"/>
      <w:bookmarkStart w:id="186" w:name="_Toc220232403"/>
      <w:r>
        <w:rPr>
          <w:rFonts w:hint="eastAsia"/>
          <w:b/>
          <w:bCs/>
          <w:color w:val="auto"/>
          <w:sz w:val="28"/>
          <w:szCs w:val="28"/>
          <w:highlight w:val="none"/>
        </w:rPr>
        <w:t>中小企业声明函（货物）</w:t>
      </w:r>
      <w:bookmarkEnd w:id="185"/>
    </w:p>
    <w:p w14:paraId="55A4D1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供的货物全部由符合政策要求的中小企业制造。相关企业</w:t>
      </w:r>
      <w:r>
        <w:rPr>
          <w:rFonts w:hint="eastAsia" w:ascii="宋体" w:hAnsi="宋体" w:eastAsia="宋体" w:cs="宋体"/>
          <w:color w:val="auto"/>
          <w:sz w:val="24"/>
          <w:szCs w:val="24"/>
          <w:highlight w:val="none"/>
          <w:u w:val="none"/>
        </w:rPr>
        <w:t>（含联合体中的中小企业、签订分包意向协议的中小企业）</w:t>
      </w:r>
      <w:r>
        <w:rPr>
          <w:rFonts w:hint="eastAsia" w:ascii="宋体" w:hAnsi="宋体" w:eastAsia="宋体" w:cs="宋体"/>
          <w:color w:val="auto"/>
          <w:sz w:val="24"/>
          <w:szCs w:val="24"/>
          <w:highlight w:val="none"/>
        </w:rPr>
        <w:t>的具体情况如下：</w:t>
      </w:r>
    </w:p>
    <w:p w14:paraId="3FA8D2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7A6BC8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29D510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32815C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65C222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本企业对上述声明内容的真实性负责。如有虚假，将依法承担相应责任。</w:t>
      </w:r>
    </w:p>
    <w:p w14:paraId="5CAC5CCD">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7D1C6AD4">
      <w:pPr>
        <w:keepNext w:val="0"/>
        <w:keepLines w:val="0"/>
        <w:pageBreakBefore w:val="0"/>
        <w:widowControl w:val="0"/>
        <w:kinsoku/>
        <w:wordWrap/>
        <w:overflowPunct/>
        <w:topLinePunct w:val="0"/>
        <w:autoSpaceDE/>
        <w:autoSpaceDN/>
        <w:bidi w:val="0"/>
        <w:adjustRightInd/>
        <w:snapToGrid/>
        <w:spacing w:line="360" w:lineRule="auto"/>
        <w:ind w:firstLine="5760" w:firstLineChars="2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3B8843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24"/>
          <w:highlight w:val="none"/>
        </w:rPr>
      </w:pPr>
    </w:p>
    <w:p w14:paraId="136B7FE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highlight w:val="none"/>
        </w:rPr>
      </w:pPr>
    </w:p>
    <w:p w14:paraId="2D82F9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highlight w:val="none"/>
        </w:rPr>
      </w:pPr>
    </w:p>
    <w:p w14:paraId="49C1F4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highlight w:val="none"/>
        </w:rPr>
      </w:pPr>
      <w:r>
        <w:rPr>
          <w:rFonts w:hint="eastAsia"/>
          <w:color w:val="auto"/>
          <w:highlight w:val="none"/>
          <w:lang w:val="en-US" w:eastAsia="zh-CN"/>
        </w:rPr>
        <w:t>注：1.</w:t>
      </w:r>
      <w:r>
        <w:rPr>
          <w:rFonts w:hint="eastAsia"/>
          <w:color w:val="auto"/>
          <w:highlight w:val="none"/>
        </w:rPr>
        <w:t>从业人员、营业收入、资产总额填报上一年度数据，无上一年度数据的新成立企业可不填报。</w:t>
      </w:r>
    </w:p>
    <w:p w14:paraId="141D8D7B">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630" w:leftChars="200" w:hanging="210" w:hangingChars="1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本项目如是只面向中小企业采购的应当必须提供。</w:t>
      </w:r>
    </w:p>
    <w:p w14:paraId="171F2D5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p>
    <w:p w14:paraId="0B4AAF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auto"/>
          <w:sz w:val="28"/>
          <w:szCs w:val="28"/>
          <w:highlight w:val="none"/>
        </w:rPr>
      </w:pPr>
    </w:p>
    <w:p w14:paraId="727E66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auto"/>
          <w:sz w:val="28"/>
          <w:szCs w:val="28"/>
          <w:highlight w:val="none"/>
        </w:rPr>
      </w:pPr>
    </w:p>
    <w:bookmarkEnd w:id="186"/>
    <w:p w14:paraId="1DCE7273">
      <w:pPr>
        <w:pStyle w:val="4"/>
        <w:rPr>
          <w:rFonts w:hint="eastAsia" w:hAnsi="宋体" w:cs="宋体"/>
          <w:color w:val="auto"/>
          <w:sz w:val="28"/>
          <w:highlight w:val="none"/>
        </w:rPr>
        <w:sectPr>
          <w:pgSz w:w="11906" w:h="16838"/>
          <w:pgMar w:top="1389" w:right="1304" w:bottom="1440" w:left="1304" w:header="851" w:footer="992" w:gutter="0"/>
          <w:cols w:space="720" w:num="1"/>
          <w:rtlGutter w:val="0"/>
          <w:docGrid w:linePitch="312" w:charSpace="0"/>
        </w:sectPr>
      </w:pPr>
      <w:bookmarkStart w:id="187" w:name="_Hlt526418103"/>
      <w:bookmarkEnd w:id="187"/>
      <w:bookmarkStart w:id="188" w:name="_Hlt526418111"/>
      <w:bookmarkEnd w:id="188"/>
      <w:bookmarkStart w:id="189" w:name="_Toc516969110"/>
      <w:bookmarkStart w:id="190" w:name="_Toc220232405"/>
      <w:bookmarkStart w:id="191" w:name="_Toc2532_WPSOffice_Level2"/>
      <w:bookmarkStart w:id="192" w:name="_Toc40975458"/>
    </w:p>
    <w:p w14:paraId="69F95C30">
      <w:pPr>
        <w:pStyle w:val="4"/>
        <w:rPr>
          <w:rFonts w:hint="eastAsia" w:hAnsi="宋体" w:cs="宋体"/>
          <w:color w:val="auto"/>
          <w:sz w:val="36"/>
          <w:szCs w:val="36"/>
          <w:highlight w:val="none"/>
        </w:rPr>
      </w:pPr>
      <w:bookmarkStart w:id="193" w:name="_Toc12984"/>
      <w:r>
        <w:rPr>
          <w:rFonts w:hint="eastAsia" w:hAnsi="宋体" w:cs="宋体"/>
          <w:color w:val="auto"/>
          <w:sz w:val="28"/>
          <w:highlight w:val="none"/>
        </w:rPr>
        <w:t>十．售后服务</w:t>
      </w:r>
      <w:bookmarkEnd w:id="189"/>
      <w:bookmarkEnd w:id="190"/>
      <w:bookmarkEnd w:id="191"/>
      <w:bookmarkEnd w:id="192"/>
      <w:bookmarkEnd w:id="193"/>
    </w:p>
    <w:p w14:paraId="1802CB04">
      <w:pPr>
        <w:jc w:val="center"/>
        <w:rPr>
          <w:rFonts w:hint="eastAsia" w:ascii="宋体" w:hAnsi="宋体" w:cs="宋体"/>
          <w:color w:val="auto"/>
          <w:sz w:val="28"/>
          <w:highlight w:val="none"/>
        </w:rPr>
      </w:pPr>
      <w:r>
        <w:rPr>
          <w:rFonts w:hint="eastAsia" w:ascii="宋体" w:hAnsi="宋体" w:cs="宋体"/>
          <w:color w:val="auto"/>
          <w:sz w:val="24"/>
          <w:highlight w:val="none"/>
        </w:rPr>
        <w:t>(投标人可自行制作格式)</w:t>
      </w:r>
    </w:p>
    <w:p w14:paraId="1EEBF36E">
      <w:pPr>
        <w:spacing w:line="500" w:lineRule="exact"/>
        <w:jc w:val="center"/>
        <w:rPr>
          <w:rFonts w:hint="eastAsia" w:ascii="宋体" w:hAnsi="宋体" w:cs="宋体"/>
          <w:b/>
          <w:bCs/>
          <w:color w:val="auto"/>
          <w:sz w:val="30"/>
          <w:highlight w:val="none"/>
        </w:rPr>
      </w:pPr>
      <w:bookmarkStart w:id="194" w:name="_Hlt526418107"/>
      <w:bookmarkEnd w:id="194"/>
    </w:p>
    <w:p w14:paraId="37FE77C8">
      <w:pPr>
        <w:pStyle w:val="4"/>
        <w:rPr>
          <w:rFonts w:hint="eastAsia" w:hAnsi="宋体" w:cs="宋体"/>
          <w:color w:val="auto"/>
          <w:sz w:val="44"/>
          <w:highlight w:val="none"/>
        </w:rPr>
      </w:pPr>
      <w:bookmarkStart w:id="195" w:name="_Toc40975459"/>
      <w:bookmarkStart w:id="196" w:name="_Toc30338_WPSOffice_Level2"/>
      <w:bookmarkStart w:id="197" w:name="_Toc359404312"/>
      <w:bookmarkStart w:id="198" w:name="_Toc13121"/>
      <w:bookmarkStart w:id="199" w:name="_Toc516969111"/>
      <w:bookmarkStart w:id="200" w:name="_Toc197934560"/>
      <w:bookmarkStart w:id="201" w:name="_Hlt509738384"/>
      <w:r>
        <w:rPr>
          <w:rFonts w:hint="eastAsia" w:hAnsi="宋体" w:cs="宋体"/>
          <w:color w:val="auto"/>
          <w:sz w:val="28"/>
          <w:highlight w:val="none"/>
        </w:rPr>
        <w:t>十一、所投货物的技术资料等</w:t>
      </w:r>
      <w:bookmarkEnd w:id="195"/>
      <w:bookmarkEnd w:id="196"/>
      <w:bookmarkEnd w:id="197"/>
      <w:bookmarkEnd w:id="198"/>
      <w:bookmarkEnd w:id="199"/>
      <w:bookmarkEnd w:id="200"/>
      <w:bookmarkEnd w:id="201"/>
      <w:bookmarkStart w:id="202" w:name="_Hlt509650291"/>
      <w:bookmarkEnd w:id="202"/>
    </w:p>
    <w:p w14:paraId="3A46637E">
      <w:pPr>
        <w:jc w:val="center"/>
        <w:rPr>
          <w:rFonts w:hint="eastAsia" w:ascii="宋体" w:hAnsi="宋体" w:cs="宋体"/>
          <w:color w:val="auto"/>
          <w:sz w:val="24"/>
          <w:highlight w:val="none"/>
        </w:rPr>
      </w:pPr>
      <w:r>
        <w:rPr>
          <w:rFonts w:hint="eastAsia" w:ascii="宋体" w:hAnsi="宋体" w:cs="宋体"/>
          <w:color w:val="auto"/>
          <w:sz w:val="24"/>
          <w:highlight w:val="none"/>
        </w:rPr>
        <w:t>（投标人可自行制作格式，可附产品技术彩页）</w:t>
      </w:r>
    </w:p>
    <w:p w14:paraId="1C8E5B9F">
      <w:pPr>
        <w:jc w:val="center"/>
        <w:rPr>
          <w:rFonts w:hint="eastAsia" w:ascii="宋体" w:hAnsi="宋体" w:cs="宋体"/>
          <w:color w:val="auto"/>
          <w:sz w:val="24"/>
          <w:highlight w:val="none"/>
        </w:rPr>
      </w:pPr>
    </w:p>
    <w:p w14:paraId="7D6F7FB8">
      <w:pPr>
        <w:jc w:val="center"/>
        <w:rPr>
          <w:rFonts w:hint="eastAsia" w:ascii="宋体" w:hAnsi="宋体" w:cs="宋体"/>
          <w:color w:val="auto"/>
          <w:sz w:val="24"/>
          <w:highlight w:val="none"/>
        </w:rPr>
      </w:pPr>
    </w:p>
    <w:p w14:paraId="2D3786A6">
      <w:pPr>
        <w:jc w:val="center"/>
        <w:rPr>
          <w:rFonts w:hint="eastAsia" w:ascii="宋体" w:hAnsi="宋体" w:cs="宋体"/>
          <w:color w:val="auto"/>
          <w:sz w:val="24"/>
          <w:highlight w:val="none"/>
        </w:rPr>
      </w:pPr>
    </w:p>
    <w:p w14:paraId="2472BDEA">
      <w:pPr>
        <w:rPr>
          <w:rFonts w:hint="eastAsia" w:hAnsi="宋体" w:cs="宋体"/>
          <w:color w:val="auto"/>
          <w:sz w:val="28"/>
          <w:highlight w:val="none"/>
        </w:rPr>
      </w:pPr>
      <w:bookmarkStart w:id="203" w:name="_Toc4392"/>
      <w:r>
        <w:rPr>
          <w:rFonts w:hint="eastAsia" w:hAnsi="宋体" w:cs="宋体"/>
          <w:color w:val="auto"/>
          <w:sz w:val="28"/>
          <w:highlight w:val="none"/>
        </w:rPr>
        <w:br w:type="page"/>
      </w:r>
    </w:p>
    <w:p w14:paraId="3BF92AF1">
      <w:pPr>
        <w:pStyle w:val="4"/>
        <w:rPr>
          <w:rFonts w:hint="eastAsia" w:hAnsi="宋体" w:cs="宋体"/>
          <w:color w:val="auto"/>
          <w:sz w:val="28"/>
          <w:highlight w:val="none"/>
        </w:rPr>
      </w:pPr>
      <w:r>
        <w:rPr>
          <w:rFonts w:hint="eastAsia" w:hAnsi="宋体" w:cs="宋体"/>
          <w:color w:val="auto"/>
          <w:sz w:val="28"/>
          <w:highlight w:val="none"/>
        </w:rPr>
        <w:t>十二、其他投标人认为需要提供得材料等</w:t>
      </w:r>
      <w:bookmarkEnd w:id="203"/>
    </w:p>
    <w:p w14:paraId="2E1BB517">
      <w:pPr>
        <w:autoSpaceDE w:val="0"/>
        <w:autoSpaceDN w:val="0"/>
        <w:jc w:val="center"/>
        <w:rPr>
          <w:rFonts w:ascii="宋体" w:hAnsi="宋体" w:cs="黑体"/>
          <w:b/>
          <w:bCs/>
          <w:color w:val="auto"/>
          <w:sz w:val="28"/>
          <w:szCs w:val="28"/>
          <w:highlight w:val="none"/>
          <w:lang w:bidi="zh-CN"/>
        </w:rPr>
      </w:pPr>
      <w:r>
        <w:rPr>
          <w:rFonts w:hint="eastAsia" w:ascii="宋体" w:hAnsi="宋体" w:cs="黑体"/>
          <w:b/>
          <w:bCs/>
          <w:color w:val="auto"/>
          <w:sz w:val="28"/>
          <w:szCs w:val="28"/>
          <w:highlight w:val="none"/>
          <w:lang w:bidi="zh-CN"/>
        </w:rPr>
        <w:t>关于符合本国产品标准的声明函</w:t>
      </w:r>
    </w:p>
    <w:p w14:paraId="099A243A">
      <w:pPr>
        <w:widowControl/>
        <w:spacing w:before="30" w:after="30"/>
        <w:ind w:firstLine="420"/>
        <w:jc w:val="left"/>
        <w:textAlignment w:val="baseline"/>
        <w:rPr>
          <w:rFonts w:ascii="宋体" w:hAnsi="宋体" w:cs="宋体"/>
          <w:color w:val="auto"/>
          <w:sz w:val="24"/>
          <w:szCs w:val="24"/>
          <w:highlight w:val="none"/>
        </w:rPr>
      </w:pPr>
    </w:p>
    <w:p w14:paraId="2222C232">
      <w:pPr>
        <w:widowControl/>
        <w:spacing w:before="30" w:after="30" w:line="360" w:lineRule="auto"/>
        <w:ind w:firstLine="420"/>
        <w:jc w:val="left"/>
        <w:textAlignment w:val="baseline"/>
        <w:rPr>
          <w:rFonts w:ascii="宋体" w:hAnsi="宋体" w:cs="宋体"/>
          <w:color w:val="auto"/>
          <w:sz w:val="24"/>
          <w:szCs w:val="24"/>
          <w:highlight w:val="none"/>
        </w:rPr>
      </w:pPr>
      <w:r>
        <w:rPr>
          <w:rFonts w:ascii="宋体" w:hAnsi="宋体" w:cs="宋体"/>
          <w:color w:val="auto"/>
          <w:sz w:val="24"/>
          <w:szCs w:val="24"/>
          <w:highlight w:val="none"/>
        </w:rPr>
        <w:t>本公司（单位）郑重声明，根据《国务院办公厅关于在政府采购中实施本国产品标准及相关政策的通知》（国办发〔2025〕34号）的规定，本公司（单位）提供的以下产品属于本国产品。具体情况如下：</w:t>
      </w:r>
    </w:p>
    <w:p w14:paraId="596E6B04">
      <w:pPr>
        <w:widowControl/>
        <w:spacing w:before="30" w:after="30" w:line="360" w:lineRule="auto"/>
        <w:ind w:firstLine="420"/>
        <w:jc w:val="left"/>
        <w:textAlignment w:val="baseline"/>
        <w:rPr>
          <w:rFonts w:ascii="宋体" w:hAnsi="宋体" w:cs="宋体"/>
          <w:color w:val="auto"/>
          <w:sz w:val="24"/>
          <w:szCs w:val="24"/>
          <w:highlight w:val="none"/>
        </w:rPr>
      </w:pPr>
      <w:r>
        <w:rPr>
          <w:rFonts w:ascii="宋体" w:hAnsi="宋体" w:cs="宋体"/>
          <w:color w:val="auto"/>
          <w:sz w:val="24"/>
          <w:szCs w:val="24"/>
          <w:highlight w:val="none"/>
        </w:rPr>
        <w:t>1.</w:t>
      </w:r>
      <w:r>
        <w:rPr>
          <w:rFonts w:ascii="宋体" w:hAnsi="宋体" w:cs="宋体"/>
          <w:color w:val="auto"/>
          <w:sz w:val="24"/>
          <w:szCs w:val="24"/>
          <w:highlight w:val="none"/>
          <w:u w:val="single"/>
        </w:rPr>
        <w:t>（产品名称1）</w:t>
      </w:r>
      <w:r>
        <w:rPr>
          <w:rFonts w:ascii="宋体" w:hAnsi="宋体" w:cs="宋体"/>
          <w:color w:val="auto"/>
          <w:sz w:val="24"/>
          <w:szCs w:val="24"/>
          <w:highlight w:val="none"/>
        </w:rPr>
        <w:t>1，生产厂为</w:t>
      </w:r>
      <w:r>
        <w:rPr>
          <w:rFonts w:ascii="宋体" w:hAnsi="宋体" w:cs="宋体"/>
          <w:color w:val="auto"/>
          <w:sz w:val="24"/>
          <w:szCs w:val="24"/>
          <w:highlight w:val="none"/>
          <w:u w:val="single"/>
        </w:rPr>
        <w:t>（厂名）</w:t>
      </w:r>
      <w:r>
        <w:rPr>
          <w:rFonts w:ascii="宋体" w:hAnsi="宋体" w:cs="宋体"/>
          <w:color w:val="auto"/>
          <w:sz w:val="24"/>
          <w:szCs w:val="24"/>
          <w:highlight w:val="none"/>
        </w:rPr>
        <w:t>2，厂址为</w:t>
      </w:r>
      <w:r>
        <w:rPr>
          <w:rFonts w:ascii="宋体" w:hAnsi="宋体" w:cs="宋体"/>
          <w:color w:val="auto"/>
          <w:sz w:val="24"/>
          <w:szCs w:val="24"/>
          <w:highlight w:val="none"/>
          <w:u w:val="single"/>
        </w:rPr>
        <w:t>（生产厂址）</w:t>
      </w:r>
      <w:r>
        <w:rPr>
          <w:rFonts w:ascii="宋体" w:hAnsi="宋体" w:cs="宋体"/>
          <w:color w:val="auto"/>
          <w:sz w:val="24"/>
          <w:szCs w:val="24"/>
          <w:highlight w:val="none"/>
        </w:rPr>
        <w:t>。</w:t>
      </w:r>
      <w:r>
        <w:rPr>
          <w:rFonts w:ascii="宋体" w:hAnsi="宋体" w:cs="宋体"/>
          <w:color w:val="auto"/>
          <w:sz w:val="24"/>
          <w:szCs w:val="24"/>
          <w:highlight w:val="none"/>
          <w:u w:val="single"/>
        </w:rPr>
        <w:t>（产品名称1）</w:t>
      </w:r>
      <w:r>
        <w:rPr>
          <w:rFonts w:ascii="宋体" w:hAnsi="宋体" w:cs="宋体"/>
          <w:color w:val="auto"/>
          <w:sz w:val="24"/>
          <w:szCs w:val="24"/>
          <w:highlight w:val="none"/>
        </w:rPr>
        <w:t>的中国境内生产的组件成本占比≥</w:t>
      </w:r>
      <w:r>
        <w:rPr>
          <w:rFonts w:ascii="宋体" w:hAnsi="宋体" w:cs="宋体"/>
          <w:color w:val="auto"/>
          <w:sz w:val="24"/>
          <w:szCs w:val="24"/>
          <w:highlight w:val="none"/>
          <w:u w:val="single"/>
        </w:rPr>
        <w:t>（规定比例）</w:t>
      </w:r>
      <w:r>
        <w:rPr>
          <w:rFonts w:ascii="宋体" w:hAnsi="宋体" w:cs="宋体"/>
          <w:color w:val="auto"/>
          <w:sz w:val="24"/>
          <w:szCs w:val="24"/>
          <w:highlight w:val="none"/>
        </w:rPr>
        <w:t>3。</w:t>
      </w:r>
      <w:r>
        <w:rPr>
          <w:rFonts w:ascii="宋体" w:hAnsi="宋体" w:cs="宋体"/>
          <w:color w:val="auto"/>
          <w:sz w:val="24"/>
          <w:szCs w:val="24"/>
          <w:highlight w:val="none"/>
          <w:u w:val="single"/>
        </w:rPr>
        <w:t>（产品名称1）</w:t>
      </w:r>
      <w:r>
        <w:rPr>
          <w:rFonts w:ascii="宋体" w:hAnsi="宋体" w:cs="宋体"/>
          <w:color w:val="auto"/>
          <w:sz w:val="24"/>
          <w:szCs w:val="24"/>
          <w:highlight w:val="none"/>
        </w:rPr>
        <w:t>的</w:t>
      </w:r>
      <w:r>
        <w:rPr>
          <w:rFonts w:ascii="宋体" w:hAnsi="宋体" w:cs="宋体"/>
          <w:color w:val="auto"/>
          <w:sz w:val="24"/>
          <w:szCs w:val="24"/>
          <w:highlight w:val="none"/>
          <w:u w:val="single"/>
        </w:rPr>
        <w:t>（关键组件）</w:t>
      </w:r>
      <w:r>
        <w:rPr>
          <w:rFonts w:ascii="宋体" w:hAnsi="宋体" w:cs="宋体"/>
          <w:color w:val="auto"/>
          <w:sz w:val="24"/>
          <w:szCs w:val="24"/>
          <w:highlight w:val="none"/>
        </w:rPr>
        <w:t>4在中国境内生产。</w:t>
      </w:r>
      <w:r>
        <w:rPr>
          <w:rFonts w:ascii="宋体" w:hAnsi="宋体" w:cs="宋体"/>
          <w:color w:val="auto"/>
          <w:sz w:val="24"/>
          <w:szCs w:val="24"/>
          <w:highlight w:val="none"/>
          <w:u w:val="single"/>
        </w:rPr>
        <w:t>（产品名称1）</w:t>
      </w:r>
      <w:r>
        <w:rPr>
          <w:rFonts w:ascii="宋体" w:hAnsi="宋体" w:cs="宋体"/>
          <w:color w:val="auto"/>
          <w:sz w:val="24"/>
          <w:szCs w:val="24"/>
          <w:highlight w:val="none"/>
        </w:rPr>
        <w:t>的</w:t>
      </w:r>
      <w:r>
        <w:rPr>
          <w:rFonts w:ascii="宋体" w:hAnsi="宋体" w:cs="宋体"/>
          <w:color w:val="auto"/>
          <w:sz w:val="24"/>
          <w:szCs w:val="24"/>
          <w:highlight w:val="none"/>
          <w:u w:val="single"/>
        </w:rPr>
        <w:t>（关键工序）</w:t>
      </w:r>
      <w:r>
        <w:rPr>
          <w:rFonts w:ascii="宋体" w:hAnsi="宋体" w:cs="宋体"/>
          <w:color w:val="auto"/>
          <w:sz w:val="24"/>
          <w:szCs w:val="24"/>
          <w:highlight w:val="none"/>
        </w:rPr>
        <w:t>5在中国境内完成。</w:t>
      </w:r>
    </w:p>
    <w:p w14:paraId="336DDA18">
      <w:pPr>
        <w:autoSpaceDE w:val="0"/>
        <w:autoSpaceDN w:val="0"/>
        <w:adjustRightInd w:val="0"/>
        <w:spacing w:line="360" w:lineRule="auto"/>
        <w:rPr>
          <w:rFonts w:ascii="宋体" w:hAnsi="宋体" w:cs="黑体"/>
          <w:b/>
          <w:bCs/>
          <w:color w:val="auto"/>
          <w:sz w:val="24"/>
          <w:szCs w:val="24"/>
          <w:highlight w:val="none"/>
          <w:lang w:val="zh-CN" w:bidi="zh-CN"/>
        </w:rPr>
      </w:pPr>
    </w:p>
    <w:p w14:paraId="1FDA56B5">
      <w:pPr>
        <w:widowControl/>
        <w:spacing w:before="30" w:after="30" w:line="360" w:lineRule="auto"/>
        <w:ind w:firstLine="420"/>
        <w:jc w:val="left"/>
        <w:textAlignment w:val="baseline"/>
        <w:rPr>
          <w:rFonts w:ascii="宋体" w:hAnsi="宋体" w:cs="宋体"/>
          <w:color w:val="auto"/>
          <w:sz w:val="24"/>
          <w:szCs w:val="24"/>
          <w:highlight w:val="none"/>
        </w:rPr>
      </w:pPr>
      <w:r>
        <w:rPr>
          <w:rFonts w:ascii="宋体" w:hAnsi="宋体" w:cs="宋体"/>
          <w:color w:val="auto"/>
          <w:sz w:val="24"/>
          <w:szCs w:val="24"/>
          <w:highlight w:val="none"/>
        </w:rPr>
        <w:t>2.</w:t>
      </w:r>
      <w:r>
        <w:rPr>
          <w:rFonts w:ascii="宋体" w:hAnsi="宋体" w:cs="宋体"/>
          <w:color w:val="auto"/>
          <w:sz w:val="24"/>
          <w:szCs w:val="24"/>
          <w:highlight w:val="none"/>
          <w:u w:val="single"/>
        </w:rPr>
        <w:t>（产品名称2）</w:t>
      </w:r>
      <w:r>
        <w:rPr>
          <w:rFonts w:ascii="宋体" w:hAnsi="宋体" w:cs="宋体"/>
          <w:color w:val="auto"/>
          <w:sz w:val="24"/>
          <w:szCs w:val="24"/>
          <w:highlight w:val="none"/>
        </w:rPr>
        <w:t>，生产厂为</w:t>
      </w:r>
      <w:r>
        <w:rPr>
          <w:rFonts w:ascii="宋体" w:hAnsi="宋体" w:cs="宋体"/>
          <w:color w:val="auto"/>
          <w:sz w:val="24"/>
          <w:szCs w:val="24"/>
          <w:highlight w:val="none"/>
          <w:u w:val="single"/>
        </w:rPr>
        <w:t>（厂名）</w:t>
      </w:r>
      <w:r>
        <w:rPr>
          <w:rFonts w:ascii="宋体" w:hAnsi="宋体" w:cs="宋体"/>
          <w:color w:val="auto"/>
          <w:sz w:val="24"/>
          <w:szCs w:val="24"/>
          <w:highlight w:val="none"/>
        </w:rPr>
        <w:t>，厂址为</w:t>
      </w:r>
      <w:r>
        <w:rPr>
          <w:rFonts w:ascii="宋体" w:hAnsi="宋体" w:cs="宋体"/>
          <w:color w:val="auto"/>
          <w:sz w:val="24"/>
          <w:szCs w:val="24"/>
          <w:highlight w:val="none"/>
          <w:u w:val="single"/>
        </w:rPr>
        <w:t>（生产厂址）</w:t>
      </w:r>
      <w:r>
        <w:rPr>
          <w:rFonts w:ascii="宋体" w:hAnsi="宋体" w:cs="宋体"/>
          <w:color w:val="auto"/>
          <w:sz w:val="24"/>
          <w:szCs w:val="24"/>
          <w:highlight w:val="none"/>
        </w:rPr>
        <w:t>。</w:t>
      </w:r>
      <w:r>
        <w:rPr>
          <w:rFonts w:ascii="宋体" w:hAnsi="宋体" w:cs="宋体"/>
          <w:color w:val="auto"/>
          <w:sz w:val="24"/>
          <w:szCs w:val="24"/>
          <w:highlight w:val="none"/>
          <w:u w:val="single"/>
        </w:rPr>
        <w:t>（产品名称2）</w:t>
      </w:r>
      <w:r>
        <w:rPr>
          <w:rFonts w:ascii="宋体" w:hAnsi="宋体" w:cs="宋体"/>
          <w:color w:val="auto"/>
          <w:sz w:val="24"/>
          <w:szCs w:val="24"/>
          <w:highlight w:val="none"/>
        </w:rPr>
        <w:t>的中国境内生产的组件成本占比≥</w:t>
      </w:r>
      <w:r>
        <w:rPr>
          <w:rFonts w:ascii="宋体" w:hAnsi="宋体" w:cs="宋体"/>
          <w:color w:val="auto"/>
          <w:sz w:val="24"/>
          <w:szCs w:val="24"/>
          <w:highlight w:val="none"/>
          <w:u w:val="single"/>
        </w:rPr>
        <w:t>（规定比例）</w:t>
      </w:r>
      <w:r>
        <w:rPr>
          <w:rFonts w:ascii="宋体" w:hAnsi="宋体" w:cs="宋体"/>
          <w:color w:val="auto"/>
          <w:sz w:val="24"/>
          <w:szCs w:val="24"/>
          <w:highlight w:val="none"/>
        </w:rPr>
        <w:t>。</w:t>
      </w:r>
      <w:r>
        <w:rPr>
          <w:rFonts w:ascii="宋体" w:hAnsi="宋体" w:cs="宋体"/>
          <w:color w:val="auto"/>
          <w:sz w:val="24"/>
          <w:szCs w:val="24"/>
          <w:highlight w:val="none"/>
          <w:u w:val="single"/>
        </w:rPr>
        <w:t>（产品名称2）</w:t>
      </w:r>
      <w:r>
        <w:rPr>
          <w:rFonts w:ascii="宋体" w:hAnsi="宋体" w:cs="宋体"/>
          <w:color w:val="auto"/>
          <w:sz w:val="24"/>
          <w:szCs w:val="24"/>
          <w:highlight w:val="none"/>
        </w:rPr>
        <w:t>的</w:t>
      </w:r>
      <w:r>
        <w:rPr>
          <w:rFonts w:ascii="宋体" w:hAnsi="宋体" w:cs="宋体"/>
          <w:color w:val="auto"/>
          <w:sz w:val="24"/>
          <w:szCs w:val="24"/>
          <w:highlight w:val="none"/>
          <w:u w:val="single"/>
        </w:rPr>
        <w:t>（关键组件）</w:t>
      </w:r>
      <w:r>
        <w:rPr>
          <w:rFonts w:ascii="宋体" w:hAnsi="宋体" w:cs="宋体"/>
          <w:color w:val="auto"/>
          <w:sz w:val="24"/>
          <w:szCs w:val="24"/>
          <w:highlight w:val="none"/>
        </w:rPr>
        <w:t>在中国境内生产。</w:t>
      </w:r>
      <w:r>
        <w:rPr>
          <w:rFonts w:ascii="宋体" w:hAnsi="宋体" w:cs="宋体"/>
          <w:color w:val="auto"/>
          <w:sz w:val="24"/>
          <w:szCs w:val="24"/>
          <w:highlight w:val="none"/>
          <w:u w:val="single"/>
        </w:rPr>
        <w:t>（产品名称2）</w:t>
      </w:r>
      <w:r>
        <w:rPr>
          <w:rFonts w:ascii="宋体" w:hAnsi="宋体" w:cs="宋体"/>
          <w:color w:val="auto"/>
          <w:sz w:val="24"/>
          <w:szCs w:val="24"/>
          <w:highlight w:val="none"/>
        </w:rPr>
        <w:t>的</w:t>
      </w:r>
      <w:r>
        <w:rPr>
          <w:rFonts w:ascii="宋体" w:hAnsi="宋体" w:cs="宋体"/>
          <w:color w:val="auto"/>
          <w:sz w:val="24"/>
          <w:szCs w:val="24"/>
          <w:highlight w:val="none"/>
          <w:u w:val="single"/>
        </w:rPr>
        <w:t>（关键工序）</w:t>
      </w:r>
      <w:r>
        <w:rPr>
          <w:rFonts w:ascii="宋体" w:hAnsi="宋体" w:cs="宋体"/>
          <w:color w:val="auto"/>
          <w:sz w:val="24"/>
          <w:szCs w:val="24"/>
          <w:highlight w:val="none"/>
        </w:rPr>
        <w:t>在中国境内完成。</w:t>
      </w:r>
    </w:p>
    <w:p w14:paraId="00761B2D">
      <w:pPr>
        <w:widowControl/>
        <w:spacing w:before="30" w:after="30" w:line="360" w:lineRule="auto"/>
        <w:ind w:firstLine="420"/>
        <w:jc w:val="left"/>
        <w:textAlignment w:val="baseline"/>
        <w:rPr>
          <w:rFonts w:ascii="宋体" w:hAnsi="宋体" w:cs="宋体"/>
          <w:color w:val="auto"/>
          <w:sz w:val="24"/>
          <w:szCs w:val="24"/>
          <w:highlight w:val="none"/>
        </w:rPr>
      </w:pPr>
      <w:r>
        <w:rPr>
          <w:rFonts w:ascii="宋体" w:hAnsi="宋体" w:cs="宋体"/>
          <w:color w:val="auto"/>
          <w:sz w:val="24"/>
          <w:szCs w:val="24"/>
          <w:highlight w:val="none"/>
        </w:rPr>
        <w:t>……</w:t>
      </w:r>
    </w:p>
    <w:p w14:paraId="0C1AD3A6">
      <w:pPr>
        <w:widowControl/>
        <w:spacing w:before="30" w:after="30" w:line="360" w:lineRule="auto"/>
        <w:ind w:firstLine="420"/>
        <w:jc w:val="left"/>
        <w:textAlignment w:val="baseline"/>
        <w:rPr>
          <w:rFonts w:ascii="宋体" w:hAnsi="宋体" w:cs="宋体"/>
          <w:color w:val="auto"/>
          <w:sz w:val="24"/>
          <w:szCs w:val="24"/>
          <w:highlight w:val="none"/>
        </w:rPr>
      </w:pPr>
      <w:r>
        <w:rPr>
          <w:rFonts w:ascii="宋体" w:hAnsi="宋体" w:cs="宋体"/>
          <w:color w:val="auto"/>
          <w:sz w:val="24"/>
          <w:szCs w:val="24"/>
          <w:highlight w:val="none"/>
        </w:rPr>
        <w:t>本公司（单位）对上述声明内容的真实性负责。如有虚假，愿承担相应法律责任。</w:t>
      </w:r>
    </w:p>
    <w:p w14:paraId="3250AB59">
      <w:pPr>
        <w:widowControl/>
        <w:spacing w:before="30" w:after="30" w:line="360" w:lineRule="auto"/>
        <w:jc w:val="left"/>
        <w:textAlignment w:val="baseline"/>
        <w:rPr>
          <w:rFonts w:ascii="宋体" w:hAnsi="宋体" w:cs="宋体"/>
          <w:color w:val="auto"/>
          <w:sz w:val="24"/>
          <w:szCs w:val="24"/>
          <w:highlight w:val="none"/>
        </w:rPr>
      </w:pPr>
    </w:p>
    <w:p w14:paraId="308CAEE3">
      <w:pPr>
        <w:widowControl/>
        <w:wordWrap w:val="0"/>
        <w:spacing w:before="30" w:after="30" w:line="360" w:lineRule="auto"/>
        <w:jc w:val="right"/>
        <w:textAlignment w:val="baseline"/>
        <w:rPr>
          <w:rFonts w:ascii="宋体" w:hAnsi="宋体" w:cs="宋体"/>
          <w:color w:val="auto"/>
          <w:sz w:val="24"/>
          <w:szCs w:val="24"/>
          <w:highlight w:val="none"/>
        </w:rPr>
      </w:pPr>
      <w:r>
        <w:rPr>
          <w:rFonts w:ascii="宋体" w:hAnsi="宋体" w:cs="宋体"/>
          <w:color w:val="auto"/>
          <w:sz w:val="24"/>
          <w:szCs w:val="24"/>
          <w:highlight w:val="none"/>
        </w:rPr>
        <w:t>公司（单位）名称（盖章）：</w:t>
      </w:r>
    </w:p>
    <w:p w14:paraId="309C82BB">
      <w:pPr>
        <w:widowControl/>
        <w:spacing w:before="30" w:after="30" w:line="360" w:lineRule="auto"/>
        <w:jc w:val="right"/>
        <w:textAlignment w:val="baseline"/>
        <w:rPr>
          <w:rFonts w:ascii="宋体" w:hAnsi="宋体" w:cs="宋体"/>
          <w:color w:val="auto"/>
          <w:sz w:val="24"/>
          <w:szCs w:val="24"/>
          <w:highlight w:val="none"/>
        </w:rPr>
      </w:pPr>
      <w:r>
        <w:rPr>
          <w:rFonts w:ascii="宋体" w:hAnsi="宋体" w:cs="宋体"/>
          <w:color w:val="auto"/>
          <w:sz w:val="24"/>
          <w:szCs w:val="24"/>
          <w:highlight w:val="none"/>
        </w:rPr>
        <w:t>日期：年月日</w:t>
      </w:r>
    </w:p>
    <w:p w14:paraId="2B77DA6F">
      <w:pPr>
        <w:autoSpaceDE w:val="0"/>
        <w:autoSpaceDN w:val="0"/>
        <w:adjustRightInd w:val="0"/>
        <w:spacing w:line="320" w:lineRule="exact"/>
        <w:rPr>
          <w:rFonts w:ascii="宋体" w:hAnsi="宋体" w:cs="黑体"/>
          <w:b/>
          <w:bCs/>
          <w:color w:val="auto"/>
          <w:sz w:val="24"/>
          <w:szCs w:val="24"/>
          <w:highlight w:val="none"/>
          <w:lang w:val="zh-CN" w:bidi="zh-CN"/>
        </w:rPr>
      </w:pPr>
    </w:p>
    <w:p w14:paraId="1E211E56">
      <w:pPr>
        <w:autoSpaceDE w:val="0"/>
        <w:autoSpaceDN w:val="0"/>
        <w:spacing w:line="360" w:lineRule="auto"/>
        <w:jc w:val="left"/>
        <w:rPr>
          <w:rFonts w:ascii="宋体" w:hAnsi="宋体" w:cs="宋体"/>
          <w:color w:val="auto"/>
          <w:sz w:val="24"/>
          <w:highlight w:val="none"/>
          <w:lang w:val="zh-CN" w:bidi="zh-CN"/>
        </w:rPr>
      </w:pPr>
      <w:r>
        <w:rPr>
          <w:rFonts w:hint="eastAsia" w:ascii="宋体" w:hAnsi="宋体" w:cs="宋体"/>
          <w:color w:val="auto"/>
          <w:sz w:val="24"/>
          <w:highlight w:val="none"/>
          <w:lang w:val="zh-CN" w:bidi="zh-CN"/>
        </w:rPr>
        <w:t>1.产品如有型号，请在“产品名称”栏一并填写。</w:t>
      </w:r>
    </w:p>
    <w:p w14:paraId="55F71547">
      <w:pPr>
        <w:autoSpaceDE w:val="0"/>
        <w:autoSpaceDN w:val="0"/>
        <w:spacing w:line="360" w:lineRule="auto"/>
        <w:jc w:val="left"/>
        <w:rPr>
          <w:rFonts w:ascii="宋体" w:hAnsi="宋体" w:cs="宋体"/>
          <w:color w:val="auto"/>
          <w:sz w:val="24"/>
          <w:highlight w:val="none"/>
          <w:lang w:val="zh-CN" w:bidi="zh-CN"/>
        </w:rPr>
      </w:pPr>
      <w:r>
        <w:rPr>
          <w:rFonts w:hint="eastAsia" w:ascii="宋体" w:hAnsi="宋体" w:cs="宋体"/>
          <w:color w:val="auto"/>
          <w:sz w:val="24"/>
          <w:highlight w:val="none"/>
          <w:lang w:val="zh-CN" w:bidi="zh-CN"/>
        </w:rPr>
        <w:t>2.生产厂名与厂址应与生产厂营业执照载明的相关信息保持一致。</w:t>
      </w:r>
    </w:p>
    <w:p w14:paraId="70A4C94B">
      <w:pPr>
        <w:autoSpaceDE w:val="0"/>
        <w:autoSpaceDN w:val="0"/>
        <w:spacing w:line="360" w:lineRule="auto"/>
        <w:jc w:val="left"/>
        <w:rPr>
          <w:rFonts w:ascii="宋体" w:hAnsi="宋体" w:cs="宋体"/>
          <w:color w:val="auto"/>
          <w:sz w:val="24"/>
          <w:highlight w:val="none"/>
          <w:lang w:val="zh-CN" w:bidi="zh-CN"/>
        </w:rPr>
      </w:pPr>
      <w:r>
        <w:rPr>
          <w:rFonts w:hint="eastAsia" w:ascii="宋体" w:hAnsi="宋体" w:cs="宋体"/>
          <w:color w:val="auto"/>
          <w:sz w:val="24"/>
          <w:highlight w:val="none"/>
          <w:lang w:val="zh-CN" w:bidi="zh-CN"/>
        </w:rPr>
        <w:t>3.该产品的中国境内生产的组件成本占比相关要求实施前，“规定比例”栏可不填，下同。</w:t>
      </w:r>
    </w:p>
    <w:p w14:paraId="764EE675">
      <w:pPr>
        <w:autoSpaceDE w:val="0"/>
        <w:autoSpaceDN w:val="0"/>
        <w:spacing w:line="360" w:lineRule="auto"/>
        <w:jc w:val="left"/>
        <w:rPr>
          <w:rFonts w:ascii="宋体" w:hAnsi="宋体" w:cs="宋体"/>
          <w:color w:val="auto"/>
          <w:sz w:val="24"/>
          <w:highlight w:val="none"/>
          <w:lang w:val="zh-CN" w:bidi="zh-CN"/>
        </w:rPr>
      </w:pPr>
      <w:r>
        <w:rPr>
          <w:rFonts w:hint="eastAsia" w:ascii="宋体" w:hAnsi="宋体" w:cs="宋体"/>
          <w:color w:val="auto"/>
          <w:sz w:val="24"/>
          <w:highlight w:val="none"/>
          <w:lang w:val="zh-CN" w:bidi="zh-CN"/>
        </w:rPr>
        <w:t>4.该产品的关键组件要求实施前，“关键组件”栏可不填，下同。</w:t>
      </w:r>
    </w:p>
    <w:p w14:paraId="3D0032C8">
      <w:pPr>
        <w:rPr>
          <w:color w:val="auto"/>
          <w:highlight w:val="none"/>
        </w:rPr>
      </w:pPr>
      <w:r>
        <w:rPr>
          <w:rFonts w:hint="eastAsia" w:ascii="宋体" w:hAnsi="宋体" w:cs="宋体"/>
          <w:color w:val="auto"/>
          <w:sz w:val="24"/>
          <w:highlight w:val="none"/>
          <w:lang w:val="zh-CN" w:bidi="zh-CN"/>
        </w:rPr>
        <w:t>5.该产品的关键工序要求实施前，“关键工序”栏可不填，下同。</w:t>
      </w:r>
    </w:p>
    <w:p w14:paraId="11A5D060">
      <w:pPr>
        <w:pStyle w:val="4"/>
        <w:rPr>
          <w:rFonts w:hint="eastAsia" w:hAnsi="宋体" w:cs="宋体"/>
          <w:color w:val="auto"/>
          <w:sz w:val="28"/>
          <w:highlight w:val="none"/>
        </w:rPr>
      </w:pPr>
    </w:p>
    <w:p w14:paraId="43E7473F">
      <w:pPr>
        <w:jc w:val="center"/>
        <w:rPr>
          <w:rFonts w:hint="eastAsia" w:ascii="宋体" w:hAnsi="宋体" w:cs="宋体"/>
          <w:color w:val="auto"/>
          <w:sz w:val="24"/>
          <w:highlight w:val="none"/>
        </w:rPr>
      </w:pPr>
    </w:p>
    <w:p w14:paraId="6F8CFD94">
      <w:pPr>
        <w:jc w:val="center"/>
        <w:rPr>
          <w:rFonts w:hint="eastAsia" w:ascii="宋体" w:hAnsi="宋体" w:cs="宋体"/>
          <w:color w:val="auto"/>
          <w:sz w:val="24"/>
          <w:highlight w:val="none"/>
        </w:rPr>
      </w:pPr>
    </w:p>
    <w:p w14:paraId="2FB3D53F">
      <w:pPr>
        <w:jc w:val="center"/>
        <w:rPr>
          <w:rFonts w:hint="eastAsia" w:ascii="宋体" w:hAnsi="宋体" w:cs="宋体"/>
          <w:color w:val="auto"/>
          <w:sz w:val="24"/>
          <w:highlight w:val="none"/>
        </w:rPr>
      </w:pPr>
    </w:p>
    <w:p w14:paraId="16985B30">
      <w:pPr>
        <w:jc w:val="center"/>
        <w:rPr>
          <w:rFonts w:hint="eastAsia" w:ascii="宋体" w:hAnsi="宋体" w:cs="宋体"/>
          <w:color w:val="auto"/>
          <w:sz w:val="24"/>
          <w:highlight w:val="none"/>
        </w:rPr>
      </w:pPr>
    </w:p>
    <w:p w14:paraId="0CD1B70C">
      <w:pPr>
        <w:spacing w:line="380" w:lineRule="exact"/>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十三、政府采购供应商诚信承诺书</w:t>
      </w:r>
    </w:p>
    <w:p w14:paraId="3FEA099A">
      <w:pPr>
        <w:spacing w:line="380" w:lineRule="exact"/>
        <w:jc w:val="center"/>
        <w:rPr>
          <w:rFonts w:hint="eastAsia" w:ascii="宋体" w:hAnsi="宋体" w:cs="宋体"/>
          <w:b/>
          <w:color w:val="auto"/>
          <w:sz w:val="24"/>
          <w:highlight w:val="none"/>
        </w:rPr>
      </w:pPr>
    </w:p>
    <w:p w14:paraId="3BCA5EF9">
      <w:pPr>
        <w:spacing w:line="38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7218404">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（一）提供虚假材料谋取中标;</w:t>
      </w:r>
    </w:p>
    <w:p w14:paraId="4A5C87CD">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4CA630A5">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6789ABD1">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7E7C3DE1">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2456D9C6">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7E76827B">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41B2DC9D">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4CC5BEC1">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（九）无正当理由，拒绝履行合同义务;</w:t>
      </w:r>
    </w:p>
    <w:p w14:paraId="1E5AA3EA">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（十）无正当理由放弃中标（成交）项目;</w:t>
      </w:r>
    </w:p>
    <w:p w14:paraId="5DA6F57D">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（十ー）擅自或与与采购人串通或接受采购人要求，在履约合同中通过减少货物数量，更换品牌、降低配置、技术要求、质量和服务标准等，却仍按原合同进行虚假验收或终止政府采购合同;</w:t>
      </w:r>
    </w:p>
    <w:p w14:paraId="32B8DC09">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316FA857">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316D7817">
      <w:pPr>
        <w:spacing w:line="380" w:lineRule="exact"/>
        <w:ind w:firstLine="360" w:firstLineChars="150"/>
        <w:rPr>
          <w:rFonts w:hint="eastAsia"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70FA3CD4">
      <w:pPr>
        <w:spacing w:line="380" w:lineRule="exact"/>
        <w:ind w:firstLine="360" w:firstLineChars="150"/>
        <w:rPr>
          <w:rFonts w:hint="eastAsia"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09E0C3F5">
      <w:pPr>
        <w:spacing w:line="380" w:lineRule="exact"/>
        <w:ind w:firstLine="360" w:firstLineChars="150"/>
        <w:rPr>
          <w:rFonts w:hint="eastAsia"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55268D47">
      <w:pPr>
        <w:spacing w:line="380" w:lineRule="exact"/>
        <w:ind w:firstLine="360" w:firstLineChars="150"/>
        <w:rPr>
          <w:rFonts w:hint="eastAsia"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4903416E">
      <w:pPr>
        <w:spacing w:line="380" w:lineRule="exact"/>
        <w:rPr>
          <w:rFonts w:hint="eastAsia" w:ascii="宋体" w:hAnsi="宋体" w:cs="宋体"/>
          <w:color w:val="auto"/>
          <w:sz w:val="24"/>
          <w:highlight w:val="none"/>
        </w:rPr>
      </w:pPr>
    </w:p>
    <w:p w14:paraId="0D927AC8">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r>
        <w:rPr>
          <w:rFonts w:hint="eastAsia" w:ascii="宋体" w:hAnsi="宋体" w:cs="宋体"/>
          <w:color w:val="auto"/>
          <w:sz w:val="24"/>
          <w:highlight w:val="none"/>
        </w:rPr>
        <w:t>）</w:t>
      </w:r>
    </w:p>
    <w:p w14:paraId="76B70EC6">
      <w:pPr>
        <w:spacing w:line="380" w:lineRule="exact"/>
        <w:ind w:right="640" w:firstLine="1560" w:firstLineChars="650"/>
        <w:rPr>
          <w:rFonts w:hint="eastAsia" w:ascii="宋体" w:hAnsi="宋体" w:cs="宋体"/>
          <w:color w:val="auto"/>
          <w:sz w:val="24"/>
          <w:highlight w:val="none"/>
        </w:rPr>
      </w:pPr>
    </w:p>
    <w:p w14:paraId="19F352C4">
      <w:pPr>
        <w:spacing w:line="380" w:lineRule="exact"/>
        <w:ind w:right="640" w:firstLine="3600" w:firstLineChars="1500"/>
        <w:rPr>
          <w:rFonts w:hint="eastAsia" w:ascii="宋体" w:hAnsi="宋体" w:cs="宋体"/>
          <w:color w:val="auto"/>
          <w:sz w:val="24"/>
          <w:highlight w:val="none"/>
        </w:rPr>
      </w:pPr>
      <w:r>
        <w:rPr>
          <w:rFonts w:hint="eastAsia" w:ascii="宋体" w:hAnsi="宋体" w:cs="宋体"/>
          <w:color w:val="auto"/>
          <w:sz w:val="24"/>
          <w:highlight w:val="none"/>
        </w:rPr>
        <w:t>法人代表</w:t>
      </w:r>
      <w:r>
        <w:rPr>
          <w:rFonts w:hint="eastAsia" w:ascii="宋体" w:hAnsi="宋体" w:cs="宋体"/>
          <w:color w:val="auto"/>
          <w:sz w:val="24"/>
          <w:highlight w:val="none"/>
          <w:lang w:val="en-US" w:eastAsia="zh-CN"/>
        </w:rPr>
        <w:t>或</w:t>
      </w:r>
      <w:r>
        <w:rPr>
          <w:rFonts w:hint="eastAsia" w:ascii="宋体" w:hAnsi="宋体" w:cs="宋体"/>
          <w:color w:val="auto"/>
          <w:sz w:val="24"/>
          <w:highlight w:val="none"/>
        </w:rPr>
        <w:t>授权委托人：（签</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42AC5F7C">
      <w:pPr>
        <w:spacing w:line="380" w:lineRule="exact"/>
        <w:jc w:val="center"/>
        <w:rPr>
          <w:rFonts w:hint="eastAsia" w:ascii="宋体" w:hAnsi="宋体" w:cs="宋体"/>
          <w:color w:val="auto"/>
          <w:sz w:val="24"/>
          <w:highlight w:val="none"/>
        </w:rPr>
      </w:pPr>
    </w:p>
    <w:p w14:paraId="41487513">
      <w:pPr>
        <w:jc w:val="center"/>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01F2BFF5">
      <w:pPr>
        <w:pStyle w:val="40"/>
        <w:ind w:firstLine="210"/>
        <w:rPr>
          <w:color w:val="auto"/>
          <w:highlight w:val="none"/>
        </w:rPr>
      </w:pPr>
    </w:p>
    <w:p w14:paraId="6582802F">
      <w:pPr>
        <w:pStyle w:val="40"/>
        <w:ind w:firstLine="321"/>
        <w:jc w:val="center"/>
        <w:rPr>
          <w:rFonts w:hint="eastAsia"/>
          <w:b/>
          <w:color w:val="auto"/>
          <w:sz w:val="32"/>
          <w:szCs w:val="32"/>
          <w:highlight w:val="none"/>
        </w:rPr>
      </w:pPr>
    </w:p>
    <w:p w14:paraId="18C59034">
      <w:pPr>
        <w:pStyle w:val="40"/>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05923A8F">
      <w:pPr>
        <w:pStyle w:val="40"/>
        <w:ind w:firstLine="240"/>
        <w:rPr>
          <w:rFonts w:ascii="宋体" w:hAnsi="宋体"/>
          <w:color w:val="auto"/>
          <w:sz w:val="24"/>
          <w:szCs w:val="24"/>
          <w:highlight w:val="none"/>
        </w:rPr>
      </w:pPr>
    </w:p>
    <w:p w14:paraId="27DB5B0D">
      <w:pPr>
        <w:pStyle w:val="40"/>
        <w:ind w:firstLine="240"/>
        <w:rPr>
          <w:rFonts w:hint="eastAsia" w:ascii="宋体" w:hAnsi="宋体"/>
          <w:color w:val="auto"/>
          <w:sz w:val="24"/>
          <w:szCs w:val="24"/>
          <w:highlight w:val="none"/>
        </w:rPr>
      </w:pPr>
    </w:p>
    <w:p w14:paraId="3A84F786">
      <w:pPr>
        <w:pStyle w:val="40"/>
        <w:ind w:firstLine="240"/>
        <w:rPr>
          <w:rFonts w:hint="eastAsia" w:ascii="宋体" w:hAnsi="宋体"/>
          <w:color w:val="auto"/>
          <w:sz w:val="24"/>
          <w:szCs w:val="24"/>
          <w:highlight w:val="none"/>
        </w:rPr>
      </w:pPr>
    </w:p>
    <w:p w14:paraId="0F78D08C">
      <w:pPr>
        <w:pStyle w:val="40"/>
        <w:ind w:firstLine="240"/>
        <w:rPr>
          <w:rFonts w:hint="eastAsia" w:ascii="宋体" w:hAnsi="宋体"/>
          <w:color w:val="auto"/>
          <w:sz w:val="24"/>
          <w:szCs w:val="24"/>
          <w:highlight w:val="none"/>
        </w:rPr>
      </w:pPr>
      <w:r>
        <w:rPr>
          <w:rFonts w:hint="eastAsia" w:ascii="宋体" w:hAnsi="宋体"/>
          <w:color w:val="auto"/>
          <w:sz w:val="24"/>
          <w:szCs w:val="24"/>
          <w:highlight w:val="none"/>
        </w:rPr>
        <w:t>各供应商：</w:t>
      </w:r>
    </w:p>
    <w:p w14:paraId="63864050">
      <w:pPr>
        <w:pStyle w:val="40"/>
        <w:ind w:firstLine="240"/>
        <w:rPr>
          <w:rFonts w:hint="eastAsia" w:ascii="宋体" w:hAnsi="宋体"/>
          <w:color w:val="auto"/>
          <w:sz w:val="24"/>
          <w:szCs w:val="24"/>
          <w:highlight w:val="none"/>
        </w:rPr>
      </w:pPr>
      <w:r>
        <w:rPr>
          <w:rFonts w:hint="eastAsia" w:ascii="宋体" w:hAnsi="宋体"/>
          <w:color w:val="auto"/>
          <w:sz w:val="24"/>
          <w:szCs w:val="24"/>
          <w:highlight w:val="none"/>
        </w:rPr>
        <w:t>欢迎贵公司参与周口市政府采购活动！</w:t>
      </w:r>
    </w:p>
    <w:p w14:paraId="31B510CA">
      <w:pPr>
        <w:pStyle w:val="40"/>
        <w:ind w:firstLine="240"/>
        <w:rPr>
          <w:rFonts w:hint="eastAsia" w:ascii="宋体" w:hAnsi="宋体"/>
          <w:color w:val="auto"/>
          <w:sz w:val="24"/>
          <w:szCs w:val="24"/>
          <w:highlight w:val="none"/>
        </w:rPr>
      </w:pPr>
      <w:r>
        <w:rPr>
          <w:rFonts w:hint="eastAsia" w:ascii="宋体" w:hAnsi="宋体"/>
          <w:color w:val="auto"/>
          <w:sz w:val="24"/>
          <w:szCs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EAA36DB">
      <w:pPr>
        <w:pStyle w:val="40"/>
        <w:ind w:firstLine="240"/>
        <w:rPr>
          <w:rFonts w:hint="eastAsia" w:ascii="宋体" w:hAnsi="宋体"/>
          <w:color w:val="auto"/>
          <w:sz w:val="24"/>
          <w:szCs w:val="24"/>
          <w:highlight w:val="none"/>
        </w:rPr>
      </w:pPr>
      <w:r>
        <w:rPr>
          <w:rFonts w:hint="eastAsia" w:ascii="宋体" w:hAnsi="宋体"/>
          <w:color w:val="auto"/>
          <w:sz w:val="24"/>
          <w:szCs w:val="24"/>
          <w:highlight w:val="none"/>
        </w:rPr>
        <w:t>贷款渠道和提供贷款的金融机构，可在河南省政府采购网“河南省政府采购合同融资平台”查询联系。</w:t>
      </w:r>
    </w:p>
    <w:p w14:paraId="1625BDC5">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1910F4DF">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476D41D3">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0FA635E4">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0D2CFDA5">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50978463">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1430EE75">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2C768C2E">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04783D2F">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04661945">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7850B8F0">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50492766">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14EDBDD1">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6B4BBA44">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7F32EC47">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1C350D87">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2B8A08A1">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26CED70C">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4A6C9C67">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5E8E20A0">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2DD6ACFE">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70645B64">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0888D47F">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7DA2EC34">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1B7047F6">
      <w:pPr>
        <w:rPr>
          <w:color w:val="auto"/>
          <w:highlight w:val="none"/>
        </w:rPr>
      </w:pPr>
    </w:p>
    <w:p w14:paraId="0DCCD696">
      <w:pPr>
        <w:rPr>
          <w:color w:val="auto"/>
          <w:highlight w:val="none"/>
        </w:rPr>
      </w:pPr>
    </w:p>
    <w:sectPr>
      <w:pgSz w:w="11906" w:h="16838"/>
      <w:pgMar w:top="1389" w:right="1304" w:bottom="1440" w:left="1304" w:header="851" w:footer="992" w:gutter="0"/>
      <w:cols w:space="72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Droid Sans">
    <w:altName w:val="宋体"/>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方正小标宋简体">
    <w:altName w:val="黑体"/>
    <w:panose1 w:val="02000000000000000000"/>
    <w:charset w:val="86"/>
    <w:family w:val="auto"/>
    <w:pitch w:val="default"/>
    <w:sig w:usb0="00000000" w:usb1="00000000" w:usb2="00000000" w:usb3="00000000" w:csb0="00040000"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B1FBD">
    <w:pPr>
      <w:pStyle w:val="14"/>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25C44FAD">
                          <w:pPr>
                            <w:pStyle w:val="14"/>
                            <w:rPr>
                              <w:rStyle w:val="27"/>
                              <w:rFonts w:hint="eastAsia"/>
                            </w:rPr>
                          </w:pPr>
                          <w:r>
                            <w:fldChar w:fldCharType="begin"/>
                          </w:r>
                          <w:r>
                            <w:rPr>
                              <w:rStyle w:val="27"/>
                            </w:rPr>
                            <w:instrText xml:space="preserve">PAGE   \* MERGEFORMAT</w:instrText>
                          </w:r>
                          <w:r>
                            <w:fldChar w:fldCharType="separate"/>
                          </w:r>
                          <w:r>
                            <w:rPr>
                              <w:rStyle w:val="27"/>
                              <w:lang w:val="zh-CN"/>
                            </w:rPr>
                            <w:t>11</w:t>
                          </w:r>
                          <w: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ldfaW9QAAAADAQAADwAAAAAAAAABACAAAAAiAAAAZHJzL2Rvd25yZXYueG1sUEsBAhQAFAAA&#10;AAgAh07iQPSI/xq6AQAAcQMAAA4AAAAAAAAAAQAgAAAAIwEAAGRycy9lMm9Eb2MueG1sUEsFBgAA&#10;AAAGAAYAWQEAAE8FAAAAAA==&#10;">
              <v:fill on="f" focussize="0,0"/>
              <v:stroke on="f"/>
              <v:imagedata o:title=""/>
              <o:lock v:ext="edit" aspectratio="f"/>
              <v:textbox inset="0mm,0mm,0mm,0mm">
                <w:txbxContent>
                  <w:p w14:paraId="25C44FAD">
                    <w:pPr>
                      <w:pStyle w:val="14"/>
                      <w:rPr>
                        <w:rStyle w:val="27"/>
                        <w:rFonts w:hint="eastAsia"/>
                      </w:rPr>
                    </w:pPr>
                    <w:r>
                      <w:fldChar w:fldCharType="begin"/>
                    </w:r>
                    <w:r>
                      <w:rPr>
                        <w:rStyle w:val="27"/>
                      </w:rPr>
                      <w:instrText xml:space="preserve">PAGE   \* MERGEFORMAT</w:instrText>
                    </w:r>
                    <w:r>
                      <w:fldChar w:fldCharType="separate"/>
                    </w:r>
                    <w:r>
                      <w:rPr>
                        <w:rStyle w:val="27"/>
                        <w:lang w:val="zh-CN"/>
                      </w:rPr>
                      <w:t>11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D67228"/>
    <w:multiLevelType w:val="singleLevel"/>
    <w:tmpl w:val="9FD67228"/>
    <w:lvl w:ilvl="0" w:tentative="0">
      <w:start w:val="3"/>
      <w:numFmt w:val="decimal"/>
      <w:suff w:val="nothing"/>
      <w:lvlText w:val="%1）"/>
      <w:lvlJc w:val="left"/>
    </w:lvl>
  </w:abstractNum>
  <w:abstractNum w:abstractNumId="1">
    <w:nsid w:val="A1BAA6AA"/>
    <w:multiLevelType w:val="singleLevel"/>
    <w:tmpl w:val="A1BAA6AA"/>
    <w:lvl w:ilvl="0" w:tentative="0">
      <w:start w:val="2"/>
      <w:numFmt w:val="decimal"/>
      <w:lvlText w:val="%1."/>
      <w:lvlJc w:val="left"/>
      <w:pPr>
        <w:tabs>
          <w:tab w:val="left" w:pos="312"/>
        </w:tabs>
      </w:pPr>
    </w:lvl>
  </w:abstractNum>
  <w:abstractNum w:abstractNumId="2">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6058BAAF"/>
    <w:multiLevelType w:val="singleLevel"/>
    <w:tmpl w:val="6058BAAF"/>
    <w:lvl w:ilvl="0" w:tentative="0">
      <w:start w:val="1"/>
      <w:numFmt w:val="decimal"/>
      <w:suff w:val="nothing"/>
      <w:lvlText w:val="%1、"/>
      <w:lvlJc w:val="left"/>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iMzJjMzI0MDdjNDc2NGM2ZGJhMmZkYmNiMjAzN2MifQ=="/>
  </w:docVars>
  <w:rsids>
    <w:rsidRoot w:val="494A6177"/>
    <w:rsid w:val="00245B89"/>
    <w:rsid w:val="00621C19"/>
    <w:rsid w:val="007B09A4"/>
    <w:rsid w:val="01D86637"/>
    <w:rsid w:val="020B69BC"/>
    <w:rsid w:val="02A864FA"/>
    <w:rsid w:val="02B72F8A"/>
    <w:rsid w:val="02E35293"/>
    <w:rsid w:val="03102408"/>
    <w:rsid w:val="03294AD0"/>
    <w:rsid w:val="04194CE4"/>
    <w:rsid w:val="041B26D5"/>
    <w:rsid w:val="0437125A"/>
    <w:rsid w:val="046046C1"/>
    <w:rsid w:val="04DF1A8A"/>
    <w:rsid w:val="05597A8E"/>
    <w:rsid w:val="05681A7F"/>
    <w:rsid w:val="057F6DC9"/>
    <w:rsid w:val="059C5E72"/>
    <w:rsid w:val="05AC22B4"/>
    <w:rsid w:val="05AF3B52"/>
    <w:rsid w:val="05AF3FE0"/>
    <w:rsid w:val="05CD76FE"/>
    <w:rsid w:val="060F4A28"/>
    <w:rsid w:val="065C0B2C"/>
    <w:rsid w:val="06662EEB"/>
    <w:rsid w:val="069B1336"/>
    <w:rsid w:val="06FC6923"/>
    <w:rsid w:val="073A72E8"/>
    <w:rsid w:val="07AD0299"/>
    <w:rsid w:val="08440C54"/>
    <w:rsid w:val="08512C9F"/>
    <w:rsid w:val="090569E5"/>
    <w:rsid w:val="09307AD4"/>
    <w:rsid w:val="09A13D71"/>
    <w:rsid w:val="0A051D81"/>
    <w:rsid w:val="0A265649"/>
    <w:rsid w:val="0A2923CF"/>
    <w:rsid w:val="0A5F0172"/>
    <w:rsid w:val="0AB87DA1"/>
    <w:rsid w:val="0B380146"/>
    <w:rsid w:val="0B717366"/>
    <w:rsid w:val="0B721B34"/>
    <w:rsid w:val="0BD76436"/>
    <w:rsid w:val="0C060244"/>
    <w:rsid w:val="0C0E42CE"/>
    <w:rsid w:val="0C23087C"/>
    <w:rsid w:val="0C421E8C"/>
    <w:rsid w:val="0C607954"/>
    <w:rsid w:val="0CA953C7"/>
    <w:rsid w:val="0D18648F"/>
    <w:rsid w:val="0D5E377A"/>
    <w:rsid w:val="0D956CCB"/>
    <w:rsid w:val="0DA9532B"/>
    <w:rsid w:val="0DD62816"/>
    <w:rsid w:val="0DE80AB1"/>
    <w:rsid w:val="0DFE3BA8"/>
    <w:rsid w:val="0E012A71"/>
    <w:rsid w:val="0E2B3F92"/>
    <w:rsid w:val="0EAC63BD"/>
    <w:rsid w:val="0EDE2DB2"/>
    <w:rsid w:val="0F1130C0"/>
    <w:rsid w:val="0F517A28"/>
    <w:rsid w:val="0F6F7F34"/>
    <w:rsid w:val="0F9022FF"/>
    <w:rsid w:val="0FBF78E9"/>
    <w:rsid w:val="0FE20680"/>
    <w:rsid w:val="105D3BF9"/>
    <w:rsid w:val="10C55FD8"/>
    <w:rsid w:val="1153734F"/>
    <w:rsid w:val="115C399F"/>
    <w:rsid w:val="11633C60"/>
    <w:rsid w:val="121A3933"/>
    <w:rsid w:val="129E11D6"/>
    <w:rsid w:val="12DF1C1F"/>
    <w:rsid w:val="12EA7F78"/>
    <w:rsid w:val="13286CF2"/>
    <w:rsid w:val="132C7A48"/>
    <w:rsid w:val="135C7362"/>
    <w:rsid w:val="14D233B9"/>
    <w:rsid w:val="15595889"/>
    <w:rsid w:val="156F0C08"/>
    <w:rsid w:val="157523F2"/>
    <w:rsid w:val="15B94E3D"/>
    <w:rsid w:val="15D26CC6"/>
    <w:rsid w:val="16842491"/>
    <w:rsid w:val="16D50F3F"/>
    <w:rsid w:val="16EF0253"/>
    <w:rsid w:val="173739A8"/>
    <w:rsid w:val="17591B70"/>
    <w:rsid w:val="177644D0"/>
    <w:rsid w:val="17863588"/>
    <w:rsid w:val="17A10E21"/>
    <w:rsid w:val="17CF3BE0"/>
    <w:rsid w:val="181844AB"/>
    <w:rsid w:val="182201B4"/>
    <w:rsid w:val="189F35B2"/>
    <w:rsid w:val="18C829C3"/>
    <w:rsid w:val="19157D18"/>
    <w:rsid w:val="191D734D"/>
    <w:rsid w:val="1945415A"/>
    <w:rsid w:val="19893E2C"/>
    <w:rsid w:val="19A73398"/>
    <w:rsid w:val="19FC553F"/>
    <w:rsid w:val="1A8D6DDC"/>
    <w:rsid w:val="1AA94BBC"/>
    <w:rsid w:val="1AFC6A9A"/>
    <w:rsid w:val="1B79633D"/>
    <w:rsid w:val="1B8D003A"/>
    <w:rsid w:val="1BA63C31"/>
    <w:rsid w:val="1BC407FE"/>
    <w:rsid w:val="1BF74147"/>
    <w:rsid w:val="1C9378D2"/>
    <w:rsid w:val="1C96104D"/>
    <w:rsid w:val="1C9D60BC"/>
    <w:rsid w:val="1C9F624D"/>
    <w:rsid w:val="1D012A8E"/>
    <w:rsid w:val="1D0B56BA"/>
    <w:rsid w:val="1D197866"/>
    <w:rsid w:val="1D230C56"/>
    <w:rsid w:val="1D4604A0"/>
    <w:rsid w:val="1D547E84"/>
    <w:rsid w:val="1D5C545C"/>
    <w:rsid w:val="1D8B2357"/>
    <w:rsid w:val="1DA578BD"/>
    <w:rsid w:val="1DD16C67"/>
    <w:rsid w:val="1E0F2F88"/>
    <w:rsid w:val="1E452F24"/>
    <w:rsid w:val="1E5E3B3D"/>
    <w:rsid w:val="1E86425F"/>
    <w:rsid w:val="1F1F544D"/>
    <w:rsid w:val="1F274669"/>
    <w:rsid w:val="1F861028"/>
    <w:rsid w:val="1FD275D0"/>
    <w:rsid w:val="20234DCA"/>
    <w:rsid w:val="2027280B"/>
    <w:rsid w:val="205C66B7"/>
    <w:rsid w:val="205F046A"/>
    <w:rsid w:val="209F0C6F"/>
    <w:rsid w:val="20DC64C0"/>
    <w:rsid w:val="21246D4B"/>
    <w:rsid w:val="219F731F"/>
    <w:rsid w:val="21AE2AB8"/>
    <w:rsid w:val="21B33138"/>
    <w:rsid w:val="21C10A3D"/>
    <w:rsid w:val="220A341F"/>
    <w:rsid w:val="229C0B63"/>
    <w:rsid w:val="22CB3C5B"/>
    <w:rsid w:val="232474D6"/>
    <w:rsid w:val="232B67A2"/>
    <w:rsid w:val="23445482"/>
    <w:rsid w:val="2369111C"/>
    <w:rsid w:val="239857CE"/>
    <w:rsid w:val="23DA64DB"/>
    <w:rsid w:val="24602F65"/>
    <w:rsid w:val="24743922"/>
    <w:rsid w:val="24E54A43"/>
    <w:rsid w:val="24F46A34"/>
    <w:rsid w:val="25003718"/>
    <w:rsid w:val="25015F9F"/>
    <w:rsid w:val="25433005"/>
    <w:rsid w:val="258322B2"/>
    <w:rsid w:val="25A16BBC"/>
    <w:rsid w:val="25BF65FB"/>
    <w:rsid w:val="261B5942"/>
    <w:rsid w:val="26260D1B"/>
    <w:rsid w:val="264D28A0"/>
    <w:rsid w:val="2651096A"/>
    <w:rsid w:val="26D66D39"/>
    <w:rsid w:val="26FD2518"/>
    <w:rsid w:val="27135897"/>
    <w:rsid w:val="272C50F2"/>
    <w:rsid w:val="27450434"/>
    <w:rsid w:val="277125BE"/>
    <w:rsid w:val="27CA09CA"/>
    <w:rsid w:val="27FE623F"/>
    <w:rsid w:val="2831669D"/>
    <w:rsid w:val="284321AC"/>
    <w:rsid w:val="2870458C"/>
    <w:rsid w:val="2885614E"/>
    <w:rsid w:val="28A32C4B"/>
    <w:rsid w:val="28BA7F95"/>
    <w:rsid w:val="28DA4641"/>
    <w:rsid w:val="295648D9"/>
    <w:rsid w:val="295C39E9"/>
    <w:rsid w:val="29612EB5"/>
    <w:rsid w:val="29626662"/>
    <w:rsid w:val="299249BD"/>
    <w:rsid w:val="29CE5AA6"/>
    <w:rsid w:val="2A17569E"/>
    <w:rsid w:val="2AE82B97"/>
    <w:rsid w:val="2AF91248"/>
    <w:rsid w:val="2AFF51A1"/>
    <w:rsid w:val="2B230073"/>
    <w:rsid w:val="2B242351"/>
    <w:rsid w:val="2B3E49C0"/>
    <w:rsid w:val="2B421E23"/>
    <w:rsid w:val="2B911481"/>
    <w:rsid w:val="2BAC0068"/>
    <w:rsid w:val="2C433A06"/>
    <w:rsid w:val="2C4402A1"/>
    <w:rsid w:val="2C9103E2"/>
    <w:rsid w:val="2C9E6F3A"/>
    <w:rsid w:val="2CB05936"/>
    <w:rsid w:val="2D1759B5"/>
    <w:rsid w:val="2D305193"/>
    <w:rsid w:val="2D6666D9"/>
    <w:rsid w:val="2E311438"/>
    <w:rsid w:val="2E5117D5"/>
    <w:rsid w:val="2EA77582"/>
    <w:rsid w:val="2EA94D33"/>
    <w:rsid w:val="2EDE2619"/>
    <w:rsid w:val="2EF773D3"/>
    <w:rsid w:val="2F065CE2"/>
    <w:rsid w:val="2F10090E"/>
    <w:rsid w:val="2F481155"/>
    <w:rsid w:val="2F562335"/>
    <w:rsid w:val="2F8A06C1"/>
    <w:rsid w:val="2FBC4423"/>
    <w:rsid w:val="2FC40C1D"/>
    <w:rsid w:val="30061B3B"/>
    <w:rsid w:val="30952D41"/>
    <w:rsid w:val="30AB24B4"/>
    <w:rsid w:val="30B11567"/>
    <w:rsid w:val="30DF2C8E"/>
    <w:rsid w:val="30E90E7B"/>
    <w:rsid w:val="30F006F7"/>
    <w:rsid w:val="31552F50"/>
    <w:rsid w:val="31BE5A57"/>
    <w:rsid w:val="31CC4DF7"/>
    <w:rsid w:val="3232475C"/>
    <w:rsid w:val="32A658FC"/>
    <w:rsid w:val="32E61EA7"/>
    <w:rsid w:val="32FA5B5D"/>
    <w:rsid w:val="332D3A7E"/>
    <w:rsid w:val="33582884"/>
    <w:rsid w:val="336D632F"/>
    <w:rsid w:val="339C5ED6"/>
    <w:rsid w:val="33B026C0"/>
    <w:rsid w:val="34154834"/>
    <w:rsid w:val="3446796C"/>
    <w:rsid w:val="345C4F2B"/>
    <w:rsid w:val="34697971"/>
    <w:rsid w:val="34FA62E8"/>
    <w:rsid w:val="359A53D6"/>
    <w:rsid w:val="35D24DB7"/>
    <w:rsid w:val="35E9276F"/>
    <w:rsid w:val="35E944D5"/>
    <w:rsid w:val="364315C9"/>
    <w:rsid w:val="36A60195"/>
    <w:rsid w:val="37121898"/>
    <w:rsid w:val="37307DA0"/>
    <w:rsid w:val="37423AD1"/>
    <w:rsid w:val="37B019DC"/>
    <w:rsid w:val="381E5E4A"/>
    <w:rsid w:val="38332794"/>
    <w:rsid w:val="383D6182"/>
    <w:rsid w:val="387D6638"/>
    <w:rsid w:val="38AF2F46"/>
    <w:rsid w:val="38B90269"/>
    <w:rsid w:val="394B01FF"/>
    <w:rsid w:val="395E3DBA"/>
    <w:rsid w:val="397D4DF2"/>
    <w:rsid w:val="39804F8A"/>
    <w:rsid w:val="399A0995"/>
    <w:rsid w:val="39CD13D2"/>
    <w:rsid w:val="3A231E3E"/>
    <w:rsid w:val="3A983BCB"/>
    <w:rsid w:val="3AA52853"/>
    <w:rsid w:val="3AA84368"/>
    <w:rsid w:val="3AEC66D3"/>
    <w:rsid w:val="3B2B37FB"/>
    <w:rsid w:val="3B3616FD"/>
    <w:rsid w:val="3B6224F2"/>
    <w:rsid w:val="3B7058F7"/>
    <w:rsid w:val="3B8C673F"/>
    <w:rsid w:val="3BB32D4D"/>
    <w:rsid w:val="3C4936B2"/>
    <w:rsid w:val="3C610AEF"/>
    <w:rsid w:val="3CB12907"/>
    <w:rsid w:val="3CBC180B"/>
    <w:rsid w:val="3CC80E0A"/>
    <w:rsid w:val="3CD43D23"/>
    <w:rsid w:val="3D1E68EC"/>
    <w:rsid w:val="3D2757A1"/>
    <w:rsid w:val="3D453E79"/>
    <w:rsid w:val="3D4B5F64"/>
    <w:rsid w:val="3D775F81"/>
    <w:rsid w:val="3D7C29CE"/>
    <w:rsid w:val="3DBC79EA"/>
    <w:rsid w:val="3E450331"/>
    <w:rsid w:val="3E80785E"/>
    <w:rsid w:val="3E9F580B"/>
    <w:rsid w:val="3EE80F60"/>
    <w:rsid w:val="3F2C11C0"/>
    <w:rsid w:val="3F9D1265"/>
    <w:rsid w:val="403E177F"/>
    <w:rsid w:val="405E09F3"/>
    <w:rsid w:val="407F6468"/>
    <w:rsid w:val="408E03B9"/>
    <w:rsid w:val="40AF733C"/>
    <w:rsid w:val="40B01F51"/>
    <w:rsid w:val="40F30863"/>
    <w:rsid w:val="4151103E"/>
    <w:rsid w:val="41795DD9"/>
    <w:rsid w:val="417B60BB"/>
    <w:rsid w:val="41AB01F9"/>
    <w:rsid w:val="427D40B5"/>
    <w:rsid w:val="42AF665F"/>
    <w:rsid w:val="42BC4BDD"/>
    <w:rsid w:val="42E63A08"/>
    <w:rsid w:val="43210EE4"/>
    <w:rsid w:val="437454B8"/>
    <w:rsid w:val="438F5E4E"/>
    <w:rsid w:val="43AF3C69"/>
    <w:rsid w:val="440525B4"/>
    <w:rsid w:val="444C656B"/>
    <w:rsid w:val="449648D9"/>
    <w:rsid w:val="4539589C"/>
    <w:rsid w:val="45AC77C2"/>
    <w:rsid w:val="46667C44"/>
    <w:rsid w:val="46BE4436"/>
    <w:rsid w:val="47431429"/>
    <w:rsid w:val="477C493B"/>
    <w:rsid w:val="47946129"/>
    <w:rsid w:val="47A125F4"/>
    <w:rsid w:val="47F44E19"/>
    <w:rsid w:val="48632CBF"/>
    <w:rsid w:val="48CA3240"/>
    <w:rsid w:val="48EF2E1B"/>
    <w:rsid w:val="49360E1D"/>
    <w:rsid w:val="494A6177"/>
    <w:rsid w:val="496A4430"/>
    <w:rsid w:val="4A102A12"/>
    <w:rsid w:val="4A1511B5"/>
    <w:rsid w:val="4AD45BA7"/>
    <w:rsid w:val="4AD849DA"/>
    <w:rsid w:val="4B533C05"/>
    <w:rsid w:val="4B6A065C"/>
    <w:rsid w:val="4BA61384"/>
    <w:rsid w:val="4C25034F"/>
    <w:rsid w:val="4C501087"/>
    <w:rsid w:val="4C6632C0"/>
    <w:rsid w:val="4C8F3363"/>
    <w:rsid w:val="4C9149E5"/>
    <w:rsid w:val="4C96666C"/>
    <w:rsid w:val="4C9D5A7F"/>
    <w:rsid w:val="4CC02749"/>
    <w:rsid w:val="4CD11285"/>
    <w:rsid w:val="4CD174D7"/>
    <w:rsid w:val="4D1E4B35"/>
    <w:rsid w:val="4D395B9A"/>
    <w:rsid w:val="4D7464AC"/>
    <w:rsid w:val="4D857F0A"/>
    <w:rsid w:val="4D9D385D"/>
    <w:rsid w:val="4DC271CA"/>
    <w:rsid w:val="4E4E3203"/>
    <w:rsid w:val="4EC01D87"/>
    <w:rsid w:val="4ECB2D04"/>
    <w:rsid w:val="4FB07878"/>
    <w:rsid w:val="4FC357FD"/>
    <w:rsid w:val="50132763"/>
    <w:rsid w:val="504F52E3"/>
    <w:rsid w:val="50545E50"/>
    <w:rsid w:val="507C64A1"/>
    <w:rsid w:val="508846DC"/>
    <w:rsid w:val="509678EE"/>
    <w:rsid w:val="50A15412"/>
    <w:rsid w:val="50D02788"/>
    <w:rsid w:val="50F9756B"/>
    <w:rsid w:val="51A258E6"/>
    <w:rsid w:val="51B77148"/>
    <w:rsid w:val="51D84E64"/>
    <w:rsid w:val="51E657D3"/>
    <w:rsid w:val="52701540"/>
    <w:rsid w:val="527C02AC"/>
    <w:rsid w:val="52BC6534"/>
    <w:rsid w:val="52E141EC"/>
    <w:rsid w:val="52EC3194"/>
    <w:rsid w:val="53186C98"/>
    <w:rsid w:val="532E1E14"/>
    <w:rsid w:val="535037B1"/>
    <w:rsid w:val="5384014C"/>
    <w:rsid w:val="53A05E55"/>
    <w:rsid w:val="53C57535"/>
    <w:rsid w:val="541977FF"/>
    <w:rsid w:val="548F7085"/>
    <w:rsid w:val="54EB1352"/>
    <w:rsid w:val="54FD6B73"/>
    <w:rsid w:val="553970ED"/>
    <w:rsid w:val="56B37C4E"/>
    <w:rsid w:val="56E04EE6"/>
    <w:rsid w:val="56E46438"/>
    <w:rsid w:val="57650F48"/>
    <w:rsid w:val="578C139E"/>
    <w:rsid w:val="57915624"/>
    <w:rsid w:val="581175BB"/>
    <w:rsid w:val="581E54C0"/>
    <w:rsid w:val="58225C60"/>
    <w:rsid w:val="58502ABA"/>
    <w:rsid w:val="585A6A13"/>
    <w:rsid w:val="58721CF1"/>
    <w:rsid w:val="58BA52C3"/>
    <w:rsid w:val="58F942C3"/>
    <w:rsid w:val="59031A3D"/>
    <w:rsid w:val="599D1D0E"/>
    <w:rsid w:val="59BD150F"/>
    <w:rsid w:val="5A09705C"/>
    <w:rsid w:val="5A353621"/>
    <w:rsid w:val="5AA21673"/>
    <w:rsid w:val="5B0373F5"/>
    <w:rsid w:val="5B4644CE"/>
    <w:rsid w:val="5B5778FB"/>
    <w:rsid w:val="5BEF3E3E"/>
    <w:rsid w:val="5BF22FC6"/>
    <w:rsid w:val="5CC21C3A"/>
    <w:rsid w:val="5CF406D5"/>
    <w:rsid w:val="5D235B2D"/>
    <w:rsid w:val="5D557A56"/>
    <w:rsid w:val="5D7C2B5D"/>
    <w:rsid w:val="5DA01CCB"/>
    <w:rsid w:val="5DBE4D6A"/>
    <w:rsid w:val="5DD62E92"/>
    <w:rsid w:val="5DDE57BC"/>
    <w:rsid w:val="5DF50B4C"/>
    <w:rsid w:val="5E13292D"/>
    <w:rsid w:val="5E174F66"/>
    <w:rsid w:val="5E96157C"/>
    <w:rsid w:val="5EAE7678"/>
    <w:rsid w:val="5ED80BC0"/>
    <w:rsid w:val="5EF916F2"/>
    <w:rsid w:val="5F0059FA"/>
    <w:rsid w:val="5F04373C"/>
    <w:rsid w:val="5F5521EA"/>
    <w:rsid w:val="6005776C"/>
    <w:rsid w:val="602F3F48"/>
    <w:rsid w:val="60B5389D"/>
    <w:rsid w:val="60F8375F"/>
    <w:rsid w:val="613100ED"/>
    <w:rsid w:val="615F10FE"/>
    <w:rsid w:val="61AA1DC4"/>
    <w:rsid w:val="61D2367E"/>
    <w:rsid w:val="621F7827"/>
    <w:rsid w:val="622129DB"/>
    <w:rsid w:val="623C4F9B"/>
    <w:rsid w:val="6248761D"/>
    <w:rsid w:val="62CC2EFA"/>
    <w:rsid w:val="63332E8A"/>
    <w:rsid w:val="63347489"/>
    <w:rsid w:val="63422A85"/>
    <w:rsid w:val="639E2834"/>
    <w:rsid w:val="63D23E09"/>
    <w:rsid w:val="63DD455C"/>
    <w:rsid w:val="63EC3287"/>
    <w:rsid w:val="643A633F"/>
    <w:rsid w:val="64427C19"/>
    <w:rsid w:val="655D5954"/>
    <w:rsid w:val="659D17E2"/>
    <w:rsid w:val="660843AE"/>
    <w:rsid w:val="66687360"/>
    <w:rsid w:val="66AF7645"/>
    <w:rsid w:val="66BD7AF5"/>
    <w:rsid w:val="66DD4563"/>
    <w:rsid w:val="66E45CCD"/>
    <w:rsid w:val="67477A06"/>
    <w:rsid w:val="677C6D44"/>
    <w:rsid w:val="677E7FA7"/>
    <w:rsid w:val="681E78F0"/>
    <w:rsid w:val="6850354E"/>
    <w:rsid w:val="685A617B"/>
    <w:rsid w:val="686651FF"/>
    <w:rsid w:val="68742DCB"/>
    <w:rsid w:val="68DB1DDB"/>
    <w:rsid w:val="69522D7B"/>
    <w:rsid w:val="69D20C00"/>
    <w:rsid w:val="6A1B3F4B"/>
    <w:rsid w:val="6A272F48"/>
    <w:rsid w:val="6A863C0A"/>
    <w:rsid w:val="6AA95198"/>
    <w:rsid w:val="6AC27D5E"/>
    <w:rsid w:val="6AE508C6"/>
    <w:rsid w:val="6B0D5727"/>
    <w:rsid w:val="6B264A3A"/>
    <w:rsid w:val="6B45401D"/>
    <w:rsid w:val="6B7E724F"/>
    <w:rsid w:val="6B805F3F"/>
    <w:rsid w:val="6B855C05"/>
    <w:rsid w:val="6B883AD8"/>
    <w:rsid w:val="6BF52112"/>
    <w:rsid w:val="6C094140"/>
    <w:rsid w:val="6C496CA0"/>
    <w:rsid w:val="6C8639E2"/>
    <w:rsid w:val="6C97174C"/>
    <w:rsid w:val="6C99793F"/>
    <w:rsid w:val="6CA81BAB"/>
    <w:rsid w:val="6CE50DB1"/>
    <w:rsid w:val="6CFA7F2C"/>
    <w:rsid w:val="6D1F304E"/>
    <w:rsid w:val="6D392803"/>
    <w:rsid w:val="6D3B1EA4"/>
    <w:rsid w:val="6D3E606B"/>
    <w:rsid w:val="6D5E04BB"/>
    <w:rsid w:val="6D78515E"/>
    <w:rsid w:val="6D7E290C"/>
    <w:rsid w:val="6DBE4671"/>
    <w:rsid w:val="6E9C74ED"/>
    <w:rsid w:val="6EF06AD7"/>
    <w:rsid w:val="6F6E6107"/>
    <w:rsid w:val="6F886237"/>
    <w:rsid w:val="6FE663C9"/>
    <w:rsid w:val="6FF356A3"/>
    <w:rsid w:val="70E4065F"/>
    <w:rsid w:val="714A5989"/>
    <w:rsid w:val="719B567C"/>
    <w:rsid w:val="71A5490B"/>
    <w:rsid w:val="727E306F"/>
    <w:rsid w:val="729A1F96"/>
    <w:rsid w:val="72D66D46"/>
    <w:rsid w:val="73025D8D"/>
    <w:rsid w:val="730E4AD3"/>
    <w:rsid w:val="73814F04"/>
    <w:rsid w:val="739A1D9B"/>
    <w:rsid w:val="73C44DF0"/>
    <w:rsid w:val="7420471D"/>
    <w:rsid w:val="746118BC"/>
    <w:rsid w:val="746900B2"/>
    <w:rsid w:val="748C0004"/>
    <w:rsid w:val="74911176"/>
    <w:rsid w:val="7539091C"/>
    <w:rsid w:val="75D21D63"/>
    <w:rsid w:val="761353B5"/>
    <w:rsid w:val="76B11970"/>
    <w:rsid w:val="7707194C"/>
    <w:rsid w:val="77873B83"/>
    <w:rsid w:val="7790064A"/>
    <w:rsid w:val="780660FE"/>
    <w:rsid w:val="78280044"/>
    <w:rsid w:val="78352893"/>
    <w:rsid w:val="784F105D"/>
    <w:rsid w:val="790363CB"/>
    <w:rsid w:val="793A4344"/>
    <w:rsid w:val="79475B72"/>
    <w:rsid w:val="795C12C1"/>
    <w:rsid w:val="79A50614"/>
    <w:rsid w:val="7A150154"/>
    <w:rsid w:val="7A777060"/>
    <w:rsid w:val="7AA544C3"/>
    <w:rsid w:val="7AC3623D"/>
    <w:rsid w:val="7B02692A"/>
    <w:rsid w:val="7B3371EA"/>
    <w:rsid w:val="7B65510B"/>
    <w:rsid w:val="7B7B1CF2"/>
    <w:rsid w:val="7B8E6410"/>
    <w:rsid w:val="7B957E3E"/>
    <w:rsid w:val="7BA31E1F"/>
    <w:rsid w:val="7BD45209"/>
    <w:rsid w:val="7BF5023D"/>
    <w:rsid w:val="7CBE4AD3"/>
    <w:rsid w:val="7CC559C5"/>
    <w:rsid w:val="7D20578D"/>
    <w:rsid w:val="7D373CED"/>
    <w:rsid w:val="7D380D29"/>
    <w:rsid w:val="7D74313D"/>
    <w:rsid w:val="7D9357F1"/>
    <w:rsid w:val="7D9817C8"/>
    <w:rsid w:val="7D9A72EE"/>
    <w:rsid w:val="7E262469"/>
    <w:rsid w:val="7E674411"/>
    <w:rsid w:val="7E991353"/>
    <w:rsid w:val="7E9E696A"/>
    <w:rsid w:val="7EAF6DC9"/>
    <w:rsid w:val="7EBB3F31"/>
    <w:rsid w:val="7F16339D"/>
    <w:rsid w:val="7F587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51"/>
    <w:qFormat/>
    <w:uiPriority w:val="0"/>
    <w:pPr>
      <w:keepNext/>
      <w:keepLines/>
      <w:spacing w:before="340" w:after="330" w:line="578" w:lineRule="auto"/>
      <w:outlineLvl w:val="0"/>
    </w:pPr>
    <w:rPr>
      <w:b/>
      <w:bCs/>
      <w:kern w:val="44"/>
      <w:sz w:val="30"/>
      <w:szCs w:val="44"/>
    </w:rPr>
  </w:style>
  <w:style w:type="paragraph" w:styleId="3">
    <w:name w:val="heading 2"/>
    <w:basedOn w:val="1"/>
    <w:next w:val="1"/>
    <w:autoRedefine/>
    <w:qFormat/>
    <w:uiPriority w:val="9"/>
    <w:pPr>
      <w:keepNext/>
      <w:keepLines/>
      <w:spacing w:before="260" w:after="260" w:line="416" w:lineRule="auto"/>
      <w:ind w:firstLine="628"/>
      <w:jc w:val="center"/>
      <w:outlineLvl w:val="1"/>
    </w:pPr>
    <w:rPr>
      <w:rFonts w:ascii="Arial" w:eastAsia="黑体"/>
      <w:b/>
      <w:bCs/>
      <w:sz w:val="32"/>
      <w:szCs w:val="32"/>
    </w:rPr>
  </w:style>
  <w:style w:type="paragraph" w:styleId="4">
    <w:name w:val="heading 3"/>
    <w:basedOn w:val="1"/>
    <w:next w:val="1"/>
    <w:autoRedefine/>
    <w:qFormat/>
    <w:uiPriority w:val="0"/>
    <w:pPr>
      <w:keepNext/>
      <w:keepLines/>
      <w:spacing w:before="260" w:after="260" w:line="416" w:lineRule="auto"/>
      <w:jc w:val="center"/>
      <w:outlineLvl w:val="2"/>
    </w:pPr>
    <w:rPr>
      <w:rFonts w:ascii="宋体"/>
      <w:b/>
      <w:bCs/>
      <w:sz w:val="32"/>
      <w:szCs w:val="32"/>
    </w:rPr>
  </w:style>
  <w:style w:type="character" w:default="1" w:styleId="26">
    <w:name w:val="Default Paragraph Font"/>
    <w:autoRedefine/>
    <w:semiHidden/>
    <w:qFormat/>
    <w:uiPriority w:val="0"/>
  </w:style>
  <w:style w:type="table" w:default="1" w:styleId="24">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3"/>
    <w:basedOn w:val="1"/>
    <w:autoRedefine/>
    <w:qFormat/>
    <w:uiPriority w:val="0"/>
    <w:rPr>
      <w:rFonts w:ascii="黑体" w:hAnsi="Arial" w:eastAsia="黑体"/>
      <w:b/>
      <w:sz w:val="28"/>
    </w:rPr>
  </w:style>
  <w:style w:type="paragraph" w:styleId="7">
    <w:name w:val="Body Text"/>
    <w:basedOn w:val="1"/>
    <w:autoRedefine/>
    <w:qFormat/>
    <w:uiPriority w:val="0"/>
    <w:rPr>
      <w:rFonts w:ascii="宋体" w:hAnsi="Arial"/>
      <w:sz w:val="28"/>
    </w:rPr>
  </w:style>
  <w:style w:type="paragraph" w:styleId="8">
    <w:name w:val="Body Text Indent"/>
    <w:basedOn w:val="1"/>
    <w:next w:val="9"/>
    <w:autoRedefine/>
    <w:qFormat/>
    <w:uiPriority w:val="0"/>
    <w:pPr>
      <w:ind w:firstLine="645"/>
    </w:pPr>
    <w:rPr>
      <w:rFonts w:ascii="楷体_GB2312" w:eastAsia="楷体_GB2312"/>
      <w:sz w:val="32"/>
    </w:rPr>
  </w:style>
  <w:style w:type="paragraph" w:styleId="9">
    <w:name w:val="envelope return"/>
    <w:basedOn w:val="1"/>
    <w:autoRedefine/>
    <w:qFormat/>
    <w:uiPriority w:val="99"/>
    <w:pPr>
      <w:snapToGrid w:val="0"/>
    </w:pPr>
    <w:rPr>
      <w:rFonts w:ascii="Arial" w:hAnsi="Arial"/>
    </w:rPr>
  </w:style>
  <w:style w:type="paragraph" w:styleId="10">
    <w:name w:val="toc 3"/>
    <w:basedOn w:val="1"/>
    <w:next w:val="1"/>
    <w:autoRedefine/>
    <w:qFormat/>
    <w:uiPriority w:val="0"/>
    <w:pPr>
      <w:ind w:left="840" w:leftChars="400"/>
    </w:pPr>
  </w:style>
  <w:style w:type="paragraph" w:styleId="11">
    <w:name w:val="Plain Text"/>
    <w:basedOn w:val="1"/>
    <w:next w:val="1"/>
    <w:autoRedefine/>
    <w:qFormat/>
    <w:uiPriority w:val="0"/>
    <w:rPr>
      <w:rFonts w:ascii="宋体" w:hAnsi="Courier New"/>
    </w:rPr>
  </w:style>
  <w:style w:type="paragraph" w:styleId="12">
    <w:name w:val="Date"/>
    <w:basedOn w:val="1"/>
    <w:next w:val="1"/>
    <w:autoRedefine/>
    <w:qFormat/>
    <w:uiPriority w:val="0"/>
    <w:rPr>
      <w:b/>
      <w:sz w:val="28"/>
    </w:rPr>
  </w:style>
  <w:style w:type="paragraph" w:styleId="13">
    <w:name w:val="Body Text Indent 2"/>
    <w:basedOn w:val="1"/>
    <w:autoRedefine/>
    <w:qFormat/>
    <w:uiPriority w:val="0"/>
    <w:pPr>
      <w:ind w:left="630" w:firstLine="645"/>
    </w:pPr>
    <w:rPr>
      <w:rFonts w:ascii="Arial" w:hAnsi="Arial" w:eastAsia="仿宋_GB2312"/>
      <w:sz w:val="32"/>
    </w:rPr>
  </w:style>
  <w:style w:type="paragraph" w:styleId="14">
    <w:name w:val="footer"/>
    <w:basedOn w:val="1"/>
    <w:autoRedefine/>
    <w:qFormat/>
    <w:uiPriority w:val="0"/>
    <w:pPr>
      <w:tabs>
        <w:tab w:val="center" w:pos="4153"/>
        <w:tab w:val="right" w:pos="8306"/>
      </w:tabs>
      <w:snapToGrid w:val="0"/>
      <w:jc w:val="left"/>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rPr>
  </w:style>
  <w:style w:type="paragraph" w:styleId="16">
    <w:name w:val="toc 1"/>
    <w:basedOn w:val="17"/>
    <w:next w:val="1"/>
    <w:autoRedefine/>
    <w:qFormat/>
    <w:uiPriority w:val="39"/>
    <w:pPr>
      <w:spacing w:before="120" w:after="120"/>
      <w:jc w:val="left"/>
    </w:pPr>
    <w:rPr>
      <w:rFonts w:ascii="Times New Roman" w:hAnsi="Times New Roman" w:eastAsia="宋体"/>
      <w:b w:val="0"/>
      <w:caps/>
      <w:szCs w:val="24"/>
    </w:rPr>
  </w:style>
  <w:style w:type="paragraph" w:styleId="17">
    <w:name w:val="index 1"/>
    <w:basedOn w:val="1"/>
    <w:next w:val="1"/>
    <w:autoRedefine/>
    <w:qFormat/>
    <w:uiPriority w:val="0"/>
    <w:pPr>
      <w:jc w:val="center"/>
    </w:pPr>
    <w:rPr>
      <w:rFonts w:ascii="仿宋_GB2312" w:eastAsia="仿宋_GB2312"/>
      <w:b/>
      <w:bCs/>
      <w:sz w:val="28"/>
    </w:rPr>
  </w:style>
  <w:style w:type="paragraph" w:styleId="18">
    <w:name w:val="footnote text"/>
    <w:basedOn w:val="1"/>
    <w:autoRedefine/>
    <w:qFormat/>
    <w:uiPriority w:val="99"/>
    <w:pPr>
      <w:snapToGrid w:val="0"/>
      <w:jc w:val="left"/>
    </w:pPr>
    <w:rPr>
      <w:sz w:val="18"/>
      <w:szCs w:val="18"/>
    </w:rPr>
  </w:style>
  <w:style w:type="paragraph" w:styleId="19">
    <w:name w:val="toc 2"/>
    <w:basedOn w:val="1"/>
    <w:next w:val="1"/>
    <w:autoRedefine/>
    <w:qFormat/>
    <w:uiPriority w:val="39"/>
    <w:pPr>
      <w:ind w:left="210"/>
      <w:jc w:val="left"/>
    </w:pPr>
    <w:rPr>
      <w:smallCaps/>
      <w:sz w:val="28"/>
      <w:szCs w:val="24"/>
    </w:rPr>
  </w:style>
  <w:style w:type="paragraph" w:styleId="20">
    <w:name w:val="Normal (Web)"/>
    <w:basedOn w:val="1"/>
    <w:autoRedefine/>
    <w:qFormat/>
    <w:uiPriority w:val="99"/>
    <w:pPr>
      <w:widowControl/>
      <w:spacing w:before="100" w:beforeAutospacing="1" w:after="100" w:afterAutospacing="1"/>
      <w:jc w:val="left"/>
    </w:pPr>
    <w:rPr>
      <w:rFonts w:ascii="宋体" w:hAnsi="宋体"/>
      <w:kern w:val="0"/>
      <w:sz w:val="24"/>
      <w:szCs w:val="24"/>
    </w:rPr>
  </w:style>
  <w:style w:type="paragraph" w:styleId="21">
    <w:name w:val="Body Text First Indent"/>
    <w:basedOn w:val="7"/>
    <w:autoRedefine/>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2">
    <w:name w:val="Body Text First Indent 2"/>
    <w:basedOn w:val="8"/>
    <w:next w:val="23"/>
    <w:autoRedefine/>
    <w:qFormat/>
    <w:uiPriority w:val="0"/>
    <w:pPr>
      <w:spacing w:after="120"/>
      <w:ind w:left="420" w:firstLine="210"/>
    </w:pPr>
    <w:rPr>
      <w:rFonts w:ascii="Times New Roman"/>
    </w:rPr>
  </w:style>
  <w:style w:type="paragraph" w:customStyle="1" w:styleId="23">
    <w:name w:val="样式 正文首行缩进 2 + Arial"/>
    <w:basedOn w:val="1"/>
    <w:next w:val="1"/>
    <w:autoRedefine/>
    <w:qFormat/>
    <w:uiPriority w:val="0"/>
    <w:pPr>
      <w:spacing w:after="120" w:line="320" w:lineRule="atLeast"/>
      <w:ind w:firstLine="200" w:firstLineChars="200"/>
    </w:pPr>
    <w:rPr>
      <w:rFonts w:ascii="Arial" w:hAnsi="Arial"/>
      <w:kern w:val="0"/>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basedOn w:val="26"/>
    <w:autoRedefine/>
    <w:qFormat/>
    <w:uiPriority w:val="0"/>
  </w:style>
  <w:style w:type="character" w:styleId="28">
    <w:name w:val="FollowedHyperlink"/>
    <w:basedOn w:val="26"/>
    <w:autoRedefine/>
    <w:qFormat/>
    <w:uiPriority w:val="0"/>
    <w:rPr>
      <w:color w:val="800080"/>
      <w:u w:val="none"/>
    </w:rPr>
  </w:style>
  <w:style w:type="character" w:styleId="29">
    <w:name w:val="HTML Definition"/>
    <w:basedOn w:val="26"/>
    <w:autoRedefine/>
    <w:qFormat/>
    <w:uiPriority w:val="0"/>
  </w:style>
  <w:style w:type="character" w:styleId="30">
    <w:name w:val="HTML Typewriter"/>
    <w:basedOn w:val="26"/>
    <w:autoRedefine/>
    <w:qFormat/>
    <w:uiPriority w:val="0"/>
    <w:rPr>
      <w:rFonts w:hint="default" w:ascii="monospace" w:hAnsi="monospace" w:eastAsia="monospace" w:cs="monospace"/>
      <w:sz w:val="20"/>
    </w:rPr>
  </w:style>
  <w:style w:type="character" w:styleId="31">
    <w:name w:val="HTML Acronym"/>
    <w:basedOn w:val="26"/>
    <w:autoRedefine/>
    <w:qFormat/>
    <w:uiPriority w:val="0"/>
  </w:style>
  <w:style w:type="character" w:styleId="32">
    <w:name w:val="HTML Variable"/>
    <w:basedOn w:val="26"/>
    <w:autoRedefine/>
    <w:qFormat/>
    <w:uiPriority w:val="0"/>
  </w:style>
  <w:style w:type="character" w:styleId="33">
    <w:name w:val="Hyperlink"/>
    <w:basedOn w:val="26"/>
    <w:autoRedefine/>
    <w:qFormat/>
    <w:uiPriority w:val="0"/>
    <w:rPr>
      <w:color w:val="0000FF"/>
      <w:u w:val="none"/>
    </w:rPr>
  </w:style>
  <w:style w:type="character" w:styleId="34">
    <w:name w:val="HTML Code"/>
    <w:basedOn w:val="26"/>
    <w:autoRedefine/>
    <w:qFormat/>
    <w:uiPriority w:val="0"/>
    <w:rPr>
      <w:rFonts w:hint="default" w:ascii="monospace" w:hAnsi="monospace" w:eastAsia="monospace" w:cs="monospace"/>
      <w:sz w:val="20"/>
    </w:rPr>
  </w:style>
  <w:style w:type="character" w:styleId="35">
    <w:name w:val="HTML Cite"/>
    <w:basedOn w:val="26"/>
    <w:autoRedefine/>
    <w:qFormat/>
    <w:uiPriority w:val="0"/>
  </w:style>
  <w:style w:type="character" w:styleId="36">
    <w:name w:val="HTML Keyboard"/>
    <w:basedOn w:val="26"/>
    <w:autoRedefine/>
    <w:qFormat/>
    <w:uiPriority w:val="0"/>
    <w:rPr>
      <w:rFonts w:ascii="monospace" w:hAnsi="monospace" w:eastAsia="monospace" w:cs="monospace"/>
      <w:sz w:val="20"/>
    </w:rPr>
  </w:style>
  <w:style w:type="character" w:styleId="37">
    <w:name w:val="HTML Sample"/>
    <w:basedOn w:val="26"/>
    <w:autoRedefine/>
    <w:qFormat/>
    <w:uiPriority w:val="0"/>
    <w:rPr>
      <w:rFonts w:hint="default" w:ascii="monospace" w:hAnsi="monospace" w:eastAsia="monospace" w:cs="monospace"/>
    </w:rPr>
  </w:style>
  <w:style w:type="paragraph" w:customStyle="1" w:styleId="38">
    <w:name w:val="Default"/>
    <w:next w:val="15"/>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9">
    <w:name w:val="样式3"/>
    <w:basedOn w:val="11"/>
    <w:qFormat/>
    <w:uiPriority w:val="0"/>
    <w:pPr>
      <w:spacing w:line="240" w:lineRule="atLeast"/>
      <w:outlineLvl w:val="0"/>
    </w:pPr>
    <w:rPr>
      <w:rFonts w:ascii="Times New Roman" w:hAnsi="Calibri" w:cs="Droid Sans"/>
      <w:sz w:val="28"/>
    </w:rPr>
  </w:style>
  <w:style w:type="paragraph" w:customStyle="1" w:styleId="40">
    <w:name w:val="BodyText1I"/>
    <w:basedOn w:val="41"/>
    <w:autoRedefine/>
    <w:qFormat/>
    <w:uiPriority w:val="99"/>
    <w:pPr>
      <w:spacing w:after="120"/>
      <w:ind w:firstLine="420" w:firstLineChars="100"/>
    </w:pPr>
  </w:style>
  <w:style w:type="paragraph" w:customStyle="1" w:styleId="41">
    <w:name w:val="BodyText"/>
    <w:basedOn w:val="1"/>
    <w:next w:val="42"/>
    <w:autoRedefine/>
    <w:qFormat/>
    <w:uiPriority w:val="99"/>
    <w:pPr>
      <w:spacing w:after="120"/>
    </w:pPr>
  </w:style>
  <w:style w:type="paragraph" w:customStyle="1" w:styleId="42">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43">
    <w:name w:val="无间隔1"/>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44">
    <w:name w:val="NormalCharacter"/>
    <w:autoRedefine/>
    <w:semiHidden/>
    <w:qFormat/>
    <w:uiPriority w:val="0"/>
    <w:rPr>
      <w:kern w:val="2"/>
      <w:sz w:val="21"/>
      <w:lang w:val="en-US" w:eastAsia="zh-CN" w:bidi="ar-SA"/>
    </w:rPr>
  </w:style>
  <w:style w:type="paragraph" w:customStyle="1" w:styleId="45">
    <w:name w:val="D&amp;L"/>
    <w:basedOn w:val="15"/>
    <w:autoRedefine/>
    <w:qFormat/>
    <w:uiPriority w:val="0"/>
    <w:pPr>
      <w:pBdr>
        <w:bottom w:val="thinThickSmallGap" w:color="auto" w:sz="18" w:space="1"/>
      </w:pBdr>
      <w:adjustRightInd w:val="0"/>
      <w:snapToGrid/>
      <w:spacing w:line="240" w:lineRule="atLeast"/>
      <w:textAlignment w:val="baseline"/>
    </w:pPr>
    <w:rPr>
      <w:kern w:val="0"/>
      <w:sz w:val="24"/>
    </w:rPr>
  </w:style>
  <w:style w:type="paragraph" w:styleId="46">
    <w:name w:val="List Paragraph"/>
    <w:basedOn w:val="1"/>
    <w:autoRedefine/>
    <w:qFormat/>
    <w:uiPriority w:val="34"/>
    <w:pPr>
      <w:widowControl/>
      <w:spacing w:after="200" w:line="276" w:lineRule="auto"/>
      <w:ind w:left="720"/>
      <w:contextualSpacing/>
      <w:jc w:val="left"/>
    </w:pPr>
    <w:rPr>
      <w:rFonts w:ascii="Calibri" w:hAnsi="Calibri"/>
      <w:kern w:val="0"/>
      <w:sz w:val="22"/>
      <w:szCs w:val="22"/>
    </w:rPr>
  </w:style>
  <w:style w:type="paragraph" w:customStyle="1" w:styleId="47">
    <w:name w:val="正文1"/>
    <w:basedOn w:val="1"/>
    <w:autoRedefine/>
    <w:qFormat/>
    <w:uiPriority w:val="0"/>
    <w:pPr>
      <w:widowControl/>
      <w:topLinePunct/>
      <w:spacing w:before="156" w:beforeLines="50" w:after="156" w:afterLines="50" w:line="300" w:lineRule="auto"/>
      <w:ind w:left="420"/>
    </w:pPr>
    <w:rPr>
      <w:szCs w:val="24"/>
    </w:rPr>
  </w:style>
  <w:style w:type="paragraph" w:customStyle="1" w:styleId="48">
    <w:name w:val="Char Char Char Char Char Char Char1 Char"/>
    <w:basedOn w:val="1"/>
    <w:autoRedefine/>
    <w:qFormat/>
    <w:uiPriority w:val="0"/>
    <w:rPr>
      <w:rFonts w:ascii="Tahoma" w:hAnsi="Tahoma"/>
      <w:sz w:val="24"/>
    </w:rPr>
  </w:style>
  <w:style w:type="paragraph" w:customStyle="1" w:styleId="49">
    <w:name w:val="样式 标题 3 + (中文) 黑体 小四 非加粗 段前: 7.8 磅 段后: 0 磅 行距: 固定值 20 磅"/>
    <w:basedOn w:val="4"/>
    <w:autoRedefine/>
    <w:qFormat/>
    <w:uiPriority w:val="0"/>
    <w:pPr>
      <w:spacing w:before="0" w:after="0" w:line="400" w:lineRule="exact"/>
      <w:jc w:val="both"/>
    </w:pPr>
    <w:rPr>
      <w:rFonts w:ascii="Times New Roman" w:eastAsia="黑体"/>
      <w:b w:val="0"/>
      <w:bCs w:val="0"/>
      <w:sz w:val="24"/>
      <w:szCs w:val="20"/>
    </w:rPr>
  </w:style>
  <w:style w:type="paragraph" w:customStyle="1" w:styleId="50">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character" w:customStyle="1" w:styleId="51">
    <w:name w:val="标题 1 Char"/>
    <w:link w:val="2"/>
    <w:autoRedefine/>
    <w:qFormat/>
    <w:uiPriority w:val="0"/>
    <w:rPr>
      <w:b/>
      <w:bCs/>
      <w:kern w:val="44"/>
      <w:sz w:val="30"/>
      <w:szCs w:val="44"/>
    </w:rPr>
  </w:style>
  <w:style w:type="character" w:customStyle="1" w:styleId="52">
    <w:name w:val="nth-child(3)"/>
    <w:basedOn w:val="26"/>
    <w:autoRedefine/>
    <w:qFormat/>
    <w:uiPriority w:val="0"/>
  </w:style>
  <w:style w:type="character" w:customStyle="1" w:styleId="53">
    <w:name w:val="nth-child(2)"/>
    <w:basedOn w:val="26"/>
    <w:autoRedefine/>
    <w:qFormat/>
    <w:uiPriority w:val="0"/>
  </w:style>
  <w:style w:type="character" w:customStyle="1" w:styleId="54">
    <w:name w:val="nth-child(2)1"/>
    <w:basedOn w:val="26"/>
    <w:autoRedefine/>
    <w:qFormat/>
    <w:uiPriority w:val="0"/>
  </w:style>
  <w:style w:type="character" w:customStyle="1" w:styleId="55">
    <w:name w:val="font11"/>
    <w:basedOn w:val="26"/>
    <w:autoRedefine/>
    <w:qFormat/>
    <w:uiPriority w:val="0"/>
    <w:rPr>
      <w:rFonts w:hint="eastAsia" w:ascii="仿宋" w:hAnsi="仿宋" w:eastAsia="仿宋" w:cs="仿宋"/>
      <w:color w:val="000000"/>
      <w:sz w:val="22"/>
      <w:szCs w:val="22"/>
      <w:u w:val="none"/>
    </w:rPr>
  </w:style>
  <w:style w:type="character" w:customStyle="1" w:styleId="56">
    <w:name w:val="font21"/>
    <w:basedOn w:val="26"/>
    <w:autoRedefine/>
    <w:qFormat/>
    <w:uiPriority w:val="0"/>
    <w:rPr>
      <w:rFonts w:hint="eastAsia" w:ascii="仿宋" w:hAnsi="仿宋" w:eastAsia="仿宋" w:cs="仿宋"/>
      <w:color w:val="FF0000"/>
      <w:sz w:val="22"/>
      <w:szCs w:val="22"/>
      <w:u w:val="none"/>
    </w:rPr>
  </w:style>
  <w:style w:type="character" w:customStyle="1" w:styleId="57">
    <w:name w:val="font31"/>
    <w:basedOn w:val="26"/>
    <w:autoRedefine/>
    <w:qFormat/>
    <w:uiPriority w:val="0"/>
    <w:rPr>
      <w:rFonts w:hint="eastAsia" w:ascii="宋体" w:hAnsi="宋体" w:eastAsia="宋体" w:cs="宋体"/>
      <w:color w:val="000000"/>
      <w:sz w:val="22"/>
      <w:szCs w:val="22"/>
      <w:u w:val="none"/>
    </w:rPr>
  </w:style>
  <w:style w:type="character" w:customStyle="1" w:styleId="58">
    <w:name w:val="font41"/>
    <w:basedOn w:val="26"/>
    <w:autoRedefine/>
    <w:qFormat/>
    <w:uiPriority w:val="0"/>
    <w:rPr>
      <w:rFonts w:hint="eastAsia" w:ascii="仿宋" w:hAnsi="仿宋" w:eastAsia="仿宋" w:cs="仿宋"/>
      <w:color w:val="FF0000"/>
      <w:sz w:val="22"/>
      <w:szCs w:val="22"/>
      <w:u w:val="none"/>
    </w:rPr>
  </w:style>
  <w:style w:type="character" w:customStyle="1" w:styleId="59">
    <w:name w:val="font51"/>
    <w:basedOn w:val="26"/>
    <w:autoRedefine/>
    <w:qFormat/>
    <w:uiPriority w:val="0"/>
    <w:rPr>
      <w:rFonts w:hint="eastAsia" w:ascii="宋体" w:hAnsi="宋体" w:eastAsia="宋体" w:cs="宋体"/>
      <w:color w:val="000000"/>
      <w:sz w:val="22"/>
      <w:szCs w:val="22"/>
      <w:u w:val="none"/>
    </w:rPr>
  </w:style>
  <w:style w:type="character" w:customStyle="1" w:styleId="60">
    <w:name w:val="font61"/>
    <w:basedOn w:val="26"/>
    <w:autoRedefine/>
    <w:qFormat/>
    <w:uiPriority w:val="0"/>
    <w:rPr>
      <w:rFonts w:hint="eastAsia" w:ascii="仿宋" w:hAnsi="仿宋" w:eastAsia="仿宋" w:cs="仿宋"/>
      <w:color w:val="333333"/>
      <w:sz w:val="22"/>
      <w:szCs w:val="22"/>
      <w:u w:val="none"/>
    </w:rPr>
  </w:style>
  <w:style w:type="character" w:customStyle="1" w:styleId="61">
    <w:name w:val="font01"/>
    <w:basedOn w:val="26"/>
    <w:autoRedefine/>
    <w:qFormat/>
    <w:uiPriority w:val="0"/>
    <w:rPr>
      <w:rFonts w:hint="eastAsia" w:ascii="宋体" w:hAnsi="宋体" w:eastAsia="宋体" w:cs="宋体"/>
      <w:color w:val="000000"/>
      <w:sz w:val="22"/>
      <w:szCs w:val="22"/>
      <w:u w:val="none"/>
    </w:rPr>
  </w:style>
  <w:style w:type="character" w:customStyle="1" w:styleId="62">
    <w:name w:val="font91"/>
    <w:basedOn w:val="26"/>
    <w:autoRedefine/>
    <w:qFormat/>
    <w:uiPriority w:val="0"/>
    <w:rPr>
      <w:rFonts w:hint="eastAsia" w:ascii="宋体" w:hAnsi="宋体" w:eastAsia="宋体" w:cs="宋体"/>
      <w:color w:val="000000"/>
      <w:sz w:val="22"/>
      <w:szCs w:val="22"/>
      <w:u w:val="none"/>
    </w:rPr>
  </w:style>
  <w:style w:type="paragraph" w:customStyle="1" w:styleId="63">
    <w:name w:val="Table Text"/>
    <w:autoRedefine/>
    <w:qFormat/>
    <w:uiPriority w:val="0"/>
    <w:pPr>
      <w:snapToGrid w:val="0"/>
      <w:spacing w:before="80" w:after="80"/>
    </w:pPr>
    <w:rPr>
      <w:rFonts w:ascii="Arial" w:hAnsi="Arial" w:eastAsia="宋体" w:cs="Times New Roman"/>
      <w:kern w:val="2"/>
      <w:sz w:val="18"/>
      <w:szCs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55</Pages>
  <Words>27583</Words>
  <Characters>29228</Characters>
  <Lines>0</Lines>
  <Paragraphs>0</Paragraphs>
  <TotalTime>15</TotalTime>
  <ScaleCrop>false</ScaleCrop>
  <LinksUpToDate>false</LinksUpToDate>
  <CharactersWithSpaces>30361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2023-12-28T07:40:00Z</dcterms:created>
  <dc:creator>阳光微凉</dc:creator>
  <cp:lastModifiedBy>user</cp:lastModifiedBy>
  <dcterms:modified xsi:type="dcterms:W3CDTF">2026-08-26T02:55:57Z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79AFE33B84DB4191A0BCF132402C9316_13</vt:lpwstr>
  </property>
  <property fmtid="{D5CDD505-2E9C-101B-9397-08002B2CF9AE}" pid="4" name="KSOTemplateDocerSaveRecord">
    <vt:lpwstr>eyJoZGlkIjoiMGI2ZDFmZmVjNjhiYmI3Nzg5YTgxNzM4YzkzMWZjMzEiLCJ1c2VySWQiOiIxMDQyNjE2NTI1In0=</vt:lpwstr>
  </property>
</Properties>
</file>