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627EE">
      <w:pPr>
        <w:jc w:val="center"/>
        <w:rPr>
          <w:rFonts w:hint="eastAsia" w:ascii="宋体" w:hAnsi="宋体" w:eastAsia="宋体" w:cs="宋体"/>
          <w:b/>
          <w:bCs/>
          <w:color w:val="000000" w:themeColor="text1"/>
          <w:kern w:val="0"/>
          <w:sz w:val="32"/>
          <w:szCs w:val="32"/>
          <w:highlight w:val="none"/>
          <w:lang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lang w:eastAsia="zh-CN"/>
          <w14:textFill>
            <w14:solidFill>
              <w14:schemeClr w14:val="tx1"/>
            </w14:solidFill>
          </w14:textFill>
        </w:rPr>
        <w:t>汝南县城市管理局汝南县城市运行管理服务平台系统建设项目无效文件情况</w:t>
      </w:r>
    </w:p>
    <w:tbl>
      <w:tblPr>
        <w:tblStyle w:val="8"/>
        <w:tblW w:w="5000" w:type="pct"/>
        <w:tblInd w:w="7" w:type="dxa"/>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Layout w:type="autofit"/>
        <w:tblCellMar>
          <w:top w:w="0" w:type="dxa"/>
          <w:left w:w="0" w:type="dxa"/>
          <w:bottom w:w="0" w:type="dxa"/>
          <w:right w:w="0" w:type="dxa"/>
        </w:tblCellMar>
      </w:tblPr>
      <w:tblGrid>
        <w:gridCol w:w="756"/>
        <w:gridCol w:w="945"/>
        <w:gridCol w:w="2081"/>
        <w:gridCol w:w="3783"/>
        <w:gridCol w:w="757"/>
      </w:tblGrid>
      <w:tr w14:paraId="06B09AC0">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CellMar>
            <w:top w:w="0" w:type="dxa"/>
            <w:left w:w="0" w:type="dxa"/>
            <w:bottom w:w="0" w:type="dxa"/>
            <w:right w:w="0" w:type="dxa"/>
          </w:tblCellMar>
        </w:tblPrEx>
        <w:trPr>
          <w:trHeight w:val="540" w:hRule="atLeast"/>
        </w:trPr>
        <w:tc>
          <w:tcPr>
            <w:tcW w:w="400" w:type="pct"/>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14:paraId="2A80EB9E">
            <w:pPr>
              <w:widowControl/>
              <w:jc w:val="center"/>
              <w:rPr>
                <w:rFonts w:ascii="宋体" w:hAnsi="宋体" w:cs="宋体"/>
                <w:b/>
                <w:bCs/>
                <w:kern w:val="0"/>
                <w:szCs w:val="21"/>
              </w:rPr>
            </w:pPr>
            <w:r>
              <w:rPr>
                <w:rFonts w:ascii="宋体" w:hAnsi="宋体" w:cs="宋体"/>
                <w:b/>
                <w:bCs/>
                <w:kern w:val="0"/>
                <w:szCs w:val="21"/>
              </w:rPr>
              <w:t>序号</w:t>
            </w:r>
          </w:p>
        </w:tc>
        <w:tc>
          <w:tcPr>
            <w:tcW w:w="500" w:type="pct"/>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14:paraId="2D6CCC29">
            <w:pPr>
              <w:widowControl/>
              <w:jc w:val="center"/>
              <w:rPr>
                <w:rFonts w:ascii="宋体" w:hAnsi="宋体" w:cs="宋体"/>
                <w:b/>
                <w:bCs/>
                <w:kern w:val="0"/>
                <w:szCs w:val="21"/>
              </w:rPr>
            </w:pPr>
            <w:r>
              <w:rPr>
                <w:rFonts w:ascii="宋体" w:hAnsi="宋体" w:cs="宋体"/>
                <w:b/>
                <w:bCs/>
                <w:kern w:val="0"/>
                <w:szCs w:val="21"/>
              </w:rPr>
              <w:t>投标单位名称</w:t>
            </w:r>
          </w:p>
        </w:tc>
        <w:tc>
          <w:tcPr>
            <w:tcW w:w="1100" w:type="pct"/>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14:paraId="49A0EFAA">
            <w:pPr>
              <w:widowControl/>
              <w:jc w:val="center"/>
              <w:rPr>
                <w:rFonts w:ascii="宋体" w:hAnsi="宋体" w:cs="宋体"/>
                <w:b/>
                <w:bCs/>
                <w:kern w:val="0"/>
                <w:szCs w:val="21"/>
              </w:rPr>
            </w:pPr>
            <w:r>
              <w:rPr>
                <w:rFonts w:ascii="宋体" w:hAnsi="宋体" w:cs="宋体"/>
                <w:b/>
                <w:bCs/>
                <w:kern w:val="0"/>
                <w:szCs w:val="21"/>
              </w:rPr>
              <w:t>废标节点</w:t>
            </w:r>
          </w:p>
        </w:tc>
        <w:tc>
          <w:tcPr>
            <w:tcW w:w="2000" w:type="pct"/>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14:paraId="4FA980FA">
            <w:pPr>
              <w:widowControl/>
              <w:jc w:val="center"/>
              <w:rPr>
                <w:rFonts w:ascii="宋体" w:hAnsi="宋体" w:cs="宋体"/>
                <w:b/>
                <w:bCs/>
                <w:kern w:val="0"/>
                <w:szCs w:val="21"/>
              </w:rPr>
            </w:pPr>
            <w:r>
              <w:rPr>
                <w:rFonts w:ascii="宋体" w:hAnsi="宋体" w:cs="宋体"/>
                <w:b/>
                <w:bCs/>
                <w:kern w:val="0"/>
                <w:szCs w:val="21"/>
              </w:rPr>
              <w:t>废标原因</w:t>
            </w:r>
          </w:p>
        </w:tc>
        <w:tc>
          <w:tcPr>
            <w:tcW w:w="400" w:type="pct"/>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14:paraId="004FA101">
            <w:pPr>
              <w:widowControl/>
              <w:jc w:val="center"/>
              <w:rPr>
                <w:rFonts w:ascii="宋体" w:hAnsi="宋体" w:cs="宋体"/>
                <w:b/>
                <w:bCs/>
                <w:kern w:val="0"/>
                <w:szCs w:val="21"/>
              </w:rPr>
            </w:pPr>
            <w:r>
              <w:rPr>
                <w:rFonts w:ascii="宋体" w:hAnsi="宋体" w:cs="宋体"/>
                <w:b/>
                <w:bCs/>
                <w:kern w:val="0"/>
                <w:szCs w:val="21"/>
              </w:rPr>
              <w:t>备注</w:t>
            </w:r>
          </w:p>
        </w:tc>
      </w:tr>
      <w:tr w14:paraId="75399381">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CellMar>
            <w:top w:w="0" w:type="dxa"/>
            <w:left w:w="0" w:type="dxa"/>
            <w:bottom w:w="0" w:type="dxa"/>
            <w:right w:w="0" w:type="dxa"/>
          </w:tblCellMar>
        </w:tblPrEx>
        <w:trPr>
          <w:trHeight w:val="540" w:hRule="atLeast"/>
        </w:trPr>
        <w:tc>
          <w:tcPr>
            <w:tcW w:w="400" w:type="pct"/>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14:paraId="5665686D">
            <w:pPr>
              <w:widowControl/>
              <w:jc w:val="center"/>
              <w:rPr>
                <w:rFonts w:ascii="宋体" w:hAnsi="宋体" w:cs="宋体"/>
                <w:kern w:val="0"/>
                <w:szCs w:val="21"/>
              </w:rPr>
            </w:pPr>
            <w:r>
              <w:rPr>
                <w:rFonts w:ascii="宋体" w:hAnsi="宋体" w:cs="宋体"/>
                <w:kern w:val="0"/>
                <w:szCs w:val="21"/>
              </w:rPr>
              <w:t>1</w:t>
            </w:r>
          </w:p>
        </w:tc>
        <w:tc>
          <w:tcPr>
            <w:tcW w:w="500" w:type="pct"/>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14:paraId="74E99D00">
            <w:pPr>
              <w:widowControl/>
              <w:jc w:val="center"/>
              <w:rPr>
                <w:rFonts w:ascii="宋体" w:hAnsi="宋体" w:cs="宋体"/>
                <w:kern w:val="0"/>
                <w:szCs w:val="21"/>
              </w:rPr>
            </w:pPr>
            <w:r>
              <w:rPr>
                <w:rFonts w:ascii="宋体" w:hAnsi="宋体" w:cs="宋体"/>
                <w:kern w:val="0"/>
                <w:szCs w:val="21"/>
              </w:rPr>
              <w:t>中移系统集成有限公司</w:t>
            </w:r>
          </w:p>
        </w:tc>
        <w:tc>
          <w:tcPr>
            <w:tcW w:w="1100" w:type="pct"/>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14:paraId="1784E92F">
            <w:pPr>
              <w:widowControl/>
              <w:jc w:val="center"/>
              <w:rPr>
                <w:rFonts w:ascii="宋体" w:hAnsi="宋体" w:cs="宋体"/>
                <w:kern w:val="0"/>
                <w:szCs w:val="21"/>
              </w:rPr>
            </w:pPr>
            <w:r>
              <w:rPr>
                <w:rFonts w:ascii="宋体" w:hAnsi="宋体" w:cs="宋体"/>
                <w:kern w:val="0"/>
                <w:szCs w:val="21"/>
              </w:rPr>
              <w:t>资格评审</w:t>
            </w:r>
          </w:p>
        </w:tc>
        <w:tc>
          <w:tcPr>
            <w:tcW w:w="2000" w:type="pct"/>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14:paraId="68D406DA">
            <w:pPr>
              <w:widowControl/>
              <w:jc w:val="center"/>
              <w:rPr>
                <w:rFonts w:ascii="宋体" w:hAnsi="宋体" w:cs="宋体"/>
                <w:kern w:val="0"/>
                <w:szCs w:val="21"/>
              </w:rPr>
            </w:pPr>
            <w:r>
              <w:rPr>
                <w:rFonts w:ascii="宋体" w:hAnsi="宋体" w:cs="宋体"/>
                <w:kern w:val="0"/>
                <w:szCs w:val="21"/>
              </w:rPr>
              <w:t>该投标企业资格审查文件未按要求上传到资格审查及评审材料，根据招标文件26.4.1项规定，该投标为无效投标。</w:t>
            </w:r>
          </w:p>
        </w:tc>
        <w:tc>
          <w:tcPr>
            <w:tcW w:w="400" w:type="pct"/>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14:paraId="6739260E">
            <w:pPr>
              <w:widowControl/>
              <w:jc w:val="center"/>
              <w:rPr>
                <w:rFonts w:ascii="宋体" w:hAnsi="宋体" w:cs="宋体"/>
                <w:kern w:val="0"/>
                <w:szCs w:val="21"/>
              </w:rPr>
            </w:pPr>
          </w:p>
        </w:tc>
      </w:tr>
    </w:tbl>
    <w:p w14:paraId="2A54A7F2">
      <w:pPr>
        <w:rPr>
          <w:rFonts w:hint="eastAsia" w:eastAsia="宋体"/>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ODdiZjdmN2NlMTgxOTA0MTViMTFkOTc1MjczNTAifQ=="/>
  </w:docVars>
  <w:rsids>
    <w:rsidRoot w:val="00172A27"/>
    <w:rsid w:val="0FFD6112"/>
    <w:rsid w:val="1EBB3FB6"/>
    <w:rsid w:val="210672C5"/>
    <w:rsid w:val="2AB57090"/>
    <w:rsid w:val="607A1F60"/>
    <w:rsid w:val="61037307"/>
    <w:rsid w:val="69CA29FE"/>
    <w:rsid w:val="6BA40E1C"/>
    <w:rsid w:val="6EFF2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3"/>
    <w:next w:val="4"/>
    <w:qFormat/>
    <w:uiPriority w:val="0"/>
    <w:pPr>
      <w:adjustRightInd w:val="0"/>
      <w:spacing w:after="60" w:line="360" w:lineRule="atLeast"/>
      <w:ind w:left="72" w:leftChars="30" w:right="30" w:rightChars="30"/>
      <w:jc w:val="center"/>
      <w:textAlignment w:val="baseline"/>
    </w:pPr>
  </w:style>
  <w:style w:type="paragraph" w:customStyle="1" w:styleId="3">
    <w:name w:val="正文格式"/>
    <w:basedOn w:val="1"/>
    <w:qFormat/>
    <w:uiPriority w:val="0"/>
    <w:pPr>
      <w:widowControl/>
      <w:adjustRightInd w:val="0"/>
      <w:snapToGrid w:val="0"/>
      <w:spacing w:before="25" w:beforeLines="25"/>
      <w:ind w:firstLine="482"/>
      <w:textAlignment w:val="baseline"/>
    </w:pPr>
    <w:rPr>
      <w:rFonts w:ascii="Arial" w:hAnsi="Arial" w:eastAsia="新宋体"/>
      <w:kern w:val="0"/>
      <w:szCs w:val="20"/>
    </w:rPr>
  </w:style>
  <w:style w:type="paragraph" w:styleId="4">
    <w:name w:val="Body Text 2"/>
    <w:basedOn w:val="1"/>
    <w:next w:val="2"/>
    <w:qFormat/>
    <w:uiPriority w:val="0"/>
    <w:pPr>
      <w:suppressAutoHyphens/>
      <w:jc w:val="left"/>
    </w:pPr>
    <w:rPr>
      <w:color w:val="000000"/>
      <w:kern w:val="1"/>
      <w:sz w:val="28"/>
      <w:szCs w:val="20"/>
    </w:rPr>
  </w:style>
  <w:style w:type="paragraph" w:styleId="5">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2"/>
    <w:basedOn w:val="1"/>
    <w:autoRedefine/>
    <w:unhideWhenUsed/>
    <w:qFormat/>
    <w:uiPriority w:val="99"/>
    <w:pPr>
      <w:spacing w:after="120" w:line="480" w:lineRule="auto"/>
      <w:ind w:left="420" w:leftChars="200"/>
    </w:pPr>
  </w:style>
  <w:style w:type="paragraph" w:styleId="7">
    <w:name w:val="Body Text First Indent"/>
    <w:basedOn w:val="2"/>
    <w:qFormat/>
    <w:uiPriority w:val="0"/>
    <w:pPr>
      <w:spacing w:after="120" w:afterLines="0"/>
      <w:ind w:firstLine="420" w:firstLineChars="100"/>
      <w:jc w:val="both"/>
    </w:pPr>
  </w:style>
  <w:style w:type="character" w:styleId="10">
    <w:name w:val="Strong"/>
    <w:basedOn w:val="9"/>
    <w:autoRedefine/>
    <w:qFormat/>
    <w:uiPriority w:val="0"/>
    <w:rPr>
      <w:b/>
      <w:bCs/>
    </w:rPr>
  </w:style>
  <w:style w:type="character" w:styleId="11">
    <w:name w:val="FollowedHyperlink"/>
    <w:basedOn w:val="9"/>
    <w:autoRedefine/>
    <w:qFormat/>
    <w:uiPriority w:val="0"/>
    <w:rPr>
      <w:color w:val="800080"/>
      <w:u w:val="none"/>
    </w:rPr>
  </w:style>
  <w:style w:type="character" w:styleId="12">
    <w:name w:val="Emphasis"/>
    <w:basedOn w:val="9"/>
    <w:autoRedefine/>
    <w:qFormat/>
    <w:uiPriority w:val="0"/>
    <w:rPr>
      <w:b/>
      <w:bCs/>
    </w:rPr>
  </w:style>
  <w:style w:type="character" w:styleId="13">
    <w:name w:val="HTML Definition"/>
    <w:basedOn w:val="9"/>
    <w:autoRedefine/>
    <w:qFormat/>
    <w:uiPriority w:val="0"/>
  </w:style>
  <w:style w:type="character" w:styleId="14">
    <w:name w:val="HTML Typewriter"/>
    <w:basedOn w:val="9"/>
    <w:autoRedefine/>
    <w:qFormat/>
    <w:uiPriority w:val="0"/>
    <w:rPr>
      <w:rFonts w:ascii="monospace" w:hAnsi="monospace" w:eastAsia="monospace" w:cs="monospace"/>
      <w:sz w:val="20"/>
    </w:rPr>
  </w:style>
  <w:style w:type="character" w:styleId="15">
    <w:name w:val="HTML Acronym"/>
    <w:basedOn w:val="9"/>
    <w:autoRedefine/>
    <w:qFormat/>
    <w:uiPriority w:val="0"/>
  </w:style>
  <w:style w:type="character" w:styleId="16">
    <w:name w:val="HTML Variable"/>
    <w:basedOn w:val="9"/>
    <w:autoRedefine/>
    <w:qFormat/>
    <w:uiPriority w:val="0"/>
  </w:style>
  <w:style w:type="character" w:styleId="17">
    <w:name w:val="Hyperlink"/>
    <w:basedOn w:val="9"/>
    <w:autoRedefine/>
    <w:qFormat/>
    <w:uiPriority w:val="0"/>
    <w:rPr>
      <w:color w:val="0000FF"/>
      <w:u w:val="none"/>
    </w:rPr>
  </w:style>
  <w:style w:type="character" w:styleId="18">
    <w:name w:val="HTML Code"/>
    <w:basedOn w:val="9"/>
    <w:autoRedefine/>
    <w:qFormat/>
    <w:uiPriority w:val="0"/>
    <w:rPr>
      <w:rFonts w:hint="default" w:ascii="monospace" w:hAnsi="monospace" w:eastAsia="monospace" w:cs="monospace"/>
      <w:sz w:val="20"/>
    </w:rPr>
  </w:style>
  <w:style w:type="character" w:styleId="19">
    <w:name w:val="HTML Cite"/>
    <w:basedOn w:val="9"/>
    <w:autoRedefine/>
    <w:qFormat/>
    <w:uiPriority w:val="0"/>
  </w:style>
  <w:style w:type="character" w:styleId="20">
    <w:name w:val="HTML Keyboard"/>
    <w:basedOn w:val="9"/>
    <w:autoRedefine/>
    <w:qFormat/>
    <w:uiPriority w:val="0"/>
    <w:rPr>
      <w:rFonts w:hint="default" w:ascii="monospace" w:hAnsi="monospace" w:eastAsia="monospace" w:cs="monospace"/>
      <w:sz w:val="20"/>
    </w:rPr>
  </w:style>
  <w:style w:type="character" w:styleId="21">
    <w:name w:val="HTML Sample"/>
    <w:basedOn w:val="9"/>
    <w:autoRedefine/>
    <w:qFormat/>
    <w:uiPriority w:val="0"/>
    <w:rPr>
      <w:rFonts w:hint="default" w:ascii="monospace" w:hAnsi="monospace" w:eastAsia="monospace" w:cs="monospace"/>
    </w:rPr>
  </w:style>
  <w:style w:type="paragraph" w:customStyle="1" w:styleId="22">
    <w:name w:val="Default"/>
    <w:autoRedefine/>
    <w:qFormat/>
    <w:uiPriority w:val="99"/>
    <w:pPr>
      <w:widowControl w:val="0"/>
    </w:pPr>
    <w:rPr>
      <w:rFonts w:ascii="宋体" w:hAnsi="宋体" w:eastAsia="宋体" w:cs="宋体"/>
      <w:color w:val="000000"/>
      <w:sz w:val="24"/>
      <w:szCs w:val="24"/>
      <w:lang w:val="en-US" w:eastAsia="zh-CN" w:bidi="ar-SA"/>
    </w:rPr>
  </w:style>
  <w:style w:type="paragraph" w:styleId="23">
    <w:name w:val="No Spacing"/>
    <w:basedOn w:val="1"/>
    <w:next w:val="7"/>
    <w:qFormat/>
    <w:uiPriority w:val="0"/>
    <w:pPr>
      <w:widowControl w:val="0"/>
      <w:jc w:val="both"/>
    </w:pPr>
    <w:rPr>
      <w:rFonts w:ascii="Calibri" w:hAnsi="Calibr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360</Words>
  <Characters>369</Characters>
  <Lines>0</Lines>
  <Paragraphs>0</Paragraphs>
  <TotalTime>0</TotalTime>
  <ScaleCrop>false</ScaleCrop>
  <LinksUpToDate>false</LinksUpToDate>
  <CharactersWithSpaces>369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2021-03-15T00:06:00Z</dcterms:created>
  <dc:creator>李林波</dc:creator>
  <cp:lastModifiedBy>Administrator</cp:lastModifiedBy>
  <dcterms:modified xsi:type="dcterms:W3CDTF">2026-04-03T06:09:35Z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27159F7D0C204D7D90DC394FA0925F04</vt:lpwstr>
  </property>
  <property fmtid="{D5CDD505-2E9C-101B-9397-08002B2CF9AE}" pid="4" name="KSOTemplateDocerSaveRecord">
    <vt:lpwstr>eyJoZGlkIjoiNmJhZWE3OTIzZDc5ODhlNDc4MmEwMzlkMzU3MDE0ZDMiLCJ1c2VySWQiOiI1MjM0NzY2MzkifQ==</vt:lpwstr>
  </property>
</Properties>
</file>