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正阳县寒冻镇人民政府2026年中央及省级促弱转壮防灾减灾资金项目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正阳竞谈-2026-31</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正阳县寒冻镇人民政府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河南豪泓工程咨询有限公司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12"/>
            <w:bookmarkStart w:id="1" w:name="_Toc28359089"/>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正阳县寒冻镇人民政府2026年中央及省级促弱转壮防灾减灾资金项目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28</w:t>
            </w:r>
            <w:r>
              <w:rPr>
                <w:rFonts w:hint="eastAsia" w:ascii="宋体" w:hAnsi="宋体" w:eastAsia="宋体" w:cs="宋体"/>
                <w:color w:val="auto"/>
                <w:sz w:val="24"/>
              </w:rPr>
              <w:t>日</w:t>
            </w:r>
            <w:r>
              <w:rPr>
                <w:rFonts w:hint="eastAsia" w:ascii="宋体" w:hAnsi="宋体" w:cs="宋体"/>
                <w:color w:val="auto"/>
                <w:sz w:val="24"/>
                <w:lang w:val="en-US" w:eastAsia="zh-CN"/>
              </w:rPr>
              <w:t>14</w:t>
            </w:r>
            <w:r>
              <w:rPr>
                <w:rFonts w:hint="eastAsia" w:ascii="宋体" w:hAnsi="宋体" w:eastAsia="宋体" w:cs="宋体"/>
                <w:color w:val="auto"/>
                <w:sz w:val="24"/>
              </w:rPr>
              <w:t>点</w:t>
            </w:r>
            <w:r>
              <w:rPr>
                <w:rFonts w:hint="eastAsia" w:ascii="宋体" w:hAnsi="宋体" w:cs="宋体"/>
                <w:color w:val="auto"/>
                <w:sz w:val="24"/>
                <w:lang w:val="en-US" w:eastAsia="zh-CN"/>
              </w:rPr>
              <w:t>3</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项目编号：正阳竞谈-2026-31；</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 xml:space="preserve">正阳县寒冻镇人民政府2026年中央及省级促弱转壮防灾减灾资金项目 </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590000.00元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590000.00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正阳县寒冻镇人民政府2026年中央及省级促弱转壮防灾减灾资金项目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590000.00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35393799"/>
      <w:bookmarkStart w:id="5" w:name="_Toc28359090"/>
      <w:bookmarkStart w:id="6" w:name="_Toc35393630"/>
      <w:bookmarkStart w:id="7" w:name="_Toc28359013"/>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23</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bookmarkStart w:id="10" w:name="_GoBack"/>
      <w:bookmarkEnd w:id="10"/>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正阳县寒冻镇人民政府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寒冻镇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李女士</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15236963021</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河南豪泓工程咨询有限公司</w:t>
      </w:r>
    </w:p>
    <w:p w14:paraId="570B0C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地址：河南省驻马店市驿城区交通路与富强路交叉口向西100米路东驻马店市忠建房地产开发有限公司4号楼1层127</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杜科</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联系方式：03962696216 </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A700D08">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李女士</w:t>
      </w:r>
    </w:p>
    <w:p w14:paraId="3A90194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式：</w:t>
      </w:r>
      <w:r>
        <w:rPr>
          <w:rFonts w:hint="eastAsia" w:ascii="宋体" w:hAnsi="宋体" w:cs="宋体"/>
          <w:color w:val="auto"/>
          <w:sz w:val="24"/>
          <w:szCs w:val="24"/>
          <w:highlight w:val="none"/>
          <w:lang w:val="en-US" w:eastAsia="zh-CN"/>
        </w:rPr>
        <w:t>15236963021</w:t>
      </w:r>
    </w:p>
    <w:p w14:paraId="5604513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2956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正阳县寒冻镇人民政府2026年中央及省级促弱转壮防灾减灾资金项目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59</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正阳县寒冻镇人民政府2026年中央及省级促弱转壮防灾减灾资金项目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正阳县寒冻镇人民政府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正阳竞谈-2026-31</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shd w:val="clear" w:color="auto" w:fill="FFFFFF"/>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shd w:val="clear" w:color="auto" w:fill="FFFFFF"/>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shd w:val="clear" w:color="auto" w:fill="FFFFFF"/>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1027EAE"/>
    <w:rsid w:val="116F1A29"/>
    <w:rsid w:val="12D71320"/>
    <w:rsid w:val="13164C0C"/>
    <w:rsid w:val="134F1AEE"/>
    <w:rsid w:val="1379253A"/>
    <w:rsid w:val="14F6659C"/>
    <w:rsid w:val="16227A29"/>
    <w:rsid w:val="18DF4C2D"/>
    <w:rsid w:val="19000B10"/>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324A06"/>
    <w:rsid w:val="3A940DFB"/>
    <w:rsid w:val="3C0F4B52"/>
    <w:rsid w:val="3C2D3E6D"/>
    <w:rsid w:val="3C441695"/>
    <w:rsid w:val="3CBE19AA"/>
    <w:rsid w:val="3D2407C2"/>
    <w:rsid w:val="3D63227C"/>
    <w:rsid w:val="3DBD2A65"/>
    <w:rsid w:val="40B05AAD"/>
    <w:rsid w:val="40EC78CE"/>
    <w:rsid w:val="414915C6"/>
    <w:rsid w:val="415A3663"/>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177773A"/>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46990"/>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5B22AA"/>
    <w:rsid w:val="72AF0483"/>
    <w:rsid w:val="7436244E"/>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20515</Words>
  <Characters>22433</Characters>
  <Lines>252</Lines>
  <Paragraphs>71</Paragraphs>
  <TotalTime>128</TotalTime>
  <ScaleCrop>false</ScaleCrop>
  <LinksUpToDate>false</LinksUpToDate>
  <CharactersWithSpaces>22792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Administrator</cp:lastModifiedBy>
  <cp:lastPrinted>2023-01-09T08:15:00Z</cp:lastPrinted>
  <dcterms:modified xsi:type="dcterms:W3CDTF">2026-04-22T09:01:08Z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A5A9B1483447493CB485057AE846F1B7_13</vt:lpwstr>
  </property>
  <property fmtid="{D5CDD505-2E9C-101B-9397-08002B2CF9AE}" pid="4" name="KSOTemplateDocerSaveRecord">
    <vt:lpwstr>eyJoZGlkIjoiMDAwMWZkMTVmYTYzNzk2ZTk2OTUxMzNmMDBiMTRmMWYiLCJ1c2VySWQiOiI0NTY4MjIxNzIifQ==</vt:lpwstr>
  </property>
</Properties>
</file>