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1BBB3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6" w:afterAutospacing="0" w:line="480" w:lineRule="exact"/>
        <w:ind w:left="0" w:right="0"/>
        <w:jc w:val="center"/>
        <w:textAlignment w:val="auto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shd w:val="clear" w:fill="FFFFFF"/>
          <w:lang w:eastAsia="zh-CN"/>
        </w:rPr>
        <w:t>确山县水系连通及水美乡村建设县项目(二期)监理</w:t>
      </w:r>
    </w:p>
    <w:p w14:paraId="322BD75D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6" w:afterAutospacing="0" w:line="480" w:lineRule="exact"/>
        <w:ind w:left="0" w:right="0"/>
        <w:jc w:val="center"/>
        <w:textAlignment w:val="auto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shd w:val="clear" w:fill="FFFFFF"/>
          <w:lang w:eastAsia="zh-CN"/>
        </w:rPr>
        <w:t>和质量检测服务中标结果公示</w:t>
      </w:r>
    </w:p>
    <w:p w14:paraId="416924B1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70" w:lineRule="exact"/>
        <w:ind w:left="0" w:right="0" w:firstLine="412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  <w:lang w:eastAsia="zh-CN"/>
        </w:rPr>
        <w:t>河南省盛鸿工程管理咨询有限公司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</w:rPr>
        <w:t>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  <w:lang w:val="en-US" w:eastAsia="zh-CN"/>
        </w:rPr>
        <w:t>确山县水利局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</w:rPr>
        <w:t>的委托，就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  <w:lang w:eastAsia="zh-CN"/>
        </w:rPr>
        <w:t>确山县水系连通及水美乡村建设县项目(二期)监理和质量检测服务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</w:rPr>
        <w:t>进行公开招标，于2026年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</w:rPr>
        <w:t>日在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  <w:lang w:val="en-US" w:eastAsia="zh-CN"/>
        </w:rPr>
        <w:t>确山县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</w:rPr>
        <w:t>公共资源交易中心依法进行开标和评标活动。中标候选人公示期满后，定标委员会按照定标原则、方法和程序，于2026年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</w:rPr>
        <w:t>日在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  <w:lang w:val="en-US" w:eastAsia="zh-CN"/>
        </w:rPr>
        <w:t>确山县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</w:rPr>
        <w:t>公共资源交易中心定标室通过核查随机法进行定标。现将本次中标人公示如下：</w:t>
      </w:r>
    </w:p>
    <w:p w14:paraId="2D246E7C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70" w:lineRule="exact"/>
        <w:ind w:left="0" w:right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shd w:val="clear" w:fill="FFFFFF"/>
        </w:rPr>
        <w:t>一、项目名称及招标控制价</w:t>
      </w:r>
    </w:p>
    <w:p w14:paraId="3E14713F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70" w:lineRule="exact"/>
        <w:ind w:left="0" w:right="0" w:firstLine="412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</w:rPr>
        <w:t>项目名称：天中广场配套工程和人防教育展馆项目</w:t>
      </w:r>
    </w:p>
    <w:p w14:paraId="0D65D271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70" w:lineRule="exact"/>
        <w:ind w:left="0" w:right="0" w:firstLine="412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</w:rPr>
        <w:t>项目编号：确政采招-2026-04-9</w:t>
      </w:r>
    </w:p>
    <w:p w14:paraId="60974D99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70" w:lineRule="exact"/>
        <w:ind w:left="0" w:right="0" w:firstLine="412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</w:rPr>
        <w:t>招标控制价：第一标段：最终服务价格为县投资评审中心审定工程金额的0.5%；第二标段：最终服务价格为县投资评审中心审定工程金额的0.5%；</w:t>
      </w:r>
    </w:p>
    <w:p w14:paraId="55E350DC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70" w:lineRule="exact"/>
        <w:ind w:left="0" w:right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shd w:val="clear" w:fill="FFFFFF"/>
        </w:rPr>
        <w:t>二、开评标信息</w:t>
      </w:r>
    </w:p>
    <w:p w14:paraId="641F45C7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70" w:lineRule="exact"/>
        <w:ind w:left="0" w:right="0" w:firstLine="42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</w:rPr>
        <w:t>开标时间：2026年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</w:rPr>
        <w:t>日09:00时</w:t>
      </w:r>
    </w:p>
    <w:p w14:paraId="2B850F92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70" w:lineRule="exact"/>
        <w:ind w:left="0" w:right="0" w:firstLine="42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</w:rPr>
        <w:t>开标地点：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  <w:lang w:val="en-US" w:eastAsia="zh-CN"/>
        </w:rPr>
        <w:t>确山县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</w:rPr>
        <w:t>公共资源交易中心不见面开标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</w:rPr>
        <w:t>室</w:t>
      </w:r>
    </w:p>
    <w:p w14:paraId="1D13261A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70" w:lineRule="exact"/>
        <w:ind w:left="0" w:right="0" w:firstLine="42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</w:rPr>
        <w:t>评标地点：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  <w:lang w:val="en-US" w:eastAsia="zh-CN"/>
        </w:rPr>
        <w:t>确山县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</w:rPr>
        <w:t>公共资源交易中心评标室</w:t>
      </w:r>
    </w:p>
    <w:p w14:paraId="197AFCE7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70" w:lineRule="exact"/>
        <w:ind w:left="0" w:right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shd w:val="clear" w:fill="FFFFFF"/>
        </w:rPr>
        <w:t>三、定标信息</w:t>
      </w:r>
    </w:p>
    <w:p w14:paraId="295CEAFF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70" w:lineRule="exact"/>
        <w:ind w:left="0" w:right="0" w:firstLine="42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</w:rPr>
        <w:t>定标时间：2026年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</w:rPr>
        <w:t>日15:30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  <w:lang w:val="en-US" w:eastAsia="zh-CN"/>
        </w:rPr>
        <w:t>分</w:t>
      </w:r>
    </w:p>
    <w:p w14:paraId="320B1A69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70" w:lineRule="exact"/>
        <w:ind w:left="0" w:right="0" w:firstLine="42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</w:rPr>
        <w:t>定标地点：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  <w:lang w:val="en-US" w:eastAsia="zh-CN"/>
        </w:rPr>
        <w:t>确山县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</w:rPr>
        <w:t>公共资源交易中心定标室</w:t>
      </w:r>
    </w:p>
    <w:p w14:paraId="2167296B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70" w:lineRule="exact"/>
        <w:ind w:left="0" w:right="0" w:firstLine="42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</w:rPr>
        <w:t>定标方法：核查随机法</w:t>
      </w:r>
    </w:p>
    <w:p w14:paraId="139F7A8A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70" w:lineRule="exact"/>
        <w:ind w:left="0" w:right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shd w:val="clear" w:fill="FFFFFF"/>
        </w:rPr>
        <w:t>四、中标候选人核查信息</w:t>
      </w:r>
    </w:p>
    <w:p w14:paraId="6D0C5CF6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7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fill="FFFFFF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fill="FFFFFF"/>
        </w:rPr>
        <w:t>定标委员会将对中标候选人进行定标核查。核查内容包括：</w:t>
      </w:r>
    </w:p>
    <w:p w14:paraId="7572FB06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7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fill="FFFFFF"/>
          <w:lang w:val="en-US" w:eastAsia="zh-CN"/>
        </w:rPr>
        <w:t>第一标段：</w:t>
      </w:r>
    </w:p>
    <w:p w14:paraId="4C339DA7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7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fill="FFFFFF"/>
        </w:rPr>
        <w:t>（1）①企业信用信息：被列入失信被执行人、 重大税收违法失信主体、政府采购严重违法失信行为记录名单（查询渠道“信用中国”网站或“中国执行信息公开网”、“中国政府采购网”）的投标人，拒绝其参与本项目投标（查询对象包括：企业、法定代表人、项目总监、委托代理人）；②企业行贿查询及诚信记录不良行为情况：近三年以来无行贿犯罪记录（核查网站：中国裁判文书网 http://wenshu.court.gov.cn/）和诚信记录不良行为（核查网站：全国建筑市场监管公共服务平台 http://jzsc.mohurd.gov.cn/），存在行贿和不良行为的投标人拒绝其参与本项目投标（查询对象包括：企业、法定代表人、项目总监、委托代理人）；③单位负责人为同一人或者存在控股、管理关系的不同单位，不得参加同一合同项下的招标采购活动（提供加盖单位公章的“国家企业信用信息公示系统”中公示的公司信息、股东或投资人信息截图）。</w:t>
      </w:r>
    </w:p>
    <w:p w14:paraId="449C8A42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7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fill="FFFFFF"/>
        </w:rPr>
        <w:t xml:space="preserve">（2）中标候选人营业执照、资质证书； </w:t>
      </w:r>
    </w:p>
    <w:p w14:paraId="2ED098BC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7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fill="FFFFFF"/>
        </w:rPr>
        <w:t>（3）项目总监理证书、项目组人员相关从业资格证书；</w:t>
      </w:r>
    </w:p>
    <w:p w14:paraId="2EAFF8AF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7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fill="FFFFFF"/>
        </w:rPr>
        <w:t xml:space="preserve">（4）社保证明：项目总监、项目组成人员等； </w:t>
      </w:r>
    </w:p>
    <w:p w14:paraId="671C4FA7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7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fill="FFFFFF"/>
        </w:rPr>
        <w:t>（5）监理大纲：组织机构、保证旁站监理措施和方法、质量控制的措施和方法、工期控制的措施和方法、投资控制的措施和方法、文明安全监理控制的措施和方法、工作协调的措施和方法、办公和检测设备、仪器的配置、合同管理的措施和方法；</w:t>
      </w:r>
    </w:p>
    <w:p w14:paraId="7F80909C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7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fill="FFFFFF"/>
        </w:rPr>
        <w:t xml:space="preserve">（6）招标人认为需要核查及核评的其他内容。 </w:t>
      </w:r>
    </w:p>
    <w:p w14:paraId="11A580F9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70" w:lineRule="exact"/>
        <w:ind w:left="0" w:right="0" w:firstLine="420"/>
        <w:jc w:val="left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fill="FFFFFF"/>
          <w:lang w:val="en-US" w:eastAsia="zh-CN"/>
        </w:rPr>
        <w:t>第二标段：</w:t>
      </w:r>
    </w:p>
    <w:p w14:paraId="4578E107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7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fill="FFFFFF"/>
        </w:rPr>
        <w:t>（1）①企业信用信息：被列入失信被执行人、 重大税收违法失信主体、政府采购严重违法失信行为记录名单（查询渠道“信用中国”网站或“中国执行信息公开网”、“中国政府采购网”）的投标人，拒绝其参与本项目投标（查询对象包括：企业、法定代表人、项目负责人、委托代理人）；②企业行贿查询及诚信记录不良行为情况：近三年以来无行贿犯罪记录（核查网站：中国裁判文书网 http://wenshu.court.gov.cn/）和诚信记录不良行为（核查网站：全国建筑市场监管公共服务平台 http://jzsc.mohurd.gov.cn/），存在行贿和不良行为的投标人拒绝其参与本项目投标（查询对象包括：企业、法定代表人、项目负责人、委托代理人）；③单位负责人为同一人或者存在控股、管理关系的不同单位，不得参加同一合同项下的招标采购活动（提供加盖单位公章的“国家企业信用信息公示系统”中公示的公司信息、股东或投资人信息截图）。</w:t>
      </w:r>
    </w:p>
    <w:p w14:paraId="6EFA2189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7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fill="FFFFFF"/>
        </w:rPr>
        <w:t xml:space="preserve">（2）中标候选人营业执照； </w:t>
      </w:r>
    </w:p>
    <w:p w14:paraId="09FC0D11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7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fill="FFFFFF"/>
        </w:rPr>
        <w:t>（3）项目负责人证书、项目组人员相关从业资格证书；</w:t>
      </w:r>
    </w:p>
    <w:p w14:paraId="21ED5107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7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fill="FFFFFF"/>
        </w:rPr>
        <w:t xml:space="preserve">（4）社保证明：项目负责人、项目组成人员等； </w:t>
      </w:r>
    </w:p>
    <w:p w14:paraId="04A3B484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7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fill="FFFFFF"/>
        </w:rPr>
        <w:t>（5）技术方案：总体工作方案，检测方案，质量、进度控制的方案与措施，设备保障措施；</w:t>
      </w:r>
    </w:p>
    <w:p w14:paraId="53B532AE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7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fill="FFFFFF"/>
        </w:rPr>
        <w:t xml:space="preserve">（6）招标人认为需要核查及核评的其他内容。 </w:t>
      </w:r>
    </w:p>
    <w:p w14:paraId="1C74D5AD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70" w:lineRule="exact"/>
        <w:ind w:left="0" w:right="0" w:firstLine="422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shd w:val="clear" w:color="auto" w:fill="auto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shd w:val="clear" w:color="auto" w:fill="auto"/>
        </w:rPr>
        <w:t>二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shd w:val="clear" w:color="auto" w:fill="auto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shd w:val="clear" w:color="auto" w:fill="auto"/>
        </w:rPr>
        <w:t>定标核查情况</w:t>
      </w:r>
    </w:p>
    <w:p w14:paraId="75A7501B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7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fill="FFFFFF"/>
        </w:rPr>
        <w:t>根据招标文件的要求，本次定标核查结果如下：</w:t>
      </w:r>
    </w:p>
    <w:p w14:paraId="61C65C59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70" w:lineRule="exact"/>
        <w:ind w:left="0" w:right="0" w:firstLine="420"/>
        <w:jc w:val="left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fill="FFFFFF"/>
          <w:lang w:val="en-US" w:eastAsia="zh-CN"/>
        </w:rPr>
        <w:t>第一标段：</w:t>
      </w:r>
    </w:p>
    <w:tbl>
      <w:tblPr>
        <w:tblStyle w:val="13"/>
        <w:tblpPr w:leftFromText="180" w:rightFromText="180" w:vertAnchor="text" w:horzAnchor="page" w:tblpXSpec="center" w:tblpY="133"/>
        <w:tblOverlap w:val="never"/>
        <w:tblW w:w="50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1"/>
        <w:gridCol w:w="3444"/>
        <w:gridCol w:w="1547"/>
        <w:gridCol w:w="3036"/>
      </w:tblGrid>
      <w:tr w14:paraId="75128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" w:hRule="atLeast"/>
          <w:jc w:val="center"/>
        </w:trPr>
        <w:tc>
          <w:tcPr>
            <w:tcW w:w="433" w:type="pct"/>
            <w:noWrap w:val="0"/>
            <w:vAlign w:val="center"/>
          </w:tcPr>
          <w:p w14:paraId="781A56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bookmarkStart w:id="0" w:name="PsxxEntity：TBRB_2"/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959" w:type="pct"/>
            <w:noWrap w:val="0"/>
            <w:vAlign w:val="center"/>
          </w:tcPr>
          <w:p w14:paraId="35CDA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中标候选人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880" w:type="pct"/>
            <w:noWrap w:val="0"/>
            <w:vAlign w:val="center"/>
          </w:tcPr>
          <w:p w14:paraId="63477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核查结果</w:t>
            </w:r>
          </w:p>
        </w:tc>
        <w:tc>
          <w:tcPr>
            <w:tcW w:w="1727" w:type="pct"/>
            <w:noWrap w:val="0"/>
            <w:vAlign w:val="center"/>
          </w:tcPr>
          <w:p w14:paraId="57C9C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否决原因</w:t>
            </w:r>
          </w:p>
        </w:tc>
      </w:tr>
      <w:tr w14:paraId="55355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433" w:type="pct"/>
            <w:noWrap w:val="0"/>
            <w:vAlign w:val="center"/>
          </w:tcPr>
          <w:p w14:paraId="7478E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959" w:type="pct"/>
            <w:noWrap w:val="0"/>
            <w:vAlign w:val="center"/>
          </w:tcPr>
          <w:p w14:paraId="0D1B38D6">
            <w:pPr>
              <w:rPr>
                <w:rFonts w:hint="eastAsia" w:ascii="宋体" w:hAnsi="宋体" w:eastAsia="宋体" w:cs="宋体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color w:val="auto"/>
                <w:sz w:val="24"/>
                <w:szCs w:val="28"/>
              </w:rPr>
              <w:t>江苏雨田工程咨询集团有限公司</w:t>
            </w:r>
          </w:p>
        </w:tc>
        <w:tc>
          <w:tcPr>
            <w:tcW w:w="880" w:type="pct"/>
            <w:noWrap w:val="0"/>
            <w:vAlign w:val="center"/>
          </w:tcPr>
          <w:p w14:paraId="5B745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通过</w:t>
            </w:r>
          </w:p>
        </w:tc>
        <w:tc>
          <w:tcPr>
            <w:tcW w:w="1727" w:type="pct"/>
            <w:noWrap w:val="0"/>
            <w:vAlign w:val="center"/>
          </w:tcPr>
          <w:p w14:paraId="35CAC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23B86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jc w:val="center"/>
        </w:trPr>
        <w:tc>
          <w:tcPr>
            <w:tcW w:w="433" w:type="pct"/>
            <w:noWrap w:val="0"/>
            <w:vAlign w:val="center"/>
          </w:tcPr>
          <w:p w14:paraId="0E77A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959" w:type="pct"/>
            <w:noWrap w:val="0"/>
            <w:vAlign w:val="center"/>
          </w:tcPr>
          <w:p w14:paraId="040015C6">
            <w:pPr>
              <w:rPr>
                <w:rFonts w:hint="eastAsia" w:ascii="宋体" w:hAnsi="宋体" w:eastAsia="宋体" w:cs="宋体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color w:val="auto"/>
                <w:sz w:val="24"/>
                <w:szCs w:val="28"/>
              </w:rPr>
              <w:t>新正源项目咨询有限公司</w:t>
            </w:r>
          </w:p>
        </w:tc>
        <w:tc>
          <w:tcPr>
            <w:tcW w:w="880" w:type="pct"/>
            <w:noWrap w:val="0"/>
            <w:vAlign w:val="center"/>
          </w:tcPr>
          <w:p w14:paraId="10634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通过</w:t>
            </w:r>
          </w:p>
        </w:tc>
        <w:tc>
          <w:tcPr>
            <w:tcW w:w="1727" w:type="pct"/>
            <w:noWrap w:val="0"/>
            <w:vAlign w:val="center"/>
          </w:tcPr>
          <w:p w14:paraId="36485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6C411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433" w:type="pct"/>
            <w:noWrap w:val="0"/>
            <w:vAlign w:val="center"/>
          </w:tcPr>
          <w:p w14:paraId="79E18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959" w:type="pct"/>
            <w:noWrap w:val="0"/>
            <w:vAlign w:val="center"/>
          </w:tcPr>
          <w:p w14:paraId="2EA31E70">
            <w:pPr>
              <w:rPr>
                <w:rFonts w:hint="eastAsia" w:ascii="宋体" w:hAnsi="宋体" w:eastAsia="宋体" w:cs="宋体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color w:val="auto"/>
                <w:sz w:val="24"/>
                <w:szCs w:val="28"/>
              </w:rPr>
              <w:t>商丘市江河建设工程管理有限公司</w:t>
            </w:r>
          </w:p>
        </w:tc>
        <w:tc>
          <w:tcPr>
            <w:tcW w:w="880" w:type="pct"/>
            <w:noWrap w:val="0"/>
            <w:vAlign w:val="center"/>
          </w:tcPr>
          <w:p w14:paraId="0A4C8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通过</w:t>
            </w:r>
          </w:p>
        </w:tc>
        <w:tc>
          <w:tcPr>
            <w:tcW w:w="1727" w:type="pct"/>
            <w:noWrap w:val="0"/>
            <w:vAlign w:val="center"/>
          </w:tcPr>
          <w:p w14:paraId="49B8A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bookmarkEnd w:id="0"/>
      <w:tr w14:paraId="11F7E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433" w:type="pct"/>
            <w:noWrap w:val="0"/>
            <w:vAlign w:val="center"/>
          </w:tcPr>
          <w:p w14:paraId="68EF7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959" w:type="pct"/>
            <w:noWrap w:val="0"/>
            <w:vAlign w:val="center"/>
          </w:tcPr>
          <w:p w14:paraId="54B1ABD2">
            <w:pPr>
              <w:rPr>
                <w:rFonts w:hint="eastAsia" w:ascii="宋体" w:hAnsi="宋体" w:eastAsia="宋体" w:cs="宋体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color w:val="auto"/>
                <w:sz w:val="24"/>
                <w:szCs w:val="28"/>
              </w:rPr>
              <w:t>中鼎景宏工程管理有限公司</w:t>
            </w:r>
          </w:p>
        </w:tc>
        <w:tc>
          <w:tcPr>
            <w:tcW w:w="880" w:type="pct"/>
            <w:noWrap w:val="0"/>
            <w:vAlign w:val="center"/>
          </w:tcPr>
          <w:p w14:paraId="21FEB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通过</w:t>
            </w:r>
          </w:p>
        </w:tc>
        <w:tc>
          <w:tcPr>
            <w:tcW w:w="1727" w:type="pct"/>
            <w:noWrap w:val="0"/>
            <w:vAlign w:val="top"/>
          </w:tcPr>
          <w:p w14:paraId="1732E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710E3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  <w:jc w:val="center"/>
        </w:trPr>
        <w:tc>
          <w:tcPr>
            <w:tcW w:w="433" w:type="pct"/>
            <w:noWrap w:val="0"/>
            <w:vAlign w:val="center"/>
          </w:tcPr>
          <w:p w14:paraId="4B952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959" w:type="pct"/>
            <w:noWrap w:val="0"/>
            <w:vAlign w:val="center"/>
          </w:tcPr>
          <w:p w14:paraId="636B6979">
            <w:pPr>
              <w:rPr>
                <w:rFonts w:hint="eastAsia" w:ascii="宋体" w:hAnsi="宋体" w:eastAsia="宋体" w:cs="宋体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color w:val="auto"/>
                <w:sz w:val="24"/>
                <w:szCs w:val="28"/>
              </w:rPr>
              <w:t>山西昊圣建设工程管理有限责任公司</w:t>
            </w:r>
          </w:p>
        </w:tc>
        <w:tc>
          <w:tcPr>
            <w:tcW w:w="880" w:type="pct"/>
            <w:noWrap w:val="0"/>
            <w:vAlign w:val="center"/>
          </w:tcPr>
          <w:p w14:paraId="03908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通过</w:t>
            </w:r>
          </w:p>
        </w:tc>
        <w:tc>
          <w:tcPr>
            <w:tcW w:w="1727" w:type="pct"/>
            <w:noWrap w:val="0"/>
            <w:vAlign w:val="top"/>
          </w:tcPr>
          <w:p w14:paraId="0632C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48284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  <w:jc w:val="center"/>
        </w:trPr>
        <w:tc>
          <w:tcPr>
            <w:tcW w:w="433" w:type="pct"/>
            <w:noWrap w:val="0"/>
            <w:vAlign w:val="center"/>
          </w:tcPr>
          <w:p w14:paraId="016FF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959" w:type="pct"/>
            <w:noWrap w:val="0"/>
            <w:vAlign w:val="center"/>
          </w:tcPr>
          <w:p w14:paraId="22A104AE">
            <w:pPr>
              <w:rPr>
                <w:rFonts w:hint="eastAsia" w:ascii="宋体" w:hAnsi="宋体" w:eastAsia="宋体" w:cs="宋体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color w:val="auto"/>
                <w:sz w:val="24"/>
                <w:szCs w:val="28"/>
              </w:rPr>
              <w:t>河南正兴工程管理有限公司</w:t>
            </w:r>
          </w:p>
        </w:tc>
        <w:tc>
          <w:tcPr>
            <w:tcW w:w="880" w:type="pct"/>
            <w:noWrap w:val="0"/>
            <w:vAlign w:val="center"/>
          </w:tcPr>
          <w:p w14:paraId="4562F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通过</w:t>
            </w:r>
          </w:p>
        </w:tc>
        <w:tc>
          <w:tcPr>
            <w:tcW w:w="1727" w:type="pct"/>
            <w:noWrap w:val="0"/>
            <w:vAlign w:val="top"/>
          </w:tcPr>
          <w:p w14:paraId="2B2C0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1150E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jc w:val="center"/>
        </w:trPr>
        <w:tc>
          <w:tcPr>
            <w:tcW w:w="433" w:type="pct"/>
            <w:noWrap w:val="0"/>
            <w:vAlign w:val="center"/>
          </w:tcPr>
          <w:p w14:paraId="208FA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959" w:type="pct"/>
            <w:noWrap w:val="0"/>
            <w:vAlign w:val="center"/>
          </w:tcPr>
          <w:p w14:paraId="10AC3853">
            <w:pPr>
              <w:rPr>
                <w:rFonts w:hint="eastAsia" w:ascii="宋体" w:hAnsi="宋体" w:eastAsia="宋体" w:cs="宋体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color w:val="auto"/>
                <w:sz w:val="24"/>
                <w:szCs w:val="28"/>
              </w:rPr>
              <w:t>新恒丰咨询集团有限公司</w:t>
            </w:r>
          </w:p>
        </w:tc>
        <w:tc>
          <w:tcPr>
            <w:tcW w:w="880" w:type="pct"/>
            <w:noWrap w:val="0"/>
            <w:vAlign w:val="center"/>
          </w:tcPr>
          <w:p w14:paraId="43732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通过</w:t>
            </w:r>
          </w:p>
        </w:tc>
        <w:tc>
          <w:tcPr>
            <w:tcW w:w="1727" w:type="pct"/>
            <w:noWrap w:val="0"/>
            <w:vAlign w:val="top"/>
          </w:tcPr>
          <w:p w14:paraId="63AAF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26FB6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  <w:jc w:val="center"/>
        </w:trPr>
        <w:tc>
          <w:tcPr>
            <w:tcW w:w="433" w:type="pct"/>
            <w:noWrap w:val="0"/>
            <w:vAlign w:val="center"/>
          </w:tcPr>
          <w:p w14:paraId="6B3BD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959" w:type="pct"/>
            <w:noWrap w:val="0"/>
            <w:vAlign w:val="center"/>
          </w:tcPr>
          <w:p w14:paraId="0A9B9B11">
            <w:pPr>
              <w:rPr>
                <w:rFonts w:hint="eastAsia" w:ascii="宋体" w:hAnsi="宋体" w:eastAsia="宋体" w:cs="宋体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color w:val="auto"/>
                <w:sz w:val="24"/>
                <w:szCs w:val="28"/>
              </w:rPr>
              <w:t>高达建设管理发展有限责任公司</w:t>
            </w:r>
          </w:p>
        </w:tc>
        <w:tc>
          <w:tcPr>
            <w:tcW w:w="880" w:type="pct"/>
            <w:noWrap w:val="0"/>
            <w:vAlign w:val="center"/>
          </w:tcPr>
          <w:p w14:paraId="6FC0B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通过</w:t>
            </w:r>
          </w:p>
        </w:tc>
        <w:tc>
          <w:tcPr>
            <w:tcW w:w="1727" w:type="pct"/>
            <w:noWrap w:val="0"/>
            <w:vAlign w:val="top"/>
          </w:tcPr>
          <w:p w14:paraId="3B9D2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52253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  <w:jc w:val="center"/>
        </w:trPr>
        <w:tc>
          <w:tcPr>
            <w:tcW w:w="433" w:type="pct"/>
            <w:noWrap w:val="0"/>
            <w:vAlign w:val="center"/>
          </w:tcPr>
          <w:p w14:paraId="11C56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959" w:type="pct"/>
            <w:noWrap w:val="0"/>
            <w:vAlign w:val="center"/>
          </w:tcPr>
          <w:p w14:paraId="3E7DD050">
            <w:pPr>
              <w:rPr>
                <w:rFonts w:hint="eastAsia" w:ascii="宋体" w:hAnsi="宋体" w:eastAsia="宋体" w:cs="宋体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color w:val="auto"/>
                <w:sz w:val="24"/>
                <w:szCs w:val="28"/>
              </w:rPr>
              <w:t>河南省光大建设管理有限公司</w:t>
            </w:r>
          </w:p>
        </w:tc>
        <w:tc>
          <w:tcPr>
            <w:tcW w:w="880" w:type="pct"/>
            <w:noWrap w:val="0"/>
            <w:vAlign w:val="center"/>
          </w:tcPr>
          <w:p w14:paraId="08778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通过</w:t>
            </w:r>
          </w:p>
        </w:tc>
        <w:tc>
          <w:tcPr>
            <w:tcW w:w="1727" w:type="pct"/>
            <w:noWrap w:val="0"/>
            <w:vAlign w:val="top"/>
          </w:tcPr>
          <w:p w14:paraId="6BC9B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7D80B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  <w:jc w:val="center"/>
        </w:trPr>
        <w:tc>
          <w:tcPr>
            <w:tcW w:w="433" w:type="pct"/>
            <w:noWrap w:val="0"/>
            <w:vAlign w:val="center"/>
          </w:tcPr>
          <w:p w14:paraId="35415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959" w:type="pct"/>
            <w:noWrap w:val="0"/>
            <w:vAlign w:val="center"/>
          </w:tcPr>
          <w:p w14:paraId="2E3EE477">
            <w:pPr>
              <w:rPr>
                <w:rFonts w:hint="eastAsia" w:ascii="宋体" w:hAnsi="宋体" w:eastAsia="宋体" w:cs="宋体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color w:val="auto"/>
                <w:sz w:val="24"/>
                <w:szCs w:val="28"/>
              </w:rPr>
              <w:t>中基华工程管理集团有限公司</w:t>
            </w:r>
          </w:p>
        </w:tc>
        <w:tc>
          <w:tcPr>
            <w:tcW w:w="880" w:type="pct"/>
            <w:noWrap w:val="0"/>
            <w:vAlign w:val="center"/>
          </w:tcPr>
          <w:p w14:paraId="2EBEE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通过</w:t>
            </w:r>
          </w:p>
        </w:tc>
        <w:tc>
          <w:tcPr>
            <w:tcW w:w="1727" w:type="pct"/>
            <w:noWrap w:val="0"/>
            <w:vAlign w:val="top"/>
          </w:tcPr>
          <w:p w14:paraId="1B65F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</w:tbl>
    <w:p w14:paraId="3FB94582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70" w:lineRule="exact"/>
        <w:ind w:left="0" w:right="0" w:firstLine="420"/>
        <w:jc w:val="left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shd w:val="clear" w:fill="FFFFFF"/>
          <w:lang w:val="en-US" w:eastAsia="zh-CN"/>
        </w:rPr>
        <w:t>第二标段：</w:t>
      </w:r>
    </w:p>
    <w:tbl>
      <w:tblPr>
        <w:tblStyle w:val="13"/>
        <w:tblpPr w:leftFromText="180" w:rightFromText="180" w:vertAnchor="text" w:horzAnchor="page" w:tblpXSpec="center" w:tblpY="133"/>
        <w:tblOverlap w:val="never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9"/>
        <w:gridCol w:w="3440"/>
        <w:gridCol w:w="1545"/>
        <w:gridCol w:w="3033"/>
      </w:tblGrid>
      <w:tr w14:paraId="34710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  <w:jc w:val="center"/>
        </w:trPr>
        <w:tc>
          <w:tcPr>
            <w:tcW w:w="432" w:type="pct"/>
            <w:noWrap w:val="0"/>
            <w:vAlign w:val="center"/>
          </w:tcPr>
          <w:p w14:paraId="64710B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959" w:type="pct"/>
            <w:noWrap w:val="0"/>
            <w:vAlign w:val="center"/>
          </w:tcPr>
          <w:p w14:paraId="77F65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中标候选人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880" w:type="pct"/>
            <w:noWrap w:val="0"/>
            <w:vAlign w:val="center"/>
          </w:tcPr>
          <w:p w14:paraId="3FF43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核查结果</w:t>
            </w:r>
          </w:p>
        </w:tc>
        <w:tc>
          <w:tcPr>
            <w:tcW w:w="1727" w:type="pct"/>
            <w:noWrap w:val="0"/>
            <w:vAlign w:val="center"/>
          </w:tcPr>
          <w:p w14:paraId="4DF98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否决原因</w:t>
            </w:r>
          </w:p>
        </w:tc>
      </w:tr>
      <w:tr w14:paraId="08435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6" w:hRule="atLeast"/>
          <w:jc w:val="center"/>
        </w:trPr>
        <w:tc>
          <w:tcPr>
            <w:tcW w:w="432" w:type="pct"/>
            <w:noWrap w:val="0"/>
            <w:vAlign w:val="center"/>
          </w:tcPr>
          <w:p w14:paraId="74F2E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959" w:type="pct"/>
            <w:noWrap w:val="0"/>
            <w:vAlign w:val="center"/>
          </w:tcPr>
          <w:p w14:paraId="6F57A82D">
            <w:pPr>
              <w:rPr>
                <w:rFonts w:hint="eastAsia" w:ascii="宋体" w:hAnsi="宋体" w:eastAsia="宋体" w:cs="宋体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color w:val="auto"/>
                <w:sz w:val="24"/>
                <w:szCs w:val="28"/>
              </w:rPr>
              <w:t>郑州水工质量检测中心有限公司</w:t>
            </w:r>
          </w:p>
        </w:tc>
        <w:tc>
          <w:tcPr>
            <w:tcW w:w="880" w:type="pct"/>
            <w:noWrap w:val="0"/>
            <w:vAlign w:val="center"/>
          </w:tcPr>
          <w:p w14:paraId="1F667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通过</w:t>
            </w:r>
          </w:p>
        </w:tc>
        <w:tc>
          <w:tcPr>
            <w:tcW w:w="1727" w:type="pct"/>
            <w:noWrap w:val="0"/>
            <w:vAlign w:val="center"/>
          </w:tcPr>
          <w:p w14:paraId="504E2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02072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5" w:hRule="atLeast"/>
          <w:jc w:val="center"/>
        </w:trPr>
        <w:tc>
          <w:tcPr>
            <w:tcW w:w="432" w:type="pct"/>
            <w:noWrap w:val="0"/>
            <w:vAlign w:val="center"/>
          </w:tcPr>
          <w:p w14:paraId="094FB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959" w:type="pct"/>
            <w:noWrap w:val="0"/>
            <w:vAlign w:val="center"/>
          </w:tcPr>
          <w:p w14:paraId="2EDC9997">
            <w:pPr>
              <w:rPr>
                <w:rFonts w:hint="eastAsia" w:ascii="宋体" w:hAnsi="宋体" w:eastAsia="宋体" w:cs="宋体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color w:val="auto"/>
                <w:sz w:val="24"/>
                <w:szCs w:val="28"/>
              </w:rPr>
              <w:t>河南省水利工程质量检测有限公司</w:t>
            </w:r>
          </w:p>
        </w:tc>
        <w:tc>
          <w:tcPr>
            <w:tcW w:w="880" w:type="pct"/>
            <w:noWrap w:val="0"/>
            <w:vAlign w:val="center"/>
          </w:tcPr>
          <w:p w14:paraId="4F3D5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727" w:type="pct"/>
            <w:noWrap w:val="0"/>
            <w:vAlign w:val="center"/>
          </w:tcPr>
          <w:p w14:paraId="3AF40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总体工作方案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内容中最终成果:《薄山水库取水输水及管网延伸工程竣工质量检测报告》与本项目不符。</w:t>
            </w:r>
          </w:p>
          <w:p w14:paraId="14409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2、质量控制组织方案与措施内容中对薄山水库取水口、浮船泵站选址、原水管道线路、村镇主管网及分支管网沿线、地质复杂段等关键区域，实行双人作业、同步复核、全程影像记录；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与本项目不符</w:t>
            </w:r>
          </w:p>
        </w:tc>
      </w:tr>
      <w:tr w14:paraId="02E9E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4" w:hRule="atLeast"/>
          <w:jc w:val="center"/>
        </w:trPr>
        <w:tc>
          <w:tcPr>
            <w:tcW w:w="432" w:type="pct"/>
            <w:noWrap w:val="0"/>
            <w:vAlign w:val="center"/>
          </w:tcPr>
          <w:p w14:paraId="64A3D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959" w:type="pct"/>
            <w:noWrap w:val="0"/>
            <w:vAlign w:val="center"/>
          </w:tcPr>
          <w:p w14:paraId="6A0D57B0">
            <w:pPr>
              <w:rPr>
                <w:rFonts w:hint="eastAsia" w:ascii="宋体" w:hAnsi="宋体" w:eastAsia="宋体" w:cs="宋体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color w:val="auto"/>
                <w:sz w:val="24"/>
                <w:szCs w:val="28"/>
              </w:rPr>
              <w:t>河南科顺工程检测有限公司</w:t>
            </w:r>
          </w:p>
        </w:tc>
        <w:tc>
          <w:tcPr>
            <w:tcW w:w="880" w:type="pct"/>
            <w:noWrap w:val="0"/>
            <w:vAlign w:val="center"/>
          </w:tcPr>
          <w:p w14:paraId="5528A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通过</w:t>
            </w:r>
          </w:p>
        </w:tc>
        <w:tc>
          <w:tcPr>
            <w:tcW w:w="1727" w:type="pct"/>
            <w:noWrap w:val="0"/>
            <w:vAlign w:val="center"/>
          </w:tcPr>
          <w:p w14:paraId="245D3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53A6B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432" w:type="pct"/>
            <w:noWrap w:val="0"/>
            <w:vAlign w:val="center"/>
          </w:tcPr>
          <w:p w14:paraId="1B935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959" w:type="pct"/>
            <w:noWrap w:val="0"/>
            <w:vAlign w:val="center"/>
          </w:tcPr>
          <w:p w14:paraId="42FF4207">
            <w:pPr>
              <w:rPr>
                <w:rFonts w:hint="eastAsia" w:ascii="宋体" w:hAnsi="宋体" w:eastAsia="宋体" w:cs="宋体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color w:val="auto"/>
                <w:sz w:val="24"/>
                <w:szCs w:val="28"/>
              </w:rPr>
              <w:t>河南百川工程质量检验有限公司</w:t>
            </w:r>
          </w:p>
        </w:tc>
        <w:tc>
          <w:tcPr>
            <w:tcW w:w="880" w:type="pct"/>
            <w:noWrap w:val="0"/>
            <w:vAlign w:val="center"/>
          </w:tcPr>
          <w:p w14:paraId="4A6D9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727" w:type="pct"/>
            <w:noWrap w:val="0"/>
            <w:vAlign w:val="top"/>
          </w:tcPr>
          <w:p w14:paraId="15952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总体工作方案缺少编制原则目标、编制内容、工作程序及方法、提交成果、各种保障措施等内容；质量进度控制措施缺少针对本项目的外业调查、内业数据质量控制、时间进度安排等内容；</w:t>
            </w:r>
          </w:p>
        </w:tc>
      </w:tr>
      <w:tr w14:paraId="54313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4" w:hRule="atLeast"/>
          <w:jc w:val="center"/>
        </w:trPr>
        <w:tc>
          <w:tcPr>
            <w:tcW w:w="432" w:type="pct"/>
            <w:noWrap w:val="0"/>
            <w:vAlign w:val="center"/>
          </w:tcPr>
          <w:p w14:paraId="7B5E3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959" w:type="pct"/>
            <w:noWrap w:val="0"/>
            <w:vAlign w:val="center"/>
          </w:tcPr>
          <w:p w14:paraId="39615139">
            <w:pPr>
              <w:rPr>
                <w:rFonts w:hint="eastAsia" w:ascii="宋体" w:hAnsi="宋体" w:eastAsia="宋体" w:cs="宋体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color w:val="auto"/>
                <w:sz w:val="24"/>
                <w:szCs w:val="28"/>
              </w:rPr>
              <w:t>河南科平工程检测咨询有限公司</w:t>
            </w:r>
          </w:p>
        </w:tc>
        <w:tc>
          <w:tcPr>
            <w:tcW w:w="880" w:type="pct"/>
            <w:noWrap w:val="0"/>
            <w:vAlign w:val="center"/>
          </w:tcPr>
          <w:p w14:paraId="59608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通过</w:t>
            </w:r>
          </w:p>
        </w:tc>
        <w:tc>
          <w:tcPr>
            <w:tcW w:w="1727" w:type="pct"/>
            <w:noWrap w:val="0"/>
            <w:vAlign w:val="top"/>
          </w:tcPr>
          <w:p w14:paraId="29435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</w:tbl>
    <w:p w14:paraId="3099ACCC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70" w:lineRule="exact"/>
        <w:ind w:left="0" w:right="0" w:firstLine="422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shd w:val="clear" w:fill="FFFFFF"/>
        </w:rPr>
        <w:t>五、定标结果</w:t>
      </w:r>
    </w:p>
    <w:p w14:paraId="5DC053A9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70" w:lineRule="exact"/>
        <w:ind w:left="240" w:right="0" w:firstLine="21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  <w:lang w:val="en-US" w:eastAsia="zh-CN"/>
        </w:rPr>
        <w:t>第一标段：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</w:rPr>
        <w:t>定标委员会组长从抽取箱进行随机抽取号码球，抽取到的号码球序号为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</w:rPr>
        <w:t>号，对应中标候选人为：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  <w:lang w:val="en-US" w:eastAsia="zh-CN"/>
        </w:rPr>
        <w:t>该单位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</w:rPr>
        <w:t>为本项目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  <w:lang w:val="en-US" w:eastAsia="zh-CN"/>
        </w:rPr>
        <w:t>第一标段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</w:rPr>
        <w:t>中标人。</w:t>
      </w:r>
    </w:p>
    <w:p w14:paraId="18D839BA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70" w:lineRule="exact"/>
        <w:ind w:left="240" w:right="0" w:firstLine="21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  <w:lang w:val="en-US" w:eastAsia="zh-CN"/>
        </w:rPr>
        <w:t>第二标段：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</w:rPr>
        <w:t>定标委员会组长从抽取箱进行随机抽取号码球，抽取到的号码球序号为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shd w:val="clear" w:fill="FFFFFF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</w:rPr>
        <w:t>号，对应中标候选人为：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  <w:lang w:val="en-US" w:eastAsia="zh-CN"/>
        </w:rPr>
        <w:t>该单位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</w:rPr>
        <w:t>为本项目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  <w:lang w:val="en-US" w:eastAsia="zh-CN"/>
        </w:rPr>
        <w:t>第一标段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</w:rPr>
        <w:t>中标人。</w:t>
      </w:r>
    </w:p>
    <w:p w14:paraId="748EFE63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70" w:lineRule="exact"/>
        <w:ind w:left="0" w:right="0" w:firstLine="422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shd w:val="clear" w:fill="FFFFFF"/>
        </w:rPr>
        <w:t>六、中标人信息情况</w:t>
      </w:r>
    </w:p>
    <w:p w14:paraId="7534D0AF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70" w:lineRule="exact"/>
        <w:ind w:left="0" w:right="0" w:firstLine="420"/>
        <w:jc w:val="both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  <w:lang w:val="en-US" w:eastAsia="zh-CN"/>
        </w:rPr>
        <w:t>第一标段：</w:t>
      </w:r>
      <w:bookmarkStart w:id="1" w:name="_GoBack"/>
      <w:bookmarkEnd w:id="1"/>
    </w:p>
    <w:p w14:paraId="440108ED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7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</w:rPr>
        <w:t>中标人：</w:t>
      </w:r>
    </w:p>
    <w:p w14:paraId="72F528B1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70" w:lineRule="exact"/>
        <w:ind w:left="0" w:right="0" w:firstLine="42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</w:rPr>
        <w:t>投标报价：</w:t>
      </w:r>
    </w:p>
    <w:p w14:paraId="1703C3E8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70" w:lineRule="exact"/>
        <w:ind w:left="0" w:right="0" w:firstLine="42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  <w:lang w:val="en-US" w:eastAsia="zh-CN"/>
        </w:rPr>
        <w:t>项目总监理工程师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</w:rPr>
        <w:t>：</w:t>
      </w:r>
    </w:p>
    <w:p w14:paraId="5D232529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70" w:lineRule="exact"/>
        <w:ind w:left="0" w:right="0" w:firstLine="42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  <w:lang w:val="en-US" w:eastAsia="zh-CN"/>
        </w:rPr>
        <w:t>证书编号：</w:t>
      </w:r>
    </w:p>
    <w:p w14:paraId="4098DB87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70" w:lineRule="exact"/>
        <w:ind w:righ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  <w:lang w:val="en-US" w:eastAsia="zh-CN"/>
        </w:rPr>
        <w:t>服务期限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</w:rPr>
        <w:t>：</w:t>
      </w:r>
    </w:p>
    <w:p w14:paraId="3AECCFB5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70" w:lineRule="exact"/>
        <w:ind w:left="0" w:right="0" w:firstLine="420"/>
        <w:jc w:val="both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  <w:lang w:val="en-US" w:eastAsia="zh-CN"/>
        </w:rPr>
        <w:t>第二标段：</w:t>
      </w:r>
    </w:p>
    <w:p w14:paraId="582A6B65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7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</w:rPr>
        <w:t>中标人：</w:t>
      </w:r>
    </w:p>
    <w:p w14:paraId="5475EAFF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70" w:lineRule="exact"/>
        <w:ind w:left="0" w:right="0" w:firstLine="42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</w:rPr>
        <w:t>投标报价：</w:t>
      </w:r>
    </w:p>
    <w:p w14:paraId="7CAC075F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70" w:lineRule="exact"/>
        <w:ind w:left="0" w:right="0" w:firstLine="42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  <w:lang w:val="en-US" w:eastAsia="zh-CN"/>
        </w:rPr>
        <w:t>项目负责人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</w:rPr>
        <w:t>：</w:t>
      </w:r>
    </w:p>
    <w:p w14:paraId="0C2CDF18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70" w:lineRule="exact"/>
        <w:ind w:left="0" w:right="0" w:firstLine="42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  <w:lang w:val="en-US" w:eastAsia="zh-CN"/>
        </w:rPr>
        <w:t>证书编号：</w:t>
      </w:r>
    </w:p>
    <w:p w14:paraId="751F2121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70" w:lineRule="exact"/>
        <w:ind w:righ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  <w:lang w:val="en-US" w:eastAsia="zh-CN"/>
        </w:rPr>
        <w:t>服务期限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</w:rPr>
        <w:t>：</w:t>
      </w:r>
    </w:p>
    <w:p w14:paraId="3E8192A9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70" w:lineRule="exact"/>
        <w:ind w:left="440" w:right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shd w:val="clear" w:fill="FFFFFF"/>
        </w:rPr>
        <w:t>七、发布媒介及公示时间</w:t>
      </w:r>
    </w:p>
    <w:p w14:paraId="03764912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70" w:lineRule="exact"/>
        <w:ind w:left="0" w:right="0" w:firstLine="42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</w:rPr>
        <w:t>2026年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</w:rPr>
        <w:t>日至2026年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</w:rPr>
        <w:t>日（不少于3日），本中标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  <w:lang w:val="en-US" w:eastAsia="zh-CN"/>
        </w:rPr>
        <w:t>结果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</w:rPr>
        <w:t>公示在《中国招标投标公共服务平台》、《河南省政府采购网》、《驻马店市公共资源交易平台》网上同时发布。</w:t>
      </w:r>
    </w:p>
    <w:p w14:paraId="2888AAC8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70" w:lineRule="exact"/>
        <w:ind w:left="0" w:right="0" w:firstLine="422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shd w:val="clear" w:fill="FFFFFF"/>
        </w:rPr>
        <w:t>八、提出异议的渠道和方式</w:t>
      </w:r>
    </w:p>
    <w:p w14:paraId="2050B932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70" w:lineRule="exact"/>
        <w:ind w:left="0" w:right="0" w:firstLine="42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</w:rPr>
        <w:t>根据驻马店市发展和改革委员会关于贯彻落实《河南省发展和改革委员会关于印发&lt;河南省政府投资工程建设项目招标投标“评定分离”管理办法(试行)&gt;的通知》的通知文件规定，公示期间投标人对定标结果如有异议，必须在公示期内按照规定程序进行，所有异议或投诉材料必须由法定代表人携带法定代表人证明、身份证原件及营业执照副本，以书面形式并加盖单位公章向相关部门提出，逾期将不再受理。</w:t>
      </w:r>
    </w:p>
    <w:p w14:paraId="78AE29A4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70" w:lineRule="exact"/>
        <w:ind w:left="0" w:right="0" w:firstLine="413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shd w:val="clear" w:fill="FFFFFF"/>
        </w:rPr>
        <w:t>九、联系方式：</w:t>
      </w:r>
    </w:p>
    <w:p w14:paraId="266E0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招标人：确山县水利局</w:t>
      </w:r>
    </w:p>
    <w:p w14:paraId="1AB63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地  址：确山县市民中心7楼</w:t>
      </w:r>
    </w:p>
    <w:p w14:paraId="2DBFE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联系人：乔先生</w:t>
      </w:r>
    </w:p>
    <w:p w14:paraId="66923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联系电话：0396-2782051</w:t>
      </w:r>
    </w:p>
    <w:p w14:paraId="55DC2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招标代理机构：河南省盛鸿工程管理咨询有限公司</w:t>
      </w:r>
    </w:p>
    <w:p w14:paraId="79BC3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地  址：驻马店市华尔大厦17层1717室</w:t>
      </w:r>
    </w:p>
    <w:p w14:paraId="42CDF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联系人：王利明</w:t>
      </w:r>
    </w:p>
    <w:p w14:paraId="7439E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联系电话：17698773769</w:t>
      </w:r>
    </w:p>
    <w:p w14:paraId="1BEDB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69CC8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监督部门：确山县水利局</w:t>
      </w:r>
    </w:p>
    <w:p w14:paraId="6D043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联系人：陈先生</w:t>
      </w:r>
    </w:p>
    <w:p w14:paraId="45C30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联系电话：15039660500</w:t>
      </w:r>
    </w:p>
    <w:p w14:paraId="068C3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FFFFFF"/>
          <w:lang w:eastAsia="zh-CN"/>
        </w:rPr>
      </w:pPr>
    </w:p>
    <w:sectPr>
      <w:pgSz w:w="11906" w:h="16838"/>
      <w:pgMar w:top="1553" w:right="1576" w:bottom="1553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D3D39"/>
    <w:rsid w:val="020409F6"/>
    <w:rsid w:val="03C24BD0"/>
    <w:rsid w:val="04A8197C"/>
    <w:rsid w:val="0B1C7C92"/>
    <w:rsid w:val="0BF44B37"/>
    <w:rsid w:val="130F3E82"/>
    <w:rsid w:val="143E4A1F"/>
    <w:rsid w:val="16261BCF"/>
    <w:rsid w:val="177111AE"/>
    <w:rsid w:val="17CD3D39"/>
    <w:rsid w:val="17E93737"/>
    <w:rsid w:val="18BF5B28"/>
    <w:rsid w:val="1BDA6EA7"/>
    <w:rsid w:val="1E9F430C"/>
    <w:rsid w:val="240251B6"/>
    <w:rsid w:val="25E94F63"/>
    <w:rsid w:val="29C663D0"/>
    <w:rsid w:val="2C3D338D"/>
    <w:rsid w:val="3C735445"/>
    <w:rsid w:val="3D6D1C73"/>
    <w:rsid w:val="3FFC231A"/>
    <w:rsid w:val="46DC5F63"/>
    <w:rsid w:val="4A1452FF"/>
    <w:rsid w:val="4D760DEF"/>
    <w:rsid w:val="4E3A52F5"/>
    <w:rsid w:val="4E880069"/>
    <w:rsid w:val="501C796A"/>
    <w:rsid w:val="53BD19EE"/>
    <w:rsid w:val="6A6F7BBA"/>
    <w:rsid w:val="6DB46DDC"/>
    <w:rsid w:val="6E6D7DB0"/>
    <w:rsid w:val="6F6E3177"/>
    <w:rsid w:val="71D61D0F"/>
    <w:rsid w:val="74725D9B"/>
    <w:rsid w:val="7B590514"/>
    <w:rsid w:val="7B872D22"/>
    <w:rsid w:val="7E36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uiPriority w:val="0"/>
  </w:style>
  <w:style w:type="table" w:default="1" w:styleId="1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pacing w:val="10"/>
      <w:sz w:val="32"/>
    </w:rPr>
  </w:style>
  <w:style w:type="paragraph" w:customStyle="1" w:styleId="3">
    <w:name w:val="style4"/>
    <w:basedOn w:val="4"/>
    <w:next w:val="6"/>
    <w:qFormat/>
    <w:uiPriority w:val="0"/>
    <w:pPr>
      <w:widowControl/>
      <w:autoSpaceDE/>
      <w:autoSpaceDN/>
      <w:spacing w:before="280" w:after="280" w:line="240" w:lineRule="auto"/>
      <w:ind w:left="0" w:firstLine="0"/>
      <w:jc w:val="both"/>
    </w:pPr>
    <w:rPr>
      <w:rFonts w:ascii="宋体" w:eastAsia="宋体"/>
      <w:sz w:val="18"/>
    </w:rPr>
  </w:style>
  <w:style w:type="paragraph" w:customStyle="1" w:styleId="4">
    <w:name w:val="Normal"/>
    <w:next w:val="5"/>
    <w:qFormat/>
    <w:uiPriority w:val="0"/>
    <w:pPr>
      <w:widowControl w:val="0"/>
      <w:jc w:val="both"/>
    </w:pPr>
    <w:rPr>
      <w:rFonts w:ascii="仿宋_GB2312" w:hAnsi="仿宋_GB2312" w:eastAsia="仿宋_GB2312" w:cs="??"/>
      <w:kern w:val="2"/>
      <w:sz w:val="21"/>
      <w:szCs w:val="24"/>
      <w:lang w:val="en-US" w:eastAsia="zh-CN" w:bidi="ar-SA"/>
    </w:rPr>
  </w:style>
  <w:style w:type="paragraph" w:styleId="5">
    <w:name w:val="Body Text First Indent"/>
    <w:basedOn w:val="2"/>
    <w:next w:val="1"/>
    <w:qFormat/>
    <w:uiPriority w:val="0"/>
    <w:pPr>
      <w:adjustRightInd/>
      <w:spacing w:after="120" w:line="240" w:lineRule="auto"/>
      <w:ind w:left="0" w:leftChars="0" w:right="0" w:rightChars="0" w:firstLine="420" w:firstLineChars="100"/>
      <w:jc w:val="both"/>
      <w:textAlignment w:val="auto"/>
    </w:pPr>
  </w:style>
  <w:style w:type="paragraph" w:customStyle="1" w:styleId="6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7">
    <w:name w:val="Body Text Indent"/>
    <w:basedOn w:val="1"/>
    <w:qFormat/>
    <w:uiPriority w:val="0"/>
    <w:pPr>
      <w:tabs>
        <w:tab w:val="left" w:pos="0"/>
      </w:tabs>
      <w:ind w:firstLine="538" w:firstLineChars="192"/>
    </w:pPr>
    <w:rPr>
      <w:sz w:val="28"/>
    </w:rPr>
  </w:style>
  <w:style w:type="paragraph" w:styleId="8">
    <w:name w:val="Plain Text"/>
    <w:basedOn w:val="1"/>
    <w:next w:val="2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styleId="9">
    <w:name w:val="Body Text 2"/>
    <w:basedOn w:val="1"/>
    <w:next w:val="2"/>
    <w:qFormat/>
    <w:uiPriority w:val="0"/>
    <w:pPr>
      <w:spacing w:after="120" w:line="480" w:lineRule="auto"/>
    </w:pPr>
    <w:rPr>
      <w:rFonts w:eastAsia="Times New Roman"/>
    </w:rPr>
  </w:style>
  <w:style w:type="paragraph" w:styleId="10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7"/>
    <w:next w:val="12"/>
    <w:qFormat/>
    <w:uiPriority w:val="0"/>
    <w:pPr>
      <w:numPr>
        <w:ilvl w:val="0"/>
        <w:numId w:val="0"/>
      </w:numPr>
      <w:spacing w:after="120"/>
    </w:pPr>
  </w:style>
  <w:style w:type="paragraph" w:customStyle="1" w:styleId="12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</w:style>
  <w:style w:type="character" w:styleId="17">
    <w:name w:val="FollowedHyperlink"/>
    <w:basedOn w:val="15"/>
    <w:qFormat/>
    <w:uiPriority w:val="0"/>
    <w:rPr>
      <w:color w:val="800080"/>
      <w:u w:val="none"/>
    </w:rPr>
  </w:style>
  <w:style w:type="character" w:styleId="18">
    <w:name w:val="Emphasis"/>
    <w:basedOn w:val="15"/>
    <w:qFormat/>
    <w:uiPriority w:val="0"/>
  </w:style>
  <w:style w:type="character" w:styleId="19">
    <w:name w:val="HTML Definition"/>
    <w:basedOn w:val="15"/>
    <w:qFormat/>
    <w:uiPriority w:val="0"/>
  </w:style>
  <w:style w:type="character" w:styleId="20">
    <w:name w:val="HTML Typewriter"/>
    <w:basedOn w:val="15"/>
    <w:qFormat/>
    <w:uiPriority w:val="0"/>
    <w:rPr>
      <w:rFonts w:hint="default" w:ascii="monospace" w:hAnsi="monospace" w:eastAsia="monospace" w:cs="monospace"/>
      <w:sz w:val="20"/>
    </w:rPr>
  </w:style>
  <w:style w:type="character" w:styleId="21">
    <w:name w:val="HTML Acronym"/>
    <w:basedOn w:val="15"/>
    <w:qFormat/>
    <w:uiPriority w:val="0"/>
  </w:style>
  <w:style w:type="character" w:styleId="22">
    <w:name w:val="HTML Variable"/>
    <w:basedOn w:val="15"/>
    <w:qFormat/>
    <w:uiPriority w:val="0"/>
  </w:style>
  <w:style w:type="character" w:styleId="23">
    <w:name w:val="Hyperlink"/>
    <w:basedOn w:val="15"/>
    <w:qFormat/>
    <w:uiPriority w:val="0"/>
    <w:rPr>
      <w:color w:val="0000FF"/>
      <w:u w:val="none"/>
    </w:rPr>
  </w:style>
  <w:style w:type="character" w:styleId="24">
    <w:name w:val="HTML Code"/>
    <w:basedOn w:val="15"/>
    <w:qFormat/>
    <w:uiPriority w:val="0"/>
    <w:rPr>
      <w:rFonts w:hint="default" w:ascii="monospace" w:hAnsi="monospace" w:eastAsia="monospace" w:cs="monospace"/>
      <w:sz w:val="20"/>
    </w:rPr>
  </w:style>
  <w:style w:type="character" w:styleId="25">
    <w:name w:val="HTML Cite"/>
    <w:basedOn w:val="15"/>
    <w:qFormat/>
    <w:uiPriority w:val="0"/>
  </w:style>
  <w:style w:type="character" w:styleId="26">
    <w:name w:val="HTML Keyboard"/>
    <w:basedOn w:val="15"/>
    <w:qFormat/>
    <w:uiPriority w:val="0"/>
    <w:rPr>
      <w:rFonts w:hint="default" w:ascii="monospace" w:hAnsi="monospace" w:eastAsia="monospace" w:cs="monospace"/>
      <w:sz w:val="20"/>
    </w:rPr>
  </w:style>
  <w:style w:type="character" w:styleId="27">
    <w:name w:val="HTML Sample"/>
    <w:basedOn w:val="15"/>
    <w:qFormat/>
    <w:uiPriority w:val="0"/>
    <w:rPr>
      <w:rFonts w:ascii="monospace" w:hAnsi="monospace" w:eastAsia="monospace" w:cs="monospace"/>
    </w:rPr>
  </w:style>
  <w:style w:type="paragraph" w:customStyle="1" w:styleId="28">
    <w:name w:val="无间隔1"/>
    <w:basedOn w:val="29"/>
    <w:qFormat/>
    <w:uiPriority w:val="1"/>
    <w:pPr>
      <w:widowControl w:val="0"/>
      <w:spacing w:line="400" w:lineRule="exact"/>
      <w:ind w:firstLine="420" w:firstLineChars="200"/>
      <w:jc w:val="both"/>
    </w:pPr>
    <w:rPr>
      <w:rFonts w:ascii="Calibri" w:hAnsi="Calibri"/>
      <w:kern w:val="2"/>
      <w:sz w:val="24"/>
      <w:szCs w:val="24"/>
      <w:lang w:val="en-US" w:eastAsia="zh-CN" w:bidi="ar-SA"/>
    </w:rPr>
  </w:style>
  <w:style w:type="paragraph" w:customStyle="1" w:styleId="29">
    <w:name w:val="正文_1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0">
    <w:name w:val="esdskipcrossnaventer"/>
    <w:basedOn w:val="15"/>
    <w:qFormat/>
    <w:uiPriority w:val="0"/>
    <w:rPr>
      <w:color w:val="FFFFFF"/>
      <w:sz w:val="24"/>
      <w:szCs w:val="24"/>
      <w:shd w:val="clear" w:fill="2A6EB3"/>
    </w:rPr>
  </w:style>
  <w:style w:type="paragraph" w:customStyle="1" w:styleId="31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customStyle="1" w:styleId="32">
    <w:name w:val="Default"/>
    <w:basedOn w:val="8"/>
    <w:next w:val="33"/>
    <w:qFormat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  <w:style w:type="paragraph" w:customStyle="1" w:styleId="33">
    <w:name w:val="大标题"/>
    <w:basedOn w:val="1"/>
    <w:next w:val="11"/>
    <w:qFormat/>
    <w:uiPriority w:val="0"/>
    <w:pPr>
      <w:jc w:val="center"/>
    </w:pPr>
    <w:rPr>
      <w:rFonts w:ascii="Arial" w:hAnsi="Arial"/>
      <w:b/>
      <w:sz w:val="28"/>
    </w:rPr>
  </w:style>
  <w:style w:type="paragraph" w:styleId="34">
    <w:name w:val="List Paragraph"/>
    <w:basedOn w:val="1"/>
    <w:qFormat/>
    <w:uiPriority w:val="1"/>
    <w:pPr>
      <w:autoSpaceDE w:val="0"/>
      <w:autoSpaceDN w:val="0"/>
      <w:ind w:left="926" w:hanging="602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1757</Words>
  <Characters>1930</Characters>
  <Lines>0</Lines>
  <Paragraphs>0</Paragraphs>
  <TotalTime>0</TotalTime>
  <ScaleCrop>false</ScaleCrop>
  <LinksUpToDate>false</LinksUpToDate>
  <CharactersWithSpaces>1940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2026-05-19T05:27:00Z</dcterms:created>
  <dc:creator>admin</dc:creator>
  <cp:lastModifiedBy>NTKO</cp:lastModifiedBy>
  <dcterms:modified xsi:type="dcterms:W3CDTF">2026-07-06T11:44:43Z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eyJoZGlkIjoiMzk2YWU5MzFiM2M5MTIwYjg3ZWRiMzY3YzgyMDQxNzIiLCJ1c2VySWQiOiIzNjI5MTAzMzAifQ==</vt:lpwstr>
  </property>
  <property fmtid="{D5CDD505-2E9C-101B-9397-08002B2CF9AE}" pid="4" name="ICV">
    <vt:lpwstr>3F0FC83C88B6457B8D1A8E7B7E40BD37_12</vt:lpwstr>
  </property>
</Properties>
</file>