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7B4280">
      <w:pPr>
        <w:jc w:val="center"/>
        <w:rPr>
          <w:rFonts w:hint="eastAsia" w:ascii="宋体" w:hAnsi="宋体" w:eastAsia="宋体" w:cs="宋体"/>
          <w:color w:val="auto"/>
          <w:sz w:val="18"/>
          <w:szCs w:val="21"/>
          <w:highlight w:val="none"/>
          <w:lang w:val="en-US"/>
        </w:rPr>
      </w:pPr>
      <w:bookmarkStart w:id="0" w:name="_Toc227657456"/>
      <w:bookmarkStart w:id="1" w:name="_Toc228337068"/>
      <w:bookmarkStart w:id="2" w:name="_Toc228589134"/>
      <w:bookmarkStart w:id="3" w:name="_Toc228591628"/>
      <w:bookmarkStart w:id="4" w:name="_Toc228881132"/>
      <w:bookmarkStart w:id="5" w:name="_Toc228591480"/>
      <w:bookmarkStart w:id="6" w:name="_Toc227492213"/>
      <w:bookmarkStart w:id="7" w:name="_Toc214433856"/>
      <w:bookmarkStart w:id="8" w:name="_Toc272772543"/>
      <w:r>
        <w:rPr>
          <w:rFonts w:hint="eastAsia" w:ascii="宋体" w:hAnsi="宋体" w:eastAsia="宋体" w:cs="宋体"/>
          <w:b/>
          <w:bCs/>
          <w:color w:val="auto"/>
          <w:kern w:val="0"/>
          <w:sz w:val="48"/>
          <w:szCs w:val="24"/>
          <w:highlight w:val="none"/>
          <w:lang w:val="en-US" w:eastAsia="zh-CN"/>
        </w:rPr>
        <w:t>2025年老王岗乡木材加工厂房建设项目</w:t>
      </w:r>
    </w:p>
    <w:p w14:paraId="2526DE8C">
      <w:pPr>
        <w:pageBreakBefore w:val="0"/>
        <w:kinsoku/>
        <w:wordWrap w:val="0"/>
        <w:overflowPunct/>
        <w:topLinePunct w:val="0"/>
        <w:bidi w:val="0"/>
        <w:rPr>
          <w:rFonts w:hint="eastAsia"/>
          <w:color w:val="auto"/>
          <w:highlight w:val="none"/>
          <w:lang w:eastAsia="zh-CN"/>
        </w:rPr>
      </w:pPr>
    </w:p>
    <w:p w14:paraId="09F97A1B">
      <w:pPr>
        <w:pageBreakBefore w:val="0"/>
        <w:kinsoku/>
        <w:wordWrap w:val="0"/>
        <w:overflowPunct/>
        <w:topLinePunct w:val="0"/>
        <w:bidi w:val="0"/>
        <w:spacing w:line="540" w:lineRule="exact"/>
        <w:outlineLvl w:val="9"/>
        <w:rPr>
          <w:rFonts w:hint="eastAsia" w:ascii="宋体" w:hAnsi="宋体" w:eastAsia="宋体" w:cs="宋体"/>
          <w:b/>
          <w:bCs/>
          <w:color w:val="auto"/>
          <w:szCs w:val="21"/>
          <w:highlight w:val="none"/>
        </w:rPr>
      </w:pPr>
    </w:p>
    <w:p w14:paraId="711B209F">
      <w:pPr>
        <w:pStyle w:val="23"/>
        <w:pageBreakBefore w:val="0"/>
        <w:kinsoku/>
        <w:wordWrap w:val="0"/>
        <w:overflowPunct/>
        <w:topLinePunct w:val="0"/>
        <w:bidi w:val="0"/>
        <w:rPr>
          <w:rFonts w:hint="eastAsia" w:ascii="宋体" w:hAnsi="宋体" w:eastAsia="宋体" w:cs="宋体"/>
          <w:color w:val="auto"/>
          <w:spacing w:val="10"/>
          <w:sz w:val="31"/>
          <w:szCs w:val="31"/>
          <w:highlight w:val="none"/>
          <w:lang w:eastAsia="zh-CN"/>
        </w:rPr>
      </w:pPr>
    </w:p>
    <w:p w14:paraId="08E8ABF3">
      <w:pPr>
        <w:rPr>
          <w:rFonts w:hint="eastAsia"/>
          <w:color w:val="auto"/>
          <w:highlight w:val="none"/>
          <w:lang w:eastAsia="zh-CN"/>
        </w:rPr>
      </w:pPr>
    </w:p>
    <w:p w14:paraId="4056B936">
      <w:pPr>
        <w:pageBreakBefore w:val="0"/>
        <w:kinsoku/>
        <w:wordWrap w:val="0"/>
        <w:overflowPunct/>
        <w:topLinePunct w:val="0"/>
        <w:bidi w:val="0"/>
        <w:rPr>
          <w:rFonts w:hint="eastAsia"/>
          <w:color w:val="auto"/>
          <w:highlight w:val="none"/>
          <w:lang w:eastAsia="zh-CN"/>
        </w:rPr>
      </w:pPr>
    </w:p>
    <w:p w14:paraId="70C43CCC">
      <w:pPr>
        <w:pStyle w:val="48"/>
        <w:pageBreakBefore w:val="0"/>
        <w:kinsoku/>
        <w:wordWrap w:val="0"/>
        <w:overflowPunct/>
        <w:topLinePunct w:val="0"/>
        <w:bidi w:val="0"/>
        <w:rPr>
          <w:rFonts w:hint="eastAsia"/>
          <w:color w:val="auto"/>
          <w:highlight w:val="none"/>
          <w:lang w:eastAsia="zh-CN"/>
        </w:rPr>
      </w:pPr>
    </w:p>
    <w:p w14:paraId="0A367C97">
      <w:pPr>
        <w:pStyle w:val="23"/>
        <w:pageBreakBefore w:val="0"/>
        <w:kinsoku/>
        <w:wordWrap w:val="0"/>
        <w:overflowPunct/>
        <w:topLinePunct w:val="0"/>
        <w:bidi w:val="0"/>
        <w:rPr>
          <w:rFonts w:hint="eastAsia"/>
          <w:color w:val="auto"/>
          <w:highlight w:val="none"/>
        </w:rPr>
      </w:pPr>
    </w:p>
    <w:p w14:paraId="18EA0F81">
      <w:pPr>
        <w:pageBreakBefore w:val="0"/>
        <w:kinsoku/>
        <w:wordWrap w:val="0"/>
        <w:overflowPunct/>
        <w:topLinePunct w:val="0"/>
        <w:bidi w:val="0"/>
        <w:jc w:val="center"/>
        <w:outlineLvl w:val="9"/>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招标文件</w:t>
      </w:r>
    </w:p>
    <w:p w14:paraId="2EE978D4">
      <w:pPr>
        <w:pageBreakBefore w:val="0"/>
        <w:kinsoku/>
        <w:wordWrap w:val="0"/>
        <w:overflowPunct/>
        <w:topLinePunct w:val="0"/>
        <w:bidi w:val="0"/>
        <w:outlineLvl w:val="9"/>
        <w:rPr>
          <w:rFonts w:hint="eastAsia" w:ascii="宋体" w:hAnsi="宋体" w:eastAsia="宋体" w:cs="宋体"/>
          <w:color w:val="auto"/>
          <w:sz w:val="22"/>
          <w:szCs w:val="21"/>
          <w:highlight w:val="none"/>
        </w:rPr>
      </w:pPr>
    </w:p>
    <w:p w14:paraId="0B2486BA">
      <w:pPr>
        <w:pageBreakBefore w:val="0"/>
        <w:kinsoku/>
        <w:wordWrap w:val="0"/>
        <w:overflowPunct/>
        <w:topLinePunct w:val="0"/>
        <w:bidi w:val="0"/>
        <w:spacing w:line="360" w:lineRule="auto"/>
        <w:ind w:left="0" w:leftChars="0" w:firstLine="0" w:firstLineChars="0"/>
        <w:jc w:val="center"/>
        <w:outlineLvl w:val="9"/>
        <w:rPr>
          <w:rFonts w:hint="eastAsia" w:ascii="宋体" w:hAnsi="宋体" w:eastAsia="宋体" w:cs="宋体"/>
          <w:b/>
          <w:bCs/>
          <w:color w:val="auto"/>
          <w:highlight w:val="none"/>
          <w:lang w:eastAsia="zh-CN"/>
        </w:rPr>
      </w:pPr>
    </w:p>
    <w:p w14:paraId="137A0F8F">
      <w:pPr>
        <w:pageBreakBefore w:val="0"/>
        <w:kinsoku/>
        <w:wordWrap w:val="0"/>
        <w:overflowPunct/>
        <w:topLinePunct w:val="0"/>
        <w:bidi w:val="0"/>
        <w:spacing w:line="360" w:lineRule="auto"/>
        <w:ind w:left="0" w:leftChars="0" w:firstLine="0" w:firstLineChars="0"/>
        <w:jc w:val="center"/>
        <w:outlineLvl w:val="9"/>
        <w:rPr>
          <w:rFonts w:hint="eastAsia" w:ascii="宋体" w:hAnsi="宋体" w:eastAsia="宋体" w:cs="宋体"/>
          <w:b/>
          <w:bCs/>
          <w:color w:val="auto"/>
          <w:highlight w:val="none"/>
          <w:lang w:eastAsia="zh-CN"/>
        </w:rPr>
      </w:pPr>
    </w:p>
    <w:p w14:paraId="3306A127">
      <w:pPr>
        <w:pageBreakBefore w:val="0"/>
        <w:kinsoku/>
        <w:wordWrap w:val="0"/>
        <w:overflowPunct/>
        <w:topLinePunct w:val="0"/>
        <w:bidi w:val="0"/>
        <w:spacing w:line="360" w:lineRule="auto"/>
        <w:ind w:left="0" w:leftChars="0" w:firstLine="0" w:firstLineChars="0"/>
        <w:jc w:val="center"/>
        <w:outlineLvl w:val="9"/>
        <w:rPr>
          <w:rFonts w:hint="eastAsia" w:ascii="宋体" w:hAnsi="宋体" w:eastAsia="宋体" w:cs="宋体"/>
          <w:b/>
          <w:bCs/>
          <w:color w:val="auto"/>
          <w:highlight w:val="none"/>
          <w:lang w:eastAsia="zh-CN"/>
        </w:rPr>
      </w:pPr>
    </w:p>
    <w:p w14:paraId="6976AF75">
      <w:pPr>
        <w:pageBreakBefore w:val="0"/>
        <w:kinsoku/>
        <w:wordWrap w:val="0"/>
        <w:overflowPunct/>
        <w:topLinePunct w:val="0"/>
        <w:bidi w:val="0"/>
        <w:spacing w:line="360" w:lineRule="auto"/>
        <w:ind w:left="0" w:leftChars="0" w:firstLine="0" w:firstLineChars="0"/>
        <w:jc w:val="center"/>
        <w:outlineLvl w:val="9"/>
        <w:rPr>
          <w:rFonts w:hint="eastAsia" w:ascii="宋体" w:hAnsi="宋体" w:eastAsia="宋体" w:cs="宋体"/>
          <w:b/>
          <w:bCs/>
          <w:color w:val="auto"/>
          <w:highlight w:val="none"/>
          <w:lang w:eastAsia="zh-CN"/>
        </w:rPr>
      </w:pPr>
    </w:p>
    <w:p w14:paraId="3D2E6657">
      <w:pPr>
        <w:pStyle w:val="23"/>
        <w:pageBreakBefore w:val="0"/>
        <w:kinsoku/>
        <w:wordWrap w:val="0"/>
        <w:overflowPunct/>
        <w:topLinePunct w:val="0"/>
        <w:bidi w:val="0"/>
        <w:ind w:left="0" w:leftChars="0" w:firstLine="0" w:firstLineChars="0"/>
        <w:outlineLvl w:val="9"/>
        <w:rPr>
          <w:rFonts w:hint="eastAsia" w:ascii="宋体" w:hAnsi="宋体" w:eastAsia="宋体" w:cs="宋体"/>
          <w:color w:val="auto"/>
          <w:highlight w:val="none"/>
        </w:rPr>
      </w:pPr>
    </w:p>
    <w:p w14:paraId="12269F0F">
      <w:pPr>
        <w:pageBreakBefore w:val="0"/>
        <w:kinsoku/>
        <w:wordWrap w:val="0"/>
        <w:overflowPunct/>
        <w:topLinePunct w:val="0"/>
        <w:bidi w:val="0"/>
        <w:rPr>
          <w:rFonts w:hint="eastAsia" w:ascii="宋体" w:hAnsi="宋体" w:eastAsia="宋体" w:cs="宋体"/>
          <w:color w:val="auto"/>
          <w:highlight w:val="none"/>
        </w:rPr>
      </w:pPr>
    </w:p>
    <w:p w14:paraId="4F6EFE5D">
      <w:pPr>
        <w:pStyle w:val="37"/>
        <w:pageBreakBefore w:val="0"/>
        <w:kinsoku/>
        <w:wordWrap w:val="0"/>
        <w:overflowPunct/>
        <w:topLinePunct w:val="0"/>
        <w:bidi w:val="0"/>
        <w:rPr>
          <w:rFonts w:hint="eastAsia" w:ascii="宋体" w:hAnsi="宋体" w:eastAsia="宋体" w:cs="宋体"/>
          <w:color w:val="auto"/>
          <w:highlight w:val="none"/>
        </w:rPr>
      </w:pPr>
    </w:p>
    <w:p w14:paraId="10A95A43">
      <w:pPr>
        <w:pageBreakBefore w:val="0"/>
        <w:kinsoku/>
        <w:wordWrap w:val="0"/>
        <w:overflowPunct/>
        <w:topLinePunct w:val="0"/>
        <w:bidi w:val="0"/>
        <w:rPr>
          <w:rFonts w:hint="eastAsia" w:ascii="宋体" w:hAnsi="宋体" w:eastAsia="宋体" w:cs="宋体"/>
          <w:color w:val="auto"/>
          <w:highlight w:val="none"/>
        </w:rPr>
      </w:pPr>
    </w:p>
    <w:p w14:paraId="6533D6B2">
      <w:pPr>
        <w:pStyle w:val="37"/>
        <w:pageBreakBefore w:val="0"/>
        <w:kinsoku/>
        <w:wordWrap w:val="0"/>
        <w:overflowPunct/>
        <w:topLinePunct w:val="0"/>
        <w:bidi w:val="0"/>
        <w:rPr>
          <w:rFonts w:hint="eastAsia" w:ascii="宋体" w:hAnsi="宋体" w:eastAsia="宋体" w:cs="宋体"/>
          <w:color w:val="auto"/>
          <w:highlight w:val="none"/>
        </w:rPr>
      </w:pPr>
    </w:p>
    <w:p w14:paraId="6FCE78B0">
      <w:pPr>
        <w:pageBreakBefore w:val="0"/>
        <w:kinsoku/>
        <w:wordWrap w:val="0"/>
        <w:overflowPunct/>
        <w:topLinePunct w:val="0"/>
        <w:bidi w:val="0"/>
        <w:rPr>
          <w:rFonts w:hint="eastAsia" w:ascii="宋体" w:hAnsi="宋体" w:eastAsia="宋体" w:cs="宋体"/>
          <w:color w:val="auto"/>
          <w:highlight w:val="none"/>
        </w:rPr>
      </w:pPr>
    </w:p>
    <w:p w14:paraId="0DB20880">
      <w:pPr>
        <w:pStyle w:val="37"/>
        <w:pageBreakBefore w:val="0"/>
        <w:kinsoku/>
        <w:wordWrap w:val="0"/>
        <w:overflowPunct/>
        <w:topLinePunct w:val="0"/>
        <w:bidi w:val="0"/>
        <w:rPr>
          <w:rFonts w:hint="eastAsia" w:ascii="宋体" w:hAnsi="宋体" w:eastAsia="宋体" w:cs="宋体"/>
          <w:color w:val="auto"/>
          <w:highlight w:val="none"/>
        </w:rPr>
      </w:pPr>
    </w:p>
    <w:p w14:paraId="39A47BE7">
      <w:pPr>
        <w:pageBreakBefore w:val="0"/>
        <w:kinsoku/>
        <w:wordWrap w:val="0"/>
        <w:overflowPunct/>
        <w:topLinePunct w:val="0"/>
        <w:bidi w:val="0"/>
        <w:rPr>
          <w:rFonts w:hint="eastAsia" w:ascii="宋体" w:hAnsi="宋体" w:eastAsia="宋体" w:cs="宋体"/>
          <w:color w:val="auto"/>
          <w:highlight w:val="none"/>
        </w:rPr>
      </w:pPr>
    </w:p>
    <w:p w14:paraId="42FB8B4B">
      <w:pPr>
        <w:pStyle w:val="37"/>
        <w:pageBreakBefore w:val="0"/>
        <w:kinsoku/>
        <w:wordWrap w:val="0"/>
        <w:overflowPunct/>
        <w:topLinePunct w:val="0"/>
        <w:bidi w:val="0"/>
        <w:rPr>
          <w:rFonts w:hint="eastAsia" w:ascii="宋体" w:hAnsi="宋体" w:eastAsia="宋体" w:cs="宋体"/>
          <w:color w:val="auto"/>
          <w:highlight w:val="none"/>
        </w:rPr>
      </w:pPr>
    </w:p>
    <w:p w14:paraId="36C56C66">
      <w:pPr>
        <w:pageBreakBefore w:val="0"/>
        <w:kinsoku/>
        <w:wordWrap w:val="0"/>
        <w:overflowPunct/>
        <w:topLinePunct w:val="0"/>
        <w:bidi w:val="0"/>
        <w:rPr>
          <w:rFonts w:hint="eastAsia"/>
          <w:color w:val="auto"/>
          <w:highlight w:val="none"/>
        </w:rPr>
      </w:pPr>
    </w:p>
    <w:p w14:paraId="2E14F45D">
      <w:pPr>
        <w:pStyle w:val="23"/>
        <w:pageBreakBefore w:val="0"/>
        <w:kinsoku/>
        <w:wordWrap w:val="0"/>
        <w:overflowPunct/>
        <w:topLinePunct w:val="0"/>
        <w:bidi w:val="0"/>
        <w:outlineLvl w:val="9"/>
        <w:rPr>
          <w:rFonts w:hint="eastAsia" w:ascii="宋体" w:hAnsi="宋体" w:eastAsia="宋体" w:cs="宋体"/>
          <w:color w:val="auto"/>
          <w:highlight w:val="none"/>
        </w:rPr>
      </w:pPr>
    </w:p>
    <w:p w14:paraId="204B215E">
      <w:pPr>
        <w:rPr>
          <w:rFonts w:hint="eastAsia" w:ascii="宋体" w:hAnsi="宋体" w:eastAsia="宋体" w:cs="宋体"/>
          <w:color w:val="auto"/>
          <w:highlight w:val="none"/>
        </w:rPr>
      </w:pPr>
    </w:p>
    <w:p w14:paraId="23830888">
      <w:pPr>
        <w:rPr>
          <w:rFonts w:hint="eastAsia" w:ascii="宋体" w:hAnsi="宋体" w:eastAsia="宋体" w:cs="宋体"/>
          <w:color w:val="auto"/>
          <w:highlight w:val="none"/>
        </w:rPr>
      </w:pPr>
    </w:p>
    <w:p w14:paraId="7CA8C878">
      <w:pPr>
        <w:rPr>
          <w:rFonts w:hint="eastAsia" w:ascii="宋体" w:hAnsi="宋体" w:eastAsia="宋体" w:cs="宋体"/>
          <w:color w:val="auto"/>
          <w:highlight w:val="none"/>
        </w:rPr>
      </w:pPr>
    </w:p>
    <w:p w14:paraId="0E592787">
      <w:pPr>
        <w:rPr>
          <w:rFonts w:hint="eastAsia" w:ascii="宋体" w:hAnsi="宋体" w:eastAsia="宋体" w:cs="宋体"/>
          <w:color w:val="auto"/>
          <w:highlight w:val="none"/>
        </w:rPr>
      </w:pPr>
    </w:p>
    <w:p w14:paraId="6AF97889">
      <w:pPr>
        <w:rPr>
          <w:rFonts w:hint="eastAsia" w:ascii="宋体" w:hAnsi="宋体" w:eastAsia="宋体" w:cs="宋体"/>
          <w:color w:val="auto"/>
          <w:highlight w:val="none"/>
        </w:rPr>
      </w:pPr>
    </w:p>
    <w:p w14:paraId="655A188A">
      <w:pPr>
        <w:pStyle w:val="48"/>
        <w:pageBreakBefore w:val="0"/>
        <w:kinsoku/>
        <w:wordWrap w:val="0"/>
        <w:overflowPunct/>
        <w:topLinePunct w:val="0"/>
        <w:bidi w:val="0"/>
        <w:outlineLvl w:val="9"/>
        <w:rPr>
          <w:rFonts w:hint="eastAsia" w:ascii="宋体" w:hAnsi="宋体" w:eastAsia="宋体" w:cs="宋体"/>
          <w:color w:val="auto"/>
          <w:highlight w:val="none"/>
        </w:rPr>
      </w:pPr>
    </w:p>
    <w:p w14:paraId="34E578AB">
      <w:pPr>
        <w:pStyle w:val="46"/>
        <w:keepNext w:val="0"/>
        <w:keepLines w:val="0"/>
        <w:pageBreakBefore w:val="0"/>
        <w:widowControl w:val="0"/>
        <w:kinsoku/>
        <w:wordWrap w:val="0"/>
        <w:overflowPunct/>
        <w:topLinePunct w:val="0"/>
        <w:autoSpaceDE w:val="0"/>
        <w:autoSpaceDN w:val="0"/>
        <w:bidi w:val="0"/>
        <w:adjustRightInd w:val="0"/>
        <w:snapToGrid/>
        <w:spacing w:before="0" w:after="0" w:line="360" w:lineRule="auto"/>
        <w:ind w:right="0" w:rightChars="0" w:firstLine="964" w:firstLineChars="300"/>
        <w:jc w:val="both"/>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 标 人：平舆县老王岗乡人民政府</w:t>
      </w:r>
    </w:p>
    <w:p w14:paraId="06E83991">
      <w:pPr>
        <w:pStyle w:val="46"/>
        <w:keepNext w:val="0"/>
        <w:keepLines w:val="0"/>
        <w:pageBreakBefore w:val="0"/>
        <w:widowControl w:val="0"/>
        <w:kinsoku/>
        <w:wordWrap w:val="0"/>
        <w:overflowPunct/>
        <w:topLinePunct w:val="0"/>
        <w:autoSpaceDE w:val="0"/>
        <w:autoSpaceDN w:val="0"/>
        <w:bidi w:val="0"/>
        <w:adjustRightInd w:val="0"/>
        <w:snapToGrid/>
        <w:spacing w:before="0" w:after="0" w:line="360" w:lineRule="auto"/>
        <w:ind w:right="0" w:rightChars="0" w:firstLine="964" w:firstLineChars="300"/>
        <w:jc w:val="both"/>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代理机构：河南中博项目管理有限公司 </w:t>
      </w:r>
    </w:p>
    <w:p w14:paraId="5C3F3941">
      <w:pPr>
        <w:pStyle w:val="46"/>
        <w:keepNext w:val="0"/>
        <w:keepLines w:val="0"/>
        <w:pageBreakBefore w:val="0"/>
        <w:widowControl w:val="0"/>
        <w:kinsoku/>
        <w:wordWrap w:val="0"/>
        <w:overflowPunct/>
        <w:topLinePunct w:val="0"/>
        <w:autoSpaceDE w:val="0"/>
        <w:autoSpaceDN w:val="0"/>
        <w:bidi w:val="0"/>
        <w:adjustRightInd w:val="0"/>
        <w:snapToGrid/>
        <w:spacing w:before="0" w:after="0" w:line="360" w:lineRule="auto"/>
        <w:ind w:right="0" w:rightChars="0" w:firstLine="964" w:firstLineChars="300"/>
        <w:jc w:val="both"/>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日    期：2026年</w:t>
      </w:r>
      <w:r>
        <w:rPr>
          <w:rFonts w:hint="eastAsia" w:ascii="宋体" w:hAnsi="宋体" w:eastAsia="宋体" w:cs="宋体"/>
          <w:b/>
          <w:bCs/>
          <w:color w:val="auto"/>
          <w:sz w:val="32"/>
          <w:szCs w:val="32"/>
          <w:highlight w:val="none"/>
          <w:lang w:val="en-US" w:eastAsia="zh-CN"/>
        </w:rPr>
        <w:t>8</w:t>
      </w:r>
      <w:r>
        <w:rPr>
          <w:rFonts w:hint="eastAsia" w:ascii="宋体" w:hAnsi="宋体" w:eastAsia="宋体" w:cs="宋体"/>
          <w:b/>
          <w:bCs/>
          <w:color w:val="auto"/>
          <w:sz w:val="32"/>
          <w:szCs w:val="32"/>
          <w:highlight w:val="none"/>
        </w:rPr>
        <w:t>月</w:t>
      </w:r>
    </w:p>
    <w:p w14:paraId="7B16EE0B">
      <w:pPr>
        <w:pStyle w:val="48"/>
        <w:pageBreakBefore w:val="0"/>
        <w:kinsoku/>
        <w:wordWrap w:val="0"/>
        <w:overflowPunct/>
        <w:topLinePunct w:val="0"/>
        <w:bidi w:val="0"/>
        <w:outlineLvl w:val="9"/>
        <w:rPr>
          <w:rFonts w:hint="eastAsia" w:ascii="宋体" w:hAnsi="宋体" w:eastAsia="宋体" w:cs="宋体"/>
          <w:color w:val="auto"/>
          <w:sz w:val="32"/>
          <w:szCs w:val="32"/>
          <w:highlight w:val="none"/>
          <w:u w:val="single"/>
          <w:lang w:val="en-US" w:eastAsia="zh-CN"/>
        </w:rPr>
      </w:pPr>
    </w:p>
    <w:p w14:paraId="18C695F9">
      <w:pPr>
        <w:pStyle w:val="48"/>
        <w:pageBreakBefore w:val="0"/>
        <w:kinsoku/>
        <w:wordWrap w:val="0"/>
        <w:overflowPunct/>
        <w:topLinePunct w:val="0"/>
        <w:bidi w:val="0"/>
        <w:outlineLvl w:val="9"/>
        <w:rPr>
          <w:rFonts w:hint="eastAsia" w:ascii="宋体" w:hAnsi="宋体" w:eastAsia="宋体" w:cs="宋体"/>
          <w:color w:val="auto"/>
          <w:sz w:val="32"/>
          <w:szCs w:val="32"/>
          <w:highlight w:val="none"/>
          <w:u w:val="single"/>
          <w:lang w:val="en-US" w:eastAsia="zh-CN"/>
        </w:rPr>
      </w:pPr>
    </w:p>
    <w:bookmarkEnd w:id="0"/>
    <w:bookmarkEnd w:id="1"/>
    <w:bookmarkEnd w:id="2"/>
    <w:bookmarkEnd w:id="3"/>
    <w:bookmarkEnd w:id="4"/>
    <w:bookmarkEnd w:id="5"/>
    <w:bookmarkEnd w:id="6"/>
    <w:bookmarkEnd w:id="7"/>
    <w:bookmarkEnd w:id="8"/>
    <w:p w14:paraId="56F4BEFE">
      <w:pPr>
        <w:pageBreakBefore w:val="0"/>
        <w:kinsoku/>
        <w:wordWrap w:val="0"/>
        <w:overflowPunct/>
        <w:topLinePunct w:val="0"/>
        <w:bidi w:val="0"/>
        <w:jc w:val="center"/>
        <w:outlineLvl w:val="0"/>
        <w:rPr>
          <w:rFonts w:ascii="宋体" w:hAnsi="宋体" w:cs="宋体"/>
          <w:b/>
          <w:color w:val="auto"/>
          <w:sz w:val="36"/>
          <w:highlight w:val="none"/>
        </w:rPr>
      </w:pPr>
      <w:bookmarkStart w:id="9" w:name="_Toc8710"/>
      <w:bookmarkStart w:id="10" w:name="_Toc10783"/>
      <w:bookmarkStart w:id="11" w:name="_Toc10967"/>
      <w:bookmarkStart w:id="12" w:name="_Toc6560"/>
      <w:bookmarkStart w:id="13" w:name="_Toc272772545"/>
      <w:bookmarkStart w:id="14" w:name="_Toc227492215"/>
      <w:bookmarkStart w:id="15" w:name="_Toc214433858"/>
      <w:bookmarkStart w:id="16" w:name="_Toc227657458"/>
      <w:r>
        <w:rPr>
          <w:rFonts w:hint="eastAsia" w:ascii="宋体" w:hAnsi="宋体" w:cs="宋体"/>
          <w:b/>
          <w:color w:val="auto"/>
          <w:sz w:val="36"/>
          <w:highlight w:val="none"/>
        </w:rPr>
        <w:t>招标代理项目部人员组成</w:t>
      </w:r>
    </w:p>
    <w:p w14:paraId="2EDC4B29">
      <w:pPr>
        <w:pStyle w:val="32"/>
        <w:pageBreakBefore w:val="0"/>
        <w:kinsoku/>
        <w:wordWrap w:val="0"/>
        <w:overflowPunct/>
        <w:topLinePunct w:val="0"/>
        <w:bidi w:val="0"/>
        <w:rPr>
          <w:rFonts w:ascii="宋体" w:hAnsi="宋体" w:cs="宋体"/>
          <w:color w:val="auto"/>
          <w:highlight w:val="none"/>
        </w:rPr>
      </w:pPr>
    </w:p>
    <w:p w14:paraId="2993D127">
      <w:pPr>
        <w:pStyle w:val="32"/>
        <w:pageBreakBefore w:val="0"/>
        <w:kinsoku/>
        <w:wordWrap w:val="0"/>
        <w:overflowPunct/>
        <w:topLinePunct w:val="0"/>
        <w:bidi w:val="0"/>
        <w:rPr>
          <w:rFonts w:ascii="宋体" w:hAnsi="宋体" w:cs="宋体"/>
          <w:color w:val="auto"/>
          <w:sz w:val="28"/>
          <w:szCs w:val="28"/>
          <w:highlight w:val="none"/>
        </w:rPr>
      </w:pPr>
    </w:p>
    <w:p w14:paraId="44A281D6">
      <w:pPr>
        <w:numPr>
          <w:ilvl w:val="0"/>
          <w:numId w:val="0"/>
        </w:numPr>
        <w:tabs>
          <w:tab w:val="left" w:pos="899"/>
        </w:tabs>
        <w:spacing w:line="360" w:lineRule="auto"/>
        <w:ind w:left="899" w:leftChars="0" w:right="-34" w:rightChars="-16" w:hanging="720" w:firstLineChars="0"/>
        <w:rPr>
          <w:rFonts w:hint="default" w:ascii="宋体" w:hAnsi="宋体" w:eastAsia="宋体" w:cs="宋体"/>
          <w:color w:val="auto"/>
          <w:sz w:val="28"/>
          <w:szCs w:val="28"/>
          <w:highlight w:val="none"/>
          <w:lang w:val="en-US"/>
        </w:rPr>
      </w:pPr>
      <w:r>
        <w:rPr>
          <w:rFonts w:hint="default" w:ascii="宋体" w:hAnsi="宋体" w:eastAsia="宋体" w:cs="宋体"/>
          <w:color w:val="auto"/>
          <w:kern w:val="2"/>
          <w:sz w:val="28"/>
          <w:szCs w:val="28"/>
          <w:highlight w:val="none"/>
          <w:lang w:val="en-US" w:eastAsia="zh-CN" w:bidi="ar-SA"/>
        </w:rPr>
        <w:t>一、</w:t>
      </w:r>
      <w:r>
        <w:rPr>
          <w:rFonts w:hint="eastAsia" w:ascii="宋体" w:hAnsi="宋体" w:eastAsia="宋体" w:cs="宋体"/>
          <w:color w:val="auto"/>
          <w:sz w:val="28"/>
          <w:szCs w:val="28"/>
          <w:highlight w:val="none"/>
        </w:rPr>
        <w:t>项目负责人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付松旺 </w:t>
      </w:r>
    </w:p>
    <w:p w14:paraId="10CA1633">
      <w:pPr>
        <w:tabs>
          <w:tab w:val="left" w:pos="899"/>
        </w:tabs>
        <w:spacing w:line="360" w:lineRule="auto"/>
        <w:ind w:left="179" w:right="-34" w:rightChars="-16" w:firstLine="560" w:firstLineChars="200"/>
        <w:jc w:val="left"/>
        <w:rPr>
          <w:rFonts w:hint="eastAsia" w:ascii="宋体" w:hAnsi="宋体" w:eastAsia="宋体" w:cs="宋体"/>
          <w:color w:val="auto"/>
          <w:sz w:val="28"/>
          <w:szCs w:val="28"/>
          <w:highlight w:val="none"/>
        </w:rPr>
      </w:pPr>
    </w:p>
    <w:p w14:paraId="156EC6A9">
      <w:pPr>
        <w:tabs>
          <w:tab w:val="left" w:pos="899"/>
        </w:tabs>
        <w:spacing w:line="360" w:lineRule="auto"/>
        <w:ind w:left="179" w:right="-34" w:rightChars="-16"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（建设类注册执业（职业</w:t>
      </w:r>
      <w:r>
        <w:rPr>
          <w:rFonts w:hint="eastAsia" w:ascii="宋体" w:hAnsi="宋体" w:eastAsia="宋体" w:cs="宋体"/>
          <w:color w:val="auto"/>
          <w:sz w:val="28"/>
          <w:szCs w:val="28"/>
          <w:highlight w:val="none"/>
          <w:lang w:val="en-US" w:eastAsia="zh-CN"/>
        </w:rPr>
        <w:t>或职称</w:t>
      </w:r>
      <w:r>
        <w:rPr>
          <w:rFonts w:hint="eastAsia" w:ascii="宋体" w:hAnsi="宋体" w:eastAsia="宋体" w:cs="宋体"/>
          <w:color w:val="auto"/>
          <w:sz w:val="28"/>
          <w:szCs w:val="28"/>
          <w:highlight w:val="none"/>
        </w:rPr>
        <w:t>）资格证号</w:t>
      </w:r>
      <w:r>
        <w:rPr>
          <w:rFonts w:hint="eastAsia" w:ascii="宋体" w:hAnsi="宋体" w:eastAsia="宋体" w:cs="宋体"/>
          <w:color w:val="auto"/>
          <w:sz w:val="28"/>
          <w:szCs w:val="28"/>
          <w:highlight w:val="none"/>
          <w:u w:val="single"/>
          <w:lang w:val="en-US" w:eastAsia="zh-CN"/>
        </w:rPr>
        <w:t>C</w:t>
      </w:r>
      <w:r>
        <w:rPr>
          <w:rFonts w:hint="eastAsia" w:ascii="宋体" w:hAnsi="宋体" w:eastAsia="宋体" w:cs="宋体"/>
          <w:color w:val="auto"/>
          <w:sz w:val="28"/>
          <w:szCs w:val="28"/>
          <w:highlight w:val="none"/>
          <w:u w:val="single"/>
        </w:rPr>
        <w:t xml:space="preserve">20220970119907800314 </w:t>
      </w:r>
      <w:r>
        <w:rPr>
          <w:rFonts w:hint="eastAsia" w:ascii="宋体" w:hAnsi="宋体" w:eastAsia="宋体" w:cs="宋体"/>
          <w:color w:val="auto"/>
          <w:sz w:val="28"/>
          <w:szCs w:val="28"/>
          <w:highlight w:val="none"/>
        </w:rPr>
        <w:t>）</w:t>
      </w:r>
    </w:p>
    <w:p w14:paraId="65890454">
      <w:pPr>
        <w:spacing w:line="360" w:lineRule="auto"/>
        <w:ind w:left="178" w:leftChars="85" w:right="-34" w:rightChars="-16" w:firstLine="420" w:firstLineChars="150"/>
        <w:rPr>
          <w:rFonts w:hint="eastAsia" w:ascii="宋体" w:hAnsi="宋体" w:eastAsia="宋体" w:cs="宋体"/>
          <w:color w:val="auto"/>
          <w:sz w:val="28"/>
          <w:szCs w:val="28"/>
          <w:highlight w:val="none"/>
        </w:rPr>
      </w:pPr>
    </w:p>
    <w:p w14:paraId="0AB5B95B">
      <w:pPr>
        <w:numPr>
          <w:ilvl w:val="0"/>
          <w:numId w:val="0"/>
        </w:numPr>
        <w:tabs>
          <w:tab w:val="left" w:pos="899"/>
        </w:tabs>
        <w:spacing w:line="360" w:lineRule="auto"/>
        <w:ind w:left="899" w:leftChars="0" w:right="-34" w:rightChars="-16" w:hanging="720" w:firstLineChars="0"/>
        <w:rPr>
          <w:rFonts w:hint="eastAsia" w:ascii="宋体" w:hAnsi="宋体" w:eastAsia="宋体" w:cs="宋体"/>
          <w:color w:val="auto"/>
          <w:sz w:val="28"/>
          <w:szCs w:val="28"/>
          <w:highlight w:val="none"/>
        </w:rPr>
      </w:pPr>
      <w:r>
        <w:rPr>
          <w:rFonts w:hint="default" w:ascii="宋体" w:hAnsi="宋体" w:eastAsia="宋体" w:cs="宋体"/>
          <w:color w:val="auto"/>
          <w:kern w:val="2"/>
          <w:sz w:val="28"/>
          <w:szCs w:val="28"/>
          <w:highlight w:val="none"/>
          <w:lang w:val="en-US" w:eastAsia="zh-CN" w:bidi="ar-SA"/>
        </w:rPr>
        <w:t>二、</w:t>
      </w:r>
      <w:r>
        <w:rPr>
          <w:rFonts w:hint="eastAsia" w:ascii="宋体" w:hAnsi="宋体" w:eastAsia="宋体" w:cs="宋体"/>
          <w:color w:val="auto"/>
          <w:sz w:val="28"/>
          <w:szCs w:val="28"/>
          <w:highlight w:val="none"/>
        </w:rPr>
        <w:t>其他人员</w:t>
      </w:r>
    </w:p>
    <w:p w14:paraId="2CEF0AF5">
      <w:pPr>
        <w:spacing w:before="480" w:beforeLines="200" w:after="480" w:afterLines="200" w:line="360" w:lineRule="auto"/>
        <w:ind w:left="178" w:leftChars="85" w:right="-34" w:rightChars="-16"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1、姓名：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尤盈坤</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 xml:space="preserve"> Z4501003787 </w:t>
      </w:r>
      <w:r>
        <w:rPr>
          <w:rFonts w:hint="eastAsia" w:ascii="宋体" w:hAnsi="宋体" w:eastAsia="宋体" w:cs="宋体"/>
          <w:color w:val="auto"/>
          <w:sz w:val="28"/>
          <w:szCs w:val="28"/>
          <w:highlight w:val="none"/>
        </w:rPr>
        <w:t>（职业资格或岗位证号）</w:t>
      </w:r>
    </w:p>
    <w:p w14:paraId="5777F5C0">
      <w:pPr>
        <w:spacing w:before="480" w:beforeLines="200" w:after="480" w:afterLines="200" w:line="360" w:lineRule="auto"/>
        <w:ind w:left="178" w:leftChars="85" w:right="-34" w:rightChars="-16"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2、姓名：</w:t>
      </w:r>
      <w:r>
        <w:rPr>
          <w:rFonts w:hint="eastAsia" w:ascii="宋体" w:hAnsi="宋体" w:eastAsia="宋体" w:cs="宋体"/>
          <w:color w:val="auto"/>
          <w:sz w:val="28"/>
          <w:szCs w:val="28"/>
          <w:highlight w:val="none"/>
          <w:u w:val="single"/>
        </w:rPr>
        <w:t xml:space="preserve"> 姚贺元</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Z45020250824</w:t>
      </w:r>
      <w:r>
        <w:rPr>
          <w:rFonts w:hint="eastAsia" w:ascii="宋体" w:hAnsi="宋体" w:eastAsia="宋体" w:cs="宋体"/>
          <w:color w:val="auto"/>
          <w:sz w:val="28"/>
          <w:szCs w:val="28"/>
          <w:highlight w:val="none"/>
        </w:rPr>
        <w:t>（职业资格或岗位证号）</w:t>
      </w:r>
    </w:p>
    <w:p w14:paraId="561AD019">
      <w:pPr>
        <w:spacing w:before="480" w:beforeLines="200" w:after="480" w:afterLines="200" w:line="360" w:lineRule="auto"/>
        <w:ind w:left="178" w:leftChars="85" w:right="-34" w:rightChars="-16"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3、姓名：</w:t>
      </w:r>
      <w:r>
        <w:rPr>
          <w:rFonts w:hint="eastAsia" w:ascii="宋体" w:hAnsi="宋体" w:eastAsia="宋体" w:cs="宋体"/>
          <w:color w:val="auto"/>
          <w:sz w:val="28"/>
          <w:szCs w:val="28"/>
          <w:highlight w:val="none"/>
          <w:u w:val="single"/>
        </w:rPr>
        <w:t xml:space="preserve"> 邱亚南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Z45020250825</w:t>
      </w:r>
      <w:r>
        <w:rPr>
          <w:rFonts w:hint="eastAsia" w:ascii="宋体" w:hAnsi="宋体" w:eastAsia="宋体" w:cs="宋体"/>
          <w:color w:val="auto"/>
          <w:sz w:val="28"/>
          <w:szCs w:val="28"/>
          <w:highlight w:val="none"/>
        </w:rPr>
        <w:t>（职业资格或岗位证号）</w:t>
      </w:r>
    </w:p>
    <w:p w14:paraId="420E26B8">
      <w:pPr>
        <w:pageBreakBefore w:val="0"/>
        <w:kinsoku/>
        <w:wordWrap w:val="0"/>
        <w:overflowPunct/>
        <w:topLinePunct w:val="0"/>
        <w:bidi w:val="0"/>
        <w:spacing w:line="400" w:lineRule="exact"/>
        <w:ind w:left="3870" w:leftChars="380" w:right="-34" w:rightChars="-16" w:hanging="3072" w:hangingChars="850"/>
        <w:jc w:val="center"/>
        <w:outlineLvl w:val="9"/>
        <w:rPr>
          <w:rFonts w:hint="eastAsia" w:ascii="宋体" w:hAnsi="宋体" w:eastAsia="宋体" w:cs="宋体"/>
          <w:b/>
          <w:bCs/>
          <w:color w:val="auto"/>
          <w:sz w:val="36"/>
          <w:szCs w:val="36"/>
          <w:highlight w:val="none"/>
        </w:rPr>
        <w:sectPr>
          <w:footerReference r:id="rId4" w:type="first"/>
          <w:headerReference r:id="rId3" w:type="default"/>
          <w:pgSz w:w="11905" w:h="16838"/>
          <w:pgMar w:top="1531" w:right="1498" w:bottom="1531" w:left="1387" w:header="1077" w:footer="1077" w:gutter="0"/>
          <w:pgNumType w:fmt="decimal" w:start="1"/>
          <w:cols w:space="720" w:num="1"/>
          <w:rtlGutter w:val="0"/>
          <w:docGrid w:linePitch="1" w:charSpace="0"/>
        </w:sectPr>
      </w:pPr>
    </w:p>
    <w:p w14:paraId="75053C00">
      <w:pPr>
        <w:pageBreakBefore w:val="0"/>
        <w:kinsoku/>
        <w:wordWrap w:val="0"/>
        <w:overflowPunct/>
        <w:topLinePunct w:val="0"/>
        <w:bidi w:val="0"/>
        <w:spacing w:line="400" w:lineRule="exact"/>
        <w:ind w:left="3870" w:leftChars="380" w:right="-34" w:rightChars="-16" w:hanging="3072" w:hangingChars="850"/>
        <w:jc w:val="center"/>
        <w:outlineLvl w:val="9"/>
        <w:rPr>
          <w:rFonts w:hint="eastAsia" w:ascii="宋体" w:hAnsi="宋体" w:eastAsia="宋体" w:cs="宋体"/>
          <w:b/>
          <w:color w:val="auto"/>
          <w:kern w:val="0"/>
          <w:sz w:val="32"/>
          <w:szCs w:val="32"/>
          <w:highlight w:val="none"/>
        </w:rPr>
      </w:pPr>
      <w:r>
        <w:rPr>
          <w:rFonts w:hint="eastAsia" w:ascii="宋体" w:hAnsi="宋体" w:eastAsia="宋体" w:cs="宋体"/>
          <w:b/>
          <w:bCs/>
          <w:color w:val="auto"/>
          <w:sz w:val="36"/>
          <w:szCs w:val="36"/>
          <w:highlight w:val="none"/>
        </w:rPr>
        <w:t>目  录</w:t>
      </w:r>
    </w:p>
    <w:bookmarkEnd w:id="9"/>
    <w:bookmarkEnd w:id="10"/>
    <w:p w14:paraId="799ADDF4">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b/>
          <w:color w:val="auto"/>
          <w:kern w:val="0"/>
          <w:sz w:val="44"/>
          <w:highlight w:val="none"/>
        </w:rPr>
        <w:fldChar w:fldCharType="begin"/>
      </w:r>
      <w:r>
        <w:rPr>
          <w:rFonts w:hint="eastAsia" w:ascii="宋体" w:hAnsi="宋体" w:eastAsia="宋体" w:cs="宋体"/>
          <w:b/>
          <w:color w:val="auto"/>
          <w:kern w:val="0"/>
          <w:sz w:val="44"/>
          <w:highlight w:val="none"/>
        </w:rPr>
        <w:instrText xml:space="preserve"> TOC \o "1-3" \h \z \u </w:instrText>
      </w:r>
      <w:r>
        <w:rPr>
          <w:rFonts w:hint="eastAsia" w:ascii="宋体" w:hAnsi="宋体" w:eastAsia="宋体" w:cs="宋体"/>
          <w:b/>
          <w:color w:val="auto"/>
          <w:kern w:val="0"/>
          <w:sz w:val="44"/>
          <w:highlight w:val="none"/>
        </w:rPr>
        <w:fldChar w:fldCharType="separate"/>
      </w:r>
      <w:r>
        <w:rPr>
          <w:rFonts w:hint="eastAsia" w:ascii="宋体" w:hAnsi="宋体" w:eastAsia="宋体" w:cs="宋体"/>
          <w:b/>
          <w:color w:val="auto"/>
          <w:kern w:val="0"/>
          <w:sz w:val="44"/>
          <w:highlight w:val="none"/>
        </w:rPr>
        <w:fldChar w:fldCharType="begin"/>
      </w:r>
      <w:r>
        <w:rPr>
          <w:rFonts w:hint="eastAsia" w:ascii="宋体" w:hAnsi="宋体" w:eastAsia="宋体" w:cs="宋体"/>
          <w:b/>
          <w:color w:val="auto"/>
          <w:kern w:val="0"/>
          <w:sz w:val="44"/>
          <w:highlight w:val="none"/>
        </w:rPr>
        <w:instrText xml:space="preserve"> TOC \o "1-3" \h \z \u </w:instrText>
      </w:r>
      <w:r>
        <w:rPr>
          <w:rFonts w:hint="eastAsia" w:ascii="宋体" w:hAnsi="宋体" w:eastAsia="宋体" w:cs="宋体"/>
          <w:b/>
          <w:color w:val="auto"/>
          <w:kern w:val="0"/>
          <w:sz w:val="44"/>
          <w:highlight w:val="none"/>
        </w:rPr>
        <w:fldChar w:fldCharType="separate"/>
      </w: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_Toc10967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_Toc10967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kern w:val="0"/>
          <w:highlight w:val="none"/>
        </w:rPr>
        <w:fldChar w:fldCharType="end"/>
      </w:r>
    </w:p>
    <w:p w14:paraId="29793BAD">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_Toc16653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highlight w:val="none"/>
        </w:rPr>
        <w:t>第二章 投标人须知</w:t>
      </w:r>
      <w:r>
        <w:rPr>
          <w:color w:val="auto"/>
          <w:highlight w:val="none"/>
        </w:rPr>
        <w:tab/>
      </w:r>
      <w:r>
        <w:rPr>
          <w:rFonts w:hint="eastAsia"/>
          <w:color w:val="auto"/>
          <w:highlight w:val="none"/>
          <w:lang w:val="en-US" w:eastAsia="zh-CN"/>
        </w:rPr>
        <w:t>6</w:t>
      </w:r>
      <w:r>
        <w:rPr>
          <w:rFonts w:hint="eastAsia" w:ascii="宋体" w:hAnsi="宋体" w:eastAsia="宋体" w:cs="宋体"/>
          <w:color w:val="auto"/>
          <w:kern w:val="0"/>
          <w:highlight w:val="none"/>
        </w:rPr>
        <w:fldChar w:fldCharType="end"/>
      </w:r>
    </w:p>
    <w:p w14:paraId="1B76AE98">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_Toc28954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投标人须知前附表</w:t>
      </w:r>
      <w:r>
        <w:rPr>
          <w:color w:val="auto"/>
          <w:highlight w:val="none"/>
        </w:rPr>
        <w:tab/>
      </w:r>
      <w:r>
        <w:rPr>
          <w:rFonts w:hint="eastAsia"/>
          <w:color w:val="auto"/>
          <w:highlight w:val="none"/>
          <w:lang w:val="en-US" w:eastAsia="zh-CN"/>
        </w:rPr>
        <w:t>6</w:t>
      </w:r>
      <w:r>
        <w:rPr>
          <w:rFonts w:hint="eastAsia" w:ascii="宋体" w:hAnsi="宋体" w:eastAsia="宋体" w:cs="宋体"/>
          <w:color w:val="auto"/>
          <w:kern w:val="0"/>
          <w:highlight w:val="none"/>
        </w:rPr>
        <w:fldChar w:fldCharType="end"/>
      </w:r>
    </w:p>
    <w:p w14:paraId="288507AA">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_Toc19290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szCs w:val="28"/>
          <w:highlight w:val="none"/>
        </w:rPr>
        <w:t>1. 总则</w:t>
      </w:r>
      <w:r>
        <w:rPr>
          <w:color w:val="auto"/>
          <w:highlight w:val="none"/>
        </w:rPr>
        <w:tab/>
      </w:r>
      <w:r>
        <w:rPr>
          <w:color w:val="auto"/>
          <w:highlight w:val="none"/>
        </w:rPr>
        <w:fldChar w:fldCharType="begin"/>
      </w:r>
      <w:r>
        <w:rPr>
          <w:color w:val="auto"/>
          <w:highlight w:val="none"/>
        </w:rPr>
        <w:instrText xml:space="preserve"> PAGEREF _Toc19290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eastAsia="宋体" w:cs="宋体"/>
          <w:color w:val="auto"/>
          <w:kern w:val="0"/>
          <w:highlight w:val="none"/>
        </w:rPr>
        <w:fldChar w:fldCharType="end"/>
      </w:r>
    </w:p>
    <w:p w14:paraId="39EACCDB">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_Toc30230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kern w:val="0"/>
          <w:szCs w:val="24"/>
          <w:highlight w:val="none"/>
        </w:rPr>
        <w:t>2. 招标文件</w:t>
      </w:r>
      <w:r>
        <w:rPr>
          <w:color w:val="auto"/>
          <w:highlight w:val="none"/>
        </w:rPr>
        <w:tab/>
      </w:r>
      <w:r>
        <w:rPr>
          <w:color w:val="auto"/>
          <w:highlight w:val="none"/>
        </w:rPr>
        <w:fldChar w:fldCharType="begin"/>
      </w:r>
      <w:r>
        <w:rPr>
          <w:color w:val="auto"/>
          <w:highlight w:val="none"/>
        </w:rPr>
        <w:instrText xml:space="preserve"> PAGEREF _Toc30230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kern w:val="0"/>
          <w:highlight w:val="none"/>
        </w:rPr>
        <w:fldChar w:fldCharType="end"/>
      </w:r>
    </w:p>
    <w:p w14:paraId="2EA0F612">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_Toc8029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szCs w:val="24"/>
          <w:highlight w:val="none"/>
        </w:rPr>
        <w:t>3. 投标文件</w:t>
      </w:r>
      <w:r>
        <w:rPr>
          <w:color w:val="auto"/>
          <w:highlight w:val="none"/>
        </w:rPr>
        <w:tab/>
      </w:r>
      <w:r>
        <w:rPr>
          <w:color w:val="auto"/>
          <w:highlight w:val="none"/>
        </w:rPr>
        <w:fldChar w:fldCharType="begin"/>
      </w:r>
      <w:r>
        <w:rPr>
          <w:color w:val="auto"/>
          <w:highlight w:val="none"/>
        </w:rPr>
        <w:instrText xml:space="preserve"> PAGEREF _Toc8029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color w:val="auto"/>
          <w:kern w:val="0"/>
          <w:highlight w:val="none"/>
        </w:rPr>
        <w:fldChar w:fldCharType="end"/>
      </w:r>
    </w:p>
    <w:p w14:paraId="007DFC18">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_Toc25930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szCs w:val="28"/>
          <w:highlight w:val="none"/>
        </w:rPr>
        <w:t>4. 投标</w:t>
      </w:r>
      <w:r>
        <w:rPr>
          <w:color w:val="auto"/>
          <w:highlight w:val="none"/>
        </w:rPr>
        <w:tab/>
      </w:r>
      <w:r>
        <w:rPr>
          <w:rFonts w:hint="eastAsia"/>
          <w:color w:val="auto"/>
          <w:highlight w:val="none"/>
          <w:lang w:val="en-US" w:eastAsia="zh-CN"/>
        </w:rPr>
        <w:t>2</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0</w:t>
      </w:r>
    </w:p>
    <w:p w14:paraId="3707752C">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_Toc21417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kern w:val="0"/>
          <w:szCs w:val="24"/>
          <w:highlight w:val="none"/>
        </w:rPr>
        <w:t>5. 开标</w:t>
      </w:r>
      <w:r>
        <w:rPr>
          <w:color w:val="auto"/>
          <w:highlight w:val="none"/>
        </w:rPr>
        <w:tab/>
      </w:r>
      <w:r>
        <w:rPr>
          <w:rFonts w:hint="eastAsia"/>
          <w:color w:val="auto"/>
          <w:highlight w:val="none"/>
          <w:lang w:val="en-US" w:eastAsia="zh-CN"/>
        </w:rPr>
        <w:t>2</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1</w:t>
      </w:r>
    </w:p>
    <w:p w14:paraId="3127F762">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_Toc30660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szCs w:val="24"/>
          <w:highlight w:val="none"/>
        </w:rPr>
        <w:t>6. 评标</w:t>
      </w:r>
      <w:r>
        <w:rPr>
          <w:color w:val="auto"/>
          <w:highlight w:val="none"/>
        </w:rPr>
        <w:tab/>
      </w:r>
      <w:r>
        <w:rPr>
          <w:rFonts w:hint="eastAsia"/>
          <w:color w:val="auto"/>
          <w:highlight w:val="none"/>
          <w:lang w:val="en-US" w:eastAsia="zh-CN"/>
        </w:rPr>
        <w:t>2</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1</w:t>
      </w:r>
    </w:p>
    <w:p w14:paraId="2F78C11F">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_Toc28350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szCs w:val="24"/>
          <w:highlight w:val="none"/>
        </w:rPr>
        <w:t>7. 合同授予</w:t>
      </w:r>
      <w:r>
        <w:rPr>
          <w:color w:val="auto"/>
          <w:highlight w:val="none"/>
        </w:rPr>
        <w:tab/>
      </w:r>
      <w:r>
        <w:rPr>
          <w:rFonts w:hint="eastAsia"/>
          <w:color w:val="auto"/>
          <w:highlight w:val="none"/>
          <w:lang w:val="en-US" w:eastAsia="zh-CN"/>
        </w:rPr>
        <w:t>2</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2</w:t>
      </w:r>
    </w:p>
    <w:p w14:paraId="3F4E00BC">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_Toc3362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kern w:val="0"/>
          <w:szCs w:val="24"/>
          <w:highlight w:val="none"/>
        </w:rPr>
        <w:t>8. 重新招标和不再招标</w:t>
      </w:r>
      <w:r>
        <w:rPr>
          <w:color w:val="auto"/>
          <w:highlight w:val="none"/>
        </w:rPr>
        <w:tab/>
      </w:r>
      <w:r>
        <w:rPr>
          <w:color w:val="auto"/>
          <w:highlight w:val="none"/>
        </w:rPr>
        <w:fldChar w:fldCharType="begin"/>
      </w:r>
      <w:r>
        <w:rPr>
          <w:color w:val="auto"/>
          <w:highlight w:val="none"/>
        </w:rPr>
        <w:instrText xml:space="preserve"> PAGEREF _Toc3362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kern w:val="0"/>
          <w:highlight w:val="none"/>
        </w:rPr>
        <w:fldChar w:fldCharType="end"/>
      </w:r>
    </w:p>
    <w:p w14:paraId="3E16317E">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_Toc24685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kern w:val="0"/>
          <w:szCs w:val="24"/>
          <w:highlight w:val="none"/>
        </w:rPr>
        <w:t>9. 纪律和监督</w:t>
      </w:r>
      <w:r>
        <w:rPr>
          <w:color w:val="auto"/>
          <w:highlight w:val="none"/>
        </w:rPr>
        <w:tab/>
      </w:r>
      <w:r>
        <w:rPr>
          <w:rFonts w:hint="eastAsia"/>
          <w:color w:val="auto"/>
          <w:highlight w:val="none"/>
          <w:lang w:val="en-US" w:eastAsia="zh-CN"/>
        </w:rPr>
        <w:t>2</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4</w:t>
      </w:r>
    </w:p>
    <w:p w14:paraId="6C21A8A9">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_Toc29145 </w:instrText>
      </w:r>
      <w:r>
        <w:rPr>
          <w:rFonts w:hint="eastAsia" w:ascii="宋体" w:hAnsi="宋体" w:eastAsia="宋体" w:cs="宋体"/>
          <w:color w:val="auto"/>
          <w:kern w:val="0"/>
          <w:highlight w:val="none"/>
        </w:rPr>
        <w:fldChar w:fldCharType="separate"/>
      </w:r>
      <w:r>
        <w:rPr>
          <w:rFonts w:hint="eastAsia" w:ascii="宋体" w:hAnsi="宋体" w:eastAsia="宋体" w:cs="宋体"/>
          <w:bCs/>
          <w:color w:val="auto"/>
          <w:kern w:val="0"/>
          <w:szCs w:val="24"/>
          <w:highlight w:val="none"/>
        </w:rPr>
        <w:t>10. 需要补充的其他内容</w:t>
      </w:r>
      <w:r>
        <w:rPr>
          <w:color w:val="auto"/>
          <w:highlight w:val="none"/>
        </w:rPr>
        <w:tab/>
      </w:r>
      <w:r>
        <w:rPr>
          <w:color w:val="auto"/>
          <w:highlight w:val="none"/>
        </w:rPr>
        <w:fldChar w:fldCharType="begin"/>
      </w:r>
      <w:r>
        <w:rPr>
          <w:color w:val="auto"/>
          <w:highlight w:val="none"/>
        </w:rPr>
        <w:instrText xml:space="preserve"> PAGEREF _Toc29145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eastAsia="宋体" w:cs="宋体"/>
          <w:color w:val="auto"/>
          <w:kern w:val="0"/>
          <w:highlight w:val="none"/>
        </w:rPr>
        <w:fldChar w:fldCharType="end"/>
      </w:r>
    </w:p>
    <w:p w14:paraId="2F05F15B">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_Toc6044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第三章</w:t>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rPr>
        <w:t>评标办法（</w:t>
      </w:r>
      <w:r>
        <w:rPr>
          <w:rFonts w:hint="eastAsia" w:ascii="宋体" w:hAnsi="宋体" w:eastAsia="宋体" w:cs="宋体"/>
          <w:color w:val="auto"/>
          <w:kern w:val="0"/>
          <w:highlight w:val="none"/>
          <w:lang w:eastAsia="zh-CN"/>
        </w:rPr>
        <w:t>综合评估法</w:t>
      </w:r>
      <w:r>
        <w:rPr>
          <w:rFonts w:hint="eastAsia" w:ascii="宋体" w:hAnsi="宋体" w:eastAsia="宋体" w:cs="宋体"/>
          <w:color w:val="auto"/>
          <w:kern w:val="0"/>
          <w:highlight w:val="none"/>
        </w:rPr>
        <w:t>）</w:t>
      </w:r>
      <w:r>
        <w:rPr>
          <w:color w:val="auto"/>
          <w:highlight w:val="none"/>
        </w:rPr>
        <w:tab/>
      </w:r>
      <w:r>
        <w:rPr>
          <w:color w:val="auto"/>
          <w:highlight w:val="none"/>
        </w:rPr>
        <w:fldChar w:fldCharType="begin"/>
      </w:r>
      <w:r>
        <w:rPr>
          <w:color w:val="auto"/>
          <w:highlight w:val="none"/>
        </w:rPr>
        <w:instrText xml:space="preserve"> PAGEREF _Toc6044 \h </w:instrText>
      </w:r>
      <w:r>
        <w:rPr>
          <w:color w:val="auto"/>
          <w:highlight w:val="none"/>
        </w:rPr>
        <w:fldChar w:fldCharType="separate"/>
      </w:r>
      <w:r>
        <w:rPr>
          <w:color w:val="auto"/>
          <w:highlight w:val="none"/>
        </w:rPr>
        <w:t>27</w:t>
      </w:r>
      <w:r>
        <w:rPr>
          <w:color w:val="auto"/>
          <w:highlight w:val="none"/>
        </w:rPr>
        <w:fldChar w:fldCharType="end"/>
      </w:r>
      <w:r>
        <w:rPr>
          <w:rFonts w:hint="eastAsia" w:ascii="宋体" w:hAnsi="宋体" w:eastAsia="宋体" w:cs="宋体"/>
          <w:color w:val="auto"/>
          <w:kern w:val="0"/>
          <w:highlight w:val="none"/>
        </w:rPr>
        <w:fldChar w:fldCharType="end"/>
      </w:r>
    </w:p>
    <w:p w14:paraId="60E1366F">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_Toc25714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szCs w:val="32"/>
          <w:highlight w:val="none"/>
        </w:rPr>
        <w:t>评标办法前附表</w:t>
      </w:r>
      <w:r>
        <w:rPr>
          <w:color w:val="auto"/>
          <w:highlight w:val="none"/>
        </w:rPr>
        <w:tab/>
      </w:r>
      <w:r>
        <w:rPr>
          <w:rFonts w:hint="eastAsia"/>
          <w:color w:val="auto"/>
          <w:highlight w:val="none"/>
          <w:lang w:val="en-US" w:eastAsia="zh-CN"/>
        </w:rPr>
        <w:t>2</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8</w:t>
      </w:r>
    </w:p>
    <w:p w14:paraId="0AE91BA1">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_Toc13936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第</w:t>
      </w:r>
      <w:r>
        <w:rPr>
          <w:rFonts w:hint="eastAsia" w:ascii="宋体" w:hAnsi="宋体" w:eastAsia="宋体" w:cs="宋体"/>
          <w:color w:val="auto"/>
          <w:kern w:val="0"/>
          <w:highlight w:val="none"/>
          <w:lang w:val="en-US" w:eastAsia="zh-CN"/>
        </w:rPr>
        <w:t>四</w:t>
      </w:r>
      <w:r>
        <w:rPr>
          <w:rFonts w:hint="eastAsia" w:ascii="宋体" w:hAnsi="宋体" w:eastAsia="宋体" w:cs="宋体"/>
          <w:color w:val="auto"/>
          <w:kern w:val="0"/>
          <w:highlight w:val="none"/>
        </w:rPr>
        <w:t>章</w:t>
      </w:r>
      <w:r>
        <w:rPr>
          <w:rFonts w:hint="eastAsia" w:ascii="宋体" w:hAnsi="宋体" w:eastAsia="宋体" w:cs="宋体"/>
          <w:color w:val="auto"/>
          <w:kern w:val="0"/>
          <w:highlight w:val="none"/>
          <w:lang w:val="en-US" w:eastAsia="zh-CN"/>
        </w:rPr>
        <w:t xml:space="preserve"> 定</w:t>
      </w:r>
      <w:r>
        <w:rPr>
          <w:rFonts w:hint="eastAsia" w:ascii="宋体" w:hAnsi="宋体" w:eastAsia="宋体" w:cs="宋体"/>
          <w:color w:val="auto"/>
          <w:kern w:val="0"/>
          <w:highlight w:val="none"/>
        </w:rPr>
        <w:t>标办法</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核查随机法</w:t>
      </w:r>
      <w:r>
        <w:rPr>
          <w:rFonts w:hint="eastAsia" w:ascii="宋体" w:hAnsi="宋体" w:eastAsia="宋体" w:cs="宋体"/>
          <w:color w:val="auto"/>
          <w:kern w:val="0"/>
          <w:highlight w:val="none"/>
          <w:lang w:eastAsia="zh-CN"/>
        </w:rPr>
        <w:t>）</w:t>
      </w:r>
      <w:r>
        <w:rPr>
          <w:color w:val="auto"/>
          <w:highlight w:val="none"/>
        </w:rPr>
        <w:tab/>
      </w:r>
      <w:r>
        <w:rPr>
          <w:color w:val="auto"/>
          <w:highlight w:val="none"/>
        </w:rPr>
        <w:fldChar w:fldCharType="begin"/>
      </w:r>
      <w:r>
        <w:rPr>
          <w:color w:val="auto"/>
          <w:highlight w:val="none"/>
        </w:rPr>
        <w:instrText xml:space="preserve"> PAGEREF _Toc13936 \h </w:instrText>
      </w:r>
      <w:r>
        <w:rPr>
          <w:color w:val="auto"/>
          <w:highlight w:val="none"/>
        </w:rPr>
        <w:fldChar w:fldCharType="separate"/>
      </w:r>
      <w:r>
        <w:rPr>
          <w:color w:val="auto"/>
          <w:highlight w:val="none"/>
        </w:rPr>
        <w:t>40</w:t>
      </w:r>
      <w:r>
        <w:rPr>
          <w:color w:val="auto"/>
          <w:highlight w:val="none"/>
        </w:rPr>
        <w:fldChar w:fldCharType="end"/>
      </w:r>
      <w:r>
        <w:rPr>
          <w:rFonts w:hint="eastAsia" w:ascii="宋体" w:hAnsi="宋体" w:eastAsia="宋体" w:cs="宋体"/>
          <w:color w:val="auto"/>
          <w:kern w:val="0"/>
          <w:highlight w:val="none"/>
        </w:rPr>
        <w:fldChar w:fldCharType="end"/>
      </w:r>
    </w:p>
    <w:p w14:paraId="1AE848CE">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_Toc5858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第</w:t>
      </w:r>
      <w:r>
        <w:rPr>
          <w:rFonts w:hint="eastAsia" w:ascii="宋体" w:hAnsi="宋体" w:eastAsia="宋体" w:cs="宋体"/>
          <w:color w:val="auto"/>
          <w:kern w:val="0"/>
          <w:highlight w:val="none"/>
          <w:lang w:val="en-US" w:eastAsia="zh-CN"/>
        </w:rPr>
        <w:t>五</w:t>
      </w:r>
      <w:r>
        <w:rPr>
          <w:rFonts w:hint="eastAsia" w:ascii="宋体" w:hAnsi="宋体" w:eastAsia="宋体" w:cs="宋体"/>
          <w:color w:val="auto"/>
          <w:kern w:val="0"/>
          <w:highlight w:val="none"/>
        </w:rPr>
        <w:t>章 合同条款及格式</w:t>
      </w:r>
      <w:r>
        <w:rPr>
          <w:color w:val="auto"/>
          <w:highlight w:val="none"/>
        </w:rPr>
        <w:tab/>
      </w:r>
      <w:r>
        <w:rPr>
          <w:rFonts w:hint="eastAsia"/>
          <w:color w:val="auto"/>
          <w:highlight w:val="none"/>
          <w:lang w:val="en-US" w:eastAsia="zh-CN"/>
        </w:rPr>
        <w:t>4</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3</w:t>
      </w:r>
    </w:p>
    <w:p w14:paraId="139FAEDA">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_Toc7073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第</w:t>
      </w:r>
      <w:r>
        <w:rPr>
          <w:rFonts w:hint="eastAsia" w:ascii="宋体" w:hAnsi="宋体" w:eastAsia="宋体" w:cs="宋体"/>
          <w:color w:val="auto"/>
          <w:kern w:val="0"/>
          <w:highlight w:val="none"/>
          <w:lang w:val="en-US" w:eastAsia="zh-CN"/>
        </w:rPr>
        <w:t>六</w:t>
      </w:r>
      <w:r>
        <w:rPr>
          <w:rFonts w:hint="eastAsia" w:ascii="宋体" w:hAnsi="宋体" w:eastAsia="宋体" w:cs="宋体"/>
          <w:color w:val="auto"/>
          <w:kern w:val="0"/>
          <w:highlight w:val="none"/>
        </w:rPr>
        <w:t>章  工程量清单（交易平台下载）</w:t>
      </w:r>
      <w:r>
        <w:rPr>
          <w:color w:val="auto"/>
          <w:highlight w:val="none"/>
        </w:rPr>
        <w:tab/>
      </w:r>
      <w:r>
        <w:rPr>
          <w:rFonts w:hint="eastAsia"/>
          <w:color w:val="auto"/>
          <w:highlight w:val="none"/>
          <w:lang w:val="en-US" w:eastAsia="zh-CN"/>
        </w:rPr>
        <w:t>8</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1</w:t>
      </w:r>
    </w:p>
    <w:p w14:paraId="70050FF0">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_Toc14457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szCs w:val="36"/>
          <w:highlight w:val="none"/>
        </w:rPr>
        <w:t>第</w:t>
      </w:r>
      <w:r>
        <w:rPr>
          <w:rFonts w:hint="eastAsia" w:ascii="宋体" w:hAnsi="宋体" w:eastAsia="宋体" w:cs="宋体"/>
          <w:color w:val="auto"/>
          <w:kern w:val="0"/>
          <w:szCs w:val="36"/>
          <w:highlight w:val="none"/>
          <w:lang w:val="en-US" w:eastAsia="zh-CN"/>
        </w:rPr>
        <w:t>七</w:t>
      </w:r>
      <w:r>
        <w:rPr>
          <w:rFonts w:hint="eastAsia" w:ascii="宋体" w:hAnsi="宋体" w:eastAsia="宋体" w:cs="宋体"/>
          <w:color w:val="auto"/>
          <w:kern w:val="0"/>
          <w:szCs w:val="36"/>
          <w:highlight w:val="none"/>
        </w:rPr>
        <w:t>章  图纸（</w:t>
      </w:r>
      <w:r>
        <w:rPr>
          <w:rFonts w:hint="eastAsia" w:ascii="宋体" w:hAnsi="宋体" w:eastAsia="宋体" w:cs="宋体"/>
          <w:color w:val="auto"/>
          <w:kern w:val="0"/>
          <w:highlight w:val="none"/>
        </w:rPr>
        <w:t>交易平台下载</w:t>
      </w:r>
      <w:r>
        <w:rPr>
          <w:rFonts w:hint="eastAsia" w:ascii="宋体" w:hAnsi="宋体" w:eastAsia="宋体" w:cs="宋体"/>
          <w:color w:val="auto"/>
          <w:kern w:val="0"/>
          <w:szCs w:val="36"/>
          <w:highlight w:val="none"/>
        </w:rPr>
        <w:t>）</w:t>
      </w:r>
      <w:r>
        <w:rPr>
          <w:color w:val="auto"/>
          <w:highlight w:val="none"/>
        </w:rPr>
        <w:tab/>
      </w:r>
      <w:r>
        <w:rPr>
          <w:rFonts w:hint="eastAsia"/>
          <w:color w:val="auto"/>
          <w:highlight w:val="none"/>
          <w:lang w:val="en-US" w:eastAsia="zh-CN"/>
        </w:rPr>
        <w:t>8</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2</w:t>
      </w:r>
    </w:p>
    <w:p w14:paraId="7E193AED">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_Toc27908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szCs w:val="36"/>
          <w:highlight w:val="none"/>
        </w:rPr>
        <w:t>第</w:t>
      </w:r>
      <w:r>
        <w:rPr>
          <w:rFonts w:hint="eastAsia" w:ascii="宋体" w:hAnsi="宋体" w:eastAsia="宋体" w:cs="宋体"/>
          <w:color w:val="auto"/>
          <w:kern w:val="0"/>
          <w:szCs w:val="36"/>
          <w:highlight w:val="none"/>
          <w:lang w:val="en-US" w:eastAsia="zh-CN"/>
        </w:rPr>
        <w:t>八</w:t>
      </w:r>
      <w:r>
        <w:rPr>
          <w:rFonts w:hint="eastAsia" w:ascii="宋体" w:hAnsi="宋体" w:eastAsia="宋体" w:cs="宋体"/>
          <w:color w:val="auto"/>
          <w:kern w:val="0"/>
          <w:szCs w:val="36"/>
          <w:highlight w:val="none"/>
        </w:rPr>
        <w:t>章 技术标准和要求</w:t>
      </w:r>
      <w:r>
        <w:rPr>
          <w:color w:val="auto"/>
          <w:highlight w:val="none"/>
        </w:rPr>
        <w:tab/>
      </w:r>
      <w:r>
        <w:rPr>
          <w:rFonts w:hint="eastAsia"/>
          <w:color w:val="auto"/>
          <w:highlight w:val="none"/>
          <w:lang w:val="en-US" w:eastAsia="zh-CN"/>
        </w:rPr>
        <w:t>8</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3</w:t>
      </w:r>
    </w:p>
    <w:p w14:paraId="5E624625">
      <w:pPr>
        <w:pStyle w:val="37"/>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eastAsia="宋体" w:cs="宋体"/>
          <w:color w:val="auto"/>
          <w:kern w:val="0"/>
          <w:highlight w:val="none"/>
        </w:rPr>
        <w:fldChar w:fldCharType="begin"/>
      </w:r>
      <w:r>
        <w:rPr>
          <w:rFonts w:hint="eastAsia" w:ascii="宋体" w:hAnsi="宋体" w:eastAsia="宋体" w:cs="宋体"/>
          <w:color w:val="auto"/>
          <w:kern w:val="0"/>
          <w:highlight w:val="none"/>
        </w:rPr>
        <w:instrText xml:space="preserve"> HYPERLINK \l _Toc27790 </w:instrText>
      </w:r>
      <w:r>
        <w:rPr>
          <w:rFonts w:hint="eastAsia" w:ascii="宋体" w:hAnsi="宋体" w:eastAsia="宋体" w:cs="宋体"/>
          <w:color w:val="auto"/>
          <w:kern w:val="0"/>
          <w:highlight w:val="none"/>
        </w:rPr>
        <w:fldChar w:fldCharType="separate"/>
      </w:r>
      <w:r>
        <w:rPr>
          <w:rFonts w:hint="eastAsia" w:ascii="宋体" w:hAnsi="宋体" w:eastAsia="宋体" w:cs="宋体"/>
          <w:color w:val="auto"/>
          <w:kern w:val="0"/>
          <w:highlight w:val="none"/>
        </w:rPr>
        <w:t>第</w:t>
      </w:r>
      <w:r>
        <w:rPr>
          <w:rFonts w:hint="eastAsia" w:ascii="宋体" w:hAnsi="宋体" w:eastAsia="宋体" w:cs="宋体"/>
          <w:color w:val="auto"/>
          <w:kern w:val="0"/>
          <w:highlight w:val="none"/>
          <w:lang w:val="en-US" w:eastAsia="zh-CN"/>
        </w:rPr>
        <w:t>九</w:t>
      </w:r>
      <w:r>
        <w:rPr>
          <w:rFonts w:hint="eastAsia" w:ascii="宋体" w:hAnsi="宋体" w:eastAsia="宋体" w:cs="宋体"/>
          <w:color w:val="auto"/>
          <w:kern w:val="0"/>
          <w:highlight w:val="none"/>
        </w:rPr>
        <w:t>章 投标文件格式</w:t>
      </w:r>
      <w:r>
        <w:rPr>
          <w:color w:val="auto"/>
          <w:highlight w:val="none"/>
        </w:rPr>
        <w:tab/>
      </w:r>
      <w:r>
        <w:rPr>
          <w:rFonts w:hint="eastAsia"/>
          <w:color w:val="auto"/>
          <w:highlight w:val="none"/>
          <w:lang w:val="en-US" w:eastAsia="zh-CN"/>
        </w:rPr>
        <w:t>8</w:t>
      </w: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4</w:t>
      </w:r>
    </w:p>
    <w:p w14:paraId="1686B336">
      <w:pPr>
        <w:pStyle w:val="42"/>
        <w:keepNext w:val="0"/>
        <w:keepLines w:val="0"/>
        <w:pageBreakBefore w:val="0"/>
        <w:widowControl w:val="0"/>
        <w:tabs>
          <w:tab w:val="right" w:leader="dot" w:pos="8731"/>
        </w:tabs>
        <w:kinsoku/>
        <w:wordWrap w:val="0"/>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kern w:val="0"/>
          <w:highlight w:val="none"/>
        </w:rPr>
        <w:fldChar w:fldCharType="end"/>
      </w:r>
    </w:p>
    <w:p w14:paraId="4FC9A622">
      <w:pPr>
        <w:pStyle w:val="37"/>
        <w:pageBreakBefore w:val="0"/>
        <w:tabs>
          <w:tab w:val="right" w:leader="dot" w:pos="9720"/>
        </w:tabs>
        <w:kinsoku/>
        <w:wordWrap w:val="0"/>
        <w:overflowPunct/>
        <w:topLinePunct w:val="0"/>
        <w:bidi w:val="0"/>
        <w:outlineLvl w:val="9"/>
        <w:rPr>
          <w:rFonts w:hint="eastAsia" w:ascii="宋体" w:hAnsi="宋体" w:eastAsia="宋体" w:cs="宋体"/>
          <w:b/>
          <w:color w:val="auto"/>
          <w:kern w:val="0"/>
          <w:sz w:val="44"/>
          <w:highlight w:val="none"/>
          <w:lang w:val="en-US" w:eastAsia="zh-CN"/>
        </w:rPr>
        <w:sectPr>
          <w:footerReference r:id="rId5" w:type="default"/>
          <w:pgSz w:w="11905" w:h="16838"/>
          <w:pgMar w:top="1531" w:right="1587" w:bottom="1531" w:left="1587" w:header="1077" w:footer="1077" w:gutter="0"/>
          <w:pgNumType w:fmt="decimal" w:start="1"/>
          <w:cols w:space="720" w:num="1"/>
          <w:rtlGutter w:val="0"/>
          <w:docGrid w:linePitch="1" w:charSpace="0"/>
        </w:sectPr>
      </w:pPr>
      <w:r>
        <w:rPr>
          <w:rFonts w:hint="eastAsia" w:ascii="宋体" w:hAnsi="宋体" w:eastAsia="宋体" w:cs="宋体"/>
          <w:color w:val="auto"/>
          <w:kern w:val="0"/>
          <w:highlight w:val="none"/>
        </w:rPr>
        <w:fldChar w:fldCharType="end"/>
      </w:r>
      <w:r>
        <w:rPr>
          <w:rFonts w:hint="eastAsia" w:ascii="宋体" w:hAnsi="宋体" w:eastAsia="宋体" w:cs="宋体"/>
          <w:color w:val="auto"/>
          <w:kern w:val="0"/>
          <w:highlight w:val="none"/>
          <w:lang w:val="en-US" w:eastAsia="zh-CN"/>
        </w:rPr>
        <w:t xml:space="preserve"> </w:t>
      </w:r>
    </w:p>
    <w:p w14:paraId="0C52239E">
      <w:pPr>
        <w:pageBreakBefore w:val="0"/>
        <w:kinsoku/>
        <w:wordWrap w:val="0"/>
        <w:overflowPunct/>
        <w:topLinePunct w:val="0"/>
        <w:autoSpaceDE w:val="0"/>
        <w:autoSpaceDN w:val="0"/>
        <w:bidi w:val="0"/>
        <w:adjustRightInd w:val="0"/>
        <w:spacing w:line="400" w:lineRule="exact"/>
        <w:ind w:right="-34" w:rightChars="-16"/>
        <w:jc w:val="center"/>
        <w:outlineLvl w:val="0"/>
        <w:rPr>
          <w:rFonts w:hint="eastAsia" w:ascii="宋体" w:hAnsi="宋体" w:eastAsia="宋体" w:cs="宋体"/>
          <w:b/>
          <w:color w:val="auto"/>
          <w:spacing w:val="54"/>
          <w:sz w:val="11"/>
          <w:szCs w:val="11"/>
          <w:highlight w:val="none"/>
        </w:rPr>
      </w:pPr>
      <w:r>
        <w:rPr>
          <w:rFonts w:hint="eastAsia" w:ascii="宋体" w:hAnsi="宋体" w:eastAsia="宋体" w:cs="宋体"/>
          <w:b/>
          <w:color w:val="auto"/>
          <w:kern w:val="0"/>
          <w:sz w:val="36"/>
          <w:highlight w:val="none"/>
        </w:rPr>
        <w:t>第一章 招标公告</w:t>
      </w:r>
      <w:bookmarkEnd w:id="11"/>
      <w:bookmarkEnd w:id="12"/>
    </w:p>
    <w:p w14:paraId="19B1C991">
      <w:pPr>
        <w:keepNext w:val="0"/>
        <w:keepLines w:val="0"/>
        <w:pageBreakBefore w:val="0"/>
        <w:widowControl w:val="0"/>
        <w:kinsoku/>
        <w:wordWrap w:val="0"/>
        <w:overflowPunct/>
        <w:topLinePunct w:val="0"/>
        <w:autoSpaceDE w:val="0"/>
        <w:autoSpaceDN w:val="0"/>
        <w:bidi w:val="0"/>
        <w:adjustRightInd w:val="0"/>
        <w:snapToGrid/>
        <w:spacing w:before="144" w:beforeLines="50" w:after="144" w:afterLines="50" w:line="500" w:lineRule="exact"/>
        <w:ind w:right="0" w:rightChars="0"/>
        <w:jc w:val="center"/>
        <w:textAlignment w:val="auto"/>
        <w:outlineLvl w:val="9"/>
        <w:rPr>
          <w:rFonts w:hint="eastAsia" w:ascii="宋体" w:hAnsi="宋体" w:eastAsia="宋体" w:cs="宋体"/>
          <w:b/>
          <w:color w:val="auto"/>
          <w:kern w:val="0"/>
          <w:sz w:val="32"/>
          <w:szCs w:val="21"/>
          <w:highlight w:val="none"/>
        </w:rPr>
      </w:pPr>
      <w:bookmarkStart w:id="17" w:name="_Toc980"/>
      <w:bookmarkStart w:id="18" w:name="_Toc22439"/>
      <w:bookmarkStart w:id="19" w:name="_Toc434136590"/>
      <w:bookmarkStart w:id="20" w:name="_Toc418520722"/>
      <w:bookmarkStart w:id="21" w:name="_Toc500865775"/>
      <w:bookmarkStart w:id="22" w:name="OLE_LINK8"/>
      <w:bookmarkStart w:id="23" w:name="OLE_LINK9"/>
      <w:bookmarkStart w:id="24" w:name="OLE_LINK2"/>
      <w:r>
        <w:rPr>
          <w:rFonts w:hint="eastAsia" w:ascii="宋体" w:hAnsi="宋体" w:eastAsia="宋体" w:cs="宋体"/>
          <w:b/>
          <w:color w:val="auto"/>
          <w:kern w:val="0"/>
          <w:sz w:val="32"/>
          <w:szCs w:val="21"/>
          <w:highlight w:val="none"/>
        </w:rPr>
        <w:t>2025年老王岗乡木材加工厂房建设项目</w:t>
      </w:r>
    </w:p>
    <w:p w14:paraId="76F58A4C">
      <w:pPr>
        <w:keepNext w:val="0"/>
        <w:keepLines w:val="0"/>
        <w:pageBreakBefore w:val="0"/>
        <w:widowControl w:val="0"/>
        <w:kinsoku/>
        <w:wordWrap w:val="0"/>
        <w:overflowPunct/>
        <w:topLinePunct w:val="0"/>
        <w:autoSpaceDE w:val="0"/>
        <w:autoSpaceDN w:val="0"/>
        <w:bidi w:val="0"/>
        <w:adjustRightInd w:val="0"/>
        <w:snapToGrid/>
        <w:spacing w:before="144" w:beforeLines="50" w:after="144" w:afterLines="50" w:line="500" w:lineRule="exact"/>
        <w:ind w:right="0" w:rightChars="0"/>
        <w:jc w:val="center"/>
        <w:textAlignment w:val="auto"/>
        <w:outlineLvl w:val="9"/>
        <w:rPr>
          <w:rFonts w:hint="eastAsia" w:ascii="宋体" w:hAnsi="宋体" w:eastAsia="宋体" w:cs="宋体"/>
          <w:b/>
          <w:color w:val="auto"/>
          <w:kern w:val="0"/>
          <w:sz w:val="28"/>
          <w:szCs w:val="20"/>
          <w:highlight w:val="none"/>
        </w:rPr>
      </w:pPr>
      <w:r>
        <w:rPr>
          <w:rFonts w:hint="eastAsia" w:ascii="宋体" w:hAnsi="宋体" w:eastAsia="宋体" w:cs="宋体"/>
          <w:b/>
          <w:color w:val="auto"/>
          <w:kern w:val="0"/>
          <w:sz w:val="32"/>
          <w:szCs w:val="21"/>
          <w:highlight w:val="none"/>
        </w:rPr>
        <w:t>招标公告</w:t>
      </w:r>
      <w:bookmarkEnd w:id="17"/>
    </w:p>
    <w:bookmarkEnd w:id="18"/>
    <w:bookmarkEnd w:id="19"/>
    <w:bookmarkEnd w:id="20"/>
    <w:bookmarkEnd w:id="21"/>
    <w:bookmarkEnd w:id="22"/>
    <w:p w14:paraId="4E0E4C50">
      <w:pPr>
        <w:pageBreakBefore w:val="0"/>
        <w:widowControl/>
        <w:kinsoku/>
        <w:wordWrap w:val="0"/>
        <w:overflowPunct/>
        <w:topLinePunct w:val="0"/>
        <w:autoSpaceDE/>
        <w:autoSpaceDN/>
        <w:bidi w:val="0"/>
        <w:adjustRightInd/>
        <w:snapToGrid/>
        <w:spacing w:line="240" w:lineRule="auto"/>
        <w:ind w:right="640"/>
        <w:jc w:val="center"/>
        <w:textAlignment w:val="auto"/>
        <w:outlineLvl w:val="9"/>
        <w:rPr>
          <w:rFonts w:hint="default" w:ascii="宋体" w:hAnsi="宋体" w:eastAsia="宋体" w:cs="宋体"/>
          <w:b/>
          <w:color w:val="auto"/>
          <w:kern w:val="0"/>
          <w:sz w:val="24"/>
          <w:szCs w:val="21"/>
          <w:highlight w:val="none"/>
          <w:lang w:val="en-US" w:eastAsia="zh-CN"/>
        </w:rPr>
      </w:pPr>
      <w:bookmarkStart w:id="25" w:name="_Toc4006"/>
      <w:r>
        <w:rPr>
          <w:rFonts w:hint="eastAsia" w:ascii="宋体" w:hAnsi="宋体" w:eastAsia="宋体" w:cs="宋体"/>
          <w:color w:val="auto"/>
          <w:spacing w:val="-1"/>
          <w:sz w:val="22"/>
          <w:szCs w:val="22"/>
          <w:highlight w:val="none"/>
          <w:lang w:val="en-US" w:eastAsia="zh-CN"/>
        </w:rPr>
        <w:t xml:space="preserve">     </w:t>
      </w:r>
      <w:r>
        <w:rPr>
          <w:rFonts w:ascii="宋体" w:hAnsi="宋体" w:eastAsia="宋体" w:cs="宋体"/>
          <w:color w:val="auto"/>
          <w:spacing w:val="-1"/>
          <w:sz w:val="22"/>
          <w:szCs w:val="22"/>
          <w:highlight w:val="none"/>
        </w:rPr>
        <w:t>项目编号：</w:t>
      </w:r>
      <w:r>
        <w:rPr>
          <w:rFonts w:hint="eastAsia" w:ascii="宋体" w:hAnsi="宋体" w:eastAsia="宋体" w:cs="宋体"/>
          <w:color w:val="auto"/>
          <w:spacing w:val="-1"/>
          <w:sz w:val="22"/>
          <w:szCs w:val="22"/>
          <w:highlight w:val="none"/>
          <w:lang w:val="en-US" w:eastAsia="zh-CN"/>
        </w:rPr>
        <w:t>2026-GC-G-012</w:t>
      </w:r>
    </w:p>
    <w:p w14:paraId="5479BE97">
      <w:pPr>
        <w:pageBreakBefore w:val="0"/>
        <w:widowControl/>
        <w:kinsoku/>
        <w:wordWrap w:val="0"/>
        <w:overflowPunct/>
        <w:topLinePunct w:val="0"/>
        <w:autoSpaceDE/>
        <w:autoSpaceDN/>
        <w:bidi w:val="0"/>
        <w:adjustRightInd/>
        <w:snapToGrid/>
        <w:spacing w:line="240" w:lineRule="auto"/>
        <w:ind w:right="640"/>
        <w:jc w:val="center"/>
        <w:textAlignment w:val="auto"/>
        <w:outlineLvl w:val="9"/>
        <w:rPr>
          <w:rFonts w:hint="eastAsia" w:ascii="宋体" w:hAnsi="宋体" w:eastAsia="宋体" w:cs="宋体"/>
          <w:b/>
          <w:color w:val="auto"/>
          <w:kern w:val="0"/>
          <w:sz w:val="24"/>
          <w:szCs w:val="21"/>
          <w:highlight w:val="none"/>
          <w:u w:val="single"/>
          <w:lang w:val="en-US" w:eastAsia="zh-CN"/>
        </w:rPr>
      </w:pPr>
      <w:r>
        <w:rPr>
          <w:rFonts w:hint="eastAsia" w:ascii="宋体" w:hAnsi="宋体" w:eastAsia="宋体" w:cs="宋体"/>
          <w:b/>
          <w:color w:val="auto"/>
          <w:kern w:val="0"/>
          <w:sz w:val="24"/>
          <w:szCs w:val="21"/>
          <w:highlight w:val="none"/>
          <w:lang w:val="en-US" w:eastAsia="zh-CN"/>
        </w:rPr>
        <w:t xml:space="preserve">  </w:t>
      </w:r>
    </w:p>
    <w:p w14:paraId="005C2445">
      <w:pPr>
        <w:keepNext w:val="0"/>
        <w:keepLines w:val="0"/>
        <w:pageBreakBefore w:val="0"/>
        <w:numPr>
          <w:ilvl w:val="0"/>
          <w:numId w:val="0"/>
        </w:numPr>
        <w:kinsoku/>
        <w:wordWrap w:val="0"/>
        <w:overflowPunct/>
        <w:topLinePunct w:val="0"/>
        <w:autoSpaceDE/>
        <w:autoSpaceDN/>
        <w:bidi w:val="0"/>
        <w:adjustRightInd/>
        <w:snapToGrid/>
        <w:spacing w:line="460" w:lineRule="exact"/>
        <w:ind w:left="-360" w:leftChars="0" w:right="0" w:rightChars="0"/>
        <w:textAlignment w:val="auto"/>
        <w:outlineLvl w:val="9"/>
        <w:rPr>
          <w:rFonts w:hint="eastAsia" w:ascii="宋体" w:hAnsi="宋体" w:eastAsia="宋体" w:cs="宋体"/>
          <w:b/>
          <w:color w:val="auto"/>
          <w:sz w:val="24"/>
          <w:szCs w:val="24"/>
          <w:highlight w:val="none"/>
        </w:rPr>
      </w:pPr>
      <w:bookmarkStart w:id="26" w:name="_Toc26447352"/>
      <w:r>
        <w:rPr>
          <w:rFonts w:hint="eastAsia" w:ascii="宋体" w:hAnsi="宋体" w:eastAsia="宋体" w:cs="宋体"/>
          <w:b/>
          <w:color w:val="auto"/>
          <w:sz w:val="24"/>
          <w:szCs w:val="24"/>
          <w:highlight w:val="none"/>
          <w:lang w:val="en-US" w:eastAsia="zh-CN"/>
        </w:rPr>
        <w:t xml:space="preserve">   1.</w:t>
      </w:r>
      <w:r>
        <w:rPr>
          <w:rFonts w:hint="eastAsia" w:ascii="宋体" w:hAnsi="宋体" w:eastAsia="宋体" w:cs="宋体"/>
          <w:b/>
          <w:color w:val="auto"/>
          <w:sz w:val="24"/>
          <w:szCs w:val="24"/>
          <w:highlight w:val="none"/>
        </w:rPr>
        <w:t>招标条件</w:t>
      </w:r>
      <w:bookmarkEnd w:id="26"/>
      <w:r>
        <w:rPr>
          <w:rFonts w:hint="eastAsia" w:ascii="宋体" w:hAnsi="宋体" w:eastAsia="宋体" w:cs="宋体"/>
          <w:b/>
          <w:color w:val="auto"/>
          <w:sz w:val="24"/>
          <w:szCs w:val="24"/>
          <w:highlight w:val="none"/>
        </w:rPr>
        <w:t xml:space="preserve"> </w:t>
      </w:r>
    </w:p>
    <w:p w14:paraId="14FAD40F">
      <w:pPr>
        <w:keepNext w:val="0"/>
        <w:keepLines w:val="0"/>
        <w:pageBreakBefore w:val="0"/>
        <w:widowControl w:val="0"/>
        <w:kinsoku/>
        <w:wordWrap w:val="0"/>
        <w:overflowPunct/>
        <w:topLinePunct w:val="0"/>
        <w:autoSpaceDE/>
        <w:autoSpaceDN/>
        <w:bidi w:val="0"/>
        <w:adjustRightInd/>
        <w:snapToGrid/>
        <w:spacing w:line="336" w:lineRule="auto"/>
        <w:ind w:firstLine="480" w:firstLineChars="200"/>
        <w:textAlignment w:val="auto"/>
        <w:outlineLvl w:val="9"/>
        <w:rPr>
          <w:rFonts w:hint="eastAsia" w:ascii="宋体" w:hAnsi="宋体" w:eastAsia="宋体" w:cs="宋体"/>
          <w:color w:val="auto"/>
          <w:sz w:val="24"/>
          <w:szCs w:val="24"/>
          <w:highlight w:val="none"/>
          <w:lang w:eastAsia="zh-CN"/>
        </w:rPr>
      </w:pPr>
      <w:bookmarkStart w:id="27" w:name="_Toc26447353"/>
      <w:r>
        <w:rPr>
          <w:rFonts w:hint="eastAsia" w:ascii="宋体" w:hAnsi="宋体" w:eastAsia="宋体" w:cs="宋体"/>
          <w:color w:val="auto"/>
          <w:sz w:val="24"/>
          <w:szCs w:val="24"/>
          <w:highlight w:val="none"/>
          <w:u w:val="single"/>
        </w:rPr>
        <w:t>2025年老王岗乡木材加工厂房建设项目</w:t>
      </w:r>
      <w:r>
        <w:rPr>
          <w:rFonts w:hint="eastAsia" w:ascii="宋体" w:hAnsi="宋体" w:eastAsia="宋体" w:cs="宋体"/>
          <w:color w:val="auto"/>
          <w:sz w:val="24"/>
          <w:szCs w:val="24"/>
          <w:highlight w:val="none"/>
        </w:rPr>
        <w:t>已经上级主管部门批准建设，</w:t>
      </w:r>
      <w:r>
        <w:rPr>
          <w:rFonts w:hint="eastAsia" w:ascii="宋体" w:hAnsi="宋体" w:eastAsia="宋体" w:cs="宋体"/>
          <w:color w:val="auto"/>
          <w:sz w:val="24"/>
          <w:szCs w:val="24"/>
          <w:highlight w:val="none"/>
          <w:lang w:val="en-US" w:eastAsia="zh-CN"/>
        </w:rPr>
        <w:t>项目代码：2510-411723-04-01-705500，</w:t>
      </w:r>
      <w:r>
        <w:rPr>
          <w:rFonts w:hint="eastAsia" w:ascii="宋体" w:hAnsi="宋体" w:eastAsia="宋体" w:cs="宋体"/>
          <w:color w:val="auto"/>
          <w:sz w:val="24"/>
          <w:szCs w:val="24"/>
          <w:highlight w:val="none"/>
        </w:rPr>
        <w:t>建设资金为</w:t>
      </w:r>
      <w:r>
        <w:rPr>
          <w:rFonts w:hint="eastAsia" w:ascii="宋体" w:hAnsi="宋体" w:eastAsia="宋体" w:cs="宋体"/>
          <w:color w:val="auto"/>
          <w:sz w:val="24"/>
          <w:szCs w:val="24"/>
          <w:highlight w:val="none"/>
          <w:lang w:val="en-US" w:eastAsia="zh-CN"/>
        </w:rPr>
        <w:t>财政资金</w:t>
      </w:r>
      <w:r>
        <w:rPr>
          <w:rFonts w:hint="eastAsia" w:ascii="宋体" w:hAnsi="宋体" w:eastAsia="宋体" w:cs="宋体"/>
          <w:color w:val="auto"/>
          <w:sz w:val="24"/>
          <w:szCs w:val="24"/>
          <w:highlight w:val="none"/>
        </w:rPr>
        <w:t>，已落实。招标人为平舆县老王岗乡人民政府，招标代理机构为</w:t>
      </w:r>
      <w:r>
        <w:rPr>
          <w:rFonts w:hint="eastAsia" w:ascii="宋体" w:hAnsi="宋体" w:eastAsia="宋体" w:cs="宋体"/>
          <w:color w:val="auto"/>
          <w:sz w:val="24"/>
          <w:szCs w:val="24"/>
          <w:highlight w:val="none"/>
          <w:u w:val="single"/>
          <w:lang w:eastAsia="zh-CN"/>
        </w:rPr>
        <w:t>河南中博项目管理有限公司</w:t>
      </w:r>
      <w:r>
        <w:rPr>
          <w:rFonts w:hint="eastAsia" w:ascii="宋体" w:hAnsi="宋体" w:eastAsia="宋体" w:cs="宋体"/>
          <w:color w:val="auto"/>
          <w:sz w:val="24"/>
          <w:szCs w:val="24"/>
          <w:highlight w:val="none"/>
        </w:rPr>
        <w:t>。项目已具备招标条件，现对本项目</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rPr>
        <w:t>进行公开招标。</w:t>
      </w:r>
    </w:p>
    <w:p w14:paraId="6FE5C335">
      <w:pPr>
        <w:keepNext w:val="0"/>
        <w:keepLines w:val="0"/>
        <w:pageBreakBefore w:val="0"/>
        <w:kinsoku/>
        <w:wordWrap w:val="0"/>
        <w:overflowPunct/>
        <w:topLinePunct w:val="0"/>
        <w:autoSpaceDE/>
        <w:autoSpaceDN/>
        <w:bidi w:val="0"/>
        <w:adjustRightInd/>
        <w:snapToGrid/>
        <w:spacing w:line="460" w:lineRule="exact"/>
        <w:ind w:left="0" w:leftChars="0" w:right="0" w:rightChars="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2．项目概况与招标范围</w:t>
      </w:r>
      <w:bookmarkEnd w:id="27"/>
      <w:r>
        <w:rPr>
          <w:rFonts w:hint="eastAsia" w:ascii="宋体" w:hAnsi="宋体" w:eastAsia="宋体" w:cs="宋体"/>
          <w:b/>
          <w:color w:val="auto"/>
          <w:sz w:val="24"/>
          <w:szCs w:val="24"/>
          <w:highlight w:val="none"/>
        </w:rPr>
        <w:t xml:space="preserve"> </w:t>
      </w:r>
    </w:p>
    <w:p w14:paraId="2AE16AC6">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2.1项目概况：</w:t>
      </w:r>
      <w:r>
        <w:rPr>
          <w:rFonts w:hint="eastAsia" w:ascii="宋体" w:hAnsi="宋体" w:eastAsia="宋体" w:cs="宋体"/>
          <w:color w:val="auto"/>
          <w:sz w:val="24"/>
          <w:szCs w:val="24"/>
          <w:highlight w:val="none"/>
          <w:lang w:val="en-US" w:eastAsia="zh-CN"/>
        </w:rPr>
        <w:t>该项目占地面积3800平方米，建筑面积3177.60平方米，主要建设木材加工厂房，同时建设建设园区道路、电力、给排水等配套设施工程等。</w:t>
      </w:r>
    </w:p>
    <w:p w14:paraId="7C3D74B6">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2.2建设地点：该项目选址位于平舆县老王岗乡林场；</w:t>
      </w:r>
    </w:p>
    <w:p w14:paraId="0B4B75C1">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资金来源：</w:t>
      </w:r>
      <w:r>
        <w:rPr>
          <w:rFonts w:hint="eastAsia" w:ascii="宋体" w:hAnsi="宋体" w:eastAsia="宋体" w:cs="宋体"/>
          <w:color w:val="auto"/>
          <w:sz w:val="24"/>
          <w:szCs w:val="24"/>
          <w:highlight w:val="none"/>
          <w:lang w:val="en-US" w:eastAsia="zh-CN"/>
        </w:rPr>
        <w:t>财政资金</w:t>
      </w:r>
    </w:p>
    <w:p w14:paraId="197B543A">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质量要求：合格；</w:t>
      </w:r>
    </w:p>
    <w:p w14:paraId="58B05629">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2.5标段划分：本次招标共划分1个施工标段；</w:t>
      </w:r>
    </w:p>
    <w:p w14:paraId="0E80F048">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2.6招标范围：本项目招标文件、图纸、工程量清单和施工招标答疑纪要等包含所有工作内容的施工、竣工验收及保修；</w:t>
      </w:r>
    </w:p>
    <w:p w14:paraId="42B2E08B">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2.7招标控制价：4181979.04元</w:t>
      </w:r>
    </w:p>
    <w:p w14:paraId="2F96A4A8">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2.8计划工期：60日历天；</w:t>
      </w:r>
    </w:p>
    <w:p w14:paraId="2AD589B7">
      <w:pPr>
        <w:keepNext w:val="0"/>
        <w:keepLines w:val="0"/>
        <w:pageBreakBefore w:val="0"/>
        <w:widowControl w:val="0"/>
        <w:kinsoku/>
        <w:wordWrap w:val="0"/>
        <w:overflowPunct/>
        <w:topLinePunct w:val="0"/>
        <w:autoSpaceDE/>
        <w:autoSpaceDN/>
        <w:bidi w:val="0"/>
        <w:adjustRightInd/>
        <w:snapToGrid/>
        <w:spacing w:line="460" w:lineRule="exact"/>
        <w:ind w:left="0" w:leftChars="0" w:right="0" w:rightChars="0" w:firstLine="480" w:firstLineChars="200"/>
        <w:textAlignment w:val="auto"/>
        <w:rPr>
          <w:rFonts w:hint="eastAsia"/>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9本项目</w:t>
      </w:r>
      <w:r>
        <w:rPr>
          <w:rFonts w:hint="eastAsia" w:ascii="宋体" w:hAnsi="宋体" w:eastAsia="宋体" w:cs="宋体"/>
          <w:color w:val="auto"/>
          <w:sz w:val="24"/>
          <w:szCs w:val="24"/>
          <w:highlight w:val="none"/>
        </w:rPr>
        <w:t>采用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评定分离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核查随机法</w:t>
      </w:r>
      <w:r>
        <w:rPr>
          <w:rFonts w:hint="eastAsia" w:ascii="宋体" w:hAnsi="宋体" w:eastAsia="宋体" w:cs="宋体"/>
          <w:color w:val="auto"/>
          <w:sz w:val="24"/>
          <w:szCs w:val="24"/>
          <w:highlight w:val="none"/>
        </w:rPr>
        <w:t>确定中标人。</w:t>
      </w:r>
    </w:p>
    <w:p w14:paraId="21F48590">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jc w:val="left"/>
        <w:textAlignment w:val="auto"/>
        <w:outlineLvl w:val="9"/>
        <w:rPr>
          <w:rFonts w:hint="eastAsia" w:ascii="宋体" w:hAnsi="宋体" w:eastAsia="宋体" w:cs="宋体"/>
          <w:b/>
          <w:color w:val="auto"/>
          <w:kern w:val="0"/>
          <w:sz w:val="24"/>
          <w:szCs w:val="24"/>
          <w:highlight w:val="none"/>
        </w:rPr>
      </w:pPr>
      <w:bookmarkStart w:id="28" w:name="_Toc26447354"/>
      <w:r>
        <w:rPr>
          <w:rFonts w:hint="eastAsia" w:ascii="宋体" w:hAnsi="宋体" w:eastAsia="宋体" w:cs="宋体"/>
          <w:b/>
          <w:color w:val="auto"/>
          <w:kern w:val="0"/>
          <w:sz w:val="24"/>
          <w:szCs w:val="24"/>
          <w:highlight w:val="none"/>
        </w:rPr>
        <w:t>3．投标人资格要求</w:t>
      </w:r>
      <w:bookmarkEnd w:id="28"/>
      <w:r>
        <w:rPr>
          <w:rFonts w:hint="eastAsia" w:ascii="宋体" w:hAnsi="宋体" w:eastAsia="宋体" w:cs="宋体"/>
          <w:b/>
          <w:color w:val="auto"/>
          <w:kern w:val="0"/>
          <w:sz w:val="24"/>
          <w:szCs w:val="24"/>
          <w:highlight w:val="none"/>
        </w:rPr>
        <w:t xml:space="preserve">  </w:t>
      </w:r>
    </w:p>
    <w:p w14:paraId="08F2A539">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投标人具有独立企业法人资格并具有有效的营业执照；</w:t>
      </w:r>
    </w:p>
    <w:p w14:paraId="7BF651BA">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default"/>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资质要求：投标人须具备独立法人资格，具有有效的企业法人营业执照,并具有建设行政主管部门核发的建筑工程施工总承包贰级及以上资质，具有有效的企业安全生产许可证，并在人员、设备、资金等方面具有相应的施工能力。</w:t>
      </w:r>
    </w:p>
    <w:p w14:paraId="01AC3B36">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项目经理要求：拟派项目经理具有建筑工程专业二级及以上注册建造师证书，并具有有效的安全生产考核合格证书，且无在建项目，提供劳动合同及社保缴纳证明。</w:t>
      </w:r>
      <w:r>
        <w:rPr>
          <w:rFonts w:hint="eastAsia" w:ascii="宋体" w:hAnsi="宋体" w:eastAsia="宋体" w:cs="宋体"/>
          <w:color w:val="auto"/>
          <w:sz w:val="24"/>
          <w:szCs w:val="24"/>
          <w:highlight w:val="none"/>
          <w:lang w:val="en-US" w:eastAsia="zh-CN"/>
        </w:rPr>
        <w:t>3.4技术负责人资格要求：拟派技术负责人具有相关专业中级及以上技术职称，并提供劳动合同及社保缴纳证明。</w:t>
      </w:r>
    </w:p>
    <w:p w14:paraId="224620FC">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3.5财</w:t>
      </w:r>
      <w:r>
        <w:rPr>
          <w:rFonts w:hint="eastAsia" w:ascii="宋体" w:hAnsi="宋体" w:eastAsia="宋体" w:cs="宋体"/>
          <w:color w:val="auto"/>
          <w:sz w:val="24"/>
          <w:szCs w:val="24"/>
          <w:highlight w:val="none"/>
        </w:rPr>
        <w:t>务要求：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51BA45BC">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信誉要求：</w:t>
      </w:r>
    </w:p>
    <w:p w14:paraId="73A907E9">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3.6.1投标人通过“信用中国”网站（https://www.creditchina.gov.cn）查询“重大税收违法失信主体”及“失信被执行人”跳转至“中国执行信息公开网”网站（https://zxgk.court.gov.cn/shixin）查询企业、法定代表人、拟派项目经理，并提供查询结果证明材料，有失信记录的将被取消投标资格（投标人须提供网站查询打印页，打印页需包括查询日期，查询日期为公告发布之后至投标截止时间前）</w:t>
      </w:r>
      <w:r>
        <w:rPr>
          <w:rFonts w:hint="eastAsia" w:ascii="宋体" w:hAnsi="宋体" w:eastAsia="宋体" w:cs="宋体"/>
          <w:color w:val="auto"/>
          <w:sz w:val="24"/>
          <w:szCs w:val="24"/>
          <w:highlight w:val="none"/>
        </w:rPr>
        <w:t>；</w:t>
      </w:r>
    </w:p>
    <w:p w14:paraId="5A3868D4">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20" w:firstLineChars="175"/>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3.6</w:t>
      </w: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凡是被列入全国建筑市场监管公共服务平台“黑名单”的，依法拒绝其参与本次投标。查询渠道：“全国建筑市场监管公共服务平台”网站（https://jzsc.mohurd.gov.cn/home），须提供查询结果证明材料（投标人须提供网站查询打印页，打印页需包括查询日期，查询日期为公告发布之后至投标截止时间前）；</w:t>
      </w:r>
    </w:p>
    <w:p w14:paraId="54836F7E">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3.7其他要求：</w:t>
      </w:r>
    </w:p>
    <w:p w14:paraId="24C8FD7A">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3.7.1</w:t>
      </w:r>
      <w:r>
        <w:rPr>
          <w:rFonts w:hint="eastAsia" w:ascii="宋体" w:hAnsi="宋体" w:eastAsia="宋体" w:cs="宋体"/>
          <w:color w:val="auto"/>
          <w:sz w:val="24"/>
          <w:szCs w:val="24"/>
          <w:highlight w:val="none"/>
        </w:rPr>
        <w:t>单位负责人为同一个人或者存在控股、管理关系的不同单位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不得同时对该项目进行投标；为本项目前期准备提供设计或咨询服务的单位不得参加本招标项目投标（加盖单位公章的“国家企业信用信息公示系统”中公示的公司信息、股东或投资人信息截图）</w:t>
      </w:r>
      <w:r>
        <w:rPr>
          <w:rFonts w:hint="eastAsia" w:ascii="宋体" w:hAnsi="宋体" w:eastAsia="宋体" w:cs="宋体"/>
          <w:color w:val="auto"/>
          <w:sz w:val="24"/>
          <w:szCs w:val="24"/>
          <w:highlight w:val="none"/>
          <w:lang w:eastAsia="zh-CN"/>
        </w:rPr>
        <w:t>；</w:t>
      </w:r>
    </w:p>
    <w:p w14:paraId="3A0089ED">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3.7.2根据&lt;&lt;河南省住房和城乡建设厅关于进一步规范建设工程企业资质管理的通知&gt;&gt;(豫建行规(2024)7号)规定，被全国或河南省建筑市场监管公共服务平台标注为资质异常的，不能使用标注异常资质承揽本工程，具体要求详见豫建行规(2024)7号相关内容，提供全国或河南省建筑市场监管公共服务平台查询证明材料（查询时间为招标公告发布之日后，投标截止时间前，查询结果需显示网页时间，并将查询结果附在投标文件中）；</w:t>
      </w:r>
    </w:p>
    <w:p w14:paraId="37559D42">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本项目不接受联合体投标。</w:t>
      </w:r>
    </w:p>
    <w:p w14:paraId="2861D9CF">
      <w:pPr>
        <w:keepNext w:val="0"/>
        <w:keepLines w:val="0"/>
        <w:pageBreakBefore w:val="0"/>
        <w:kinsoku/>
        <w:wordWrap w:val="0"/>
        <w:overflowPunct/>
        <w:topLinePunct w:val="0"/>
        <w:autoSpaceDE/>
        <w:autoSpaceDN/>
        <w:bidi w:val="0"/>
        <w:adjustRightInd/>
        <w:snapToGrid/>
        <w:spacing w:line="460" w:lineRule="exact"/>
        <w:ind w:left="0" w:leftChars="0" w:right="0" w:rightChars="0"/>
        <w:textAlignment w:val="auto"/>
        <w:outlineLvl w:val="9"/>
        <w:rPr>
          <w:rFonts w:hint="eastAsia" w:ascii="宋体" w:hAnsi="宋体" w:eastAsia="宋体" w:cs="宋体"/>
          <w:b/>
          <w:color w:val="auto"/>
          <w:sz w:val="24"/>
          <w:szCs w:val="24"/>
          <w:highlight w:val="none"/>
        </w:rPr>
      </w:pPr>
      <w:bookmarkStart w:id="29" w:name="_Toc26447355"/>
      <w:bookmarkStart w:id="30" w:name="OLE_LINK1"/>
      <w:r>
        <w:rPr>
          <w:rFonts w:hint="eastAsia" w:ascii="宋体" w:hAnsi="宋体" w:eastAsia="宋体" w:cs="宋体"/>
          <w:b/>
          <w:bCs/>
          <w:color w:val="auto"/>
          <w:sz w:val="24"/>
          <w:szCs w:val="24"/>
          <w:highlight w:val="none"/>
        </w:rPr>
        <w:t>4．企业注册</w:t>
      </w:r>
      <w:bookmarkEnd w:id="29"/>
    </w:p>
    <w:p w14:paraId="518615D2">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2879359C">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请各投标人网上</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时注意完善主体信息（如开户银行及开户账号等），以免未填写或错误导致系统判定废标。</w:t>
      </w:r>
    </w:p>
    <w:p w14:paraId="5876E91A">
      <w:pPr>
        <w:keepNext w:val="0"/>
        <w:keepLines w:val="0"/>
        <w:pageBreakBefore w:val="0"/>
        <w:kinsoku/>
        <w:wordWrap w:val="0"/>
        <w:overflowPunct/>
        <w:topLinePunct w:val="0"/>
        <w:autoSpaceDE/>
        <w:autoSpaceDN/>
        <w:bidi w:val="0"/>
        <w:adjustRightInd/>
        <w:snapToGrid/>
        <w:spacing w:line="460" w:lineRule="exact"/>
        <w:ind w:left="0" w:leftChars="0" w:right="0" w:rightChars="0"/>
        <w:textAlignment w:val="auto"/>
        <w:outlineLvl w:val="9"/>
        <w:rPr>
          <w:rFonts w:hint="eastAsia" w:ascii="宋体" w:hAnsi="宋体" w:eastAsia="宋体" w:cs="宋体"/>
          <w:b/>
          <w:color w:val="auto"/>
          <w:sz w:val="24"/>
          <w:szCs w:val="24"/>
          <w:highlight w:val="none"/>
        </w:rPr>
      </w:pPr>
      <w:bookmarkStart w:id="31" w:name="_Toc26447356"/>
      <w:r>
        <w:rPr>
          <w:rFonts w:hint="eastAsia" w:ascii="宋体" w:hAnsi="宋体" w:eastAsia="宋体" w:cs="宋体"/>
          <w:b/>
          <w:bCs/>
          <w:color w:val="auto"/>
          <w:sz w:val="24"/>
          <w:szCs w:val="24"/>
          <w:highlight w:val="none"/>
        </w:rPr>
        <w:t>5．招标文件的获取</w:t>
      </w:r>
      <w:bookmarkEnd w:id="31"/>
    </w:p>
    <w:bookmarkEnd w:id="30"/>
    <w:p w14:paraId="3F10F535">
      <w:pPr>
        <w:keepNext w:val="0"/>
        <w:keepLines w:val="0"/>
        <w:pageBreakBefore w:val="0"/>
        <w:kinsoku/>
        <w:wordWrap w:val="0"/>
        <w:overflowPunct/>
        <w:topLinePunct w:val="0"/>
        <w:autoSpaceDE/>
        <w:autoSpaceDN/>
        <w:bidi w:val="0"/>
        <w:adjustRightInd/>
        <w:snapToGrid/>
        <w:spacing w:line="460" w:lineRule="exact"/>
        <w:ind w:left="0" w:leftChars="0" w:right="0" w:rightChars="0" w:firstLine="240" w:firstLineChars="1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5.1招标文件获取时间：凡有意参加投标者，请于202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日08：00时至202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时，登录“交易平台网站”（https://ggzy.zhumadian.gov.cn/TPFront/），凭领取的企业身份认证锁（CA密钥）登录系统进行网上投标，并按网上提示下载招标文件及资料，招标文件及资料免费提供。投标人未按规定在网上下载招标文件的，其投标将被拒绝。</w:t>
      </w:r>
    </w:p>
    <w:p w14:paraId="2C6E8280">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招标文件获取方式：凭CA密钥登陆会员系统并按网上提示下载招标文件及资料。（详见交易平台网站下载中心栏目里投标人操作手册）。</w:t>
      </w:r>
    </w:p>
    <w:p w14:paraId="5D6BF850">
      <w:pPr>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6F682CFF">
      <w:pPr>
        <w:keepNext w:val="0"/>
        <w:keepLines w:val="0"/>
        <w:pageBreakBefore w:val="0"/>
        <w:numPr>
          <w:ilvl w:val="0"/>
          <w:numId w:val="1"/>
        </w:numPr>
        <w:kinsoku/>
        <w:wordWrap w:val="0"/>
        <w:overflowPunct/>
        <w:topLinePunct w:val="0"/>
        <w:autoSpaceDE/>
        <w:autoSpaceDN/>
        <w:bidi w:val="0"/>
        <w:adjustRightInd/>
        <w:snapToGrid/>
        <w:spacing w:line="460" w:lineRule="exact"/>
        <w:ind w:left="0" w:leftChars="0" w:right="0" w:rightChars="0"/>
        <w:textAlignment w:val="auto"/>
        <w:outlineLvl w:val="9"/>
        <w:rPr>
          <w:rFonts w:hint="eastAsia" w:ascii="宋体" w:hAnsi="宋体" w:eastAsia="宋体" w:cs="宋体"/>
          <w:b/>
          <w:bCs/>
          <w:color w:val="auto"/>
          <w:sz w:val="24"/>
          <w:szCs w:val="24"/>
          <w:highlight w:val="none"/>
        </w:rPr>
      </w:pPr>
      <w:bookmarkStart w:id="32" w:name="_Toc26447357"/>
      <w:r>
        <w:rPr>
          <w:rFonts w:hint="eastAsia" w:ascii="宋体" w:hAnsi="宋体" w:eastAsia="宋体" w:cs="宋体"/>
          <w:b/>
          <w:bCs/>
          <w:color w:val="auto"/>
          <w:sz w:val="24"/>
          <w:szCs w:val="24"/>
          <w:highlight w:val="none"/>
        </w:rPr>
        <w:t>资格审查方式</w:t>
      </w:r>
      <w:bookmarkEnd w:id="32"/>
      <w:r>
        <w:rPr>
          <w:rFonts w:hint="eastAsia" w:ascii="宋体" w:hAnsi="宋体" w:eastAsia="宋体" w:cs="宋体"/>
          <w:b/>
          <w:bCs/>
          <w:color w:val="auto"/>
          <w:sz w:val="24"/>
          <w:szCs w:val="24"/>
          <w:highlight w:val="none"/>
        </w:rPr>
        <w:t xml:space="preserve"> </w:t>
      </w:r>
    </w:p>
    <w:p w14:paraId="5B38E3D7">
      <w:pPr>
        <w:pStyle w:val="2"/>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本招标工程项目对投标申请人的资格审查采用资格后审方式，主要资格审查标准和内容详见招标文件，只有资格审查合格的投标申请人才有可能被授予合同。</w:t>
      </w:r>
    </w:p>
    <w:p w14:paraId="330B02F1">
      <w:pPr>
        <w:pStyle w:val="2"/>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用不见面开标，投标人无需递交纸质投标文件及原件，投标企业应在项目开标前，将项目经理、人员、资质、业绩、荣誉、财务等投标所需材料原件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p>
    <w:p w14:paraId="15F15169">
      <w:pPr>
        <w:pStyle w:val="45"/>
        <w:keepNext w:val="0"/>
        <w:keepLines w:val="0"/>
        <w:pageBreakBefore w:val="0"/>
        <w:kinsoku/>
        <w:wordWrap w:val="0"/>
        <w:overflowPunct/>
        <w:topLinePunct w:val="0"/>
        <w:autoSpaceDE/>
        <w:autoSpaceDN/>
        <w:bidi w:val="0"/>
        <w:adjustRightInd/>
        <w:snapToGrid/>
        <w:spacing w:before="0" w:beforeLines="0" w:beforeAutospacing="0" w:after="0" w:afterLines="0" w:afterAutospacing="0" w:line="460" w:lineRule="exact"/>
        <w:ind w:left="0" w:leftChars="0" w:right="0" w:rightChars="0"/>
        <w:jc w:val="both"/>
        <w:textAlignment w:val="auto"/>
        <w:outlineLvl w:val="9"/>
        <w:rPr>
          <w:rFonts w:hint="eastAsia" w:ascii="宋体" w:hAnsi="宋体" w:eastAsia="宋体" w:cs="宋体"/>
          <w:color w:val="auto"/>
          <w:sz w:val="24"/>
          <w:szCs w:val="24"/>
          <w:highlight w:val="none"/>
        </w:rPr>
      </w:pPr>
      <w:bookmarkStart w:id="33" w:name="_Toc26447358"/>
      <w:r>
        <w:rPr>
          <w:rFonts w:hint="eastAsia" w:ascii="宋体" w:hAnsi="宋体" w:eastAsia="宋体" w:cs="宋体"/>
          <w:b/>
          <w:bCs/>
          <w:color w:val="auto"/>
          <w:sz w:val="24"/>
          <w:szCs w:val="24"/>
          <w:highlight w:val="none"/>
        </w:rPr>
        <w:t>7. 投标文件的上传/递交</w:t>
      </w:r>
      <w:bookmarkEnd w:id="33"/>
      <w:r>
        <w:rPr>
          <w:rFonts w:hint="eastAsia" w:ascii="宋体" w:hAnsi="宋体" w:eastAsia="宋体" w:cs="宋体"/>
          <w:b/>
          <w:bCs/>
          <w:color w:val="auto"/>
          <w:sz w:val="24"/>
          <w:szCs w:val="24"/>
          <w:highlight w:val="none"/>
        </w:rPr>
        <w:t> </w:t>
      </w:r>
    </w:p>
    <w:p w14:paraId="026068D6">
      <w:pPr>
        <w:keepNext w:val="0"/>
        <w:keepLines w:val="0"/>
        <w:pageBreakBefore w:val="0"/>
        <w:widowControl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7.1本项目采用不见面开标、投标人需要递交电子投标文件，无需递交纸质文件。</w:t>
      </w:r>
    </w:p>
    <w:p w14:paraId="660513FA">
      <w:pPr>
        <w:keepNext w:val="0"/>
        <w:keepLines w:val="0"/>
        <w:pageBreakBefore w:val="0"/>
        <w:widowControl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投标文件的上传/递交截止时间（投标截止时间，下同）和地点见招标文件。加密电子投标文件（*.ZMDTF格式）应在投标截止时间前通过驻马店市公共资源交易电子交易平台（http://ggzy.zhumadian.gov.cn:8820/TPbidder/login.aspx）上传完成。</w:t>
      </w:r>
    </w:p>
    <w:p w14:paraId="484D791C">
      <w:pPr>
        <w:keepNext w:val="0"/>
        <w:keepLines w:val="0"/>
        <w:pageBreakBefore w:val="0"/>
        <w:widowControl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057807E">
      <w:pPr>
        <w:keepNext w:val="0"/>
        <w:keepLines w:val="0"/>
        <w:pageBreakBefore w:val="0"/>
        <w:widowControl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7.4远程开标前，投标人务必在驻马店市公共资源交易电子交易平台（http://ggzy.zhumadian.gov.cn:8820/TPbidder/login.aspx）投标文件上传模块中使用“模拟解密”功能，验证本机远程自助解密环境。</w:t>
      </w:r>
    </w:p>
    <w:p w14:paraId="27318F22">
      <w:pPr>
        <w:keepNext w:val="0"/>
        <w:keepLines w:val="0"/>
        <w:pageBreakBefore w:val="0"/>
        <w:widowControl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7.5逾期上传/送达的或者未上传/未送达指定地点的投标文件，招标人不予受理。</w:t>
      </w:r>
    </w:p>
    <w:p w14:paraId="72054DC6">
      <w:pPr>
        <w:pStyle w:val="45"/>
        <w:keepNext w:val="0"/>
        <w:keepLines w:val="0"/>
        <w:pageBreakBefore w:val="0"/>
        <w:kinsoku/>
        <w:wordWrap w:val="0"/>
        <w:overflowPunct/>
        <w:topLinePunct w:val="0"/>
        <w:autoSpaceDE/>
        <w:autoSpaceDN/>
        <w:bidi w:val="0"/>
        <w:adjustRightInd/>
        <w:snapToGrid/>
        <w:spacing w:before="0" w:beforeLines="0" w:beforeAutospacing="0" w:after="0" w:afterLines="0" w:afterAutospacing="0" w:line="460" w:lineRule="exact"/>
        <w:ind w:left="0" w:leftChars="0" w:right="0" w:rightChars="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w:t>
      </w:r>
      <w:r>
        <w:rPr>
          <w:rFonts w:hint="eastAsia"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发布公告的媒介</w:t>
      </w:r>
    </w:p>
    <w:p w14:paraId="64EDE3A6">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本招标公告在《</w:t>
      </w:r>
      <w:r>
        <w:rPr>
          <w:rFonts w:hint="eastAsia" w:ascii="宋体" w:hAnsi="宋体" w:eastAsia="宋体" w:cs="宋体"/>
          <w:bCs/>
          <w:color w:val="auto"/>
          <w:kern w:val="0"/>
          <w:sz w:val="24"/>
          <w:szCs w:val="24"/>
          <w:highlight w:val="none"/>
          <w:lang w:eastAsia="zh-CN"/>
        </w:rPr>
        <w:t>中国招标投标公共服务平台</w:t>
      </w:r>
      <w:r>
        <w:rPr>
          <w:rFonts w:hint="eastAsia" w:ascii="宋体" w:hAnsi="宋体" w:eastAsia="宋体" w:cs="宋体"/>
          <w:bCs/>
          <w:color w:val="auto"/>
          <w:kern w:val="0"/>
          <w:sz w:val="24"/>
          <w:szCs w:val="24"/>
          <w:highlight w:val="none"/>
        </w:rPr>
        <w:t>》、《河南省电子招标投标公共服务平台》</w:t>
      </w:r>
      <w:r>
        <w:rPr>
          <w:rFonts w:hint="eastAsia" w:ascii="宋体" w:hAnsi="宋体" w:eastAsia="宋体" w:cs="宋体"/>
          <w:bCs/>
          <w:color w:val="auto"/>
          <w:kern w:val="0"/>
          <w:sz w:val="24"/>
          <w:szCs w:val="24"/>
          <w:highlight w:val="none"/>
          <w:lang w:val="en-US" w:eastAsia="zh-CN"/>
        </w:rPr>
        <w:t>《河南省政府采购网》、</w:t>
      </w:r>
      <w:r>
        <w:rPr>
          <w:rFonts w:hint="eastAsia" w:ascii="宋体" w:hAnsi="宋体" w:eastAsia="宋体" w:cs="宋体"/>
          <w:bCs/>
          <w:color w:val="auto"/>
          <w:kern w:val="0"/>
          <w:sz w:val="24"/>
          <w:szCs w:val="24"/>
          <w:highlight w:val="none"/>
        </w:rPr>
        <w:t>《驻马店市公共资源交易平台》上同时发布。</w:t>
      </w:r>
    </w:p>
    <w:p w14:paraId="2DD1A0D1">
      <w:pPr>
        <w:pStyle w:val="45"/>
        <w:keepNext w:val="0"/>
        <w:keepLines w:val="0"/>
        <w:pageBreakBefore w:val="0"/>
        <w:kinsoku/>
        <w:wordWrap w:val="0"/>
        <w:overflowPunct/>
        <w:topLinePunct w:val="0"/>
        <w:autoSpaceDE/>
        <w:autoSpaceDN/>
        <w:bidi w:val="0"/>
        <w:adjustRightInd/>
        <w:snapToGrid/>
        <w:spacing w:before="0" w:beforeLines="0" w:beforeAutospacing="0" w:after="0" w:afterLines="0" w:afterAutospacing="0" w:line="460" w:lineRule="exact"/>
        <w:ind w:left="0" w:leftChars="0" w:right="0" w:rightChars="0"/>
        <w:jc w:val="both"/>
        <w:textAlignment w:val="auto"/>
        <w:outlineLvl w:val="9"/>
        <w:rPr>
          <w:rFonts w:hint="eastAsia" w:ascii="宋体" w:hAnsi="宋体" w:eastAsia="宋体" w:cs="宋体"/>
          <w:b/>
          <w:bCs/>
          <w:color w:val="auto"/>
          <w:sz w:val="24"/>
          <w:szCs w:val="24"/>
          <w:highlight w:val="none"/>
        </w:rPr>
      </w:pPr>
      <w:bookmarkStart w:id="34" w:name="_Toc26447359"/>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特别提醒</w:t>
      </w:r>
    </w:p>
    <w:p w14:paraId="488E8B25">
      <w:pPr>
        <w:pStyle w:val="2"/>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因驻马店不见面交易系统具备视频直播、语音通话等，对网络带宽及硬件要求相对较高的功能，故投标人在参与使用不见面交易系统开标的项目时，需确认是否满足如下要求：</w:t>
      </w:r>
    </w:p>
    <w:p w14:paraId="1AFEAFFD">
      <w:pPr>
        <w:pStyle w:val="2"/>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1、网络要求：网络带宽4M以上。</w:t>
      </w:r>
    </w:p>
    <w:p w14:paraId="05BCA123">
      <w:pPr>
        <w:pStyle w:val="2"/>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2、硬件要求：电脑要求内存4G及以上，且需配套网络摄像头、麦克风、音箱等，并确保其均能正常运转。操作系统要求Windows7及以上，IE浏览器IE11及以上。</w:t>
      </w:r>
    </w:p>
    <w:p w14:paraId="61A4327A">
      <w:pPr>
        <w:pStyle w:val="2"/>
        <w:keepNext w:val="0"/>
        <w:keepLines w:val="0"/>
        <w:pageBreakBefore w:val="0"/>
        <w:kinsoku/>
        <w:wordWrap w:val="0"/>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3、人员要求：对于参与驻马店不见面交易系统开标的投标企业代表，要求能熟练掌握电脑基础操作。不见面开标操作手册下载地址：</w:t>
      </w:r>
      <w:r>
        <w:rPr>
          <w:rFonts w:hint="eastAsia" w:ascii="宋体" w:hAnsi="宋体" w:eastAsia="宋体" w:cs="宋体"/>
          <w:bCs/>
          <w:color w:val="auto"/>
          <w:sz w:val="24"/>
          <w:szCs w:val="24"/>
          <w:highlight w:val="none"/>
        </w:rPr>
        <w:t>（https://ggzy.zhumadian.gov.cn/TPFront/InfoDetail/?InfoID=09eaacd6-a524-447f-a5fd-776c58eb1582&amp;CategoryNum=026001）</w:t>
      </w:r>
      <w:bookmarkEnd w:id="34"/>
      <w:r>
        <w:rPr>
          <w:rFonts w:hint="eastAsia" w:ascii="宋体" w:hAnsi="宋体" w:eastAsia="宋体" w:cs="宋体"/>
          <w:bCs/>
          <w:color w:val="auto"/>
          <w:sz w:val="24"/>
          <w:szCs w:val="24"/>
          <w:highlight w:val="none"/>
        </w:rPr>
        <w:t xml:space="preserve">                            </w:t>
      </w:r>
    </w:p>
    <w:p w14:paraId="27B16AA3">
      <w:pPr>
        <w:keepNext w:val="0"/>
        <w:keepLines w:val="0"/>
        <w:pageBreakBefore w:val="0"/>
        <w:widowControl/>
        <w:numPr>
          <w:ilvl w:val="0"/>
          <w:numId w:val="0"/>
        </w:numPr>
        <w:kinsoku/>
        <w:wordWrap w:val="0"/>
        <w:overflowPunct/>
        <w:topLinePunct w:val="0"/>
        <w:autoSpaceDE/>
        <w:autoSpaceDN/>
        <w:bidi w:val="0"/>
        <w:adjustRightInd/>
        <w:snapToGrid/>
        <w:spacing w:line="460" w:lineRule="exact"/>
        <w:ind w:left="0" w:leftChars="0" w:right="0" w:rightChars="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b/>
          <w:bCs/>
          <w:color w:val="auto"/>
          <w:kern w:val="0"/>
          <w:sz w:val="24"/>
          <w:szCs w:val="24"/>
          <w:highlight w:val="none"/>
        </w:rPr>
        <w:t>联系方式</w:t>
      </w:r>
      <w:r>
        <w:rPr>
          <w:rFonts w:hint="eastAsia" w:ascii="宋体" w:hAnsi="宋体" w:eastAsia="宋体" w:cs="宋体"/>
          <w:color w:val="auto"/>
          <w:sz w:val="24"/>
          <w:szCs w:val="24"/>
          <w:highlight w:val="none"/>
        </w:rPr>
        <w:t xml:space="preserve">          </w:t>
      </w:r>
    </w:p>
    <w:p w14:paraId="1162FB96">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招标人：</w:t>
      </w:r>
      <w:r>
        <w:rPr>
          <w:rFonts w:hint="eastAsia" w:ascii="宋体" w:hAnsi="宋体" w:eastAsia="宋体" w:cs="宋体"/>
          <w:bCs/>
          <w:color w:val="auto"/>
          <w:sz w:val="24"/>
          <w:szCs w:val="24"/>
          <w:highlight w:val="none"/>
          <w:lang w:val="en-US" w:eastAsia="zh-CN"/>
        </w:rPr>
        <w:t>平舆县老王岗乡人民政府</w:t>
      </w:r>
    </w:p>
    <w:p w14:paraId="00360DFF">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地址：平舆县老王岗乡</w:t>
      </w:r>
    </w:p>
    <w:p w14:paraId="10C26523">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联系人：韩湛亚</w:t>
      </w:r>
    </w:p>
    <w:p w14:paraId="738432E6">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联系方式：17339666788</w:t>
      </w:r>
    </w:p>
    <w:p w14:paraId="5AB7611B">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招标代理机构：河南中博项目管理有限公司</w:t>
      </w:r>
    </w:p>
    <w:p w14:paraId="271D20A9">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办公地址：驻马店市乐山大道与洪河大道交叉口百佳广场B座12楼1201室 </w:t>
      </w:r>
    </w:p>
    <w:p w14:paraId="1A18BAAA">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 系 人：尤先生    </w:t>
      </w:r>
    </w:p>
    <w:p w14:paraId="3E501CF7">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话：0396-3668183  </w:t>
      </w:r>
    </w:p>
    <w:bookmarkEnd w:id="23"/>
    <w:bookmarkEnd w:id="24"/>
    <w:p w14:paraId="7A69A9EB">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监督单位：平舆县住房和城乡建设局</w:t>
      </w:r>
    </w:p>
    <w:p w14:paraId="63921285">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联系人：姚先生</w:t>
      </w:r>
    </w:p>
    <w:p w14:paraId="5E91215B">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电话：0396-5022665</w:t>
      </w:r>
    </w:p>
    <w:p w14:paraId="027BC7E0">
      <w:pPr>
        <w:keepNext w:val="0"/>
        <w:keepLines w:val="0"/>
        <w:pageBreakBefore w:val="0"/>
        <w:widowControl/>
        <w:kinsoku/>
        <w:wordWrap w:val="0"/>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lang w:eastAsia="zh-CN"/>
        </w:rPr>
      </w:pPr>
    </w:p>
    <w:p w14:paraId="20559852">
      <w:pPr>
        <w:pStyle w:val="85"/>
        <w:rPr>
          <w:rFonts w:hint="eastAsia" w:ascii="宋体" w:hAnsi="宋体" w:eastAsia="宋体" w:cs="宋体"/>
          <w:b/>
          <w:color w:val="auto"/>
          <w:sz w:val="36"/>
          <w:highlight w:val="none"/>
          <w:lang w:eastAsia="zh-CN"/>
        </w:rPr>
      </w:pPr>
    </w:p>
    <w:p w14:paraId="12E9918A">
      <w:pPr>
        <w:pStyle w:val="85"/>
        <w:rPr>
          <w:rFonts w:hint="eastAsia" w:ascii="宋体" w:hAnsi="宋体" w:eastAsia="宋体" w:cs="宋体"/>
          <w:b/>
          <w:color w:val="auto"/>
          <w:sz w:val="36"/>
          <w:highlight w:val="none"/>
          <w:lang w:eastAsia="zh-CN"/>
        </w:rPr>
      </w:pPr>
    </w:p>
    <w:p w14:paraId="099BE0C6">
      <w:pPr>
        <w:pStyle w:val="85"/>
        <w:rPr>
          <w:rFonts w:hint="eastAsia" w:ascii="宋体" w:hAnsi="宋体" w:eastAsia="宋体" w:cs="宋体"/>
          <w:b/>
          <w:color w:val="auto"/>
          <w:sz w:val="36"/>
          <w:highlight w:val="none"/>
          <w:lang w:eastAsia="zh-CN"/>
        </w:rPr>
      </w:pPr>
    </w:p>
    <w:p w14:paraId="51CD7169">
      <w:pPr>
        <w:pStyle w:val="85"/>
        <w:rPr>
          <w:rFonts w:hint="eastAsia" w:ascii="宋体" w:hAnsi="宋体" w:eastAsia="宋体" w:cs="宋体"/>
          <w:b/>
          <w:color w:val="auto"/>
          <w:sz w:val="36"/>
          <w:highlight w:val="none"/>
          <w:lang w:eastAsia="zh-CN"/>
        </w:rPr>
      </w:pPr>
    </w:p>
    <w:p w14:paraId="04133263">
      <w:pPr>
        <w:pStyle w:val="85"/>
        <w:rPr>
          <w:rFonts w:hint="eastAsia" w:ascii="宋体" w:hAnsi="宋体" w:eastAsia="宋体" w:cs="宋体"/>
          <w:b/>
          <w:color w:val="auto"/>
          <w:sz w:val="36"/>
          <w:highlight w:val="none"/>
          <w:lang w:eastAsia="zh-CN"/>
        </w:rPr>
      </w:pPr>
    </w:p>
    <w:p w14:paraId="57ADC40C">
      <w:pPr>
        <w:pStyle w:val="85"/>
        <w:rPr>
          <w:rFonts w:hint="eastAsia" w:ascii="宋体" w:hAnsi="宋体" w:eastAsia="宋体" w:cs="宋体"/>
          <w:b/>
          <w:color w:val="auto"/>
          <w:sz w:val="36"/>
          <w:highlight w:val="none"/>
          <w:lang w:eastAsia="zh-CN"/>
        </w:rPr>
      </w:pPr>
    </w:p>
    <w:p w14:paraId="5007F6E0">
      <w:pPr>
        <w:pStyle w:val="85"/>
        <w:rPr>
          <w:rFonts w:hint="eastAsia" w:ascii="宋体" w:hAnsi="宋体" w:eastAsia="宋体" w:cs="宋体"/>
          <w:b/>
          <w:color w:val="auto"/>
          <w:sz w:val="36"/>
          <w:highlight w:val="none"/>
          <w:lang w:eastAsia="zh-CN"/>
        </w:rPr>
      </w:pPr>
    </w:p>
    <w:p w14:paraId="359D6FF7">
      <w:pPr>
        <w:pStyle w:val="85"/>
        <w:rPr>
          <w:rFonts w:hint="eastAsia" w:ascii="宋体" w:hAnsi="宋体" w:eastAsia="宋体" w:cs="宋体"/>
          <w:b/>
          <w:color w:val="auto"/>
          <w:sz w:val="36"/>
          <w:highlight w:val="none"/>
          <w:lang w:eastAsia="zh-CN"/>
        </w:rPr>
      </w:pPr>
    </w:p>
    <w:p w14:paraId="55185A63">
      <w:pPr>
        <w:pStyle w:val="85"/>
        <w:rPr>
          <w:rFonts w:hint="eastAsia" w:ascii="宋体" w:hAnsi="宋体" w:eastAsia="宋体" w:cs="宋体"/>
          <w:b/>
          <w:color w:val="auto"/>
          <w:sz w:val="36"/>
          <w:highlight w:val="none"/>
          <w:lang w:eastAsia="zh-CN"/>
        </w:rPr>
      </w:pPr>
    </w:p>
    <w:p w14:paraId="549EE8CF">
      <w:pPr>
        <w:pStyle w:val="85"/>
        <w:ind w:left="0" w:leftChars="0" w:firstLine="0" w:firstLineChars="0"/>
        <w:rPr>
          <w:rFonts w:hint="eastAsia" w:ascii="宋体" w:hAnsi="宋体" w:eastAsia="宋体" w:cs="宋体"/>
          <w:b/>
          <w:color w:val="auto"/>
          <w:sz w:val="36"/>
          <w:highlight w:val="none"/>
          <w:lang w:eastAsia="zh-CN"/>
        </w:rPr>
      </w:pPr>
    </w:p>
    <w:p w14:paraId="5361F956">
      <w:pPr>
        <w:pStyle w:val="85"/>
        <w:rPr>
          <w:rFonts w:hint="eastAsia" w:ascii="宋体" w:hAnsi="宋体" w:eastAsia="宋体" w:cs="宋体"/>
          <w:b/>
          <w:color w:val="auto"/>
          <w:sz w:val="36"/>
          <w:highlight w:val="none"/>
          <w:lang w:eastAsia="zh-CN"/>
        </w:rPr>
      </w:pPr>
    </w:p>
    <w:p w14:paraId="74CC7C55">
      <w:pPr>
        <w:pStyle w:val="23"/>
        <w:pageBreakBefore w:val="0"/>
        <w:kinsoku/>
        <w:wordWrap w:val="0"/>
        <w:overflowPunct/>
        <w:topLinePunct w:val="0"/>
        <w:bidi w:val="0"/>
        <w:spacing w:line="440" w:lineRule="exact"/>
        <w:ind w:firstLine="361"/>
        <w:jc w:val="center"/>
        <w:outlineLvl w:val="0"/>
        <w:rPr>
          <w:rFonts w:hint="eastAsia" w:ascii="宋体" w:hAnsi="宋体" w:eastAsia="宋体" w:cs="宋体"/>
          <w:b/>
          <w:color w:val="auto"/>
          <w:sz w:val="36"/>
          <w:highlight w:val="none"/>
        </w:rPr>
      </w:pPr>
      <w:bookmarkStart w:id="35" w:name="_Toc16653"/>
      <w:r>
        <w:rPr>
          <w:rFonts w:hint="eastAsia" w:ascii="宋体" w:hAnsi="宋体" w:eastAsia="宋体" w:cs="宋体"/>
          <w:b/>
          <w:color w:val="auto"/>
          <w:sz w:val="36"/>
          <w:highlight w:val="none"/>
        </w:rPr>
        <w:t>第二章 投标人须知</w:t>
      </w:r>
      <w:bookmarkEnd w:id="13"/>
      <w:bookmarkEnd w:id="14"/>
      <w:bookmarkEnd w:id="15"/>
      <w:bookmarkEnd w:id="16"/>
      <w:bookmarkEnd w:id="25"/>
      <w:bookmarkEnd w:id="35"/>
      <w:bookmarkStart w:id="36" w:name="_Toc214433859"/>
      <w:bookmarkStart w:id="37" w:name="_Toc228591481"/>
      <w:bookmarkStart w:id="38" w:name="_Toc228589135"/>
      <w:bookmarkStart w:id="39" w:name="_Toc228337070"/>
      <w:bookmarkStart w:id="40" w:name="_Toc227657459"/>
      <w:bookmarkStart w:id="41" w:name="_Toc227492216"/>
      <w:bookmarkStart w:id="42" w:name="_Toc228591629"/>
    </w:p>
    <w:p w14:paraId="0F17C005">
      <w:pPr>
        <w:pageBreakBefore w:val="0"/>
        <w:kinsoku/>
        <w:wordWrap w:val="0"/>
        <w:overflowPunct/>
        <w:topLinePunct w:val="0"/>
        <w:autoSpaceDE w:val="0"/>
        <w:autoSpaceDN w:val="0"/>
        <w:bidi w:val="0"/>
        <w:adjustRightInd w:val="0"/>
        <w:spacing w:line="400" w:lineRule="exact"/>
        <w:ind w:right="-34" w:rightChars="-16" w:firstLine="3764" w:firstLineChars="1339"/>
        <w:outlineLvl w:val="1"/>
        <w:rPr>
          <w:rFonts w:hint="eastAsia" w:ascii="宋体" w:hAnsi="宋体" w:eastAsia="宋体" w:cs="宋体"/>
          <w:b/>
          <w:color w:val="auto"/>
          <w:kern w:val="0"/>
          <w:sz w:val="28"/>
          <w:highlight w:val="none"/>
        </w:rPr>
      </w:pPr>
      <w:bookmarkStart w:id="43" w:name="_Toc28954"/>
      <w:bookmarkStart w:id="44" w:name="_Toc228881133"/>
      <w:bookmarkStart w:id="45" w:name="_Toc17236"/>
      <w:bookmarkStart w:id="46" w:name="_Toc272772546"/>
      <w:bookmarkStart w:id="47" w:name="_Toc19484"/>
      <w:r>
        <w:rPr>
          <w:rFonts w:hint="eastAsia" w:ascii="宋体" w:hAnsi="宋体" w:eastAsia="宋体" w:cs="宋体"/>
          <w:b/>
          <w:color w:val="auto"/>
          <w:kern w:val="0"/>
          <w:sz w:val="28"/>
          <w:highlight w:val="none"/>
        </w:rPr>
        <w:t>投标人须知前附表</w:t>
      </w:r>
      <w:bookmarkEnd w:id="36"/>
      <w:bookmarkEnd w:id="37"/>
      <w:bookmarkEnd w:id="38"/>
      <w:bookmarkEnd w:id="39"/>
      <w:bookmarkEnd w:id="40"/>
      <w:bookmarkEnd w:id="41"/>
      <w:bookmarkEnd w:id="42"/>
      <w:bookmarkEnd w:id="43"/>
      <w:bookmarkEnd w:id="44"/>
      <w:bookmarkEnd w:id="45"/>
      <w:bookmarkEnd w:id="46"/>
      <w:bookmarkEnd w:id="47"/>
    </w:p>
    <w:tbl>
      <w:tblPr>
        <w:tblStyle w:val="49"/>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32"/>
        <w:gridCol w:w="2557"/>
        <w:gridCol w:w="6238"/>
      </w:tblGrid>
      <w:tr w14:paraId="65F47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37" w:type="dxa"/>
            <w:noWrap w:val="0"/>
            <w:vAlign w:val="center"/>
          </w:tcPr>
          <w:p w14:paraId="7151998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条款号</w:t>
            </w:r>
          </w:p>
        </w:tc>
        <w:tc>
          <w:tcPr>
            <w:tcW w:w="2589" w:type="dxa"/>
            <w:gridSpan w:val="2"/>
            <w:noWrap w:val="0"/>
            <w:vAlign w:val="center"/>
          </w:tcPr>
          <w:p w14:paraId="1302E90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 款 名 称</w:t>
            </w:r>
          </w:p>
        </w:tc>
        <w:tc>
          <w:tcPr>
            <w:tcW w:w="6238" w:type="dxa"/>
            <w:noWrap w:val="0"/>
            <w:vAlign w:val="center"/>
          </w:tcPr>
          <w:p w14:paraId="5E4022C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编 列 内 容</w:t>
            </w:r>
          </w:p>
        </w:tc>
      </w:tr>
      <w:tr w14:paraId="1382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937" w:type="dxa"/>
            <w:noWrap w:val="0"/>
            <w:vAlign w:val="center"/>
          </w:tcPr>
          <w:p w14:paraId="0BFD0D9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w:t>
            </w:r>
          </w:p>
        </w:tc>
        <w:tc>
          <w:tcPr>
            <w:tcW w:w="2589" w:type="dxa"/>
            <w:gridSpan w:val="2"/>
            <w:noWrap w:val="0"/>
            <w:vAlign w:val="center"/>
          </w:tcPr>
          <w:p w14:paraId="296F5B5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w:t>
            </w:r>
          </w:p>
        </w:tc>
        <w:tc>
          <w:tcPr>
            <w:tcW w:w="6238" w:type="dxa"/>
            <w:noWrap w:val="0"/>
            <w:vAlign w:val="center"/>
          </w:tcPr>
          <w:p w14:paraId="3196320D">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招标人：平舆县老王岗乡人民政府</w:t>
            </w:r>
          </w:p>
          <w:p w14:paraId="26479A4C">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地址：平舆县老王岗乡</w:t>
            </w:r>
          </w:p>
          <w:p w14:paraId="2A498150">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联系人：韩湛亚</w:t>
            </w:r>
          </w:p>
          <w:p w14:paraId="453C43CE">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联系方式：17339666788</w:t>
            </w:r>
          </w:p>
        </w:tc>
      </w:tr>
      <w:tr w14:paraId="4909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jc w:val="center"/>
        </w:trPr>
        <w:tc>
          <w:tcPr>
            <w:tcW w:w="937" w:type="dxa"/>
            <w:noWrap w:val="0"/>
            <w:vAlign w:val="center"/>
          </w:tcPr>
          <w:p w14:paraId="08565DF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w:t>
            </w:r>
          </w:p>
        </w:tc>
        <w:tc>
          <w:tcPr>
            <w:tcW w:w="2589" w:type="dxa"/>
            <w:gridSpan w:val="2"/>
            <w:noWrap w:val="0"/>
            <w:vAlign w:val="center"/>
          </w:tcPr>
          <w:p w14:paraId="0B6A74B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招标代理机构</w:t>
            </w:r>
          </w:p>
        </w:tc>
        <w:tc>
          <w:tcPr>
            <w:tcW w:w="6238" w:type="dxa"/>
            <w:noWrap w:val="0"/>
            <w:vAlign w:val="center"/>
          </w:tcPr>
          <w:p w14:paraId="49769AF0">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招标代理机构：河南中博项目管理有限公司</w:t>
            </w:r>
          </w:p>
          <w:p w14:paraId="7F58FB37">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办公地址：驻马店市乐山大道与洪河大道交叉口百佳广场B座12楼1201室 </w:t>
            </w:r>
          </w:p>
          <w:p w14:paraId="5BDE6FC8">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 系 人：尤先生    </w:t>
            </w:r>
          </w:p>
          <w:p w14:paraId="248C4249">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    话：0396-3668183  </w:t>
            </w:r>
          </w:p>
        </w:tc>
      </w:tr>
      <w:tr w14:paraId="12DF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37" w:type="dxa"/>
            <w:noWrap w:val="0"/>
            <w:vAlign w:val="center"/>
          </w:tcPr>
          <w:p w14:paraId="047546B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1.1.4</w:t>
            </w:r>
          </w:p>
        </w:tc>
        <w:tc>
          <w:tcPr>
            <w:tcW w:w="2589" w:type="dxa"/>
            <w:gridSpan w:val="2"/>
            <w:noWrap w:val="0"/>
            <w:vAlign w:val="center"/>
          </w:tcPr>
          <w:p w14:paraId="41EC8EB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238" w:type="dxa"/>
            <w:noWrap w:val="0"/>
            <w:vAlign w:val="center"/>
          </w:tcPr>
          <w:p w14:paraId="4A143861">
            <w:pPr>
              <w:keepNext w:val="0"/>
              <w:keepLines w:val="0"/>
              <w:pageBreakBefore w:val="0"/>
              <w:suppressLineNumbers w:val="0"/>
              <w:kinsoku/>
              <w:wordWrap w:val="0"/>
              <w:overflowPunct/>
              <w:topLinePunct w:val="0"/>
              <w:bidi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2025年老王岗乡木材加工厂房建设项目</w:t>
            </w:r>
            <w:r>
              <w:rPr>
                <w:rFonts w:hint="eastAsia" w:ascii="宋体" w:hAnsi="宋体" w:eastAsia="宋体" w:cs="宋体"/>
                <w:color w:val="auto"/>
                <w:kern w:val="0"/>
                <w:sz w:val="21"/>
                <w:szCs w:val="21"/>
                <w:highlight w:val="none"/>
              </w:rPr>
              <w:t xml:space="preserve">  </w:t>
            </w:r>
          </w:p>
        </w:tc>
      </w:tr>
      <w:tr w14:paraId="3B66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37" w:type="dxa"/>
            <w:noWrap w:val="0"/>
            <w:vAlign w:val="center"/>
          </w:tcPr>
          <w:p w14:paraId="61A3CC4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w:t>
            </w:r>
          </w:p>
        </w:tc>
        <w:tc>
          <w:tcPr>
            <w:tcW w:w="2589" w:type="dxa"/>
            <w:gridSpan w:val="2"/>
            <w:noWrap w:val="0"/>
            <w:vAlign w:val="center"/>
          </w:tcPr>
          <w:p w14:paraId="3E38459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建设地点</w:t>
            </w:r>
          </w:p>
        </w:tc>
        <w:tc>
          <w:tcPr>
            <w:tcW w:w="6238" w:type="dxa"/>
            <w:noWrap w:val="0"/>
            <w:vAlign w:val="center"/>
          </w:tcPr>
          <w:p w14:paraId="7C66D917">
            <w:pPr>
              <w:keepNext w:val="0"/>
              <w:keepLines w:val="0"/>
              <w:pageBreakBefore w:val="0"/>
              <w:suppressLineNumbers w:val="0"/>
              <w:kinsoku/>
              <w:wordWrap w:val="0"/>
              <w:overflowPunct/>
              <w:topLinePunct w:val="0"/>
              <w:bidi w:val="0"/>
              <w:spacing w:before="0" w:beforeAutospacing="0" w:after="0" w:afterAutospacing="0" w:line="320" w:lineRule="exact"/>
              <w:ind w:left="0" w:right="-34" w:rightChars="-16"/>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该项目选址位于平舆县老王岗乡林场；</w:t>
            </w:r>
          </w:p>
        </w:tc>
      </w:tr>
      <w:tr w14:paraId="3DFB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37" w:type="dxa"/>
            <w:noWrap w:val="0"/>
            <w:vAlign w:val="center"/>
          </w:tcPr>
          <w:p w14:paraId="288FE23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1.1.6</w:t>
            </w:r>
          </w:p>
        </w:tc>
        <w:tc>
          <w:tcPr>
            <w:tcW w:w="2589" w:type="dxa"/>
            <w:gridSpan w:val="2"/>
            <w:noWrap w:val="0"/>
            <w:vAlign w:val="center"/>
          </w:tcPr>
          <w:p w14:paraId="4EFA4D8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建设规模</w:t>
            </w:r>
          </w:p>
        </w:tc>
        <w:tc>
          <w:tcPr>
            <w:tcW w:w="6238" w:type="dxa"/>
            <w:noWrap w:val="0"/>
            <w:vAlign w:val="center"/>
          </w:tcPr>
          <w:p w14:paraId="75718A0E">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该项目占地面积3800平方米，建筑面积3177.60平方米，主要建设木材加工厂房，同时建设建设园区道路、电力、给排水等配套设施工程等。</w:t>
            </w:r>
          </w:p>
        </w:tc>
      </w:tr>
      <w:tr w14:paraId="57E1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37" w:type="dxa"/>
            <w:noWrap w:val="0"/>
            <w:vAlign w:val="center"/>
          </w:tcPr>
          <w:p w14:paraId="5BC9831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w:t>
            </w:r>
          </w:p>
        </w:tc>
        <w:tc>
          <w:tcPr>
            <w:tcW w:w="2589" w:type="dxa"/>
            <w:gridSpan w:val="2"/>
            <w:noWrap w:val="0"/>
            <w:vAlign w:val="center"/>
          </w:tcPr>
          <w:p w14:paraId="26964AB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资金来源</w:t>
            </w:r>
          </w:p>
        </w:tc>
        <w:tc>
          <w:tcPr>
            <w:tcW w:w="6238" w:type="dxa"/>
            <w:noWrap w:val="0"/>
            <w:vAlign w:val="center"/>
          </w:tcPr>
          <w:p w14:paraId="4CC3FF4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财政资金</w:t>
            </w:r>
          </w:p>
        </w:tc>
      </w:tr>
      <w:tr w14:paraId="3933A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37" w:type="dxa"/>
            <w:noWrap w:val="0"/>
            <w:vAlign w:val="center"/>
          </w:tcPr>
          <w:p w14:paraId="6DD5A28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1.2.2</w:t>
            </w:r>
          </w:p>
        </w:tc>
        <w:tc>
          <w:tcPr>
            <w:tcW w:w="2589" w:type="dxa"/>
            <w:gridSpan w:val="2"/>
            <w:noWrap w:val="0"/>
            <w:vAlign w:val="center"/>
          </w:tcPr>
          <w:p w14:paraId="5F04233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资金落实情况</w:t>
            </w:r>
          </w:p>
        </w:tc>
        <w:tc>
          <w:tcPr>
            <w:tcW w:w="6238" w:type="dxa"/>
            <w:noWrap w:val="0"/>
            <w:vAlign w:val="center"/>
          </w:tcPr>
          <w:p w14:paraId="1E1EBF1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资金已落实</w:t>
            </w:r>
          </w:p>
        </w:tc>
      </w:tr>
      <w:tr w14:paraId="6CE10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37" w:type="dxa"/>
            <w:noWrap w:val="0"/>
            <w:vAlign w:val="center"/>
          </w:tcPr>
          <w:p w14:paraId="23FD746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1.3.1</w:t>
            </w:r>
          </w:p>
        </w:tc>
        <w:tc>
          <w:tcPr>
            <w:tcW w:w="2589" w:type="dxa"/>
            <w:gridSpan w:val="2"/>
            <w:noWrap w:val="0"/>
            <w:vAlign w:val="center"/>
          </w:tcPr>
          <w:p w14:paraId="278615B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招标范围</w:t>
            </w:r>
          </w:p>
        </w:tc>
        <w:tc>
          <w:tcPr>
            <w:tcW w:w="6238" w:type="dxa"/>
            <w:tcBorders>
              <w:bottom w:val="single" w:color="auto" w:sz="4" w:space="0"/>
            </w:tcBorders>
            <w:noWrap w:val="0"/>
            <w:vAlign w:val="center"/>
          </w:tcPr>
          <w:p w14:paraId="73A9E57B">
            <w:pPr>
              <w:keepNext w:val="0"/>
              <w:keepLines w:val="0"/>
              <w:pageBreakBefore w:val="0"/>
              <w:suppressLineNumbers w:val="0"/>
              <w:kinsoku/>
              <w:wordWrap w:val="0"/>
              <w:overflowPunct/>
              <w:topLinePunct w:val="0"/>
              <w:bidi w:val="0"/>
              <w:spacing w:before="0" w:beforeAutospacing="0" w:after="0" w:afterAutospacing="0" w:line="360" w:lineRule="exact"/>
              <w:ind w:left="0" w:right="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本项目招标文件、图纸、工程量清单和施工招标答疑纪要等包含所有工作内容的施工、竣工验收及保修。</w:t>
            </w:r>
          </w:p>
        </w:tc>
      </w:tr>
      <w:tr w14:paraId="109F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37" w:type="dxa"/>
            <w:noWrap w:val="0"/>
            <w:vAlign w:val="center"/>
          </w:tcPr>
          <w:p w14:paraId="63637E5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w:t>
            </w:r>
          </w:p>
        </w:tc>
        <w:tc>
          <w:tcPr>
            <w:tcW w:w="2589" w:type="dxa"/>
            <w:gridSpan w:val="2"/>
            <w:tcBorders>
              <w:right w:val="single" w:color="auto" w:sz="4" w:space="0"/>
            </w:tcBorders>
            <w:noWrap w:val="0"/>
            <w:vAlign w:val="center"/>
          </w:tcPr>
          <w:p w14:paraId="6A215CA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计划工期</w:t>
            </w:r>
          </w:p>
        </w:tc>
        <w:tc>
          <w:tcPr>
            <w:tcW w:w="6238" w:type="dxa"/>
            <w:tcBorders>
              <w:top w:val="single" w:color="auto" w:sz="4" w:space="0"/>
              <w:left w:val="single" w:color="auto" w:sz="4" w:space="0"/>
              <w:bottom w:val="single" w:color="auto" w:sz="4" w:space="0"/>
              <w:right w:val="single" w:color="auto" w:sz="4" w:space="0"/>
            </w:tcBorders>
            <w:noWrap w:val="0"/>
            <w:vAlign w:val="center"/>
          </w:tcPr>
          <w:p w14:paraId="69B8978B">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60日历天</w:t>
            </w:r>
          </w:p>
        </w:tc>
      </w:tr>
      <w:tr w14:paraId="03E81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37" w:type="dxa"/>
            <w:noWrap w:val="0"/>
            <w:vAlign w:val="center"/>
          </w:tcPr>
          <w:p w14:paraId="24261DA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w:t>
            </w:r>
          </w:p>
        </w:tc>
        <w:tc>
          <w:tcPr>
            <w:tcW w:w="2589" w:type="dxa"/>
            <w:gridSpan w:val="2"/>
            <w:noWrap w:val="0"/>
            <w:vAlign w:val="center"/>
          </w:tcPr>
          <w:p w14:paraId="4F2423C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质量标准</w:t>
            </w:r>
          </w:p>
        </w:tc>
        <w:tc>
          <w:tcPr>
            <w:tcW w:w="6238" w:type="dxa"/>
            <w:tcBorders>
              <w:top w:val="single" w:color="auto" w:sz="4" w:space="0"/>
            </w:tcBorders>
            <w:noWrap w:val="0"/>
            <w:vAlign w:val="center"/>
          </w:tcPr>
          <w:p w14:paraId="095FD74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合格</w:t>
            </w:r>
          </w:p>
        </w:tc>
      </w:tr>
      <w:tr w14:paraId="2878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37" w:type="dxa"/>
            <w:noWrap w:val="0"/>
            <w:vAlign w:val="center"/>
          </w:tcPr>
          <w:p w14:paraId="2D070FF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1.3.4</w:t>
            </w:r>
          </w:p>
        </w:tc>
        <w:tc>
          <w:tcPr>
            <w:tcW w:w="2589" w:type="dxa"/>
            <w:gridSpan w:val="2"/>
            <w:noWrap w:val="0"/>
            <w:vAlign w:val="center"/>
          </w:tcPr>
          <w:p w14:paraId="1436C3F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标段划分情况</w:t>
            </w:r>
          </w:p>
        </w:tc>
        <w:tc>
          <w:tcPr>
            <w:tcW w:w="6238" w:type="dxa"/>
            <w:tcBorders>
              <w:top w:val="single" w:color="auto" w:sz="4" w:space="0"/>
            </w:tcBorders>
            <w:noWrap w:val="0"/>
            <w:vAlign w:val="center"/>
          </w:tcPr>
          <w:p w14:paraId="00E21491">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本项目共划分为</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val="en-US" w:eastAsia="zh-CN"/>
              </w:rPr>
              <w:t>施工</w:t>
            </w:r>
            <w:r>
              <w:rPr>
                <w:rFonts w:hint="eastAsia" w:ascii="宋体" w:hAnsi="宋体" w:eastAsia="宋体" w:cs="宋体"/>
                <w:color w:val="auto"/>
                <w:sz w:val="21"/>
                <w:szCs w:val="21"/>
                <w:highlight w:val="none"/>
              </w:rPr>
              <w:t>标段</w:t>
            </w:r>
          </w:p>
        </w:tc>
      </w:tr>
      <w:tr w14:paraId="2FCF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937" w:type="dxa"/>
            <w:noWrap w:val="0"/>
            <w:vAlign w:val="center"/>
          </w:tcPr>
          <w:p w14:paraId="306C79D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1.4.1</w:t>
            </w:r>
          </w:p>
        </w:tc>
        <w:tc>
          <w:tcPr>
            <w:tcW w:w="2589" w:type="dxa"/>
            <w:gridSpan w:val="2"/>
            <w:noWrap w:val="0"/>
            <w:vAlign w:val="center"/>
          </w:tcPr>
          <w:p w14:paraId="3CCF039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投标人资质条件、能力和信誉</w:t>
            </w:r>
          </w:p>
        </w:tc>
        <w:tc>
          <w:tcPr>
            <w:tcW w:w="6238" w:type="dxa"/>
            <w:noWrap w:val="0"/>
            <w:vAlign w:val="center"/>
          </w:tcPr>
          <w:p w14:paraId="6CCBF849">
            <w:pPr>
              <w:keepNext w:val="0"/>
              <w:keepLines w:val="0"/>
              <w:pageBreakBefore w:val="0"/>
              <w:suppressLineNumbers w:val="0"/>
              <w:kinsoku/>
              <w:wordWrap w:val="0"/>
              <w:overflowPunct/>
              <w:topLinePunct w:val="0"/>
              <w:bidi w:val="0"/>
              <w:spacing w:before="0" w:beforeAutospacing="0" w:after="0" w:afterAutospacing="0" w:line="44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同第一章招标公告“3.投标人资格要求”</w:t>
            </w:r>
          </w:p>
        </w:tc>
      </w:tr>
      <w:tr w14:paraId="0A68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37" w:type="dxa"/>
            <w:noWrap w:val="0"/>
            <w:vAlign w:val="center"/>
          </w:tcPr>
          <w:p w14:paraId="4F8D0BA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w:t>
            </w:r>
          </w:p>
        </w:tc>
        <w:tc>
          <w:tcPr>
            <w:tcW w:w="2589" w:type="dxa"/>
            <w:gridSpan w:val="2"/>
            <w:noWrap w:val="0"/>
            <w:vAlign w:val="center"/>
          </w:tcPr>
          <w:p w14:paraId="295496B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是否接受联合体投标</w:t>
            </w:r>
          </w:p>
        </w:tc>
        <w:tc>
          <w:tcPr>
            <w:tcW w:w="6238" w:type="dxa"/>
            <w:noWrap w:val="0"/>
            <w:vAlign w:val="center"/>
          </w:tcPr>
          <w:p w14:paraId="7115AC9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不接受</w:t>
            </w:r>
          </w:p>
          <w:p w14:paraId="7B14DE8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□接受，应满足下列要求：</w:t>
            </w:r>
          </w:p>
          <w:p w14:paraId="2650912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联合体资质按照联合体协议约定的分工认定。</w:t>
            </w:r>
          </w:p>
        </w:tc>
      </w:tr>
      <w:tr w14:paraId="1E017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937" w:type="dxa"/>
            <w:noWrap w:val="0"/>
            <w:vAlign w:val="center"/>
          </w:tcPr>
          <w:p w14:paraId="1D91C21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1.9.1</w:t>
            </w:r>
          </w:p>
        </w:tc>
        <w:tc>
          <w:tcPr>
            <w:tcW w:w="2589" w:type="dxa"/>
            <w:gridSpan w:val="2"/>
            <w:noWrap w:val="0"/>
            <w:vAlign w:val="center"/>
          </w:tcPr>
          <w:p w14:paraId="35B9FF0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踏勘现场</w:t>
            </w:r>
          </w:p>
        </w:tc>
        <w:tc>
          <w:tcPr>
            <w:tcW w:w="6238" w:type="dxa"/>
            <w:noWrap w:val="0"/>
            <w:vAlign w:val="center"/>
          </w:tcPr>
          <w:p w14:paraId="3B05FA5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不组织</w:t>
            </w:r>
          </w:p>
          <w:p w14:paraId="09DD3CD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投标人自行踏勘现场</w:t>
            </w:r>
          </w:p>
        </w:tc>
      </w:tr>
      <w:tr w14:paraId="735A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37" w:type="dxa"/>
            <w:noWrap w:val="0"/>
            <w:vAlign w:val="center"/>
          </w:tcPr>
          <w:p w14:paraId="5719B65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1.10.1</w:t>
            </w:r>
          </w:p>
        </w:tc>
        <w:tc>
          <w:tcPr>
            <w:tcW w:w="2589" w:type="dxa"/>
            <w:gridSpan w:val="2"/>
            <w:noWrap w:val="0"/>
            <w:vAlign w:val="center"/>
          </w:tcPr>
          <w:p w14:paraId="52558D9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投标预备会</w:t>
            </w:r>
          </w:p>
        </w:tc>
        <w:tc>
          <w:tcPr>
            <w:tcW w:w="6238" w:type="dxa"/>
            <w:noWrap w:val="0"/>
            <w:vAlign w:val="center"/>
          </w:tcPr>
          <w:p w14:paraId="169A7E6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不召开</w:t>
            </w:r>
          </w:p>
          <w:p w14:paraId="52CED1B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投标单位在收到招标文件三日内，如有疑问登录交易平台向招标单位和招标代理机构提问，招标单位及招标代理机构审查后认为如有必要答疑，会将答疑纪要在交易平台公布。</w:t>
            </w:r>
          </w:p>
        </w:tc>
      </w:tr>
      <w:tr w14:paraId="3676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jc w:val="center"/>
        </w:trPr>
        <w:tc>
          <w:tcPr>
            <w:tcW w:w="937" w:type="dxa"/>
            <w:noWrap w:val="0"/>
            <w:vAlign w:val="center"/>
          </w:tcPr>
          <w:p w14:paraId="49B360B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w:t>
            </w:r>
          </w:p>
        </w:tc>
        <w:tc>
          <w:tcPr>
            <w:tcW w:w="2589" w:type="dxa"/>
            <w:gridSpan w:val="2"/>
            <w:noWrap w:val="0"/>
            <w:vAlign w:val="center"/>
          </w:tcPr>
          <w:p w14:paraId="7E0F780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分包</w:t>
            </w:r>
          </w:p>
        </w:tc>
        <w:tc>
          <w:tcPr>
            <w:tcW w:w="6238" w:type="dxa"/>
            <w:noWrap w:val="0"/>
            <w:vAlign w:val="center"/>
          </w:tcPr>
          <w:p w14:paraId="07EB54BA">
            <w:pPr>
              <w:keepNext w:val="0"/>
              <w:keepLines w:val="0"/>
              <w:pageBreakBefore w:val="0"/>
              <w:suppressLineNumbers w:val="0"/>
              <w:kinsoku/>
              <w:wordWrap w:val="0"/>
              <w:overflowPunct/>
              <w:topLinePunct w:val="0"/>
              <w:bidi w:val="0"/>
              <w:spacing w:before="0" w:beforeAutospacing="0" w:after="0" w:afterAutospacing="0" w:line="312" w:lineRule="auto"/>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不允许</w:t>
            </w:r>
          </w:p>
          <w:p w14:paraId="1814305C">
            <w:pPr>
              <w:keepNext w:val="0"/>
              <w:keepLines w:val="0"/>
              <w:pageBreakBefore w:val="0"/>
              <w:suppressLineNumbers w:val="0"/>
              <w:kinsoku/>
              <w:wordWrap w:val="0"/>
              <w:overflowPunct/>
              <w:topLinePunct w:val="0"/>
              <w:bidi w:val="0"/>
              <w:spacing w:before="0" w:beforeAutospacing="0" w:after="0" w:afterAutospacing="0" w:line="312" w:lineRule="auto"/>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□允许，分包内容要求：</w:t>
            </w:r>
          </w:p>
          <w:p w14:paraId="7F89E7C1">
            <w:pPr>
              <w:keepNext w:val="0"/>
              <w:keepLines w:val="0"/>
              <w:pageBreakBefore w:val="0"/>
              <w:suppressLineNumbers w:val="0"/>
              <w:kinsoku/>
              <w:wordWrap w:val="0"/>
              <w:overflowPunct/>
              <w:topLinePunct w:val="0"/>
              <w:bidi w:val="0"/>
              <w:spacing w:before="0" w:beforeAutospacing="0" w:after="0" w:afterAutospacing="0" w:line="312" w:lineRule="auto"/>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分包金额要求：</w:t>
            </w:r>
          </w:p>
          <w:p w14:paraId="433C600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接受分包的第三人资质要求：</w:t>
            </w:r>
          </w:p>
        </w:tc>
      </w:tr>
      <w:tr w14:paraId="7AB06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937" w:type="dxa"/>
            <w:noWrap w:val="0"/>
            <w:vAlign w:val="center"/>
          </w:tcPr>
          <w:p w14:paraId="013A7F3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1.12 </w:t>
            </w:r>
          </w:p>
        </w:tc>
        <w:tc>
          <w:tcPr>
            <w:tcW w:w="2589" w:type="dxa"/>
            <w:gridSpan w:val="2"/>
            <w:noWrap w:val="0"/>
            <w:vAlign w:val="center"/>
          </w:tcPr>
          <w:p w14:paraId="5A008B3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偏离</w:t>
            </w:r>
          </w:p>
        </w:tc>
        <w:tc>
          <w:tcPr>
            <w:tcW w:w="6238" w:type="dxa"/>
            <w:noWrap w:val="0"/>
            <w:vAlign w:val="center"/>
          </w:tcPr>
          <w:p w14:paraId="2F9C13BF">
            <w:pPr>
              <w:keepNext w:val="0"/>
              <w:keepLines w:val="0"/>
              <w:pageBreakBefore w:val="0"/>
              <w:suppressLineNumbers w:val="0"/>
              <w:kinsoku/>
              <w:wordWrap w:val="0"/>
              <w:overflowPunct/>
              <w:topLinePunct w:val="0"/>
              <w:bidi w:val="0"/>
              <w:spacing w:before="0" w:beforeAutospacing="0" w:after="0" w:afterAutospacing="0" w:line="288" w:lineRule="auto"/>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不允许</w:t>
            </w:r>
          </w:p>
          <w:p w14:paraId="5AD59617">
            <w:pPr>
              <w:keepNext w:val="0"/>
              <w:keepLines w:val="0"/>
              <w:pageBreakBefore w:val="0"/>
              <w:suppressLineNumbers w:val="0"/>
              <w:kinsoku/>
              <w:wordWrap w:val="0"/>
              <w:overflowPunct/>
              <w:topLinePunct w:val="0"/>
              <w:bidi w:val="0"/>
              <w:spacing w:before="0" w:beforeAutospacing="0" w:after="0" w:afterAutospacing="0" w:line="288" w:lineRule="auto"/>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□允许，可偏离的项目和范围见第</w:t>
            </w: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章</w:t>
            </w:r>
          </w:p>
          <w:p w14:paraId="52EB9AE3">
            <w:pPr>
              <w:keepNext w:val="0"/>
              <w:keepLines w:val="0"/>
              <w:pageBreakBefore w:val="0"/>
              <w:suppressLineNumbers w:val="0"/>
              <w:kinsoku/>
              <w:wordWrap w:val="0"/>
              <w:overflowPunct/>
              <w:topLinePunct w:val="0"/>
              <w:bidi w:val="0"/>
              <w:spacing w:before="0" w:beforeAutospacing="0" w:after="0" w:afterAutospacing="0" w:line="288" w:lineRule="auto"/>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“技术标准和要求”：</w:t>
            </w:r>
          </w:p>
          <w:p w14:paraId="0FA9E2CF">
            <w:pPr>
              <w:keepNext w:val="0"/>
              <w:keepLines w:val="0"/>
              <w:pageBreakBefore w:val="0"/>
              <w:suppressLineNumbers w:val="0"/>
              <w:kinsoku/>
              <w:wordWrap w:val="0"/>
              <w:overflowPunct/>
              <w:topLinePunct w:val="0"/>
              <w:bidi w:val="0"/>
              <w:spacing w:before="0" w:beforeAutospacing="0" w:after="0" w:afterAutospacing="0" w:line="288" w:lineRule="auto"/>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允许偏离最高项数：</w:t>
            </w:r>
            <w:r>
              <w:rPr>
                <w:rFonts w:hint="eastAsia" w:ascii="宋体" w:hAnsi="宋体" w:eastAsia="宋体" w:cs="宋体"/>
                <w:color w:val="auto"/>
                <w:sz w:val="21"/>
                <w:szCs w:val="21"/>
                <w:highlight w:val="none"/>
                <w:u w:val="single"/>
              </w:rPr>
              <w:t xml:space="preserve">      </w:t>
            </w:r>
          </w:p>
          <w:p w14:paraId="6FCCE1D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firstLine="210" w:firstLineChars="10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偏差调整方法：</w:t>
            </w:r>
            <w:r>
              <w:rPr>
                <w:rFonts w:hint="eastAsia" w:ascii="宋体" w:hAnsi="宋体" w:eastAsia="宋体" w:cs="宋体"/>
                <w:color w:val="auto"/>
                <w:sz w:val="21"/>
                <w:szCs w:val="21"/>
                <w:highlight w:val="none"/>
                <w:u w:val="single"/>
              </w:rPr>
              <w:t xml:space="preserve">          </w:t>
            </w:r>
          </w:p>
        </w:tc>
      </w:tr>
      <w:tr w14:paraId="6C5F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937" w:type="dxa"/>
            <w:noWrap w:val="0"/>
            <w:vAlign w:val="center"/>
          </w:tcPr>
          <w:p w14:paraId="494D6AB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2.1 </w:t>
            </w:r>
          </w:p>
        </w:tc>
        <w:tc>
          <w:tcPr>
            <w:tcW w:w="2589" w:type="dxa"/>
            <w:gridSpan w:val="2"/>
            <w:noWrap w:val="0"/>
            <w:vAlign w:val="center"/>
          </w:tcPr>
          <w:p w14:paraId="161DCB4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构成招标文件的其他材料</w:t>
            </w:r>
          </w:p>
        </w:tc>
        <w:tc>
          <w:tcPr>
            <w:tcW w:w="6238" w:type="dxa"/>
            <w:noWrap w:val="0"/>
            <w:vAlign w:val="center"/>
          </w:tcPr>
          <w:p w14:paraId="16849D1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招标文件的补充文件（如有）、</w:t>
            </w:r>
            <w:r>
              <w:rPr>
                <w:rFonts w:hint="eastAsia" w:ascii="宋体" w:hAnsi="宋体" w:eastAsia="宋体" w:cs="宋体"/>
                <w:color w:val="auto"/>
                <w:sz w:val="21"/>
                <w:szCs w:val="21"/>
                <w:highlight w:val="none"/>
              </w:rPr>
              <w:t>图纸（</w:t>
            </w:r>
            <w:r>
              <w:rPr>
                <w:rFonts w:hint="eastAsia" w:ascii="宋体" w:hAnsi="宋体" w:eastAsia="宋体" w:cs="宋体"/>
                <w:color w:val="auto"/>
                <w:sz w:val="21"/>
                <w:szCs w:val="21"/>
                <w:highlight w:val="none"/>
                <w:lang w:eastAsia="zh-CN"/>
              </w:rPr>
              <w:t>交易平台下载</w:t>
            </w:r>
            <w:r>
              <w:rPr>
                <w:rFonts w:hint="eastAsia" w:ascii="宋体" w:hAnsi="宋体" w:eastAsia="宋体" w:cs="宋体"/>
                <w:color w:val="auto"/>
                <w:sz w:val="21"/>
                <w:szCs w:val="21"/>
                <w:highlight w:val="none"/>
              </w:rPr>
              <w:t>）、工程量清单（</w:t>
            </w:r>
            <w:r>
              <w:rPr>
                <w:rFonts w:hint="eastAsia" w:ascii="宋体" w:hAnsi="宋体" w:eastAsia="宋体" w:cs="宋体"/>
                <w:color w:val="auto"/>
                <w:sz w:val="21"/>
                <w:szCs w:val="21"/>
                <w:highlight w:val="none"/>
                <w:lang w:eastAsia="zh-CN"/>
              </w:rPr>
              <w:t>交易平台下载</w:t>
            </w:r>
            <w:r>
              <w:rPr>
                <w:rFonts w:hint="eastAsia" w:ascii="宋体" w:hAnsi="宋体" w:eastAsia="宋体" w:cs="宋体"/>
                <w:color w:val="auto"/>
                <w:sz w:val="21"/>
                <w:szCs w:val="21"/>
                <w:highlight w:val="none"/>
              </w:rPr>
              <w:t>）</w:t>
            </w:r>
          </w:p>
        </w:tc>
      </w:tr>
      <w:tr w14:paraId="380E5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37" w:type="dxa"/>
            <w:noWrap w:val="0"/>
            <w:vAlign w:val="center"/>
          </w:tcPr>
          <w:p w14:paraId="37BCD40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2.2.1</w:t>
            </w:r>
          </w:p>
        </w:tc>
        <w:tc>
          <w:tcPr>
            <w:tcW w:w="2589" w:type="dxa"/>
            <w:gridSpan w:val="2"/>
            <w:noWrap w:val="0"/>
            <w:vAlign w:val="center"/>
          </w:tcPr>
          <w:p w14:paraId="7256A72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投标人要求澄清招标文件的截止时间</w:t>
            </w:r>
          </w:p>
        </w:tc>
        <w:tc>
          <w:tcPr>
            <w:tcW w:w="6238" w:type="dxa"/>
            <w:noWrap w:val="0"/>
            <w:vAlign w:val="center"/>
          </w:tcPr>
          <w:p w14:paraId="4D38A68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时间：递交投标文件截止之日1</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日前</w:t>
            </w:r>
          </w:p>
          <w:p w14:paraId="2478A72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形式：登录交易平台匿名提出</w:t>
            </w:r>
          </w:p>
          <w:p w14:paraId="6E1BB75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14:paraId="7F1C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37" w:type="dxa"/>
            <w:noWrap w:val="0"/>
            <w:vAlign w:val="center"/>
          </w:tcPr>
          <w:p w14:paraId="04AD622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2.3.1</w:t>
            </w:r>
          </w:p>
        </w:tc>
        <w:tc>
          <w:tcPr>
            <w:tcW w:w="2589" w:type="dxa"/>
            <w:gridSpan w:val="2"/>
            <w:noWrap w:val="0"/>
            <w:vAlign w:val="center"/>
          </w:tcPr>
          <w:p w14:paraId="1271AC0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招标人书面澄清的时间</w:t>
            </w:r>
          </w:p>
        </w:tc>
        <w:tc>
          <w:tcPr>
            <w:tcW w:w="6238" w:type="dxa"/>
            <w:noWrap w:val="0"/>
            <w:vAlign w:val="center"/>
          </w:tcPr>
          <w:p w14:paraId="487E5DB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递交投标文件截止之日15日前</w:t>
            </w:r>
          </w:p>
          <w:p w14:paraId="7EEB1F6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形式：交易平台书面澄清</w:t>
            </w:r>
          </w:p>
          <w:p w14:paraId="258A294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14:paraId="70359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37" w:type="dxa"/>
            <w:noWrap w:val="0"/>
            <w:vAlign w:val="center"/>
          </w:tcPr>
          <w:p w14:paraId="6644CC3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w:t>
            </w:r>
          </w:p>
        </w:tc>
        <w:tc>
          <w:tcPr>
            <w:tcW w:w="2589" w:type="dxa"/>
            <w:gridSpan w:val="2"/>
            <w:noWrap w:val="0"/>
            <w:vAlign w:val="center"/>
          </w:tcPr>
          <w:p w14:paraId="2DDEE04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投标人对招标文件提出异议的截止时间</w:t>
            </w:r>
          </w:p>
        </w:tc>
        <w:tc>
          <w:tcPr>
            <w:tcW w:w="6238" w:type="dxa"/>
            <w:noWrap w:val="0"/>
            <w:vAlign w:val="center"/>
          </w:tcPr>
          <w:p w14:paraId="3B404BB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递交投标文件截止之日10日前，招标人收到异议，3日内给予答复；逾期未提出的视为无异议。</w:t>
            </w:r>
          </w:p>
        </w:tc>
      </w:tr>
      <w:tr w14:paraId="7A17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937" w:type="dxa"/>
            <w:noWrap w:val="0"/>
            <w:vAlign w:val="center"/>
          </w:tcPr>
          <w:p w14:paraId="07265B4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w:t>
            </w:r>
          </w:p>
        </w:tc>
        <w:tc>
          <w:tcPr>
            <w:tcW w:w="2589" w:type="dxa"/>
            <w:gridSpan w:val="2"/>
            <w:noWrap w:val="0"/>
            <w:vAlign w:val="center"/>
          </w:tcPr>
          <w:p w14:paraId="1EB02C0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构成投标文件的其他材料</w:t>
            </w:r>
          </w:p>
        </w:tc>
        <w:tc>
          <w:tcPr>
            <w:tcW w:w="6238" w:type="dxa"/>
            <w:noWrap w:val="0"/>
            <w:vAlign w:val="center"/>
          </w:tcPr>
          <w:p w14:paraId="490406F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投标人自行提供</w:t>
            </w:r>
          </w:p>
        </w:tc>
      </w:tr>
      <w:tr w14:paraId="7E244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exact"/>
          <w:jc w:val="center"/>
        </w:trPr>
        <w:tc>
          <w:tcPr>
            <w:tcW w:w="937" w:type="dxa"/>
            <w:noWrap w:val="0"/>
            <w:vAlign w:val="center"/>
          </w:tcPr>
          <w:p w14:paraId="1E27421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3.3.1</w:t>
            </w:r>
          </w:p>
        </w:tc>
        <w:tc>
          <w:tcPr>
            <w:tcW w:w="2589" w:type="dxa"/>
            <w:gridSpan w:val="2"/>
            <w:noWrap w:val="0"/>
            <w:vAlign w:val="center"/>
          </w:tcPr>
          <w:p w14:paraId="3BF2742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投标有效期</w:t>
            </w:r>
          </w:p>
        </w:tc>
        <w:tc>
          <w:tcPr>
            <w:tcW w:w="6238" w:type="dxa"/>
            <w:noWrap w:val="0"/>
            <w:vAlign w:val="center"/>
          </w:tcPr>
          <w:p w14:paraId="31C8D7B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60日历天</w:t>
            </w:r>
            <w:r>
              <w:rPr>
                <w:rFonts w:hint="eastAsia" w:ascii="宋体" w:hAnsi="宋体" w:eastAsia="宋体" w:cs="宋体"/>
                <w:color w:val="auto"/>
                <w:kern w:val="0"/>
                <w:sz w:val="21"/>
                <w:szCs w:val="21"/>
                <w:highlight w:val="none"/>
              </w:rPr>
              <w:t>（从投标截止之日算起）</w:t>
            </w:r>
          </w:p>
        </w:tc>
      </w:tr>
      <w:tr w14:paraId="13148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5" w:hRule="atLeast"/>
          <w:jc w:val="center"/>
        </w:trPr>
        <w:tc>
          <w:tcPr>
            <w:tcW w:w="937" w:type="dxa"/>
            <w:noWrap w:val="0"/>
            <w:vAlign w:val="center"/>
          </w:tcPr>
          <w:p w14:paraId="5DBC0B1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3.4.1</w:t>
            </w:r>
          </w:p>
        </w:tc>
        <w:tc>
          <w:tcPr>
            <w:tcW w:w="2589" w:type="dxa"/>
            <w:gridSpan w:val="2"/>
            <w:noWrap w:val="0"/>
            <w:vAlign w:val="center"/>
          </w:tcPr>
          <w:p w14:paraId="6DB7BB5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w:t>
            </w:r>
          </w:p>
        </w:tc>
        <w:tc>
          <w:tcPr>
            <w:tcW w:w="6238" w:type="dxa"/>
            <w:noWrap w:val="0"/>
            <w:vAlign w:val="center"/>
          </w:tcPr>
          <w:p w14:paraId="522986FC">
            <w:pPr>
              <w:keepNext w:val="0"/>
              <w:keepLines w:val="0"/>
              <w:pageBreakBefore w:val="0"/>
              <w:suppressLineNumbers w:val="0"/>
              <w:kinsoku/>
              <w:wordWrap w:val="0"/>
              <w:overflowPunct/>
              <w:topLinePunct w:val="0"/>
              <w:bidi w:val="0"/>
              <w:adjustRightInd w:val="0"/>
              <w:snapToGrid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是否要求投标人递交投标保证金：</w:t>
            </w:r>
          </w:p>
          <w:p w14:paraId="7CF6C39F">
            <w:pPr>
              <w:keepNext w:val="0"/>
              <w:keepLines w:val="0"/>
              <w:pageBreakBefore w:val="0"/>
              <w:suppressLineNumbers w:val="0"/>
              <w:kinsoku/>
              <w:wordWrap w:val="0"/>
              <w:overflowPunct/>
              <w:topLinePunct w:val="0"/>
              <w:bidi w:val="0"/>
              <w:adjustRightInd w:val="0"/>
              <w:snapToGrid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新宋体" w:hAnsi="新宋体" w:eastAsia="新宋体" w:cs="新宋体"/>
                <w:kern w:val="0"/>
                <w:sz w:val="21"/>
                <w:szCs w:val="21"/>
                <w:highlight w:val="none"/>
              </w:rPr>
              <w:fldChar w:fldCharType="begin"/>
            </w:r>
            <w:r>
              <w:rPr>
                <w:rFonts w:hint="eastAsia" w:ascii="新宋体" w:hAnsi="新宋体" w:eastAsia="新宋体" w:cs="新宋体"/>
                <w:kern w:val="0"/>
                <w:sz w:val="21"/>
                <w:szCs w:val="21"/>
                <w:highlight w:val="none"/>
              </w:rPr>
              <w:instrText xml:space="preserve"> eq \o\ac(□</w:instrText>
            </w:r>
            <w:r>
              <w:rPr>
                <w:rFonts w:hint="eastAsia" w:ascii="新宋体" w:hAnsi="新宋体" w:eastAsia="新宋体" w:cs="新宋体"/>
                <w:kern w:val="0"/>
                <w:sz w:val="21"/>
                <w:szCs w:val="21"/>
                <w:highlight w:val="none"/>
                <w:lang w:eastAsia="zh-CN"/>
              </w:rPr>
              <w:instrText xml:space="preserve">,√</w:instrText>
            </w:r>
            <w:r>
              <w:rPr>
                <w:rFonts w:hint="eastAsia" w:ascii="新宋体" w:hAnsi="新宋体" w:eastAsia="新宋体" w:cs="新宋体"/>
                <w:kern w:val="0"/>
                <w:sz w:val="21"/>
                <w:szCs w:val="21"/>
                <w:highlight w:val="none"/>
              </w:rPr>
              <w:instrText xml:space="preserve">)</w:instrText>
            </w:r>
            <w:r>
              <w:rPr>
                <w:rFonts w:hint="eastAsia" w:ascii="新宋体" w:hAnsi="新宋体" w:eastAsia="新宋体" w:cs="新宋体"/>
                <w:kern w:val="0"/>
                <w:sz w:val="21"/>
                <w:szCs w:val="21"/>
                <w:highlight w:val="none"/>
              </w:rPr>
              <w:fldChar w:fldCharType="end"/>
            </w:r>
            <w:r>
              <w:rPr>
                <w:rFonts w:hint="eastAsia" w:ascii="宋体" w:hAnsi="宋体" w:eastAsia="宋体" w:cs="宋体"/>
                <w:bCs/>
                <w:color w:val="auto"/>
                <w:szCs w:val="21"/>
                <w:highlight w:val="none"/>
              </w:rPr>
              <w:t>要求</w:t>
            </w:r>
          </w:p>
          <w:p w14:paraId="252FC16E">
            <w:pPr>
              <w:keepNext w:val="0"/>
              <w:keepLines w:val="0"/>
              <w:pageBreakBefore w:val="0"/>
              <w:suppressLineNumbers w:val="0"/>
              <w:kinsoku/>
              <w:wordWrap w:val="0"/>
              <w:overflowPunct/>
              <w:topLinePunct w:val="0"/>
              <w:bidi w:val="0"/>
              <w:adjustRightInd w:val="0"/>
              <w:snapToGrid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投标保证金的金额：</w:t>
            </w:r>
            <w:r>
              <w:rPr>
                <w:rFonts w:hint="eastAsia" w:ascii="宋体" w:hAnsi="宋体" w:eastAsia="宋体" w:cs="宋体"/>
                <w:bCs/>
                <w:color w:val="auto"/>
                <w:szCs w:val="21"/>
                <w:highlight w:val="none"/>
                <w:lang w:val="en-US" w:eastAsia="zh-CN"/>
              </w:rPr>
              <w:t>贰</w:t>
            </w:r>
            <w:r>
              <w:rPr>
                <w:rFonts w:hint="eastAsia" w:ascii="宋体" w:hAnsi="宋体" w:eastAsia="宋体" w:cs="宋体"/>
                <w:bCs/>
                <w:color w:val="auto"/>
                <w:szCs w:val="21"/>
                <w:highlight w:val="none"/>
              </w:rPr>
              <w:t>万元整（￥</w:t>
            </w:r>
            <w:r>
              <w:rPr>
                <w:rFonts w:hint="eastAsia" w:ascii="宋体" w:hAnsi="宋体" w:eastAsia="宋体" w:cs="宋体"/>
                <w:bCs/>
                <w:color w:val="auto"/>
                <w:szCs w:val="21"/>
                <w:highlight w:val="none"/>
                <w:lang w:val="en-US" w:eastAsia="zh-CN"/>
              </w:rPr>
              <w:t>200</w:t>
            </w:r>
            <w:r>
              <w:rPr>
                <w:rFonts w:hint="eastAsia" w:ascii="宋体" w:hAnsi="宋体" w:eastAsia="宋体" w:cs="宋体"/>
                <w:bCs/>
                <w:color w:val="auto"/>
                <w:szCs w:val="21"/>
                <w:highlight w:val="none"/>
              </w:rPr>
              <w:t>00.00元）</w:t>
            </w:r>
          </w:p>
          <w:p w14:paraId="046DD726">
            <w:pPr>
              <w:keepNext w:val="0"/>
              <w:keepLines w:val="0"/>
              <w:pageBreakBefore w:val="0"/>
              <w:suppressLineNumbers w:val="0"/>
              <w:kinsoku/>
              <w:wordWrap w:val="0"/>
              <w:overflowPunct/>
              <w:topLinePunct w:val="0"/>
              <w:bidi w:val="0"/>
              <w:adjustRightInd w:val="0"/>
              <w:snapToGrid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投标保证金提交截止时间：同投标截止时间</w:t>
            </w:r>
          </w:p>
          <w:p w14:paraId="72CC8127">
            <w:pPr>
              <w:keepNext w:val="0"/>
              <w:keepLines w:val="0"/>
              <w:pageBreakBefore w:val="0"/>
              <w:suppressLineNumbers w:val="0"/>
              <w:kinsoku/>
              <w:wordWrap w:val="0"/>
              <w:overflowPunct/>
              <w:topLinePunct w:val="0"/>
              <w:bidi w:val="0"/>
              <w:adjustRightInd w:val="0"/>
              <w:snapToGrid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投标保证金递交形式：电子保函或转账形式</w:t>
            </w:r>
          </w:p>
          <w:p w14:paraId="775A34BA">
            <w:pPr>
              <w:keepNext w:val="0"/>
              <w:keepLines w:val="0"/>
              <w:pageBreakBefore w:val="0"/>
              <w:suppressLineNumbers w:val="0"/>
              <w:kinsoku/>
              <w:wordWrap w:val="0"/>
              <w:overflowPunct/>
              <w:topLinePunct w:val="0"/>
              <w:bidi w:val="0"/>
              <w:adjustRightInd w:val="0"/>
              <w:snapToGrid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7CF5F4CE">
            <w:pPr>
              <w:keepNext w:val="0"/>
              <w:keepLines w:val="0"/>
              <w:pageBreakBefore w:val="0"/>
              <w:suppressLineNumbers w:val="0"/>
              <w:kinsoku/>
              <w:wordWrap w:val="0"/>
              <w:overflowPunct/>
              <w:topLinePunct w:val="0"/>
              <w:bidi w:val="0"/>
              <w:adjustRightInd w:val="0"/>
              <w:snapToGrid w:val="0"/>
              <w:spacing w:before="0" w:beforeAutospacing="0" w:after="0" w:afterAutospacing="0" w:line="360" w:lineRule="exact"/>
              <w:ind w:left="0" w:right="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43E2107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电子保函形式：</w:t>
            </w:r>
          </w:p>
          <w:p w14:paraId="06ABE8A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①投标企业必须首先确认本企业诚信库内填写的基本账户相关信息真实准确；</w:t>
            </w:r>
          </w:p>
          <w:p w14:paraId="5559C9E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②企业可以在交易中心电子交易系统业务管理“电子保函申请”功能中自主选择电子保函平台、承保机构办理电子保函业务；</w:t>
            </w:r>
          </w:p>
          <w:p w14:paraId="4421D16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③办理电子投标保函费用必须出自投标企业基本账户；</w:t>
            </w:r>
          </w:p>
          <w:p w14:paraId="0ED545D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79B6471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outlineLvl w:val="9"/>
              <w:rPr>
                <w:rFonts w:hint="eastAsia" w:ascii="宋体" w:hAnsi="宋体" w:eastAsia="宋体" w:cs="宋体"/>
                <w:b/>
                <w:color w:val="auto"/>
                <w:sz w:val="21"/>
                <w:szCs w:val="21"/>
                <w:highlight w:val="none"/>
              </w:rPr>
            </w:pPr>
            <w:r>
              <w:rPr>
                <w:rFonts w:hint="eastAsia" w:ascii="宋体" w:hAnsi="宋体" w:eastAsia="宋体" w:cs="宋体"/>
                <w:color w:val="auto"/>
                <w:kern w:val="0"/>
                <w:szCs w:val="21"/>
                <w:highlight w:val="none"/>
              </w:rPr>
              <w:t>□不要求</w:t>
            </w:r>
          </w:p>
        </w:tc>
      </w:tr>
      <w:tr w14:paraId="6736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37" w:type="dxa"/>
            <w:noWrap w:val="0"/>
            <w:vAlign w:val="center"/>
          </w:tcPr>
          <w:p w14:paraId="54FF3E5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3.5.2</w:t>
            </w:r>
          </w:p>
        </w:tc>
        <w:tc>
          <w:tcPr>
            <w:tcW w:w="2589" w:type="dxa"/>
            <w:gridSpan w:val="2"/>
            <w:noWrap w:val="0"/>
            <w:vAlign w:val="center"/>
          </w:tcPr>
          <w:p w14:paraId="406290F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近年财务状况的年份要求</w:t>
            </w:r>
          </w:p>
        </w:tc>
        <w:tc>
          <w:tcPr>
            <w:tcW w:w="6238" w:type="dxa"/>
            <w:noWrap w:val="0"/>
            <w:vAlign w:val="center"/>
          </w:tcPr>
          <w:p w14:paraId="4704CF9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三年，</w:t>
            </w:r>
            <w:r>
              <w:rPr>
                <w:rFonts w:hint="eastAsia" w:ascii="宋体" w:hAnsi="宋体" w:eastAsia="宋体" w:cs="宋体"/>
                <w:color w:val="auto"/>
                <w:kern w:val="0"/>
                <w:sz w:val="21"/>
                <w:szCs w:val="21"/>
                <w:highlight w:val="none"/>
                <w:lang w:val="en-US" w:eastAsia="zh-CN"/>
              </w:rPr>
              <w:t>具有2023年度、2024年度、2025年度经会计事务所或第三方审计机构审计后的财务报告（若2025年度审计报告未出，则提供2022年度、2023年度、2024年度审计报告；成立不足三年的公司从成立之日起计算；新成立或成立不足一年的公司，提供基本开户银行出具的资信证明）。</w:t>
            </w:r>
          </w:p>
        </w:tc>
      </w:tr>
      <w:tr w14:paraId="3DE8D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937" w:type="dxa"/>
            <w:noWrap w:val="0"/>
            <w:vAlign w:val="center"/>
          </w:tcPr>
          <w:p w14:paraId="76F576F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3.5.3</w:t>
            </w:r>
          </w:p>
        </w:tc>
        <w:tc>
          <w:tcPr>
            <w:tcW w:w="2589" w:type="dxa"/>
            <w:gridSpan w:val="2"/>
            <w:noWrap w:val="0"/>
            <w:vAlign w:val="center"/>
          </w:tcPr>
          <w:p w14:paraId="458ACD4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近年完成的类似项目的年份要求</w:t>
            </w:r>
          </w:p>
        </w:tc>
        <w:tc>
          <w:tcPr>
            <w:tcW w:w="6238" w:type="dxa"/>
            <w:noWrap w:val="0"/>
            <w:vAlign w:val="center"/>
          </w:tcPr>
          <w:p w14:paraId="48BBE9D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r>
              <w:rPr>
                <w:rFonts w:hint="eastAsia" w:ascii="宋体" w:hAnsi="宋体" w:eastAsia="宋体" w:cs="宋体"/>
                <w:color w:val="auto"/>
                <w:kern w:val="0"/>
                <w:sz w:val="21"/>
                <w:szCs w:val="21"/>
                <w:highlight w:val="none"/>
                <w:lang w:val="en-US" w:eastAsia="zh-CN"/>
              </w:rPr>
              <w:t>23</w:t>
            </w:r>
            <w:r>
              <w:rPr>
                <w:rFonts w:hint="eastAsia" w:ascii="宋体" w:hAnsi="宋体" w:eastAsia="宋体" w:cs="宋体"/>
                <w:color w:val="auto"/>
                <w:kern w:val="0"/>
                <w:sz w:val="21"/>
                <w:szCs w:val="21"/>
                <w:highlight w:val="none"/>
              </w:rPr>
              <w:t>年1月1日以来</w:t>
            </w:r>
          </w:p>
        </w:tc>
      </w:tr>
      <w:tr w14:paraId="4E117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937" w:type="dxa"/>
            <w:noWrap w:val="0"/>
            <w:vAlign w:val="center"/>
          </w:tcPr>
          <w:p w14:paraId="3D10B53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3.5.4</w:t>
            </w:r>
          </w:p>
        </w:tc>
        <w:tc>
          <w:tcPr>
            <w:tcW w:w="2589" w:type="dxa"/>
            <w:gridSpan w:val="2"/>
            <w:noWrap w:val="0"/>
            <w:vAlign w:val="center"/>
          </w:tcPr>
          <w:p w14:paraId="1A2DE4C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正在施工和新承接的项目的年份要求</w:t>
            </w:r>
          </w:p>
        </w:tc>
        <w:tc>
          <w:tcPr>
            <w:tcW w:w="6238" w:type="dxa"/>
            <w:noWrap w:val="0"/>
            <w:vAlign w:val="center"/>
          </w:tcPr>
          <w:p w14:paraId="2A40D96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20</w:t>
            </w:r>
            <w:r>
              <w:rPr>
                <w:rFonts w:hint="eastAsia" w:ascii="宋体" w:hAnsi="宋体" w:eastAsia="宋体" w:cs="宋体"/>
                <w:color w:val="auto"/>
                <w:kern w:val="0"/>
                <w:sz w:val="21"/>
                <w:szCs w:val="21"/>
                <w:highlight w:val="none"/>
                <w:lang w:val="en-US" w:eastAsia="zh-CN"/>
              </w:rPr>
              <w:t>23</w:t>
            </w:r>
            <w:r>
              <w:rPr>
                <w:rFonts w:hint="eastAsia" w:ascii="宋体" w:hAnsi="宋体" w:eastAsia="宋体" w:cs="宋体"/>
                <w:color w:val="auto"/>
                <w:kern w:val="0"/>
                <w:sz w:val="21"/>
                <w:szCs w:val="21"/>
                <w:highlight w:val="none"/>
              </w:rPr>
              <w:t>年1月1日以来</w:t>
            </w:r>
          </w:p>
        </w:tc>
      </w:tr>
      <w:tr w14:paraId="2E68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937" w:type="dxa"/>
            <w:noWrap w:val="0"/>
            <w:vAlign w:val="center"/>
          </w:tcPr>
          <w:p w14:paraId="61E22C7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3.5.5</w:t>
            </w:r>
          </w:p>
        </w:tc>
        <w:tc>
          <w:tcPr>
            <w:tcW w:w="2589" w:type="dxa"/>
            <w:gridSpan w:val="2"/>
            <w:noWrap w:val="0"/>
            <w:vAlign w:val="center"/>
          </w:tcPr>
          <w:p w14:paraId="2246F7E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近年发生的诉讼及仲裁情况的年份要求</w:t>
            </w:r>
          </w:p>
        </w:tc>
        <w:tc>
          <w:tcPr>
            <w:tcW w:w="6238" w:type="dxa"/>
            <w:noWrap w:val="0"/>
            <w:vAlign w:val="center"/>
          </w:tcPr>
          <w:p w14:paraId="1A92AFB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r>
              <w:rPr>
                <w:rFonts w:hint="eastAsia" w:ascii="宋体" w:hAnsi="宋体" w:eastAsia="宋体" w:cs="宋体"/>
                <w:color w:val="auto"/>
                <w:kern w:val="0"/>
                <w:sz w:val="21"/>
                <w:szCs w:val="21"/>
                <w:highlight w:val="none"/>
                <w:lang w:val="en-US" w:eastAsia="zh-CN"/>
              </w:rPr>
              <w:t>23</w:t>
            </w:r>
            <w:r>
              <w:rPr>
                <w:rFonts w:hint="eastAsia" w:ascii="宋体" w:hAnsi="宋体" w:eastAsia="宋体" w:cs="宋体"/>
                <w:color w:val="auto"/>
                <w:kern w:val="0"/>
                <w:sz w:val="21"/>
                <w:szCs w:val="21"/>
                <w:highlight w:val="none"/>
              </w:rPr>
              <w:t>年1月1日以来</w:t>
            </w:r>
          </w:p>
        </w:tc>
      </w:tr>
      <w:tr w14:paraId="51846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37" w:type="dxa"/>
            <w:noWrap w:val="0"/>
            <w:vAlign w:val="center"/>
          </w:tcPr>
          <w:p w14:paraId="7C2D3FC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w:t>
            </w:r>
          </w:p>
        </w:tc>
        <w:tc>
          <w:tcPr>
            <w:tcW w:w="2589" w:type="dxa"/>
            <w:gridSpan w:val="2"/>
            <w:noWrap w:val="0"/>
            <w:vAlign w:val="center"/>
          </w:tcPr>
          <w:p w14:paraId="4E0A875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2" w:leftChars="-1" w:right="-34" w:rightChars="-16"/>
              <w:outlineLvl w:val="9"/>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是否允许递交备选投标方案</w:t>
            </w:r>
          </w:p>
        </w:tc>
        <w:tc>
          <w:tcPr>
            <w:tcW w:w="6238" w:type="dxa"/>
            <w:noWrap w:val="0"/>
            <w:vAlign w:val="center"/>
          </w:tcPr>
          <w:p w14:paraId="6AB9F12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不允许             □允许</w:t>
            </w:r>
          </w:p>
        </w:tc>
      </w:tr>
      <w:tr w14:paraId="7F49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37" w:type="dxa"/>
            <w:noWrap w:val="0"/>
            <w:vAlign w:val="center"/>
          </w:tcPr>
          <w:p w14:paraId="4F65C85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3.7.3</w:t>
            </w:r>
          </w:p>
        </w:tc>
        <w:tc>
          <w:tcPr>
            <w:tcW w:w="2589" w:type="dxa"/>
            <w:gridSpan w:val="2"/>
            <w:noWrap w:val="0"/>
            <w:vAlign w:val="center"/>
          </w:tcPr>
          <w:p w14:paraId="41D901D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签字或盖章要求</w:t>
            </w:r>
          </w:p>
        </w:tc>
        <w:tc>
          <w:tcPr>
            <w:tcW w:w="6238" w:type="dxa"/>
            <w:noWrap w:val="0"/>
            <w:vAlign w:val="top"/>
          </w:tcPr>
          <w:p w14:paraId="26CB16E0">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exact"/>
              <w:ind w:left="0" w:right="0"/>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电子投标文件</w:t>
            </w:r>
            <w:r>
              <w:rPr>
                <w:rFonts w:hint="eastAsia" w:ascii="宋体" w:hAnsi="宋体" w:eastAsia="宋体" w:cs="宋体"/>
                <w:color w:val="auto"/>
                <w:kern w:val="0"/>
                <w:sz w:val="21"/>
                <w:szCs w:val="21"/>
                <w:highlight w:val="none"/>
                <w:lang w:eastAsia="zh-CN"/>
              </w:rPr>
              <w:t>：</w:t>
            </w:r>
          </w:p>
          <w:p w14:paraId="3A5D9C09">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exact"/>
              <w:ind w:left="0" w:right="0"/>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（1）经过加密的电子投标文件上传件为正本</w:t>
            </w:r>
          </w:p>
          <w:p w14:paraId="0F3D57DC">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exact"/>
              <w:ind w:left="0" w:right="0"/>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sz w:val="21"/>
                <w:szCs w:val="21"/>
                <w:highlight w:val="none"/>
              </w:rPr>
              <w:t>所有要求投标人加盖公章和法定代表人签字的位置，都应加盖投标人CA/标证通印章和法定代表人CA/标证通印章。若委托代理人签字的，应加盖其CA/标证通印章或上传其手写签名</w:t>
            </w:r>
            <w:r>
              <w:rPr>
                <w:rFonts w:hint="eastAsia" w:ascii="宋体" w:hAnsi="宋体" w:eastAsia="宋体" w:cs="宋体"/>
                <w:color w:val="auto"/>
                <w:kern w:val="0"/>
                <w:sz w:val="21"/>
                <w:szCs w:val="21"/>
                <w:highlight w:val="none"/>
                <w:lang w:val="en-US" w:eastAsia="zh-CN"/>
              </w:rPr>
              <w:t>。</w:t>
            </w:r>
          </w:p>
          <w:p w14:paraId="7D40296F">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exact"/>
              <w:ind w:left="0" w:right="0"/>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工程量清单报价封面的签字、盖章执行以下要求：采用电子版工程量清单报价的清单封面须加盖投标人CA印章、投标人法定代表人CA印章、造价人员签字并加盖执业专用章。若委托造价咨询单位编制的，还应加盖造价咨询单位公章，由其单位注册造价工程师签字并加盖执业专用章（投标文件附委托造价咨询单位营业执照及委托协议）。</w:t>
            </w:r>
          </w:p>
          <w:p w14:paraId="3A064D97">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exact"/>
              <w:ind w:left="0" w:right="0"/>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总价措施项目清单与计价表和规费、税金项目计价表中编制人和复核人签字盖章不作要求。</w:t>
            </w:r>
          </w:p>
        </w:tc>
      </w:tr>
      <w:tr w14:paraId="179A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937" w:type="dxa"/>
            <w:noWrap w:val="0"/>
            <w:vAlign w:val="center"/>
          </w:tcPr>
          <w:p w14:paraId="0882953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3.7.4</w:t>
            </w:r>
          </w:p>
        </w:tc>
        <w:tc>
          <w:tcPr>
            <w:tcW w:w="2589" w:type="dxa"/>
            <w:gridSpan w:val="2"/>
            <w:noWrap w:val="0"/>
            <w:vAlign w:val="center"/>
          </w:tcPr>
          <w:p w14:paraId="568897F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投标文件份数</w:t>
            </w:r>
          </w:p>
        </w:tc>
        <w:tc>
          <w:tcPr>
            <w:tcW w:w="6238" w:type="dxa"/>
            <w:noWrap w:val="0"/>
            <w:vAlign w:val="top"/>
          </w:tcPr>
          <w:p w14:paraId="21149A76">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exact"/>
              <w:ind w:left="0" w:right="0"/>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加密的电子投标文件壹份（*.zmdtf 格式，在会员系统指定位置上传）</w:t>
            </w:r>
          </w:p>
        </w:tc>
      </w:tr>
      <w:tr w14:paraId="5BA7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937" w:type="dxa"/>
            <w:noWrap w:val="0"/>
            <w:vAlign w:val="center"/>
          </w:tcPr>
          <w:p w14:paraId="1EFE364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4.1.2</w:t>
            </w:r>
          </w:p>
        </w:tc>
        <w:tc>
          <w:tcPr>
            <w:tcW w:w="2589" w:type="dxa"/>
            <w:gridSpan w:val="2"/>
            <w:noWrap w:val="0"/>
            <w:vAlign w:val="center"/>
          </w:tcPr>
          <w:p w14:paraId="354621C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纸质投标文件要求</w:t>
            </w:r>
          </w:p>
        </w:tc>
        <w:tc>
          <w:tcPr>
            <w:tcW w:w="6238" w:type="dxa"/>
            <w:noWrap w:val="0"/>
            <w:vAlign w:val="center"/>
          </w:tcPr>
          <w:p w14:paraId="28229CAE">
            <w:pPr>
              <w:keepNext w:val="0"/>
              <w:keepLines w:val="0"/>
              <w:pageBreakBefore w:val="0"/>
              <w:widowControl w:val="0"/>
              <w:suppressLineNumbers w:val="0"/>
              <w:kinsoku/>
              <w:wordWrap w:val="0"/>
              <w:overflowPunct/>
              <w:topLinePunct w:val="0"/>
              <w:bidi w:val="0"/>
              <w:spacing w:before="0" w:beforeAutospacing="0" w:after="0" w:afterAutospacing="0" w:line="288" w:lineRule="auto"/>
              <w:ind w:left="0" w:right="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中标候选人须在中标候选人公示期满后向招标人或招标代理机构提供与上传电子投标文件一致的纸质投标文件正本壹份、副本</w:t>
            </w:r>
            <w:r>
              <w:rPr>
                <w:rFonts w:hint="eastAsia" w:ascii="宋体" w:hAnsi="宋体" w:eastAsia="宋体" w:cs="宋体"/>
                <w:color w:val="auto"/>
                <w:sz w:val="21"/>
                <w:szCs w:val="21"/>
                <w:highlight w:val="none"/>
                <w:lang w:val="en-US" w:eastAsia="zh-CN"/>
              </w:rPr>
              <w:t>壹</w:t>
            </w:r>
            <w:r>
              <w:rPr>
                <w:rFonts w:hint="eastAsia" w:ascii="宋体" w:hAnsi="宋体" w:eastAsia="宋体" w:cs="宋体"/>
                <w:color w:val="auto"/>
                <w:sz w:val="21"/>
                <w:szCs w:val="21"/>
                <w:highlight w:val="none"/>
              </w:rPr>
              <w:t>份，供定标委员会核查定标。纸质投标文件装订成册（可双面），不得采用活页夹等可随时拆换的方式装订。</w:t>
            </w:r>
          </w:p>
        </w:tc>
      </w:tr>
      <w:tr w14:paraId="061A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exact"/>
          <w:jc w:val="center"/>
        </w:trPr>
        <w:tc>
          <w:tcPr>
            <w:tcW w:w="937" w:type="dxa"/>
            <w:noWrap w:val="0"/>
            <w:vAlign w:val="center"/>
          </w:tcPr>
          <w:p w14:paraId="4640798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4.2.1</w:t>
            </w:r>
          </w:p>
        </w:tc>
        <w:tc>
          <w:tcPr>
            <w:tcW w:w="2589" w:type="dxa"/>
            <w:gridSpan w:val="2"/>
            <w:noWrap w:val="0"/>
            <w:vAlign w:val="center"/>
          </w:tcPr>
          <w:p w14:paraId="6F7A3D8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投标截止时间</w:t>
            </w:r>
          </w:p>
        </w:tc>
        <w:tc>
          <w:tcPr>
            <w:tcW w:w="6238" w:type="dxa"/>
            <w:noWrap w:val="0"/>
            <w:vAlign w:val="center"/>
          </w:tcPr>
          <w:p w14:paraId="314FF738">
            <w:pPr>
              <w:keepNext w:val="0"/>
              <w:keepLines w:val="0"/>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 xml:space="preserve"> </w:t>
            </w:r>
            <w:r>
              <w:rPr>
                <w:rFonts w:hint="eastAsia" w:ascii="宋体" w:hAnsi="宋体" w:eastAsia="宋体" w:cs="宋体"/>
                <w:b/>
                <w:color w:val="FF0000"/>
                <w:kern w:val="0"/>
                <w:sz w:val="21"/>
                <w:szCs w:val="21"/>
                <w:highlight w:val="none"/>
                <w:lang w:eastAsia="zh-CN"/>
              </w:rPr>
              <w:t>2026年</w:t>
            </w:r>
            <w:r>
              <w:rPr>
                <w:rFonts w:hint="eastAsia" w:ascii="宋体" w:hAnsi="宋体" w:eastAsia="宋体" w:cs="宋体"/>
                <w:b/>
                <w:color w:val="FF0000"/>
                <w:kern w:val="0"/>
                <w:sz w:val="21"/>
                <w:szCs w:val="21"/>
                <w:highlight w:val="none"/>
                <w:lang w:val="en-US" w:eastAsia="zh-CN"/>
              </w:rPr>
              <w:t>8</w:t>
            </w:r>
            <w:r>
              <w:rPr>
                <w:rFonts w:hint="eastAsia" w:ascii="宋体" w:hAnsi="宋体" w:eastAsia="宋体" w:cs="宋体"/>
                <w:b/>
                <w:color w:val="FF0000"/>
                <w:kern w:val="0"/>
                <w:sz w:val="21"/>
                <w:szCs w:val="21"/>
                <w:highlight w:val="none"/>
                <w:lang w:eastAsia="zh-CN"/>
              </w:rPr>
              <w:t>月</w:t>
            </w:r>
            <w:r>
              <w:rPr>
                <w:rFonts w:hint="eastAsia" w:ascii="宋体" w:hAnsi="宋体" w:eastAsia="宋体" w:cs="宋体"/>
                <w:b/>
                <w:color w:val="FF0000"/>
                <w:kern w:val="0"/>
                <w:sz w:val="21"/>
                <w:szCs w:val="21"/>
                <w:highlight w:val="none"/>
                <w:lang w:val="en-US" w:eastAsia="zh-CN"/>
              </w:rPr>
              <w:t>27</w:t>
            </w:r>
            <w:r>
              <w:rPr>
                <w:rFonts w:hint="eastAsia" w:ascii="宋体" w:hAnsi="宋体" w:eastAsia="宋体" w:cs="宋体"/>
                <w:b/>
                <w:color w:val="FF0000"/>
                <w:kern w:val="0"/>
                <w:sz w:val="21"/>
                <w:szCs w:val="21"/>
                <w:highlight w:val="none"/>
                <w:lang w:eastAsia="zh-CN"/>
              </w:rPr>
              <w:t>日</w:t>
            </w:r>
            <w:r>
              <w:rPr>
                <w:rFonts w:hint="eastAsia" w:ascii="宋体" w:hAnsi="宋体" w:eastAsia="宋体" w:cs="宋体"/>
                <w:b/>
                <w:color w:val="FF0000"/>
                <w:kern w:val="0"/>
                <w:sz w:val="21"/>
                <w:szCs w:val="21"/>
                <w:highlight w:val="none"/>
                <w:lang w:val="en-US" w:eastAsia="zh-CN"/>
              </w:rPr>
              <w:t>09时00分</w:t>
            </w:r>
            <w:r>
              <w:rPr>
                <w:rFonts w:hint="eastAsia" w:ascii="宋体" w:hAnsi="宋体" w:eastAsia="宋体" w:cs="宋体"/>
                <w:b/>
                <w:color w:val="FF0000"/>
                <w:spacing w:val="20"/>
                <w:kern w:val="0"/>
                <w:sz w:val="21"/>
                <w:szCs w:val="21"/>
                <w:highlight w:val="none"/>
              </w:rPr>
              <w:t>（北京时间）</w:t>
            </w:r>
          </w:p>
        </w:tc>
      </w:tr>
      <w:tr w14:paraId="7032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0" w:hRule="atLeast"/>
          <w:jc w:val="center"/>
        </w:trPr>
        <w:tc>
          <w:tcPr>
            <w:tcW w:w="937" w:type="dxa"/>
            <w:noWrap w:val="0"/>
            <w:vAlign w:val="center"/>
          </w:tcPr>
          <w:p w14:paraId="39EC20C1">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20" w:lineRule="exact"/>
              <w:ind w:left="0" w:right="-34" w:rightChars="-16"/>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w:t>
            </w:r>
          </w:p>
        </w:tc>
        <w:tc>
          <w:tcPr>
            <w:tcW w:w="2589" w:type="dxa"/>
            <w:gridSpan w:val="2"/>
            <w:noWrap w:val="0"/>
            <w:vAlign w:val="center"/>
          </w:tcPr>
          <w:p w14:paraId="687DB9E8">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20" w:lineRule="exact"/>
              <w:ind w:left="0" w:right="-34" w:rightChars="-16"/>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投标文件递交</w:t>
            </w:r>
          </w:p>
        </w:tc>
        <w:tc>
          <w:tcPr>
            <w:tcW w:w="6238" w:type="dxa"/>
            <w:noWrap w:val="0"/>
            <w:vAlign w:val="center"/>
          </w:tcPr>
          <w:p w14:paraId="25AD2991">
            <w:pPr>
              <w:pStyle w:val="23"/>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20" w:lineRule="exact"/>
              <w:ind w:firstLine="21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电子投标文件的递交</w:t>
            </w:r>
          </w:p>
          <w:p w14:paraId="1EEE8764">
            <w:pPr>
              <w:pStyle w:val="23"/>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20" w:lineRule="exact"/>
              <w:ind w:firstLine="21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r>
              <w:rPr>
                <w:rFonts w:hint="eastAsia" w:ascii="宋体" w:hAnsi="宋体" w:eastAsia="宋体" w:cs="宋体"/>
                <w:color w:val="auto"/>
                <w:sz w:val="21"/>
                <w:szCs w:val="21"/>
                <w:highlight w:val="none"/>
              </w:rPr>
              <w:t>各投标人应在规定时间内对本单位的投标文件进行解密，因加密电子投标文件未能上传成功或未在规定时间内解密的，其投标将被拒绝。</w:t>
            </w:r>
          </w:p>
        </w:tc>
      </w:tr>
      <w:tr w14:paraId="6C36A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2" w:hRule="exact"/>
          <w:jc w:val="center"/>
        </w:trPr>
        <w:tc>
          <w:tcPr>
            <w:tcW w:w="937" w:type="dxa"/>
            <w:noWrap w:val="0"/>
            <w:vAlign w:val="center"/>
          </w:tcPr>
          <w:p w14:paraId="7DF50499">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20" w:lineRule="exact"/>
              <w:ind w:left="0" w:right="-34" w:rightChars="-16"/>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w:t>
            </w:r>
          </w:p>
        </w:tc>
        <w:tc>
          <w:tcPr>
            <w:tcW w:w="2589" w:type="dxa"/>
            <w:gridSpan w:val="2"/>
            <w:noWrap w:val="0"/>
            <w:vAlign w:val="center"/>
          </w:tcPr>
          <w:p w14:paraId="0C0D14AD">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20" w:lineRule="exact"/>
              <w:ind w:left="0" w:right="-34" w:rightChars="-16"/>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资格审查文件及业绩信誉资料原件的递交</w:t>
            </w:r>
          </w:p>
        </w:tc>
        <w:tc>
          <w:tcPr>
            <w:tcW w:w="6238" w:type="dxa"/>
            <w:noWrap w:val="0"/>
            <w:vAlign w:val="center"/>
          </w:tcPr>
          <w:p w14:paraId="6A7FFAB1">
            <w:pPr>
              <w:keepNext w:val="0"/>
              <w:keepLines w:val="0"/>
              <w:pageBreakBefore w:val="0"/>
              <w:widowControl w:val="0"/>
              <w:suppressLineNumbers w:val="0"/>
              <w:kinsoku/>
              <w:wordWrap w:val="0"/>
              <w:overflowPunct/>
              <w:topLinePunct w:val="0"/>
              <w:bidi w:val="0"/>
              <w:adjustRightInd w:val="0"/>
              <w:snapToGrid/>
              <w:spacing w:before="0" w:beforeAutospacing="0" w:after="0" w:afterAutospacing="0" w:line="420" w:lineRule="exact"/>
              <w:ind w:left="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无需递交纸质投标文件及原件，投标企业应在项目开标前，将项目经理、人员、资质、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p w14:paraId="5B4FD923">
            <w:pPr>
              <w:keepNext w:val="0"/>
              <w:keepLines w:val="0"/>
              <w:pageBreakBefore w:val="0"/>
              <w:widowControl w:val="0"/>
              <w:suppressLineNumbers w:val="0"/>
              <w:kinsoku/>
              <w:wordWrap w:val="0"/>
              <w:overflowPunct/>
              <w:topLinePunct w:val="0"/>
              <w:bidi w:val="0"/>
              <w:adjustRightInd w:val="0"/>
              <w:snapToGrid/>
              <w:spacing w:before="0" w:beforeAutospacing="0" w:after="0" w:afterAutospacing="0" w:line="420" w:lineRule="exact"/>
              <w:ind w:left="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编制投标文件时，涉及营业执照、资质、业绩、获奖、人员、财务、社保、纳税、各类证书等内容，在市场主体信息库中已登记的信息中选取，并附进响应文件中。投标人应及时对市场主体信息库的相关内容进行补充、更新。主体信息库中上传的资料扫描件必须完整、清晰、易辨，如因证件上传问题导致未能给予认定的，投标人自行承担责任。</w:t>
            </w:r>
          </w:p>
        </w:tc>
      </w:tr>
      <w:tr w14:paraId="68F3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937" w:type="dxa"/>
            <w:noWrap w:val="0"/>
            <w:vAlign w:val="center"/>
          </w:tcPr>
          <w:p w14:paraId="4ED8218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4.2.4</w:t>
            </w:r>
          </w:p>
        </w:tc>
        <w:tc>
          <w:tcPr>
            <w:tcW w:w="2589" w:type="dxa"/>
            <w:gridSpan w:val="2"/>
            <w:noWrap w:val="0"/>
            <w:vAlign w:val="center"/>
          </w:tcPr>
          <w:p w14:paraId="6A77898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是否退还投标文件</w:t>
            </w:r>
          </w:p>
        </w:tc>
        <w:tc>
          <w:tcPr>
            <w:tcW w:w="6238" w:type="dxa"/>
            <w:noWrap w:val="0"/>
            <w:vAlign w:val="center"/>
          </w:tcPr>
          <w:p w14:paraId="10F64A5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不退还           □退还</w:t>
            </w:r>
          </w:p>
        </w:tc>
      </w:tr>
      <w:tr w14:paraId="3C83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937" w:type="dxa"/>
            <w:noWrap w:val="0"/>
            <w:vAlign w:val="center"/>
          </w:tcPr>
          <w:p w14:paraId="5AF4A9E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w:t>
            </w:r>
          </w:p>
        </w:tc>
        <w:tc>
          <w:tcPr>
            <w:tcW w:w="2589" w:type="dxa"/>
            <w:gridSpan w:val="2"/>
            <w:noWrap w:val="0"/>
            <w:vAlign w:val="center"/>
          </w:tcPr>
          <w:p w14:paraId="0AE6685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开标时间和地点</w:t>
            </w:r>
          </w:p>
        </w:tc>
        <w:tc>
          <w:tcPr>
            <w:tcW w:w="6238" w:type="dxa"/>
            <w:noWrap w:val="0"/>
            <w:vAlign w:val="center"/>
          </w:tcPr>
          <w:p w14:paraId="4E9A33D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outlineLvl w:val="9"/>
              <w:rPr>
                <w:rFonts w:hint="eastAsia" w:ascii="宋体" w:hAnsi="宋体" w:eastAsia="宋体" w:cs="宋体"/>
                <w:b/>
                <w:color w:val="auto"/>
                <w:kern w:val="0"/>
                <w:sz w:val="21"/>
                <w:szCs w:val="21"/>
                <w:highlight w:val="none"/>
              </w:rPr>
            </w:pPr>
            <w:r>
              <w:rPr>
                <w:rFonts w:hint="eastAsia" w:ascii="宋体" w:hAnsi="宋体" w:eastAsia="宋体" w:cs="宋体"/>
                <w:color w:val="auto"/>
                <w:kern w:val="0"/>
                <w:sz w:val="21"/>
                <w:szCs w:val="21"/>
                <w:highlight w:val="none"/>
              </w:rPr>
              <w:t>开标时间：</w:t>
            </w:r>
            <w:r>
              <w:rPr>
                <w:rFonts w:hint="eastAsia" w:ascii="宋体" w:hAnsi="宋体" w:eastAsia="宋体" w:cs="宋体"/>
                <w:b/>
                <w:color w:val="FF0000"/>
                <w:kern w:val="0"/>
                <w:sz w:val="21"/>
                <w:szCs w:val="21"/>
                <w:highlight w:val="none"/>
                <w:lang w:eastAsia="zh-CN"/>
              </w:rPr>
              <w:t>2026年</w:t>
            </w:r>
            <w:r>
              <w:rPr>
                <w:rFonts w:hint="eastAsia" w:ascii="宋体" w:hAnsi="宋体" w:eastAsia="宋体" w:cs="宋体"/>
                <w:b/>
                <w:color w:val="FF0000"/>
                <w:kern w:val="0"/>
                <w:sz w:val="21"/>
                <w:szCs w:val="21"/>
                <w:highlight w:val="none"/>
                <w:lang w:val="en-US" w:eastAsia="zh-CN"/>
              </w:rPr>
              <w:t>8</w:t>
            </w:r>
            <w:r>
              <w:rPr>
                <w:rFonts w:hint="eastAsia" w:ascii="宋体" w:hAnsi="宋体" w:eastAsia="宋体" w:cs="宋体"/>
                <w:b/>
                <w:color w:val="FF0000"/>
                <w:kern w:val="0"/>
                <w:sz w:val="21"/>
                <w:szCs w:val="21"/>
                <w:highlight w:val="none"/>
                <w:lang w:eastAsia="zh-CN"/>
              </w:rPr>
              <w:t>月</w:t>
            </w:r>
            <w:r>
              <w:rPr>
                <w:rFonts w:hint="eastAsia" w:ascii="宋体" w:hAnsi="宋体" w:eastAsia="宋体" w:cs="宋体"/>
                <w:b/>
                <w:color w:val="FF0000"/>
                <w:kern w:val="0"/>
                <w:sz w:val="21"/>
                <w:szCs w:val="21"/>
                <w:highlight w:val="none"/>
                <w:lang w:val="en-US" w:eastAsia="zh-CN"/>
              </w:rPr>
              <w:t>27</w:t>
            </w:r>
            <w:r>
              <w:rPr>
                <w:rFonts w:hint="eastAsia" w:ascii="宋体" w:hAnsi="宋体" w:eastAsia="宋体" w:cs="宋体"/>
                <w:b/>
                <w:color w:val="FF0000"/>
                <w:kern w:val="0"/>
                <w:sz w:val="21"/>
                <w:szCs w:val="21"/>
                <w:highlight w:val="none"/>
                <w:lang w:eastAsia="zh-CN"/>
              </w:rPr>
              <w:t>日</w:t>
            </w:r>
            <w:r>
              <w:rPr>
                <w:rFonts w:hint="eastAsia" w:ascii="宋体" w:hAnsi="宋体" w:eastAsia="宋体" w:cs="宋体"/>
                <w:b/>
                <w:color w:val="FF0000"/>
                <w:kern w:val="0"/>
                <w:sz w:val="21"/>
                <w:szCs w:val="21"/>
                <w:highlight w:val="none"/>
                <w:lang w:val="en-US" w:eastAsia="zh-CN"/>
              </w:rPr>
              <w:t>09时00分</w:t>
            </w:r>
            <w:r>
              <w:rPr>
                <w:rFonts w:hint="eastAsia" w:ascii="宋体" w:hAnsi="宋体" w:eastAsia="宋体" w:cs="宋体"/>
                <w:b/>
                <w:color w:val="FF0000"/>
                <w:spacing w:val="20"/>
                <w:kern w:val="0"/>
                <w:sz w:val="21"/>
                <w:szCs w:val="21"/>
                <w:highlight w:val="none"/>
              </w:rPr>
              <w:t>（北京时间）</w:t>
            </w:r>
          </w:p>
          <w:p w14:paraId="49523D9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开标地点：不见面开标</w:t>
            </w:r>
            <w:r>
              <w:rPr>
                <w:rFonts w:hint="eastAsia" w:ascii="宋体" w:hAnsi="宋体" w:eastAsia="宋体" w:cs="宋体"/>
                <w:color w:val="auto"/>
                <w:kern w:val="0"/>
                <w:sz w:val="21"/>
                <w:szCs w:val="21"/>
                <w:highlight w:val="none"/>
                <w:lang w:val="en-US" w:eastAsia="zh-CN"/>
              </w:rPr>
              <w:t>厅</w:t>
            </w:r>
          </w:p>
          <w:p w14:paraId="686317B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6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u w:val="single"/>
              </w:rPr>
              <w:t>（电子投标文件必须凭制作投标文件所用的 CA 密匙在</w:t>
            </w:r>
            <w:r>
              <w:rPr>
                <w:rFonts w:hint="eastAsia" w:ascii="宋体" w:hAnsi="宋体" w:eastAsia="宋体" w:cs="宋体"/>
                <w:b/>
                <w:bCs/>
                <w:color w:val="auto"/>
                <w:sz w:val="21"/>
                <w:szCs w:val="21"/>
                <w:highlight w:val="none"/>
                <w:u w:val="single"/>
                <w:lang w:val="en-US" w:eastAsia="zh-CN"/>
              </w:rPr>
              <w:t>10</w:t>
            </w:r>
            <w:r>
              <w:rPr>
                <w:rFonts w:hint="eastAsia" w:ascii="宋体" w:hAnsi="宋体" w:eastAsia="宋体" w:cs="宋体"/>
                <w:b/>
                <w:bCs/>
                <w:color w:val="auto"/>
                <w:sz w:val="21"/>
                <w:szCs w:val="21"/>
                <w:highlight w:val="none"/>
                <w:u w:val="single"/>
              </w:rPr>
              <w:t>分钟内完成解密）。</w:t>
            </w:r>
          </w:p>
        </w:tc>
      </w:tr>
      <w:tr w14:paraId="0492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0" w:hRule="atLeast"/>
          <w:jc w:val="center"/>
        </w:trPr>
        <w:tc>
          <w:tcPr>
            <w:tcW w:w="937" w:type="dxa"/>
            <w:noWrap w:val="0"/>
            <w:vAlign w:val="center"/>
          </w:tcPr>
          <w:p w14:paraId="17A28F3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5.2 </w:t>
            </w:r>
          </w:p>
        </w:tc>
        <w:tc>
          <w:tcPr>
            <w:tcW w:w="2589" w:type="dxa"/>
            <w:gridSpan w:val="2"/>
            <w:noWrap w:val="0"/>
            <w:vAlign w:val="center"/>
          </w:tcPr>
          <w:p w14:paraId="7859871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开标程序</w:t>
            </w:r>
          </w:p>
        </w:tc>
        <w:tc>
          <w:tcPr>
            <w:tcW w:w="6238" w:type="dxa"/>
            <w:noWrap w:val="0"/>
            <w:vAlign w:val="center"/>
          </w:tcPr>
          <w:p w14:paraId="071D7720">
            <w:pPr>
              <w:keepNext w:val="0"/>
              <w:keepLines w:val="0"/>
              <w:pageBreakBefore w:val="0"/>
              <w:numPr>
                <w:ilvl w:val="0"/>
                <w:numId w:val="0"/>
              </w:numPr>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 w:val="21"/>
                <w:szCs w:val="21"/>
                <w:highlight w:val="none"/>
              </w:rPr>
              <w:t>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044C0321">
            <w:pPr>
              <w:keepNext w:val="0"/>
              <w:keepLines w:val="0"/>
              <w:pageBreakBefore w:val="0"/>
              <w:numPr>
                <w:ilvl w:val="0"/>
                <w:numId w:val="0"/>
              </w:numPr>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rPr>
              <w:t>在投标截止时间前，各投标人必须在网上开标系统内完成签到，否则其投标按无</w:t>
            </w:r>
            <w:r>
              <w:rPr>
                <w:rFonts w:hint="eastAsia" w:ascii="宋体" w:hAnsi="宋体" w:eastAsia="宋体" w:cs="宋体"/>
                <w:color w:val="auto"/>
                <w:sz w:val="21"/>
                <w:szCs w:val="21"/>
                <w:highlight w:val="none"/>
                <w:lang w:val="en-US" w:eastAsia="zh-CN"/>
              </w:rPr>
              <w:t>效标处理，系统内投标文件将被退回。</w:t>
            </w:r>
          </w:p>
        </w:tc>
      </w:tr>
      <w:tr w14:paraId="0E6DB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5" w:hRule="atLeast"/>
          <w:jc w:val="center"/>
        </w:trPr>
        <w:tc>
          <w:tcPr>
            <w:tcW w:w="937" w:type="dxa"/>
            <w:noWrap w:val="0"/>
            <w:vAlign w:val="center"/>
          </w:tcPr>
          <w:p w14:paraId="31A7B65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6.1.1 </w:t>
            </w:r>
          </w:p>
        </w:tc>
        <w:tc>
          <w:tcPr>
            <w:tcW w:w="2589" w:type="dxa"/>
            <w:gridSpan w:val="2"/>
            <w:noWrap w:val="0"/>
            <w:vAlign w:val="center"/>
          </w:tcPr>
          <w:p w14:paraId="27E8150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评标委员会的组建</w:t>
            </w:r>
          </w:p>
        </w:tc>
        <w:tc>
          <w:tcPr>
            <w:tcW w:w="6238" w:type="dxa"/>
            <w:noWrap w:val="0"/>
            <w:vAlign w:val="center"/>
          </w:tcPr>
          <w:p w14:paraId="7C6BB5A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人组成；</w:t>
            </w:r>
          </w:p>
          <w:p w14:paraId="2A54C942">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413F4355">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w:t>
            </w:r>
            <w:r>
              <w:rPr>
                <w:rFonts w:hint="eastAsia" w:ascii="宋体" w:hAnsi="宋体" w:eastAsia="宋体" w:cs="宋体"/>
                <w:color w:val="auto"/>
                <w:sz w:val="21"/>
                <w:szCs w:val="21"/>
                <w:highlight w:val="none"/>
                <w:u w:val="single"/>
                <w:lang w:val="en-US" w:eastAsia="zh-CN"/>
              </w:rPr>
              <w:t xml:space="preserve"> 1 </w:t>
            </w:r>
            <w:r>
              <w:rPr>
                <w:rFonts w:hint="eastAsia" w:ascii="宋体" w:hAnsi="宋体" w:eastAsia="宋体" w:cs="宋体"/>
                <w:color w:val="auto"/>
                <w:sz w:val="21"/>
                <w:szCs w:val="21"/>
                <w:highlight w:val="none"/>
              </w:rPr>
              <w:t>人（招标人代表应由具有评标专家相应或者类似条件的人员担任，或招标人从河南省综合专家库确定评标专家作为招标人代表）</w:t>
            </w:r>
          </w:p>
          <w:p w14:paraId="4238D939">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经济、技术类</w:t>
            </w:r>
            <w:r>
              <w:rPr>
                <w:rFonts w:hint="eastAsia" w:ascii="宋体" w:hAnsi="宋体" w:eastAsia="宋体" w:cs="宋体"/>
                <w:color w:val="auto"/>
                <w:sz w:val="21"/>
                <w:szCs w:val="21"/>
                <w:highlight w:val="none"/>
              </w:rPr>
              <w:t>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rPr>
              <w:t>人；</w:t>
            </w:r>
          </w:p>
          <w:p w14:paraId="00026C87">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4C8D6777">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sz w:val="21"/>
                <w:szCs w:val="21"/>
                <w:highlight w:val="none"/>
              </w:rPr>
              <w:t>（默认）</w:t>
            </w:r>
          </w:p>
          <w:p w14:paraId="6EB8690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w:t>
            </w:r>
          </w:p>
        </w:tc>
      </w:tr>
      <w:tr w14:paraId="7CE1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37" w:type="dxa"/>
            <w:noWrap w:val="0"/>
            <w:vAlign w:val="center"/>
          </w:tcPr>
          <w:p w14:paraId="2EA95F19">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6.3.4</w:t>
            </w:r>
          </w:p>
        </w:tc>
        <w:tc>
          <w:tcPr>
            <w:tcW w:w="2589" w:type="dxa"/>
            <w:gridSpan w:val="2"/>
            <w:noWrap w:val="0"/>
            <w:vAlign w:val="center"/>
          </w:tcPr>
          <w:p w14:paraId="33FFE6B7">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本次评标采用的评标方法</w:t>
            </w:r>
          </w:p>
        </w:tc>
        <w:tc>
          <w:tcPr>
            <w:tcW w:w="6238" w:type="dxa"/>
            <w:noWrap w:val="0"/>
            <w:vAlign w:val="center"/>
          </w:tcPr>
          <w:p w14:paraId="22B1748B">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4"/>
                <w:sz w:val="31"/>
                <w:szCs w:val="21"/>
                <w:highlight w:val="none"/>
                <w:lang w:eastAsia="zh-CN"/>
              </w:rPr>
              <w:instrText xml:space="preserve">,</w:instrText>
            </w:r>
            <w:r>
              <w:rPr>
                <w:rFonts w:hint="eastAsia" w:ascii="宋体" w:hAnsi="宋体" w:eastAsia="宋体" w:cs="宋体"/>
                <w:color w:val="auto"/>
                <w:kern w:val="0"/>
                <w:position w:val="0"/>
                <w:sz w:val="21"/>
                <w:szCs w:val="21"/>
                <w:highlight w:val="none"/>
                <w:lang w:eastAsia="zh-CN"/>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综合评估法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lang w:val="en-US" w:eastAsia="zh-CN"/>
              </w:rPr>
              <w:t>经评审的最低投标价法</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w:t>
            </w:r>
          </w:p>
        </w:tc>
      </w:tr>
      <w:tr w14:paraId="248FD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37" w:type="dxa"/>
            <w:noWrap w:val="0"/>
            <w:vAlign w:val="center"/>
          </w:tcPr>
          <w:p w14:paraId="6391C9A9">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6.3.5</w:t>
            </w:r>
          </w:p>
        </w:tc>
        <w:tc>
          <w:tcPr>
            <w:tcW w:w="2589" w:type="dxa"/>
            <w:gridSpan w:val="2"/>
            <w:noWrap w:val="0"/>
            <w:vAlign w:val="center"/>
          </w:tcPr>
          <w:p w14:paraId="73A84915">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238" w:type="dxa"/>
            <w:noWrap w:val="0"/>
            <w:vAlign w:val="center"/>
          </w:tcPr>
          <w:p w14:paraId="1D7294BB">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4"/>
                <w:sz w:val="31"/>
                <w:szCs w:val="21"/>
                <w:highlight w:val="none"/>
                <w:lang w:eastAsia="zh-CN"/>
              </w:rPr>
              <w:instrText xml:space="preserve">,</w:instrText>
            </w:r>
            <w:r>
              <w:rPr>
                <w:rFonts w:hint="eastAsia" w:ascii="宋体" w:hAnsi="宋体" w:eastAsia="宋体" w:cs="宋体"/>
                <w:color w:val="auto"/>
                <w:kern w:val="0"/>
                <w:position w:val="0"/>
                <w:sz w:val="21"/>
                <w:szCs w:val="21"/>
                <w:highlight w:val="none"/>
                <w:lang w:eastAsia="zh-CN"/>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网络电子评标（电子评标过程中当出现突发情况，导致系统无法正常运行且短时间内无法修复时，经监督部门同意，延迟评标。）</w:t>
            </w:r>
          </w:p>
          <w:p w14:paraId="7DD53649">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远程网络电子评标</w:t>
            </w:r>
          </w:p>
        </w:tc>
      </w:tr>
      <w:tr w14:paraId="0E39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937" w:type="dxa"/>
            <w:tcBorders>
              <w:top w:val="nil"/>
            </w:tcBorders>
            <w:noWrap w:val="0"/>
            <w:vAlign w:val="center"/>
          </w:tcPr>
          <w:p w14:paraId="3FD8A92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7.1</w:t>
            </w:r>
          </w:p>
        </w:tc>
        <w:tc>
          <w:tcPr>
            <w:tcW w:w="2589" w:type="dxa"/>
            <w:gridSpan w:val="2"/>
            <w:noWrap w:val="0"/>
            <w:vAlign w:val="center"/>
          </w:tcPr>
          <w:p w14:paraId="495C12F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定标方式</w:t>
            </w:r>
          </w:p>
        </w:tc>
        <w:tc>
          <w:tcPr>
            <w:tcW w:w="6238" w:type="dxa"/>
            <w:tcBorders>
              <w:top w:val="nil"/>
            </w:tcBorders>
            <w:noWrap w:val="0"/>
            <w:vAlign w:val="center"/>
          </w:tcPr>
          <w:p w14:paraId="5634FF2A">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本项目采用“评定分离”核查随机法确定中标人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评标委员会按照招标文件规定的方法和数量推荐</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lang w:val="en-US" w:eastAsia="zh-CN"/>
              </w:rPr>
              <w:t>,招标人应当</w:t>
            </w:r>
            <w:r>
              <w:rPr>
                <w:rFonts w:hint="eastAsia" w:ascii="宋体" w:hAnsi="宋体" w:eastAsia="宋体" w:cs="宋体"/>
                <w:color w:val="auto"/>
                <w:sz w:val="21"/>
                <w:szCs w:val="21"/>
                <w:highlight w:val="none"/>
              </w:rPr>
              <w:t>在收到</w:t>
            </w:r>
            <w:r>
              <w:rPr>
                <w:rFonts w:hint="eastAsia" w:ascii="宋体" w:hAnsi="宋体" w:eastAsia="宋体" w:cs="宋体"/>
                <w:color w:val="auto"/>
                <w:sz w:val="21"/>
                <w:szCs w:val="21"/>
                <w:highlight w:val="none"/>
                <w:lang w:eastAsia="zh-CN"/>
              </w:rPr>
              <w:t>评标报告</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日内完成</w:t>
            </w:r>
            <w:r>
              <w:rPr>
                <w:rFonts w:hint="eastAsia" w:ascii="宋体" w:hAnsi="宋体" w:eastAsia="宋体" w:cs="宋体"/>
                <w:color w:val="auto"/>
                <w:sz w:val="21"/>
                <w:szCs w:val="21"/>
                <w:highlight w:val="none"/>
                <w:lang w:val="en-US" w:eastAsia="zh-CN"/>
              </w:rPr>
              <w:t>定标工作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不能按时完成定标工作的，应当通过</w:t>
            </w:r>
            <w:r>
              <w:rPr>
                <w:rFonts w:hint="eastAsia" w:ascii="宋体" w:hAnsi="宋体" w:eastAsia="宋体" w:cs="宋体"/>
                <w:color w:val="auto"/>
                <w:sz w:val="21"/>
                <w:szCs w:val="21"/>
                <w:highlight w:val="none"/>
                <w:lang w:eastAsia="zh-CN"/>
              </w:rPr>
              <w:t>驻马店市公共资源交易</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发布延期原因和最终定标时间。</w:t>
            </w:r>
            <w:r>
              <w:rPr>
                <w:rFonts w:hint="eastAsia" w:ascii="宋体" w:hAnsi="宋体" w:eastAsia="宋体" w:cs="宋体"/>
                <w:color w:val="auto"/>
                <w:sz w:val="21"/>
                <w:szCs w:val="21"/>
                <w:highlight w:val="none"/>
                <w:lang w:val="en-US" w:eastAsia="zh-CN"/>
              </w:rPr>
              <w:t>最终定标时间不得超过投标有效期。</w:t>
            </w:r>
          </w:p>
        </w:tc>
      </w:tr>
      <w:tr w14:paraId="52BE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jc w:val="center"/>
        </w:trPr>
        <w:tc>
          <w:tcPr>
            <w:tcW w:w="937" w:type="dxa"/>
            <w:noWrap w:val="0"/>
            <w:vAlign w:val="center"/>
          </w:tcPr>
          <w:p w14:paraId="5D92FBF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7.6.1</w:t>
            </w:r>
          </w:p>
        </w:tc>
        <w:tc>
          <w:tcPr>
            <w:tcW w:w="2589" w:type="dxa"/>
            <w:gridSpan w:val="2"/>
            <w:noWrap w:val="0"/>
            <w:vAlign w:val="center"/>
          </w:tcPr>
          <w:p w14:paraId="1C9633A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w:t>
            </w:r>
          </w:p>
        </w:tc>
        <w:tc>
          <w:tcPr>
            <w:tcW w:w="6238" w:type="dxa"/>
            <w:noWrap w:val="0"/>
            <w:vAlign w:val="center"/>
          </w:tcPr>
          <w:p w14:paraId="4D11F60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是否要求中标人提供履约保证金：</w:t>
            </w:r>
          </w:p>
          <w:p w14:paraId="380128F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要求提供 </w:t>
            </w:r>
          </w:p>
          <w:p w14:paraId="1F545A3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firstLine="210" w:firstLineChars="10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履约保证金的形式：现金转账或履约保</w:t>
            </w:r>
            <w:bookmarkStart w:id="2334" w:name="_GoBack"/>
            <w:bookmarkEnd w:id="2334"/>
            <w:r>
              <w:rPr>
                <w:rFonts w:hint="eastAsia" w:ascii="宋体" w:hAnsi="宋体" w:eastAsia="宋体" w:cs="宋体"/>
                <w:color w:val="auto"/>
                <w:kern w:val="0"/>
                <w:sz w:val="21"/>
                <w:szCs w:val="21"/>
                <w:highlight w:val="none"/>
              </w:rPr>
              <w:t>函；</w:t>
            </w:r>
          </w:p>
          <w:p w14:paraId="458BD92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firstLine="210" w:firstLineChars="100"/>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履约保证金额：中标价的</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xml:space="preserve">% </w:t>
            </w:r>
          </w:p>
          <w:p w14:paraId="171F2B1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315" w:leftChars="100" w:right="-34" w:rightChars="-16" w:hanging="105" w:hangingChars="5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履约保证金递交时间：招标人确定中标人后，中标人应在接到招标人通知后</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 xml:space="preserve">日内，将履约保证金打入招标人指定账户或按照招标文件要求的形式提交其他保证。逾期未缴纳的取消其中标资格。 </w:t>
            </w:r>
          </w:p>
          <w:p w14:paraId="54A23A92">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rPr>
              <w:t>不要求</w:t>
            </w:r>
          </w:p>
        </w:tc>
      </w:tr>
      <w:tr w14:paraId="33605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37" w:type="dxa"/>
            <w:noWrap w:val="0"/>
            <w:vAlign w:val="center"/>
          </w:tcPr>
          <w:p w14:paraId="6F90034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8.1</w:t>
            </w:r>
          </w:p>
        </w:tc>
        <w:tc>
          <w:tcPr>
            <w:tcW w:w="2589" w:type="dxa"/>
            <w:gridSpan w:val="2"/>
            <w:noWrap w:val="0"/>
            <w:vAlign w:val="center"/>
          </w:tcPr>
          <w:p w14:paraId="2A6EF23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重新招标和不再招标</w:t>
            </w:r>
          </w:p>
        </w:tc>
        <w:tc>
          <w:tcPr>
            <w:tcW w:w="6238" w:type="dxa"/>
            <w:noWrap w:val="0"/>
            <w:vAlign w:val="center"/>
          </w:tcPr>
          <w:p w14:paraId="570A020D">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lang w:eastAsia="zh-CN"/>
              </w:rPr>
            </w:pPr>
            <w:bookmarkStart w:id="48" w:name="_Toc9949"/>
            <w:bookmarkStart w:id="49" w:name="_Toc31050"/>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重新招标</w:t>
            </w:r>
            <w:bookmarkEnd w:id="48"/>
            <w:bookmarkEnd w:id="49"/>
          </w:p>
          <w:p w14:paraId="4D5688ED">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有下列情形之一的，招标人将重新招标：</w:t>
            </w:r>
          </w:p>
          <w:p w14:paraId="502E64DF">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（1）投标截止时间止，投标人少于3个的；</w:t>
            </w:r>
          </w:p>
          <w:p w14:paraId="61A3AC64">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（2）经评标委员会评审后否决所有投标的。</w:t>
            </w:r>
          </w:p>
          <w:p w14:paraId="030C3370">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lang w:eastAsia="zh-CN"/>
              </w:rPr>
            </w:pPr>
            <w:bookmarkStart w:id="50" w:name="_Toc30014"/>
            <w:bookmarkStart w:id="51" w:name="_Toc18000"/>
            <w:r>
              <w:rPr>
                <w:rFonts w:hint="eastAsia" w:ascii="宋体" w:hAnsi="宋体" w:eastAsia="宋体" w:cs="宋体"/>
                <w:color w:val="auto"/>
                <w:sz w:val="21"/>
                <w:szCs w:val="21"/>
                <w:highlight w:val="none"/>
                <w:lang w:eastAsia="zh-CN"/>
              </w:rPr>
              <w:t>2、不再招标</w:t>
            </w:r>
            <w:bookmarkEnd w:id="50"/>
            <w:bookmarkEnd w:id="51"/>
          </w:p>
          <w:p w14:paraId="29F3307D">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firstLine="420" w:firstLineChars="20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7BE1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764" w:type="dxa"/>
            <w:gridSpan w:val="4"/>
            <w:noWrap w:val="0"/>
            <w:vAlign w:val="center"/>
          </w:tcPr>
          <w:p w14:paraId="398A904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 需要补充的其他内容</w:t>
            </w:r>
          </w:p>
        </w:tc>
      </w:tr>
      <w:tr w14:paraId="5B7D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764" w:type="dxa"/>
            <w:gridSpan w:val="4"/>
            <w:noWrap w:val="0"/>
            <w:vAlign w:val="center"/>
          </w:tcPr>
          <w:p w14:paraId="7CD960A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 词语定义</w:t>
            </w:r>
          </w:p>
        </w:tc>
      </w:tr>
      <w:tr w14:paraId="18CB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37" w:type="dxa"/>
            <w:noWrap w:val="0"/>
            <w:vAlign w:val="center"/>
          </w:tcPr>
          <w:p w14:paraId="33100DF6">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w:t>
            </w:r>
          </w:p>
        </w:tc>
        <w:tc>
          <w:tcPr>
            <w:tcW w:w="2589" w:type="dxa"/>
            <w:gridSpan w:val="2"/>
            <w:noWrap w:val="0"/>
            <w:vAlign w:val="center"/>
          </w:tcPr>
          <w:p w14:paraId="138616D7">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类似项目</w:t>
            </w:r>
          </w:p>
        </w:tc>
        <w:tc>
          <w:tcPr>
            <w:tcW w:w="6238" w:type="dxa"/>
            <w:noWrap w:val="0"/>
            <w:vAlign w:val="center"/>
          </w:tcPr>
          <w:p w14:paraId="1B99552E">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类似项目是指：</w:t>
            </w:r>
            <w:r>
              <w:rPr>
                <w:rFonts w:hint="eastAsia" w:ascii="宋体" w:hAnsi="宋体" w:eastAsia="宋体" w:cs="宋体"/>
                <w:color w:val="auto"/>
                <w:sz w:val="21"/>
                <w:szCs w:val="21"/>
                <w:highlight w:val="none"/>
                <w:lang w:val="en-US" w:eastAsia="zh-CN"/>
              </w:rPr>
              <w:t>房屋</w:t>
            </w:r>
            <w:r>
              <w:rPr>
                <w:rFonts w:hint="eastAsia" w:ascii="宋体" w:hAnsi="宋体" w:eastAsia="宋体" w:cs="宋体"/>
                <w:color w:val="auto"/>
                <w:sz w:val="21"/>
                <w:szCs w:val="21"/>
                <w:highlight w:val="none"/>
              </w:rPr>
              <w:t>建筑工程</w:t>
            </w:r>
          </w:p>
        </w:tc>
      </w:tr>
      <w:tr w14:paraId="548FB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7" w:type="dxa"/>
            <w:noWrap w:val="0"/>
            <w:vAlign w:val="center"/>
          </w:tcPr>
          <w:p w14:paraId="261F1344">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10.1.2</w:t>
            </w:r>
          </w:p>
        </w:tc>
        <w:tc>
          <w:tcPr>
            <w:tcW w:w="2589" w:type="dxa"/>
            <w:gridSpan w:val="2"/>
            <w:noWrap w:val="0"/>
            <w:vAlign w:val="center"/>
          </w:tcPr>
          <w:p w14:paraId="49A763BF">
            <w:pPr>
              <w:keepNext w:val="0"/>
              <w:keepLines w:val="0"/>
              <w:pageBreakBefore w:val="0"/>
              <w:suppressLineNumbers w:val="0"/>
              <w:kinsoku/>
              <w:wordWrap w:val="0"/>
              <w:overflowPunct/>
              <w:topLinePunct w:val="0"/>
              <w:bidi w:val="0"/>
              <w:adjustRightInd w:val="0"/>
              <w:snapToGrid w:val="0"/>
              <w:spacing w:before="0" w:beforeAutospacing="0" w:after="0" w:afterAutospacing="0" w:line="3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w:t>
            </w:r>
          </w:p>
        </w:tc>
        <w:tc>
          <w:tcPr>
            <w:tcW w:w="6238" w:type="dxa"/>
            <w:noWrap w:val="0"/>
            <w:vAlign w:val="center"/>
          </w:tcPr>
          <w:p w14:paraId="1DE83917">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不良行为记录是指：（1）在202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年1月1日以来被住建部门列入“黑名单”的；（2）在20</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年1月1日以来被住建部门通报有不良行为记录的；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新宋体" w:hAnsi="新宋体" w:eastAsia="新宋体" w:cs="新宋体"/>
                <w:sz w:val="21"/>
                <w:szCs w:val="21"/>
                <w:highlight w:val="none"/>
              </w:rPr>
              <w:t>有行政部门处罚的。</w:t>
            </w:r>
          </w:p>
        </w:tc>
      </w:tr>
      <w:tr w14:paraId="5339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26" w:type="dxa"/>
            <w:gridSpan w:val="3"/>
            <w:tcBorders>
              <w:right w:val="nil"/>
            </w:tcBorders>
            <w:noWrap w:val="0"/>
            <w:vAlign w:val="center"/>
          </w:tcPr>
          <w:p w14:paraId="74BD050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10.2  招标控制价</w:t>
            </w:r>
          </w:p>
        </w:tc>
        <w:tc>
          <w:tcPr>
            <w:tcW w:w="6238" w:type="dxa"/>
            <w:tcBorders>
              <w:left w:val="nil"/>
            </w:tcBorders>
            <w:noWrap w:val="0"/>
            <w:vAlign w:val="center"/>
          </w:tcPr>
          <w:p w14:paraId="202C034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p>
        </w:tc>
      </w:tr>
      <w:tr w14:paraId="08379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37" w:type="dxa"/>
            <w:noWrap w:val="0"/>
            <w:vAlign w:val="center"/>
          </w:tcPr>
          <w:p w14:paraId="470CBBD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p>
        </w:tc>
        <w:tc>
          <w:tcPr>
            <w:tcW w:w="2589" w:type="dxa"/>
            <w:gridSpan w:val="2"/>
            <w:tcBorders>
              <w:right w:val="single" w:color="auto" w:sz="4" w:space="0"/>
            </w:tcBorders>
            <w:noWrap w:val="0"/>
            <w:vAlign w:val="center"/>
          </w:tcPr>
          <w:p w14:paraId="1FA00B09">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p>
        </w:tc>
        <w:tc>
          <w:tcPr>
            <w:tcW w:w="6238" w:type="dxa"/>
            <w:tcBorders>
              <w:left w:val="single" w:color="auto" w:sz="4" w:space="0"/>
            </w:tcBorders>
            <w:noWrap w:val="0"/>
            <w:vAlign w:val="center"/>
          </w:tcPr>
          <w:p w14:paraId="651EBEF8">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360" w:lineRule="exact"/>
              <w:ind w:left="0" w:right="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□不设招标控制价</w:t>
            </w:r>
          </w:p>
          <w:p w14:paraId="7E8B2974">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360" w:lineRule="exact"/>
              <w:ind w:left="0" w:right="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☑设招标控制价，招标控制价为：4181979.04元；</w:t>
            </w:r>
          </w:p>
          <w:p w14:paraId="2E345BAD">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exact"/>
              <w:ind w:left="0" w:right="0"/>
              <w:textAlignment w:val="auto"/>
              <w:outlineLvl w:val="9"/>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fldChar w:fldCharType="begin"/>
            </w:r>
            <w:r>
              <w:rPr>
                <w:rFonts w:hint="default" w:ascii="宋体" w:hAnsi="宋体" w:eastAsia="宋体" w:cs="宋体"/>
                <w:color w:val="auto"/>
                <w:sz w:val="21"/>
                <w:szCs w:val="21"/>
                <w:highlight w:val="none"/>
                <w:lang w:val="en-US" w:eastAsia="zh-CN"/>
              </w:rPr>
              <w:instrText xml:space="preserve"> eq \o\ac(□)</w:instrText>
            </w:r>
            <w:r>
              <w:rPr>
                <w:rFonts w:hint="default" w:ascii="宋体" w:hAnsi="宋体" w:eastAsia="宋体" w:cs="宋体"/>
                <w:color w:val="auto"/>
                <w:sz w:val="21"/>
                <w:szCs w:val="21"/>
                <w:highlight w:val="none"/>
                <w:lang w:val="en-US" w:eastAsia="zh-CN"/>
              </w:rPr>
              <w:fldChar w:fldCharType="end"/>
            </w:r>
            <w:r>
              <w:rPr>
                <w:rFonts w:hint="default" w:ascii="宋体" w:hAnsi="宋体" w:eastAsia="宋体" w:cs="宋体"/>
                <w:color w:val="auto"/>
                <w:sz w:val="21"/>
                <w:szCs w:val="21"/>
                <w:highlight w:val="none"/>
                <w:lang w:val="en-US" w:eastAsia="zh-CN"/>
              </w:rPr>
              <w:t xml:space="preserve">设招标控制价，开标之日7天前公布。（各潜在投标人凭CA密钥登陆会员系统并按网上提示操作下载）    </w:t>
            </w:r>
          </w:p>
          <w:p w14:paraId="64448ED2">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exact"/>
              <w:ind w:left="0" w:right="0"/>
              <w:textAlignment w:val="auto"/>
              <w:outlineLvl w:val="9"/>
              <w:rPr>
                <w:rFonts w:hint="default" w:ascii="宋体" w:hAnsi="宋体" w:eastAsia="宋体" w:cs="宋体"/>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投标人投标报价高于招标控制价的，按废标处理。</w:t>
            </w:r>
          </w:p>
        </w:tc>
      </w:tr>
      <w:tr w14:paraId="0647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9764" w:type="dxa"/>
            <w:gridSpan w:val="4"/>
            <w:noWrap w:val="0"/>
            <w:vAlign w:val="center"/>
          </w:tcPr>
          <w:p w14:paraId="0BDA3EC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  “暗标”评审</w:t>
            </w:r>
          </w:p>
        </w:tc>
      </w:tr>
      <w:tr w14:paraId="3626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937" w:type="dxa"/>
            <w:noWrap w:val="0"/>
            <w:vAlign w:val="center"/>
          </w:tcPr>
          <w:p w14:paraId="33E71AD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p>
        </w:tc>
        <w:tc>
          <w:tcPr>
            <w:tcW w:w="2589" w:type="dxa"/>
            <w:gridSpan w:val="2"/>
            <w:noWrap w:val="0"/>
            <w:vAlign w:val="center"/>
          </w:tcPr>
          <w:p w14:paraId="5F9AD644">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施工组织设计是否采用</w:t>
            </w:r>
          </w:p>
          <w:p w14:paraId="4B53F65C">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“暗标”评审方式</w:t>
            </w:r>
          </w:p>
        </w:tc>
        <w:tc>
          <w:tcPr>
            <w:tcW w:w="6238" w:type="dxa"/>
            <w:noWrap w:val="0"/>
            <w:vAlign w:val="center"/>
          </w:tcPr>
          <w:p w14:paraId="287D3433">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firstLine="105" w:firstLineChars="50"/>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 不采用</w:t>
            </w:r>
          </w:p>
          <w:p w14:paraId="0AF4F5FC">
            <w:pPr>
              <w:keepNext w:val="0"/>
              <w:keepLines w:val="0"/>
              <w:pageBreakBefore w:val="0"/>
              <w:suppressLineNumbers w:val="0"/>
              <w:kinsoku/>
              <w:wordWrap w:val="0"/>
              <w:overflowPunct/>
              <w:topLinePunct w:val="0"/>
              <w:bidi w:val="0"/>
              <w:adjustRightInd w:val="0"/>
              <w:snapToGrid w:val="0"/>
              <w:spacing w:before="0" w:beforeAutospacing="0" w:after="0" w:afterAutospacing="0" w:line="400" w:lineRule="exact"/>
              <w:ind w:left="0" w:right="0" w:firstLine="105" w:firstLineChars="5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采用，投标人应严格按照第</w:t>
            </w:r>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章“投标文件格式”中“施工组织设计（技术暗标）编制的要求”，编制施工组织设计。</w:t>
            </w:r>
          </w:p>
        </w:tc>
      </w:tr>
      <w:tr w14:paraId="1B7E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764" w:type="dxa"/>
            <w:gridSpan w:val="4"/>
            <w:noWrap w:val="0"/>
            <w:vAlign w:val="center"/>
          </w:tcPr>
          <w:p w14:paraId="1D033B5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10.4  投标人代表出席开标会</w:t>
            </w:r>
          </w:p>
        </w:tc>
      </w:tr>
      <w:tr w14:paraId="72375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37" w:type="dxa"/>
            <w:tcBorders>
              <w:bottom w:val="single" w:color="auto" w:sz="4" w:space="0"/>
            </w:tcBorders>
            <w:noWrap w:val="0"/>
            <w:vAlign w:val="center"/>
          </w:tcPr>
          <w:p w14:paraId="095369A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p>
        </w:tc>
        <w:tc>
          <w:tcPr>
            <w:tcW w:w="8827" w:type="dxa"/>
            <w:gridSpan w:val="3"/>
            <w:tcBorders>
              <w:top w:val="nil"/>
              <w:bottom w:val="single" w:color="auto" w:sz="4" w:space="0"/>
            </w:tcBorders>
            <w:noWrap w:val="0"/>
            <w:vAlign w:val="center"/>
          </w:tcPr>
          <w:p w14:paraId="1BF10C1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本工程采用远程不见面交易的模式。开标当日，投标人无需到达开标现场。</w:t>
            </w:r>
          </w:p>
        </w:tc>
      </w:tr>
      <w:tr w14:paraId="75D0D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764" w:type="dxa"/>
            <w:gridSpan w:val="4"/>
            <w:tcBorders>
              <w:top w:val="single" w:color="auto" w:sz="4" w:space="0"/>
              <w:bottom w:val="single" w:color="auto" w:sz="4" w:space="0"/>
            </w:tcBorders>
            <w:noWrap w:val="0"/>
            <w:vAlign w:val="center"/>
          </w:tcPr>
          <w:p w14:paraId="427ACF1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10.5 中标候选人公示</w:t>
            </w:r>
          </w:p>
        </w:tc>
      </w:tr>
      <w:tr w14:paraId="6D8FF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37" w:type="dxa"/>
            <w:tcBorders>
              <w:top w:val="single" w:color="auto" w:sz="4" w:space="0"/>
              <w:bottom w:val="single" w:color="auto" w:sz="4" w:space="0"/>
            </w:tcBorders>
            <w:noWrap w:val="0"/>
            <w:vAlign w:val="center"/>
          </w:tcPr>
          <w:p w14:paraId="237F24A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p>
        </w:tc>
        <w:tc>
          <w:tcPr>
            <w:tcW w:w="8827" w:type="dxa"/>
            <w:gridSpan w:val="3"/>
            <w:tcBorders>
              <w:top w:val="single" w:color="auto" w:sz="4" w:space="0"/>
              <w:bottom w:val="single" w:color="auto" w:sz="4" w:space="0"/>
            </w:tcBorders>
            <w:noWrap w:val="0"/>
            <w:vAlign w:val="center"/>
          </w:tcPr>
          <w:p w14:paraId="4E10A6C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firstLine="315" w:firstLineChars="15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lang w:val="en-US" w:eastAsia="zh-CN"/>
              </w:rPr>
              <w:t>应当自</w:t>
            </w:r>
            <w:r>
              <w:rPr>
                <w:rFonts w:hint="eastAsia" w:ascii="宋体" w:hAnsi="宋体" w:eastAsia="宋体" w:cs="宋体"/>
                <w:color w:val="auto"/>
                <w:sz w:val="21"/>
                <w:szCs w:val="21"/>
                <w:highlight w:val="none"/>
              </w:rPr>
              <w:t>收到评标报告</w:t>
            </w:r>
            <w:r>
              <w:rPr>
                <w:rFonts w:hint="eastAsia" w:ascii="宋体" w:hAnsi="宋体" w:eastAsia="宋体" w:cs="宋体"/>
                <w:color w:val="auto"/>
                <w:sz w:val="21"/>
                <w:szCs w:val="21"/>
                <w:highlight w:val="none"/>
                <w:lang w:val="en-US" w:eastAsia="zh-CN"/>
              </w:rPr>
              <w:t>之日起</w:t>
            </w:r>
            <w:r>
              <w:rPr>
                <w:rFonts w:hint="eastAsia" w:ascii="宋体" w:hAnsi="宋体" w:eastAsia="宋体" w:cs="宋体"/>
                <w:color w:val="auto"/>
                <w:sz w:val="21"/>
                <w:szCs w:val="21"/>
                <w:highlight w:val="none"/>
              </w:rPr>
              <w:t>3日内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将中标候选人的情况在本招标项目招标公告（文件）发布的同一媒介予以公示，公示期</w:t>
            </w:r>
            <w:r>
              <w:rPr>
                <w:rFonts w:hint="eastAsia" w:ascii="宋体" w:hAnsi="宋体" w:eastAsia="宋体" w:cs="宋体"/>
                <w:color w:val="auto"/>
                <w:sz w:val="21"/>
                <w:szCs w:val="21"/>
                <w:highlight w:val="none"/>
                <w:lang w:val="en-US" w:eastAsia="zh-CN"/>
              </w:rPr>
              <w:t>不少于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日（遇国家法定节假日的顺延）。</w:t>
            </w:r>
          </w:p>
        </w:tc>
      </w:tr>
      <w:tr w14:paraId="0F4B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764" w:type="dxa"/>
            <w:gridSpan w:val="4"/>
            <w:tcBorders>
              <w:top w:val="single" w:color="auto" w:sz="4" w:space="0"/>
              <w:bottom w:val="single" w:color="auto" w:sz="4" w:space="0"/>
            </w:tcBorders>
            <w:noWrap w:val="0"/>
            <w:vAlign w:val="center"/>
          </w:tcPr>
          <w:p w14:paraId="10ABD26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10.6  知识产权</w:t>
            </w:r>
          </w:p>
        </w:tc>
      </w:tr>
      <w:tr w14:paraId="2C5D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937" w:type="dxa"/>
            <w:tcBorders>
              <w:top w:val="single" w:color="auto" w:sz="4" w:space="0"/>
              <w:bottom w:val="single" w:color="auto" w:sz="4" w:space="0"/>
            </w:tcBorders>
            <w:noWrap w:val="0"/>
            <w:vAlign w:val="center"/>
          </w:tcPr>
          <w:p w14:paraId="074569C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p>
        </w:tc>
        <w:tc>
          <w:tcPr>
            <w:tcW w:w="8827" w:type="dxa"/>
            <w:gridSpan w:val="3"/>
            <w:tcBorders>
              <w:top w:val="single" w:color="auto" w:sz="4" w:space="0"/>
              <w:bottom w:val="single" w:color="auto" w:sz="4" w:space="0"/>
            </w:tcBorders>
            <w:noWrap w:val="0"/>
            <w:vAlign w:val="center"/>
          </w:tcPr>
          <w:p w14:paraId="49F7511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590DC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764" w:type="dxa"/>
            <w:gridSpan w:val="4"/>
            <w:tcBorders>
              <w:top w:val="single" w:color="auto" w:sz="4" w:space="0"/>
              <w:bottom w:val="single" w:color="auto" w:sz="4" w:space="0"/>
            </w:tcBorders>
            <w:noWrap w:val="0"/>
            <w:vAlign w:val="center"/>
          </w:tcPr>
          <w:p w14:paraId="4D8635C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10.7  同义词语</w:t>
            </w:r>
          </w:p>
        </w:tc>
      </w:tr>
      <w:tr w14:paraId="1D20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37" w:type="dxa"/>
            <w:tcBorders>
              <w:top w:val="single" w:color="auto" w:sz="4" w:space="0"/>
              <w:bottom w:val="single" w:color="auto" w:sz="4" w:space="0"/>
            </w:tcBorders>
            <w:noWrap w:val="0"/>
            <w:vAlign w:val="center"/>
          </w:tcPr>
          <w:p w14:paraId="51B6752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p>
        </w:tc>
        <w:tc>
          <w:tcPr>
            <w:tcW w:w="8827" w:type="dxa"/>
            <w:gridSpan w:val="3"/>
            <w:tcBorders>
              <w:top w:val="single" w:color="auto" w:sz="4" w:space="0"/>
            </w:tcBorders>
            <w:noWrap w:val="0"/>
            <w:vAlign w:val="center"/>
          </w:tcPr>
          <w:p w14:paraId="2DC9158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2700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9764" w:type="dxa"/>
            <w:gridSpan w:val="4"/>
            <w:tcBorders>
              <w:top w:val="single" w:color="auto" w:sz="4" w:space="0"/>
              <w:bottom w:val="single" w:color="auto" w:sz="4" w:space="0"/>
            </w:tcBorders>
            <w:noWrap w:val="0"/>
            <w:vAlign w:val="center"/>
          </w:tcPr>
          <w:p w14:paraId="3DF1019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10.8  监  督</w:t>
            </w:r>
          </w:p>
        </w:tc>
      </w:tr>
      <w:tr w14:paraId="2D62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937" w:type="dxa"/>
            <w:tcBorders>
              <w:top w:val="single" w:color="auto" w:sz="4" w:space="0"/>
              <w:bottom w:val="single" w:color="auto" w:sz="4" w:space="0"/>
            </w:tcBorders>
            <w:noWrap w:val="0"/>
            <w:vAlign w:val="center"/>
          </w:tcPr>
          <w:p w14:paraId="0DB1C37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p>
        </w:tc>
        <w:tc>
          <w:tcPr>
            <w:tcW w:w="8827" w:type="dxa"/>
            <w:gridSpan w:val="3"/>
            <w:noWrap w:val="0"/>
            <w:vAlign w:val="center"/>
          </w:tcPr>
          <w:p w14:paraId="256376BC">
            <w:pPr>
              <w:keepNext w:val="0"/>
              <w:keepLines w:val="0"/>
              <w:pageBreakBefore w:val="0"/>
              <w:widowControl w:val="0"/>
              <w:suppressLineNumbers w:val="0"/>
              <w:kinsoku/>
              <w:wordWrap w:val="0"/>
              <w:overflowPunct/>
              <w:topLinePunct w:val="0"/>
              <w:autoSpaceDE w:val="0"/>
              <w:autoSpaceDN w:val="0"/>
              <w:bidi w:val="0"/>
              <w:adjustRightInd w:val="0"/>
              <w:spacing w:before="0" w:beforeAutospacing="0" w:after="0" w:afterAutospacing="0" w:line="360" w:lineRule="auto"/>
              <w:ind w:left="0" w:leftChars="0" w:right="0" w:rightChars="0" w:firstLine="420" w:firstLineChars="200"/>
              <w:rPr>
                <w:rFonts w:hint="eastAsia" w:ascii="宋体" w:hAnsi="宋体" w:eastAsia="宋体" w:cs="宋体"/>
                <w:color w:val="auto"/>
                <w:kern w:val="0"/>
                <w:szCs w:val="21"/>
                <w:highlight w:val="none"/>
                <w:lang w:eastAsia="zh-CN"/>
              </w:rPr>
            </w:pPr>
            <w:r>
              <w:rPr>
                <w:rFonts w:hint="eastAsia" w:ascii="宋体" w:hAnsi="宋体" w:eastAsia="宋体" w:cs="宋体"/>
                <w:color w:val="auto"/>
                <w:sz w:val="21"/>
                <w:szCs w:val="21"/>
                <w:highlight w:val="none"/>
              </w:rPr>
              <w:t>本项目的招标投标活动及其相关当事人应当接受有管辖权的招标投标行政监督部门依</w:t>
            </w:r>
            <w:r>
              <w:rPr>
                <w:rFonts w:hint="eastAsia" w:ascii="宋体" w:hAnsi="宋体" w:eastAsia="宋体" w:cs="宋体"/>
                <w:color w:val="auto"/>
                <w:kern w:val="0"/>
                <w:szCs w:val="21"/>
                <w:highlight w:val="none"/>
                <w:lang w:eastAsia="zh-CN"/>
              </w:rPr>
              <w:t>法实施的监督。</w:t>
            </w:r>
          </w:p>
          <w:p w14:paraId="326944FC">
            <w:pPr>
              <w:keepNext w:val="0"/>
              <w:keepLines w:val="0"/>
              <w:pageBreakBefore w:val="0"/>
              <w:widowControl w:val="0"/>
              <w:suppressLineNumbers w:val="0"/>
              <w:kinsoku/>
              <w:wordWrap w:val="0"/>
              <w:overflowPunct/>
              <w:topLinePunct w:val="0"/>
              <w:autoSpaceDE w:val="0"/>
              <w:autoSpaceDN w:val="0"/>
              <w:bidi w:val="0"/>
              <w:adjustRightInd w:val="0"/>
              <w:spacing w:before="0" w:beforeAutospacing="0" w:after="0" w:afterAutospacing="0" w:line="360" w:lineRule="auto"/>
              <w:ind w:left="0" w:leftChars="0" w:right="0" w:rightChars="0" w:firstLine="420" w:firstLineChars="20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监督单位：平舆县住房和城乡建设局</w:t>
            </w:r>
          </w:p>
          <w:p w14:paraId="4F8FFEF7">
            <w:pPr>
              <w:keepNext w:val="0"/>
              <w:keepLines w:val="0"/>
              <w:pageBreakBefore w:val="0"/>
              <w:widowControl w:val="0"/>
              <w:suppressLineNumbers w:val="0"/>
              <w:kinsoku/>
              <w:wordWrap w:val="0"/>
              <w:overflowPunct/>
              <w:topLinePunct w:val="0"/>
              <w:autoSpaceDE w:val="0"/>
              <w:autoSpaceDN w:val="0"/>
              <w:bidi w:val="0"/>
              <w:adjustRightInd w:val="0"/>
              <w:spacing w:before="0" w:beforeAutospacing="0" w:after="0" w:afterAutospacing="0" w:line="360" w:lineRule="auto"/>
              <w:ind w:left="0" w:leftChars="0" w:right="0" w:rightChars="0" w:firstLine="420" w:firstLineChars="20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联系人：姚先生</w:t>
            </w:r>
          </w:p>
          <w:p w14:paraId="5C89232F">
            <w:pPr>
              <w:keepNext w:val="0"/>
              <w:keepLines w:val="0"/>
              <w:pageBreakBefore w:val="0"/>
              <w:widowControl w:val="0"/>
              <w:suppressLineNumbers w:val="0"/>
              <w:kinsoku/>
              <w:wordWrap w:val="0"/>
              <w:overflowPunct/>
              <w:topLinePunct w:val="0"/>
              <w:autoSpaceDE w:val="0"/>
              <w:autoSpaceDN w:val="0"/>
              <w:bidi w:val="0"/>
              <w:adjustRightInd w:val="0"/>
              <w:spacing w:before="0" w:beforeAutospacing="0" w:after="0" w:afterAutospacing="0" w:line="360" w:lineRule="auto"/>
              <w:ind w:left="0" w:leftChars="0" w:right="0" w:rightChars="0" w:firstLine="420" w:firstLineChars="200"/>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color w:val="auto"/>
                <w:kern w:val="0"/>
                <w:szCs w:val="21"/>
                <w:highlight w:val="none"/>
                <w:lang w:eastAsia="zh-CN"/>
              </w:rPr>
              <w:t>电话：0396-5022665</w:t>
            </w:r>
          </w:p>
        </w:tc>
      </w:tr>
      <w:tr w14:paraId="5FE51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764" w:type="dxa"/>
            <w:gridSpan w:val="4"/>
            <w:tcBorders>
              <w:top w:val="single" w:color="auto" w:sz="4" w:space="0"/>
              <w:bottom w:val="single" w:color="auto" w:sz="4" w:space="0"/>
            </w:tcBorders>
            <w:noWrap w:val="0"/>
            <w:vAlign w:val="center"/>
          </w:tcPr>
          <w:p w14:paraId="7432F85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10.9质疑、投诉</w:t>
            </w:r>
          </w:p>
        </w:tc>
      </w:tr>
      <w:tr w14:paraId="04E4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969" w:type="dxa"/>
            <w:gridSpan w:val="2"/>
            <w:tcBorders>
              <w:top w:val="single" w:color="auto" w:sz="4" w:space="0"/>
              <w:bottom w:val="single" w:color="auto" w:sz="4" w:space="0"/>
            </w:tcBorders>
            <w:noWrap w:val="0"/>
            <w:vAlign w:val="center"/>
          </w:tcPr>
          <w:p w14:paraId="2C5703BF">
            <w:pPr>
              <w:keepNext w:val="0"/>
              <w:keepLines w:val="0"/>
              <w:pageBreakBefore w:val="0"/>
              <w:widowControl w:val="0"/>
              <w:suppressLineNumbers w:val="0"/>
              <w:kinsoku/>
              <w:wordWrap w:val="0"/>
              <w:overflowPunct/>
              <w:topLinePunct w:val="0"/>
              <w:autoSpaceDE w:val="0"/>
              <w:autoSpaceDN w:val="0"/>
              <w:bidi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rPr>
            </w:pPr>
          </w:p>
        </w:tc>
        <w:tc>
          <w:tcPr>
            <w:tcW w:w="8795" w:type="dxa"/>
            <w:gridSpan w:val="2"/>
            <w:noWrap w:val="0"/>
            <w:vAlign w:val="center"/>
          </w:tcPr>
          <w:p w14:paraId="7A2F32EF">
            <w:pPr>
              <w:keepNext w:val="0"/>
              <w:keepLines w:val="0"/>
              <w:pageBreakBefore w:val="0"/>
              <w:widowControl w:val="0"/>
              <w:suppressLineNumbers w:val="0"/>
              <w:kinsoku/>
              <w:wordWrap w:val="0"/>
              <w:overflowPunct/>
              <w:topLinePunct w:val="0"/>
              <w:autoSpaceDE w:val="0"/>
              <w:autoSpaceDN w:val="0"/>
              <w:bidi w:val="0"/>
              <w:adjustRightInd w:val="0"/>
              <w:spacing w:before="0" w:beforeAutospacing="0" w:after="0" w:afterAutospacing="0" w:line="360" w:lineRule="auto"/>
              <w:ind w:left="0" w:leftChars="0" w:right="0" w:righ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Cs w:val="21"/>
                <w:highlight w:val="none"/>
              </w:rPr>
              <w:t>质疑必须以书面形式并加盖单位公章及法定代表人或授权委托人签字后,在规定的时间内同时送达招标人、招标代理机构；投诉必须以书面形式并加盖单位公章及法定代表人或授权委托人签字后在规定的时间内送达行政主管部门及纪检监察部门。任何投标人和利害关系人都有权对建设违法违纪行为向监察机关进行举报和控告，投诉人投诉时，应当提交投诉书。投诉书应当包括下列内容：（一）投诉人的名称、地址及有效联系方式；（二）被投诉人的名称、地址及有效联系方式；（三）投诉事项的基本事实；（四）相关请求及主张；（五）有效线索和相关证明材料。</w:t>
            </w:r>
          </w:p>
        </w:tc>
      </w:tr>
      <w:tr w14:paraId="2082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9764" w:type="dxa"/>
            <w:gridSpan w:val="4"/>
            <w:tcBorders>
              <w:top w:val="single" w:color="auto" w:sz="4" w:space="0"/>
              <w:bottom w:val="single" w:color="auto" w:sz="4" w:space="0"/>
            </w:tcBorders>
            <w:noWrap w:val="0"/>
            <w:vAlign w:val="center"/>
          </w:tcPr>
          <w:p w14:paraId="1AFB503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 xml:space="preserve">  解释权</w:t>
            </w:r>
          </w:p>
        </w:tc>
      </w:tr>
      <w:tr w14:paraId="1020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937" w:type="dxa"/>
            <w:tcBorders>
              <w:top w:val="single" w:color="auto" w:sz="4" w:space="0"/>
              <w:bottom w:val="single" w:color="auto" w:sz="4" w:space="0"/>
            </w:tcBorders>
            <w:noWrap w:val="0"/>
            <w:vAlign w:val="center"/>
          </w:tcPr>
          <w:p w14:paraId="2BB7587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center"/>
              <w:outlineLvl w:val="9"/>
              <w:rPr>
                <w:rFonts w:hint="eastAsia" w:ascii="宋体" w:hAnsi="宋体" w:eastAsia="宋体" w:cs="宋体"/>
                <w:color w:val="auto"/>
                <w:kern w:val="0"/>
                <w:sz w:val="21"/>
                <w:szCs w:val="21"/>
                <w:highlight w:val="none"/>
              </w:rPr>
            </w:pPr>
          </w:p>
        </w:tc>
        <w:tc>
          <w:tcPr>
            <w:tcW w:w="8827" w:type="dxa"/>
            <w:gridSpan w:val="3"/>
            <w:noWrap w:val="0"/>
            <w:vAlign w:val="center"/>
          </w:tcPr>
          <w:p w14:paraId="2EF29E8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80" w:lineRule="exact"/>
              <w:ind w:left="0" w:right="0" w:firstLine="420" w:firstLineChars="20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3E1C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764" w:type="dxa"/>
            <w:gridSpan w:val="4"/>
            <w:tcBorders>
              <w:top w:val="single" w:color="auto" w:sz="4" w:space="0"/>
              <w:bottom w:val="single" w:color="auto" w:sz="4" w:space="0"/>
            </w:tcBorders>
            <w:noWrap w:val="0"/>
            <w:vAlign w:val="center"/>
          </w:tcPr>
          <w:p w14:paraId="0EB7AE6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招标人补充的其他内容</w:t>
            </w:r>
          </w:p>
        </w:tc>
      </w:tr>
      <w:tr w14:paraId="0F8D8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6" w:hRule="atLeast"/>
          <w:jc w:val="center"/>
        </w:trPr>
        <w:tc>
          <w:tcPr>
            <w:tcW w:w="937" w:type="dxa"/>
            <w:tcBorders>
              <w:top w:val="single" w:color="auto" w:sz="4" w:space="0"/>
            </w:tcBorders>
            <w:noWrap w:val="0"/>
            <w:vAlign w:val="center"/>
          </w:tcPr>
          <w:p w14:paraId="6419B10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 w:val="21"/>
                <w:szCs w:val="21"/>
                <w:highlight w:val="none"/>
              </w:rPr>
            </w:pPr>
          </w:p>
        </w:tc>
        <w:tc>
          <w:tcPr>
            <w:tcW w:w="8827" w:type="dxa"/>
            <w:gridSpan w:val="3"/>
            <w:noWrap w:val="0"/>
            <w:vAlign w:val="center"/>
          </w:tcPr>
          <w:p w14:paraId="3AE2FBE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80" w:lineRule="exact"/>
              <w:ind w:left="0" w:right="0" w:firstLine="210" w:firstLineChars="10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1、潜在投标人如对招标文件有异议，请在规定时间内在驻马店市公共资源交易系统平台上提出，以其他方式递交的异议不予接受。</w:t>
            </w:r>
          </w:p>
          <w:p w14:paraId="5337E19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80" w:lineRule="exact"/>
              <w:ind w:left="0" w:right="0" w:firstLine="210" w:firstLineChars="10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新宋体" w:hAnsi="新宋体" w:eastAsia="新宋体" w:cs="新宋体"/>
                <w:szCs w:val="21"/>
                <w:highlight w:val="none"/>
              </w:rPr>
              <w:t>招标代理费</w:t>
            </w:r>
            <w:r>
              <w:rPr>
                <w:rFonts w:hint="eastAsia" w:ascii="新宋体" w:hAnsi="新宋体" w:eastAsia="新宋体" w:cs="新宋体"/>
                <w:szCs w:val="21"/>
                <w:highlight w:val="none"/>
                <w:lang w:eastAsia="zh-CN"/>
              </w:rPr>
              <w:t>：</w:t>
            </w:r>
            <w:r>
              <w:rPr>
                <w:rFonts w:hint="eastAsia" w:ascii="新宋体" w:hAnsi="新宋体" w:eastAsia="新宋体" w:cs="新宋体"/>
                <w:highlight w:val="none"/>
              </w:rPr>
              <w:t>中标服务</w:t>
            </w:r>
            <w:r>
              <w:rPr>
                <w:rFonts w:hint="eastAsia" w:ascii="新宋体" w:hAnsi="新宋体" w:eastAsia="新宋体" w:cs="新宋体"/>
                <w:szCs w:val="22"/>
                <w:highlight w:val="none"/>
              </w:rPr>
              <w:t>费参照河南省招标投标协会关于印发《河南省招标代理服务收费指导意见》的通知</w:t>
            </w:r>
            <w:r>
              <w:rPr>
                <w:rFonts w:hint="eastAsia" w:ascii="新宋体" w:hAnsi="新宋体" w:eastAsia="新宋体" w:cs="新宋体"/>
                <w:szCs w:val="22"/>
                <w:highlight w:val="none"/>
                <w:lang w:eastAsia="zh-CN"/>
              </w:rPr>
              <w:t>（豫招协[2023]002号）</w:t>
            </w:r>
            <w:r>
              <w:rPr>
                <w:rFonts w:hint="eastAsia" w:ascii="新宋体" w:hAnsi="新宋体" w:eastAsia="新宋体" w:cs="新宋体"/>
                <w:szCs w:val="22"/>
                <w:highlight w:val="none"/>
                <w:lang w:val="en-US" w:eastAsia="zh-CN"/>
              </w:rPr>
              <w:t>文件标准执行，</w:t>
            </w:r>
            <w:r>
              <w:rPr>
                <w:rFonts w:hint="eastAsia" w:ascii="新宋体" w:hAnsi="新宋体" w:eastAsia="新宋体" w:cs="新宋体"/>
                <w:szCs w:val="22"/>
                <w:highlight w:val="none"/>
              </w:rPr>
              <w:t>由中标人全额支付。</w:t>
            </w:r>
          </w:p>
          <w:p w14:paraId="343BB16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80" w:lineRule="exact"/>
              <w:ind w:left="0" w:right="0" w:firstLine="210" w:firstLineChars="10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3、投标人在投标截止时间前应随时关注驻马店市公共资源交易系统电子平台发出的有关本工程的答疑、修改等相关内容。</w:t>
            </w:r>
          </w:p>
          <w:p w14:paraId="7AF0E38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80" w:lineRule="exact"/>
              <w:ind w:left="0" w:right="0" w:firstLine="210" w:firstLineChars="10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4、因驻马店市公共资源交易中心在开标前具有保密性，投标人在投标文件递交截止时间前须自行查看项目进展、变更通知、澄清及回复，因投标人未及时查看而造成的后果自负。</w:t>
            </w:r>
          </w:p>
          <w:p w14:paraId="51F366B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80" w:lineRule="exact"/>
              <w:ind w:left="0" w:right="0" w:firstLine="210" w:firstLineChars="10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5、请投标人持编制投标文件的CA钥匙进行在线远程解密，逾期解密或超时解密将被拒绝。</w:t>
            </w:r>
          </w:p>
          <w:p w14:paraId="198E865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380" w:lineRule="exact"/>
              <w:ind w:left="0" w:right="0" w:firstLine="210" w:firstLineChars="100"/>
              <w:jc w:val="left"/>
              <w:outlineLvl w:val="9"/>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6、投标文件制作系统中的“投标函”仅为开标使用，以投标正文中的投标函内容为准。</w:t>
            </w:r>
          </w:p>
        </w:tc>
      </w:tr>
    </w:tbl>
    <w:p w14:paraId="2A6AB8B0">
      <w:pPr>
        <w:pStyle w:val="87"/>
        <w:pageBreakBefore w:val="0"/>
        <w:kinsoku/>
        <w:wordWrap w:val="0"/>
        <w:overflowPunct/>
        <w:topLinePunct w:val="0"/>
        <w:bidi w:val="0"/>
        <w:spacing w:line="420" w:lineRule="exact"/>
        <w:ind w:right="-34" w:rightChars="-16"/>
        <w:jc w:val="both"/>
        <w:outlineLvl w:val="1"/>
        <w:rPr>
          <w:rFonts w:hint="eastAsia" w:ascii="宋体" w:hAnsi="宋体" w:eastAsia="宋体" w:cs="宋体"/>
          <w:b/>
          <w:bCs/>
          <w:color w:val="auto"/>
          <w:sz w:val="28"/>
          <w:szCs w:val="28"/>
          <w:highlight w:val="none"/>
        </w:rPr>
      </w:pPr>
      <w:bookmarkStart w:id="52" w:name="_Toc228881134"/>
      <w:bookmarkStart w:id="53" w:name="_Toc227492217"/>
      <w:bookmarkStart w:id="54" w:name="_Toc19290"/>
      <w:bookmarkStart w:id="55" w:name="_Toc272772547"/>
      <w:bookmarkStart w:id="56" w:name="_Toc228337071"/>
      <w:bookmarkStart w:id="57" w:name="_Toc214433860"/>
      <w:bookmarkStart w:id="58" w:name="_Toc228591630"/>
      <w:bookmarkStart w:id="59" w:name="_Toc227657460"/>
      <w:bookmarkStart w:id="60" w:name="_Toc13659"/>
      <w:bookmarkStart w:id="61" w:name="_Toc228591482"/>
      <w:bookmarkStart w:id="62" w:name="_Toc228589136"/>
    </w:p>
    <w:p w14:paraId="165DA01C">
      <w:pPr>
        <w:pStyle w:val="87"/>
        <w:pageBreakBefore w:val="0"/>
        <w:kinsoku/>
        <w:wordWrap w:val="0"/>
        <w:overflowPunct/>
        <w:topLinePunct w:val="0"/>
        <w:bidi w:val="0"/>
        <w:spacing w:line="420" w:lineRule="exact"/>
        <w:ind w:right="-34" w:rightChars="-16"/>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 总则</w:t>
      </w:r>
      <w:bookmarkEnd w:id="52"/>
      <w:bookmarkEnd w:id="53"/>
      <w:bookmarkEnd w:id="54"/>
      <w:bookmarkEnd w:id="55"/>
      <w:bookmarkEnd w:id="56"/>
      <w:bookmarkEnd w:id="57"/>
      <w:bookmarkEnd w:id="58"/>
      <w:bookmarkEnd w:id="59"/>
      <w:bookmarkEnd w:id="60"/>
      <w:bookmarkEnd w:id="61"/>
      <w:bookmarkEnd w:id="62"/>
    </w:p>
    <w:p w14:paraId="1AD111EA">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63" w:name="_Toc227657461"/>
      <w:bookmarkStart w:id="64" w:name="_Toc227492218"/>
      <w:bookmarkStart w:id="65" w:name="_Toc272772548"/>
      <w:bookmarkStart w:id="66" w:name="_Toc228591631"/>
      <w:bookmarkStart w:id="67" w:name="_Toc228337072"/>
      <w:bookmarkStart w:id="68" w:name="_Toc214433861"/>
      <w:bookmarkStart w:id="69" w:name="_Toc228881135"/>
      <w:bookmarkStart w:id="70" w:name="_Toc24007"/>
      <w:bookmarkStart w:id="71" w:name="_Toc228591483"/>
      <w:bookmarkStart w:id="72" w:name="_Toc228589137"/>
      <w:r>
        <w:rPr>
          <w:rFonts w:hint="eastAsia" w:ascii="宋体" w:hAnsi="宋体" w:eastAsia="宋体" w:cs="宋体"/>
          <w:b/>
          <w:bCs/>
          <w:color w:val="auto"/>
          <w:kern w:val="0"/>
          <w:sz w:val="24"/>
          <w:szCs w:val="24"/>
          <w:highlight w:val="none"/>
        </w:rPr>
        <w:t>1.1 项目概况</w:t>
      </w:r>
      <w:bookmarkEnd w:id="63"/>
      <w:bookmarkEnd w:id="64"/>
      <w:bookmarkEnd w:id="65"/>
      <w:bookmarkEnd w:id="66"/>
      <w:bookmarkEnd w:id="67"/>
      <w:bookmarkEnd w:id="68"/>
      <w:bookmarkEnd w:id="69"/>
      <w:bookmarkEnd w:id="70"/>
      <w:bookmarkEnd w:id="71"/>
      <w:bookmarkEnd w:id="72"/>
    </w:p>
    <w:p w14:paraId="361318C8">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 根据《中华人民共和国招标投标法》、《中华人民共和国招标投标法实施条例》等有关法律、法规和规章的规定，本招标项目已具备招标条件，现对本项目进行公开招标。</w:t>
      </w:r>
    </w:p>
    <w:p w14:paraId="2DACC8B4">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 本招标项目招标人：见投标人须知前附表。</w:t>
      </w:r>
    </w:p>
    <w:p w14:paraId="7D8BC93B">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 本项目招标代理机构：见投标人须知前附表。</w:t>
      </w:r>
    </w:p>
    <w:p w14:paraId="39E1DA2E">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 本招标工程名称：见投标人须知前附表。</w:t>
      </w:r>
    </w:p>
    <w:p w14:paraId="2175AACB">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 本项目建设地点：见投标人须知前附表。</w:t>
      </w:r>
    </w:p>
    <w:p w14:paraId="52D7081C">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1.1.6</w:t>
      </w: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本项目建设规模：见投标人须知前附表。</w:t>
      </w:r>
    </w:p>
    <w:p w14:paraId="0A5863F8">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73" w:name="_Toc228337073"/>
      <w:bookmarkStart w:id="74" w:name="_Toc227492219"/>
      <w:bookmarkStart w:id="75" w:name="_Toc228589138"/>
      <w:bookmarkStart w:id="76" w:name="_Toc228591632"/>
      <w:bookmarkStart w:id="77" w:name="_Toc227657462"/>
      <w:bookmarkStart w:id="78" w:name="_Toc214433862"/>
      <w:bookmarkStart w:id="79" w:name="_Toc272772549"/>
      <w:bookmarkStart w:id="80" w:name="_Toc228881136"/>
      <w:bookmarkStart w:id="81" w:name="_Toc228591484"/>
      <w:bookmarkStart w:id="82" w:name="_Toc23594"/>
      <w:r>
        <w:rPr>
          <w:rFonts w:hint="eastAsia" w:ascii="宋体" w:hAnsi="宋体" w:eastAsia="宋体" w:cs="宋体"/>
          <w:b/>
          <w:bCs/>
          <w:color w:val="auto"/>
          <w:kern w:val="0"/>
          <w:sz w:val="24"/>
          <w:szCs w:val="24"/>
          <w:highlight w:val="none"/>
        </w:rPr>
        <w:t>1.2 资金来源和落实情况</w:t>
      </w:r>
      <w:bookmarkEnd w:id="73"/>
      <w:bookmarkEnd w:id="74"/>
      <w:bookmarkEnd w:id="75"/>
      <w:bookmarkEnd w:id="76"/>
      <w:bookmarkEnd w:id="77"/>
      <w:bookmarkEnd w:id="78"/>
      <w:bookmarkEnd w:id="79"/>
      <w:bookmarkEnd w:id="80"/>
      <w:bookmarkEnd w:id="81"/>
      <w:bookmarkEnd w:id="82"/>
    </w:p>
    <w:p w14:paraId="4709561E">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1.2.1 本招标项目的资金来源：见投标人须知前附表。</w:t>
      </w:r>
    </w:p>
    <w:p w14:paraId="24DCBF62">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1.2.2 本招标项目的资金落实情况：见投标人须知前附表。</w:t>
      </w:r>
    </w:p>
    <w:p w14:paraId="221850AC">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83" w:name="_Toc228337074"/>
      <w:bookmarkStart w:id="84" w:name="_Toc227657463"/>
      <w:bookmarkStart w:id="85" w:name="_Toc228591633"/>
      <w:bookmarkStart w:id="86" w:name="_Toc227492220"/>
      <w:bookmarkStart w:id="87" w:name="_Toc228591485"/>
      <w:bookmarkStart w:id="88" w:name="_Toc228881137"/>
      <w:bookmarkStart w:id="89" w:name="_Toc272772550"/>
      <w:bookmarkStart w:id="90" w:name="_Toc214433863"/>
      <w:bookmarkStart w:id="91" w:name="_Toc228589139"/>
      <w:bookmarkStart w:id="92" w:name="_Toc9282"/>
      <w:r>
        <w:rPr>
          <w:rFonts w:hint="eastAsia" w:ascii="宋体" w:hAnsi="宋体" w:eastAsia="宋体" w:cs="宋体"/>
          <w:b/>
          <w:bCs/>
          <w:color w:val="auto"/>
          <w:kern w:val="0"/>
          <w:sz w:val="24"/>
          <w:szCs w:val="24"/>
          <w:highlight w:val="none"/>
        </w:rPr>
        <w:t>1.3 招标范围、计划工期和质量</w:t>
      </w:r>
      <w:bookmarkEnd w:id="83"/>
      <w:bookmarkEnd w:id="84"/>
      <w:bookmarkEnd w:id="85"/>
      <w:bookmarkEnd w:id="86"/>
      <w:bookmarkEnd w:id="87"/>
      <w:bookmarkEnd w:id="88"/>
      <w:bookmarkEnd w:id="89"/>
      <w:bookmarkEnd w:id="90"/>
      <w:bookmarkEnd w:id="91"/>
      <w:r>
        <w:rPr>
          <w:rFonts w:hint="eastAsia" w:ascii="宋体" w:hAnsi="宋体" w:eastAsia="宋体" w:cs="宋体"/>
          <w:b/>
          <w:bCs/>
          <w:color w:val="auto"/>
          <w:kern w:val="0"/>
          <w:sz w:val="24"/>
          <w:szCs w:val="24"/>
          <w:highlight w:val="none"/>
        </w:rPr>
        <w:t>标准</w:t>
      </w:r>
      <w:bookmarkEnd w:id="92"/>
    </w:p>
    <w:p w14:paraId="3D933D1D">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1.3.1 本次招标范围：见投标人须知前附表。</w:t>
      </w:r>
    </w:p>
    <w:p w14:paraId="4D4A5DB1">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1.3.2 本项目的计划工期：见投标人须知前附表。</w:t>
      </w:r>
    </w:p>
    <w:p w14:paraId="619BAE1C">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 本项目的质量标准：见投标人须知前附表。</w:t>
      </w:r>
    </w:p>
    <w:p w14:paraId="0AD359C4">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1.3.4  本项目标段划分：见投标人须知前附表。</w:t>
      </w:r>
    </w:p>
    <w:p w14:paraId="42830A1E">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93" w:name="_Toc326853468"/>
      <w:bookmarkStart w:id="94" w:name="_Toc144974501"/>
      <w:bookmarkStart w:id="95" w:name="_Toc152045533"/>
      <w:bookmarkStart w:id="96" w:name="_Toc152042309"/>
      <w:r>
        <w:rPr>
          <w:rFonts w:hint="eastAsia" w:ascii="宋体" w:hAnsi="宋体" w:eastAsia="宋体" w:cs="宋体"/>
          <w:b/>
          <w:bCs/>
          <w:color w:val="auto"/>
          <w:kern w:val="0"/>
          <w:sz w:val="24"/>
          <w:szCs w:val="24"/>
          <w:highlight w:val="none"/>
        </w:rPr>
        <w:t>1.4 投标人资格要求</w:t>
      </w:r>
      <w:r>
        <w:rPr>
          <w:rFonts w:hint="eastAsia" w:ascii="宋体" w:hAnsi="宋体" w:eastAsia="宋体" w:cs="宋体"/>
          <w:b/>
          <w:bCs/>
          <w:color w:val="auto"/>
          <w:kern w:val="0"/>
          <w:szCs w:val="21"/>
          <w:highlight w:val="none"/>
        </w:rPr>
        <w:t>（适用于已进行资格预审的）</w:t>
      </w:r>
      <w:bookmarkEnd w:id="93"/>
      <w:bookmarkEnd w:id="94"/>
      <w:bookmarkEnd w:id="95"/>
      <w:bookmarkEnd w:id="96"/>
    </w:p>
    <w:p w14:paraId="7602FD4A">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投标人应是收到招标人发出投标邀请书的单位。</w:t>
      </w:r>
    </w:p>
    <w:p w14:paraId="4E5A4A00">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highlight w:val="none"/>
        </w:rPr>
      </w:pPr>
      <w:bookmarkStart w:id="97" w:name="_Toc272772551"/>
      <w:bookmarkStart w:id="98" w:name="_Toc17318"/>
      <w:r>
        <w:rPr>
          <w:rFonts w:hint="eastAsia" w:ascii="宋体" w:hAnsi="宋体" w:eastAsia="宋体" w:cs="宋体"/>
          <w:b/>
          <w:bCs/>
          <w:color w:val="auto"/>
          <w:kern w:val="0"/>
          <w:sz w:val="24"/>
          <w:szCs w:val="24"/>
          <w:highlight w:val="none"/>
        </w:rPr>
        <w:t>1.4 投标人资格要求</w:t>
      </w:r>
      <w:bookmarkEnd w:id="97"/>
      <w:r>
        <w:rPr>
          <w:rFonts w:hint="eastAsia" w:ascii="宋体" w:hAnsi="宋体" w:eastAsia="宋体" w:cs="宋体"/>
          <w:b/>
          <w:bCs/>
          <w:color w:val="auto"/>
          <w:highlight w:val="none"/>
        </w:rPr>
        <w:t>（适用于未进行资格预审的）</w:t>
      </w:r>
      <w:bookmarkEnd w:id="98"/>
    </w:p>
    <w:p w14:paraId="3BE3243E">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color w:val="auto"/>
          <w:kern w:val="0"/>
          <w:szCs w:val="21"/>
          <w:highlight w:val="none"/>
        </w:rPr>
      </w:pPr>
      <w:bookmarkStart w:id="99" w:name="_Toc500865783"/>
      <w:bookmarkStart w:id="100" w:name="_Toc31272"/>
      <w:bookmarkStart w:id="101" w:name="_Toc22341"/>
      <w:bookmarkStart w:id="102" w:name="_Toc499892739"/>
      <w:bookmarkStart w:id="103" w:name="_Toc500577592"/>
      <w:bookmarkStart w:id="104" w:name="_Toc499891543"/>
      <w:r>
        <w:rPr>
          <w:rFonts w:hint="eastAsia" w:ascii="宋体" w:hAnsi="宋体" w:eastAsia="宋体" w:cs="宋体"/>
          <w:color w:val="auto"/>
          <w:kern w:val="0"/>
          <w:szCs w:val="21"/>
          <w:highlight w:val="none"/>
        </w:rPr>
        <w:t>1.4.1 投标人应具备承担本项目施工的资质条件、能力和信誉。</w:t>
      </w:r>
      <w:bookmarkEnd w:id="99"/>
      <w:bookmarkEnd w:id="100"/>
      <w:bookmarkEnd w:id="101"/>
      <w:bookmarkEnd w:id="102"/>
      <w:bookmarkEnd w:id="103"/>
      <w:bookmarkEnd w:id="104"/>
    </w:p>
    <w:p w14:paraId="47A18BCB">
      <w:pPr>
        <w:pageBreakBefore w:val="0"/>
        <w:kinsoku/>
        <w:wordWrap w:val="0"/>
        <w:overflowPunct/>
        <w:topLinePunct w:val="0"/>
        <w:bidi w:val="0"/>
        <w:spacing w:line="420" w:lineRule="exact"/>
        <w:ind w:right="-34" w:rightChars="-16" w:firstLine="525" w:firstLineChars="2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(l）企业资质要求：见投标人须知前附表；</w:t>
      </w:r>
    </w:p>
    <w:p w14:paraId="63A07994">
      <w:pPr>
        <w:pageBreakBefore w:val="0"/>
        <w:kinsoku/>
        <w:wordWrap w:val="0"/>
        <w:overflowPunct/>
        <w:topLinePunct w:val="0"/>
        <w:bidi w:val="0"/>
        <w:spacing w:line="420" w:lineRule="exact"/>
        <w:ind w:right="-34" w:rightChars="-16" w:firstLine="525" w:firstLineChars="2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(2）项目经理要求：见投标人须知前附表；</w:t>
      </w:r>
    </w:p>
    <w:p w14:paraId="3F470AFD">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（3）技术负责人要求：见投标人须知前附表；</w:t>
      </w:r>
    </w:p>
    <w:p w14:paraId="301558E1">
      <w:pPr>
        <w:pageBreakBefore w:val="0"/>
        <w:kinsoku/>
        <w:wordWrap w:val="0"/>
        <w:overflowPunct/>
        <w:topLinePunct w:val="0"/>
        <w:bidi w:val="0"/>
        <w:spacing w:line="420" w:lineRule="exact"/>
        <w:ind w:right="-34" w:rightChars="-16" w:firstLine="525" w:firstLineChars="2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(4）财务要求：见投标人须知前附表；</w:t>
      </w:r>
    </w:p>
    <w:p w14:paraId="1A34CCEB">
      <w:pPr>
        <w:pageBreakBefore w:val="0"/>
        <w:kinsoku/>
        <w:wordWrap w:val="0"/>
        <w:overflowPunct/>
        <w:topLinePunct w:val="0"/>
        <w:bidi w:val="0"/>
        <w:spacing w:line="420" w:lineRule="exact"/>
        <w:ind w:right="-34" w:rightChars="-16" w:firstLine="525" w:firstLineChars="2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(5）信誉要求：见投标人须知前附表。</w:t>
      </w:r>
    </w:p>
    <w:p w14:paraId="2EE47317">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（6）其他要求：见投标人须知前附表。</w:t>
      </w:r>
    </w:p>
    <w:p w14:paraId="269F6E36">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1.4.2 投标人须知前附表规定接受联合体投标的，联合体除应符合本章第1.4.1项和投标人须知前附表的要求外，还应遵守以下规定：</w:t>
      </w:r>
    </w:p>
    <w:p w14:paraId="623052C3">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（1）联合体各方应按招标文件提供的格式签订联合体协议书，明确联合体牵头人和各方权利义务，并承诺就中标项目向招标人承担连带责任；</w:t>
      </w:r>
    </w:p>
    <w:p w14:paraId="33FB6ACA">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（2）联合体资质按照联合体协议约定的分工认定，由同一专业的单位组成的联合体，按照资质等级较低的单位确定资质等级；</w:t>
      </w:r>
    </w:p>
    <w:p w14:paraId="66491938">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（3）联合体各方不得再以自己名义单独或参加其他联合体在本招标项目中投标，否则各相关投标均无效；</w:t>
      </w:r>
    </w:p>
    <w:p w14:paraId="0BCECD75">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（4）组成联合体的中小企业与联合体内其他企业之间不得存在直接控股、管理关系（适用于执行中小企业政策且专门面向中小企业招标的项目）；</w:t>
      </w:r>
    </w:p>
    <w:p w14:paraId="04E9BA95">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（4）组成联合体或者接受分包的小微企业与联合体内其他企业、分包企业之间存在直接控股、管理关系的，不享受价格</w:t>
      </w:r>
      <w:r>
        <w:rPr>
          <w:rFonts w:hint="eastAsia" w:ascii="宋体" w:hAnsi="宋体" w:eastAsia="宋体" w:cs="宋体"/>
          <w:color w:val="auto"/>
          <w:szCs w:val="21"/>
          <w:highlight w:val="none"/>
          <w:lang w:val="en-US" w:eastAsia="zh-CN"/>
        </w:rPr>
        <w:t>评审的</w:t>
      </w:r>
      <w:r>
        <w:rPr>
          <w:rFonts w:hint="eastAsia" w:ascii="宋体" w:hAnsi="宋体" w:eastAsia="宋体" w:cs="宋体"/>
          <w:color w:val="auto"/>
          <w:szCs w:val="21"/>
          <w:highlight w:val="none"/>
        </w:rPr>
        <w:t>优惠政策（适用于执行中小企业政策，非专门面向中小企业招标的项目）；</w:t>
      </w:r>
    </w:p>
    <w:p w14:paraId="4198AA48">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highlight w:val="none"/>
        </w:rPr>
      </w:pPr>
      <w:r>
        <w:rPr>
          <w:rFonts w:hint="eastAsia" w:ascii="宋体" w:hAnsi="宋体" w:eastAsia="宋体" w:cs="宋体"/>
          <w:color w:val="auto"/>
          <w:szCs w:val="21"/>
          <w:highlight w:val="none"/>
        </w:rPr>
        <w:t>若联合体各方均为中小企业的，联合体视同中小企业。若联合体各方均为小微企业的，联合体视同小微企业。</w:t>
      </w:r>
      <w:r>
        <w:rPr>
          <w:rFonts w:hint="eastAsia" w:ascii="宋体" w:hAnsi="宋体" w:eastAsia="宋体" w:cs="宋体"/>
          <w:color w:val="auto"/>
          <w:highlight w:val="none"/>
        </w:rPr>
        <w:t>（适用于执行中小企业政策项目）</w:t>
      </w:r>
    </w:p>
    <w:p w14:paraId="19BDEA59">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1.4.3 投标人不得存在下列情形之一：</w:t>
      </w:r>
    </w:p>
    <w:p w14:paraId="4E352D4C">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（1）为招标人不具有独立法人资格的附属机构（单位）；</w:t>
      </w:r>
    </w:p>
    <w:p w14:paraId="5A9AE1A0">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（2）与招标人存在利害关系且可能影响招标公正性；</w:t>
      </w:r>
    </w:p>
    <w:p w14:paraId="4ABC73BB">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（3）与本招标项目的其他投标人为同一单位负责人；</w:t>
      </w:r>
    </w:p>
    <w:p w14:paraId="1B2BDF15">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（4）与本招标项目的其他投标人存在控股、管理关系；</w:t>
      </w:r>
    </w:p>
    <w:p w14:paraId="4DE108E5">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（5）为本项目前期准备提供设计、编制技术规范或其他文件的咨询服务，但设计施工总承包的除外；</w:t>
      </w:r>
    </w:p>
    <w:p w14:paraId="1DB1B9D5">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（6）为本项目的监理人；</w:t>
      </w:r>
    </w:p>
    <w:p w14:paraId="473D42E4">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（7）为本项目的代建人；</w:t>
      </w:r>
    </w:p>
    <w:p w14:paraId="526EB89A">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（8）为本项目提供招标代理服务的；</w:t>
      </w:r>
    </w:p>
    <w:p w14:paraId="607F1D8C">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（9）与本项目的监理人或代建人或招标代理机构同为一个法定代表人的；</w:t>
      </w:r>
    </w:p>
    <w:p w14:paraId="40797BAB">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（10）与本项目的监理人或代建人或招标代理机构相互控股或参股的；</w:t>
      </w:r>
    </w:p>
    <w:p w14:paraId="06D2D6B1">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（11）与本项目的监理人或代建人或招标代理机构相互任职或工作的；</w:t>
      </w:r>
    </w:p>
    <w:p w14:paraId="2D144940">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（12）被责令停业、暂扣或者吊销许可证、暂扣或者吊销营业执照的；</w:t>
      </w:r>
    </w:p>
    <w:p w14:paraId="48F1719B">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（13）被依法暂停或取消投标资格的；</w:t>
      </w:r>
    </w:p>
    <w:p w14:paraId="4980C4C3">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（14）进入清算程序，或被宣告财产，或其他丧失履约能力的情形；</w:t>
      </w:r>
    </w:p>
    <w:p w14:paraId="1CFF5C5D">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（15）在最近三年内有骗取中标或严重违约或重大工程质量安全问题的。</w:t>
      </w:r>
    </w:p>
    <w:p w14:paraId="1822878F">
      <w:pPr>
        <w:pageBreakBefore w:val="0"/>
        <w:kinsoku/>
        <w:wordWrap w:val="0"/>
        <w:overflowPunct/>
        <w:topLinePunct w:val="0"/>
        <w:autoSpaceDE w:val="0"/>
        <w:autoSpaceDN w:val="0"/>
        <w:bidi w:val="0"/>
        <w:adjustRightInd w:val="0"/>
        <w:spacing w:line="420" w:lineRule="exact"/>
        <w:ind w:left="141" w:leftChars="67"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（16）被最高人民法院在“信用中国”网站（www.creditchina.gov.cn）或各级信用信息共享平台中列入失信被执行人名单；</w:t>
      </w:r>
    </w:p>
    <w:p w14:paraId="2D39463C">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（17）法律法规或投标人须知前附表规定的其他情形。</w:t>
      </w:r>
    </w:p>
    <w:p w14:paraId="204B94B3">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105" w:name="_Toc228337076"/>
      <w:bookmarkStart w:id="106" w:name="_Toc272772552"/>
      <w:bookmarkStart w:id="107" w:name="_Toc228881139"/>
      <w:bookmarkStart w:id="108" w:name="_Toc25989"/>
      <w:bookmarkStart w:id="109" w:name="_Toc228589141"/>
      <w:bookmarkStart w:id="110" w:name="_Toc228591487"/>
      <w:bookmarkStart w:id="111" w:name="_Toc228591635"/>
      <w:bookmarkStart w:id="112" w:name="_Toc214433865"/>
      <w:bookmarkStart w:id="113" w:name="_Toc227492222"/>
      <w:bookmarkStart w:id="114" w:name="_Toc227657465"/>
      <w:r>
        <w:rPr>
          <w:rFonts w:hint="eastAsia" w:ascii="宋体" w:hAnsi="宋体" w:eastAsia="宋体" w:cs="宋体"/>
          <w:b/>
          <w:bCs/>
          <w:color w:val="auto"/>
          <w:kern w:val="0"/>
          <w:sz w:val="24"/>
          <w:szCs w:val="24"/>
          <w:highlight w:val="none"/>
        </w:rPr>
        <w:t>1.5 费用承担</w:t>
      </w:r>
      <w:bookmarkEnd w:id="105"/>
      <w:bookmarkEnd w:id="106"/>
      <w:bookmarkEnd w:id="107"/>
      <w:bookmarkEnd w:id="108"/>
      <w:bookmarkEnd w:id="109"/>
      <w:bookmarkEnd w:id="110"/>
      <w:bookmarkEnd w:id="111"/>
      <w:bookmarkEnd w:id="112"/>
      <w:bookmarkEnd w:id="113"/>
      <w:bookmarkEnd w:id="114"/>
    </w:p>
    <w:p w14:paraId="550C1344">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投标人准备和参加投标活动发生的费用自理。</w:t>
      </w:r>
    </w:p>
    <w:p w14:paraId="57E580B1">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115" w:name="_Toc227657466"/>
      <w:bookmarkStart w:id="116" w:name="_Toc20464"/>
      <w:bookmarkStart w:id="117" w:name="_Toc228591636"/>
      <w:bookmarkStart w:id="118" w:name="_Toc228591488"/>
      <w:bookmarkStart w:id="119" w:name="_Toc228589142"/>
      <w:bookmarkStart w:id="120" w:name="_Toc228337077"/>
      <w:bookmarkStart w:id="121" w:name="_Toc272772553"/>
      <w:bookmarkStart w:id="122" w:name="_Toc228881140"/>
      <w:bookmarkStart w:id="123" w:name="_Toc227492223"/>
      <w:bookmarkStart w:id="124" w:name="_Toc214433866"/>
      <w:r>
        <w:rPr>
          <w:rFonts w:hint="eastAsia" w:ascii="宋体" w:hAnsi="宋体" w:eastAsia="宋体" w:cs="宋体"/>
          <w:b/>
          <w:bCs/>
          <w:color w:val="auto"/>
          <w:kern w:val="0"/>
          <w:sz w:val="24"/>
          <w:szCs w:val="24"/>
          <w:highlight w:val="none"/>
        </w:rPr>
        <w:t>1.6 保密</w:t>
      </w:r>
      <w:bookmarkEnd w:id="115"/>
      <w:bookmarkEnd w:id="116"/>
      <w:bookmarkEnd w:id="117"/>
      <w:bookmarkEnd w:id="118"/>
      <w:bookmarkEnd w:id="119"/>
      <w:bookmarkEnd w:id="120"/>
      <w:bookmarkEnd w:id="121"/>
      <w:bookmarkEnd w:id="122"/>
      <w:bookmarkEnd w:id="123"/>
      <w:bookmarkEnd w:id="124"/>
    </w:p>
    <w:p w14:paraId="180576B0">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参与招标投标活动的各方应对招标文件和投标文件中的商业和技术等秘密保密，违者应对由此造成的后果承担法律责任。</w:t>
      </w:r>
    </w:p>
    <w:p w14:paraId="34B8D5C6">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125" w:name="_Toc272772554"/>
      <w:bookmarkStart w:id="126" w:name="_Toc214433867"/>
      <w:bookmarkStart w:id="127" w:name="_Toc16280"/>
      <w:bookmarkStart w:id="128" w:name="_Toc228591637"/>
      <w:bookmarkStart w:id="129" w:name="_Toc227492224"/>
      <w:bookmarkStart w:id="130" w:name="_Toc228881141"/>
      <w:bookmarkStart w:id="131" w:name="_Toc228591489"/>
      <w:bookmarkStart w:id="132" w:name="_Toc228589143"/>
      <w:bookmarkStart w:id="133" w:name="_Toc227657467"/>
      <w:bookmarkStart w:id="134" w:name="_Toc228337078"/>
      <w:r>
        <w:rPr>
          <w:rFonts w:hint="eastAsia" w:ascii="宋体" w:hAnsi="宋体" w:eastAsia="宋体" w:cs="宋体"/>
          <w:b/>
          <w:bCs/>
          <w:color w:val="auto"/>
          <w:kern w:val="0"/>
          <w:sz w:val="24"/>
          <w:szCs w:val="24"/>
          <w:highlight w:val="none"/>
        </w:rPr>
        <w:t>1.7 语言文字</w:t>
      </w:r>
      <w:bookmarkEnd w:id="125"/>
      <w:bookmarkEnd w:id="126"/>
      <w:bookmarkEnd w:id="127"/>
      <w:bookmarkEnd w:id="128"/>
      <w:bookmarkEnd w:id="129"/>
      <w:bookmarkEnd w:id="130"/>
      <w:bookmarkEnd w:id="131"/>
      <w:bookmarkEnd w:id="132"/>
      <w:bookmarkEnd w:id="133"/>
      <w:bookmarkEnd w:id="134"/>
    </w:p>
    <w:p w14:paraId="39AB19D8">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除专用术语外，与招标投标有关的语言均使用中文。必要时专用术语应附有中文注释。</w:t>
      </w:r>
    </w:p>
    <w:p w14:paraId="65F9BEF6">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135" w:name="_Toc228881142"/>
      <w:bookmarkStart w:id="136" w:name="_Toc227492225"/>
      <w:bookmarkStart w:id="137" w:name="_Toc214433868"/>
      <w:bookmarkStart w:id="138" w:name="_Toc272772555"/>
      <w:bookmarkStart w:id="139" w:name="_Toc1685"/>
      <w:bookmarkStart w:id="140" w:name="_Toc227657468"/>
      <w:bookmarkStart w:id="141" w:name="_Toc228591638"/>
      <w:bookmarkStart w:id="142" w:name="_Toc228589144"/>
      <w:bookmarkStart w:id="143" w:name="_Toc228591490"/>
      <w:bookmarkStart w:id="144" w:name="_Toc228337079"/>
      <w:r>
        <w:rPr>
          <w:rFonts w:hint="eastAsia" w:ascii="宋体" w:hAnsi="宋体" w:eastAsia="宋体" w:cs="宋体"/>
          <w:b/>
          <w:bCs/>
          <w:color w:val="auto"/>
          <w:kern w:val="0"/>
          <w:sz w:val="24"/>
          <w:szCs w:val="24"/>
          <w:highlight w:val="none"/>
        </w:rPr>
        <w:t>1.8 计量单位</w:t>
      </w:r>
      <w:bookmarkEnd w:id="135"/>
      <w:bookmarkEnd w:id="136"/>
      <w:bookmarkEnd w:id="137"/>
      <w:bookmarkEnd w:id="138"/>
      <w:bookmarkEnd w:id="139"/>
      <w:bookmarkEnd w:id="140"/>
      <w:bookmarkEnd w:id="141"/>
      <w:bookmarkEnd w:id="142"/>
      <w:bookmarkEnd w:id="143"/>
      <w:bookmarkEnd w:id="144"/>
    </w:p>
    <w:p w14:paraId="6AD9C751">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所有计量均采用中华人民共和国法定计量单位。</w:t>
      </w:r>
    </w:p>
    <w:p w14:paraId="38DD2B6D">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145" w:name="_Toc227657469"/>
      <w:bookmarkStart w:id="146" w:name="_Toc227492226"/>
      <w:bookmarkStart w:id="147" w:name="_Toc228337080"/>
      <w:bookmarkStart w:id="148" w:name="_Toc272772556"/>
      <w:bookmarkStart w:id="149" w:name="_Toc214433869"/>
      <w:bookmarkStart w:id="150" w:name="_Toc228881143"/>
      <w:bookmarkStart w:id="151" w:name="_Toc228591491"/>
      <w:bookmarkStart w:id="152" w:name="_Toc228589145"/>
      <w:bookmarkStart w:id="153" w:name="_Toc18351"/>
      <w:bookmarkStart w:id="154" w:name="_Toc228591639"/>
      <w:r>
        <w:rPr>
          <w:rFonts w:hint="eastAsia" w:ascii="宋体" w:hAnsi="宋体" w:eastAsia="宋体" w:cs="宋体"/>
          <w:b/>
          <w:bCs/>
          <w:color w:val="auto"/>
          <w:kern w:val="0"/>
          <w:sz w:val="24"/>
          <w:szCs w:val="24"/>
          <w:highlight w:val="none"/>
        </w:rPr>
        <w:t>1.9 踏勘现场</w:t>
      </w:r>
      <w:bookmarkEnd w:id="145"/>
      <w:bookmarkEnd w:id="146"/>
      <w:bookmarkEnd w:id="147"/>
      <w:bookmarkEnd w:id="148"/>
      <w:bookmarkEnd w:id="149"/>
      <w:bookmarkEnd w:id="150"/>
      <w:bookmarkEnd w:id="151"/>
      <w:bookmarkEnd w:id="152"/>
      <w:bookmarkEnd w:id="153"/>
      <w:bookmarkEnd w:id="154"/>
    </w:p>
    <w:p w14:paraId="2B7286A4">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1.9.1 投标人须知前附表规定不组织踏勘现场。由投标人自行组织现场踏勘，发生费用自理。</w:t>
      </w:r>
    </w:p>
    <w:p w14:paraId="1FC77A7A">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1.9.2 投标人踏勘现场发生的费用自理。</w:t>
      </w:r>
    </w:p>
    <w:p w14:paraId="39113D69">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1.9.3 除招标人的原因外，投标人自行负责在踏勘现场中所发生的人员伤亡和财产损失。</w:t>
      </w:r>
    </w:p>
    <w:p w14:paraId="09FCA7BF">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1.9.4 招标人在踏勘现场中介绍的工程场地和相关的周边环境情况，供投标人在编制投标文件时参考，招标人不对投标人据此作出的判断和决策负责。</w:t>
      </w:r>
    </w:p>
    <w:p w14:paraId="45E0AD71">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155" w:name="_Toc227492227"/>
      <w:bookmarkStart w:id="156" w:name="_Toc228337081"/>
      <w:bookmarkStart w:id="157" w:name="_Toc228589146"/>
      <w:bookmarkStart w:id="158" w:name="_Toc214433870"/>
      <w:bookmarkStart w:id="159" w:name="_Toc228591640"/>
      <w:bookmarkStart w:id="160" w:name="_Toc228881144"/>
      <w:bookmarkStart w:id="161" w:name="_Toc228591492"/>
      <w:bookmarkStart w:id="162" w:name="_Toc272772557"/>
      <w:bookmarkStart w:id="163" w:name="_Toc31328"/>
      <w:bookmarkStart w:id="164" w:name="_Toc227657470"/>
      <w:r>
        <w:rPr>
          <w:rFonts w:hint="eastAsia" w:ascii="宋体" w:hAnsi="宋体" w:eastAsia="宋体" w:cs="宋体"/>
          <w:b/>
          <w:bCs/>
          <w:color w:val="auto"/>
          <w:kern w:val="0"/>
          <w:sz w:val="24"/>
          <w:szCs w:val="24"/>
          <w:highlight w:val="none"/>
        </w:rPr>
        <w:t>1.10 投标预备会</w:t>
      </w:r>
      <w:bookmarkEnd w:id="155"/>
      <w:bookmarkEnd w:id="156"/>
      <w:bookmarkEnd w:id="157"/>
      <w:bookmarkEnd w:id="158"/>
      <w:bookmarkEnd w:id="159"/>
      <w:bookmarkEnd w:id="160"/>
      <w:bookmarkEnd w:id="161"/>
      <w:bookmarkEnd w:id="162"/>
      <w:bookmarkEnd w:id="163"/>
      <w:bookmarkEnd w:id="164"/>
    </w:p>
    <w:p w14:paraId="496E1C1A">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1.10.1 投标人是否召开投标预备会：见投标人须知前附表规定。</w:t>
      </w:r>
    </w:p>
    <w:p w14:paraId="1F3013C3">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投标单位在收到招标文件三日内，如有疑问登录交易平台向招标单位和招标代理机构提问，招标单位及招标代理机构审查后认为如有必要答疑，会将答疑纪要在交易平台公布。</w:t>
      </w:r>
    </w:p>
    <w:p w14:paraId="66F9CE82">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165" w:name="_Toc214433871"/>
      <w:bookmarkStart w:id="166" w:name="_Toc228591641"/>
      <w:bookmarkStart w:id="167" w:name="_Toc228589147"/>
      <w:bookmarkStart w:id="168" w:name="_Toc227492228"/>
      <w:bookmarkStart w:id="169" w:name="_Toc6079"/>
      <w:bookmarkStart w:id="170" w:name="_Toc228881145"/>
      <w:bookmarkStart w:id="171" w:name="_Toc228591493"/>
      <w:bookmarkStart w:id="172" w:name="_Toc227657471"/>
      <w:bookmarkStart w:id="173" w:name="_Toc272772558"/>
      <w:bookmarkStart w:id="174" w:name="_Toc228337082"/>
      <w:r>
        <w:rPr>
          <w:rFonts w:hint="eastAsia" w:ascii="宋体" w:hAnsi="宋体" w:eastAsia="宋体" w:cs="宋体"/>
          <w:b/>
          <w:bCs/>
          <w:color w:val="auto"/>
          <w:kern w:val="0"/>
          <w:sz w:val="24"/>
          <w:szCs w:val="24"/>
          <w:highlight w:val="none"/>
        </w:rPr>
        <w:t>1.11 分包</w:t>
      </w:r>
      <w:bookmarkEnd w:id="165"/>
      <w:bookmarkEnd w:id="166"/>
      <w:bookmarkEnd w:id="167"/>
      <w:bookmarkEnd w:id="168"/>
      <w:bookmarkEnd w:id="169"/>
      <w:bookmarkEnd w:id="170"/>
      <w:bookmarkEnd w:id="171"/>
      <w:bookmarkEnd w:id="172"/>
      <w:bookmarkEnd w:id="173"/>
      <w:bookmarkEnd w:id="174"/>
    </w:p>
    <w:p w14:paraId="4B57729B">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bookmarkStart w:id="175" w:name="_Toc463776533"/>
      <w:bookmarkStart w:id="176" w:name="_Toc418520737"/>
      <w:bookmarkStart w:id="177" w:name="_Toc368902779"/>
      <w:bookmarkStart w:id="178" w:name="_Toc454031527"/>
      <w:bookmarkStart w:id="179" w:name="_Toc453573264"/>
      <w:bookmarkStart w:id="180" w:name="_Toc436583848"/>
      <w:bookmarkStart w:id="181" w:name="_Toc1144"/>
      <w:bookmarkStart w:id="182" w:name="_Toc10664"/>
      <w:bookmarkStart w:id="183" w:name="_Toc369620533"/>
      <w:bookmarkStart w:id="184" w:name="_Toc500865791"/>
      <w:bookmarkStart w:id="185" w:name="_Toc6396"/>
      <w:bookmarkStart w:id="186" w:name="_Toc499892747"/>
      <w:bookmarkStart w:id="187" w:name="_Toc372286490"/>
      <w:bookmarkStart w:id="188" w:name="_Toc227657472"/>
      <w:bookmarkStart w:id="189" w:name="_Toc228591642"/>
      <w:bookmarkStart w:id="190" w:name="_Toc228589148"/>
      <w:bookmarkStart w:id="191" w:name="_Toc214433872"/>
      <w:bookmarkStart w:id="192" w:name="_Toc227492229"/>
      <w:bookmarkStart w:id="193" w:name="_Toc228337083"/>
      <w:bookmarkStart w:id="194" w:name="_Toc228881146"/>
      <w:bookmarkStart w:id="195" w:name="_Toc228591494"/>
      <w:bookmarkStart w:id="196" w:name="_Toc272772559"/>
      <w:r>
        <w:rPr>
          <w:rFonts w:hint="eastAsia" w:ascii="宋体" w:hAnsi="宋体" w:eastAsia="宋体" w:cs="宋体"/>
          <w:color w:val="auto"/>
          <w:kern w:val="0"/>
          <w:szCs w:val="21"/>
          <w:highlight w:val="none"/>
        </w:rPr>
        <w:t>本项目是否允许分包及允许分包的具体要求：见投标人须知前附表。</w:t>
      </w:r>
      <w:bookmarkEnd w:id="175"/>
      <w:bookmarkEnd w:id="176"/>
      <w:bookmarkEnd w:id="177"/>
      <w:bookmarkEnd w:id="178"/>
      <w:bookmarkEnd w:id="179"/>
      <w:bookmarkEnd w:id="180"/>
      <w:bookmarkEnd w:id="181"/>
      <w:bookmarkEnd w:id="182"/>
      <w:bookmarkEnd w:id="183"/>
      <w:bookmarkEnd w:id="184"/>
      <w:bookmarkEnd w:id="185"/>
      <w:bookmarkEnd w:id="186"/>
      <w:bookmarkEnd w:id="187"/>
    </w:p>
    <w:p w14:paraId="008A5B4C">
      <w:pPr>
        <w:pageBreakBefore w:val="0"/>
        <w:kinsoku/>
        <w:wordWrap w:val="0"/>
        <w:overflowPunct/>
        <w:topLinePunct w:val="0"/>
        <w:bidi w:val="0"/>
        <w:spacing w:line="420" w:lineRule="exact"/>
        <w:ind w:firstLine="567" w:firstLineChars="270"/>
        <w:outlineLvl w:val="9"/>
        <w:rPr>
          <w:rFonts w:hint="eastAsia" w:ascii="宋体" w:hAnsi="宋体" w:eastAsia="宋体" w:cs="宋体"/>
          <w:color w:val="auto"/>
          <w:highlight w:val="none"/>
        </w:rPr>
      </w:pPr>
      <w:r>
        <w:rPr>
          <w:rFonts w:hint="eastAsia" w:ascii="宋体" w:hAnsi="宋体" w:eastAsia="宋体" w:cs="宋体"/>
          <w:color w:val="auto"/>
          <w:highlight w:val="none"/>
        </w:rPr>
        <w:t>招标人允许分包的，投标人拟在中标后将中标项目的部分非主体、非关键性工作进行分包的，应符合投标人须知前附表规定的分包内容、分包金额和接受分包的第三人资质要求等限制性条件。</w:t>
      </w:r>
    </w:p>
    <w:p w14:paraId="189BA164">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197" w:name="_Toc23595"/>
      <w:r>
        <w:rPr>
          <w:rFonts w:hint="eastAsia" w:ascii="宋体" w:hAnsi="宋体" w:eastAsia="宋体" w:cs="宋体"/>
          <w:b/>
          <w:bCs/>
          <w:color w:val="auto"/>
          <w:kern w:val="0"/>
          <w:sz w:val="24"/>
          <w:szCs w:val="24"/>
          <w:highlight w:val="none"/>
        </w:rPr>
        <w:t>1.12 偏离</w:t>
      </w:r>
      <w:bookmarkEnd w:id="188"/>
      <w:bookmarkEnd w:id="189"/>
      <w:bookmarkEnd w:id="190"/>
      <w:bookmarkEnd w:id="191"/>
      <w:bookmarkEnd w:id="192"/>
      <w:bookmarkEnd w:id="193"/>
      <w:bookmarkEnd w:id="194"/>
      <w:bookmarkEnd w:id="195"/>
      <w:bookmarkEnd w:id="196"/>
      <w:bookmarkEnd w:id="197"/>
    </w:p>
    <w:p w14:paraId="7152A2C4">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本项目是否允许偏离及允许偏离的具体要求：见投标人须知前附表。</w:t>
      </w:r>
    </w:p>
    <w:p w14:paraId="480B9738">
      <w:pPr>
        <w:pageBreakBefore w:val="0"/>
        <w:kinsoku/>
        <w:wordWrap w:val="0"/>
        <w:overflowPunct/>
        <w:topLinePunct w:val="0"/>
        <w:bidi w:val="0"/>
        <w:spacing w:line="420" w:lineRule="exact"/>
        <w:ind w:firstLine="567" w:firstLineChars="270"/>
        <w:outlineLvl w:val="9"/>
        <w:rPr>
          <w:rFonts w:hint="eastAsia" w:ascii="宋体" w:hAnsi="宋体" w:eastAsia="宋体" w:cs="宋体"/>
          <w:color w:val="auto"/>
          <w:highlight w:val="none"/>
        </w:rPr>
      </w:pPr>
      <w:r>
        <w:rPr>
          <w:rFonts w:hint="eastAsia" w:ascii="宋体" w:hAnsi="宋体" w:eastAsia="宋体" w:cs="宋体"/>
          <w:color w:val="auto"/>
          <w:highlight w:val="none"/>
        </w:rPr>
        <w:t>投标人须知前附表允许投标文件偏离招标文件某些要求的，偏离应当符合招标文件规定的偏离范围和幅度。</w:t>
      </w:r>
    </w:p>
    <w:p w14:paraId="448D978D">
      <w:pPr>
        <w:pageBreakBefore w:val="0"/>
        <w:kinsoku/>
        <w:wordWrap w:val="0"/>
        <w:overflowPunct/>
        <w:topLinePunct w:val="0"/>
        <w:autoSpaceDE w:val="0"/>
        <w:autoSpaceDN w:val="0"/>
        <w:bidi w:val="0"/>
        <w:adjustRightInd w:val="0"/>
        <w:spacing w:line="420" w:lineRule="exact"/>
        <w:ind w:right="-34" w:rightChars="-16"/>
        <w:jc w:val="left"/>
        <w:outlineLvl w:val="1"/>
        <w:rPr>
          <w:rFonts w:hint="eastAsia" w:ascii="宋体" w:hAnsi="宋体" w:eastAsia="宋体" w:cs="宋体"/>
          <w:b/>
          <w:bCs/>
          <w:color w:val="auto"/>
          <w:kern w:val="0"/>
          <w:sz w:val="24"/>
          <w:szCs w:val="24"/>
          <w:highlight w:val="none"/>
        </w:rPr>
      </w:pPr>
      <w:bookmarkStart w:id="198" w:name="_Toc30230"/>
      <w:bookmarkStart w:id="199" w:name="_Toc228591495"/>
      <w:bookmarkStart w:id="200" w:name="_Toc228337084"/>
      <w:bookmarkStart w:id="201" w:name="_Toc1302"/>
      <w:bookmarkStart w:id="202" w:name="_Toc228589149"/>
      <w:bookmarkStart w:id="203" w:name="_Toc228881147"/>
      <w:bookmarkStart w:id="204" w:name="_Toc272772560"/>
      <w:bookmarkStart w:id="205" w:name="_Toc228591643"/>
      <w:bookmarkStart w:id="206" w:name="_Toc227657473"/>
      <w:bookmarkStart w:id="207" w:name="_Toc227492230"/>
      <w:bookmarkStart w:id="208" w:name="_Toc214433873"/>
      <w:r>
        <w:rPr>
          <w:rFonts w:hint="eastAsia" w:ascii="宋体" w:hAnsi="宋体" w:eastAsia="宋体" w:cs="宋体"/>
          <w:b/>
          <w:bCs/>
          <w:color w:val="auto"/>
          <w:kern w:val="0"/>
          <w:sz w:val="24"/>
          <w:szCs w:val="24"/>
          <w:highlight w:val="none"/>
        </w:rPr>
        <w:t>2. 招标文件</w:t>
      </w:r>
      <w:bookmarkEnd w:id="198"/>
      <w:bookmarkEnd w:id="199"/>
      <w:bookmarkEnd w:id="200"/>
      <w:bookmarkEnd w:id="201"/>
      <w:bookmarkEnd w:id="202"/>
      <w:bookmarkEnd w:id="203"/>
      <w:bookmarkEnd w:id="204"/>
      <w:bookmarkEnd w:id="205"/>
      <w:bookmarkEnd w:id="206"/>
      <w:bookmarkEnd w:id="207"/>
      <w:bookmarkEnd w:id="208"/>
    </w:p>
    <w:p w14:paraId="6723A60C">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209" w:name="_Toc272772561"/>
      <w:bookmarkStart w:id="210" w:name="_Toc228591644"/>
      <w:bookmarkStart w:id="211" w:name="_Toc228337085"/>
      <w:bookmarkStart w:id="212" w:name="_Toc227492231"/>
      <w:bookmarkStart w:id="213" w:name="_Toc228591496"/>
      <w:bookmarkStart w:id="214" w:name="_Toc7519"/>
      <w:bookmarkStart w:id="215" w:name="_Toc228589150"/>
      <w:bookmarkStart w:id="216" w:name="_Toc228881148"/>
      <w:bookmarkStart w:id="217" w:name="_Toc227657474"/>
      <w:bookmarkStart w:id="218" w:name="_Toc214433874"/>
      <w:r>
        <w:rPr>
          <w:rFonts w:hint="eastAsia" w:ascii="宋体" w:hAnsi="宋体" w:eastAsia="宋体" w:cs="宋体"/>
          <w:b/>
          <w:bCs/>
          <w:color w:val="auto"/>
          <w:kern w:val="0"/>
          <w:sz w:val="24"/>
          <w:szCs w:val="24"/>
          <w:highlight w:val="none"/>
        </w:rPr>
        <w:t>2.1 招标文件的组成</w:t>
      </w:r>
      <w:bookmarkEnd w:id="209"/>
      <w:bookmarkEnd w:id="210"/>
      <w:bookmarkEnd w:id="211"/>
      <w:bookmarkEnd w:id="212"/>
      <w:bookmarkEnd w:id="213"/>
      <w:bookmarkEnd w:id="214"/>
      <w:bookmarkEnd w:id="215"/>
      <w:bookmarkEnd w:id="216"/>
      <w:bookmarkEnd w:id="217"/>
      <w:bookmarkEnd w:id="218"/>
    </w:p>
    <w:p w14:paraId="60578194">
      <w:pPr>
        <w:pageBreakBefore w:val="0"/>
        <w:tabs>
          <w:tab w:val="left" w:pos="1260"/>
        </w:tabs>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本招标文件包括：</w:t>
      </w:r>
    </w:p>
    <w:p w14:paraId="23DA8C5D">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（1）招标公告；</w:t>
      </w:r>
    </w:p>
    <w:p w14:paraId="43722FA0">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（2）投标人须知；</w:t>
      </w:r>
    </w:p>
    <w:p w14:paraId="6365BC58">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（3）评标办法；</w:t>
      </w:r>
    </w:p>
    <w:p w14:paraId="09E5B122">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定标办法</w:t>
      </w:r>
    </w:p>
    <w:p w14:paraId="148C8A06">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）合同条款及格式；</w:t>
      </w:r>
    </w:p>
    <w:p w14:paraId="54E65A81">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）工程量清单（交易平台下载）；</w:t>
      </w:r>
    </w:p>
    <w:p w14:paraId="66B0E329">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）图纸（交易平台下载）；</w:t>
      </w:r>
    </w:p>
    <w:p w14:paraId="0082B357">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）技术标准和要求；</w:t>
      </w:r>
    </w:p>
    <w:p w14:paraId="2EDB9291">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9</w:t>
      </w:r>
      <w:r>
        <w:rPr>
          <w:rFonts w:hint="eastAsia" w:ascii="宋体" w:hAnsi="宋体" w:eastAsia="宋体" w:cs="宋体"/>
          <w:color w:val="auto"/>
          <w:kern w:val="0"/>
          <w:szCs w:val="21"/>
          <w:highlight w:val="none"/>
        </w:rPr>
        <w:t>）投标文件格式。</w:t>
      </w:r>
    </w:p>
    <w:p w14:paraId="6E77EF22">
      <w:pPr>
        <w:pageBreakBefore w:val="0"/>
        <w:tabs>
          <w:tab w:val="left" w:pos="1260"/>
        </w:tabs>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根据本章第1.10 款、第2.2 款和第2.3 款对招标文件所</w:t>
      </w:r>
      <w:r>
        <w:rPr>
          <w:rFonts w:hint="eastAsia" w:ascii="宋体" w:hAnsi="宋体" w:eastAsia="宋体" w:cs="宋体"/>
          <w:color w:val="auto"/>
          <w:kern w:val="0"/>
          <w:szCs w:val="21"/>
          <w:highlight w:val="none"/>
          <w:lang w:val="en-US" w:eastAsia="zh-CN"/>
        </w:rPr>
        <w:t>做</w:t>
      </w:r>
      <w:r>
        <w:rPr>
          <w:rFonts w:hint="eastAsia" w:ascii="宋体" w:hAnsi="宋体" w:eastAsia="宋体" w:cs="宋体"/>
          <w:color w:val="auto"/>
          <w:kern w:val="0"/>
          <w:szCs w:val="21"/>
          <w:highlight w:val="none"/>
        </w:rPr>
        <w:t>的澄清、修改，构成招标文件的组成部分。</w:t>
      </w:r>
    </w:p>
    <w:p w14:paraId="38A51BFE">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219" w:name="_Toc228881149"/>
      <w:bookmarkStart w:id="220" w:name="_Toc227492232"/>
      <w:bookmarkStart w:id="221" w:name="_Toc272772562"/>
      <w:bookmarkStart w:id="222" w:name="_Toc228591645"/>
      <w:bookmarkStart w:id="223" w:name="_Toc227657475"/>
      <w:bookmarkStart w:id="224" w:name="_Toc228589151"/>
      <w:bookmarkStart w:id="225" w:name="_Toc7194"/>
      <w:bookmarkStart w:id="226" w:name="_Toc228337086"/>
      <w:bookmarkStart w:id="227" w:name="_Toc214433875"/>
      <w:bookmarkStart w:id="228" w:name="_Toc228591497"/>
      <w:r>
        <w:rPr>
          <w:rFonts w:hint="eastAsia" w:ascii="宋体" w:hAnsi="宋体" w:eastAsia="宋体" w:cs="宋体"/>
          <w:b/>
          <w:bCs/>
          <w:color w:val="auto"/>
          <w:kern w:val="0"/>
          <w:sz w:val="24"/>
          <w:szCs w:val="24"/>
          <w:highlight w:val="none"/>
        </w:rPr>
        <w:t>2.2 招标文件的澄清</w:t>
      </w:r>
      <w:bookmarkEnd w:id="219"/>
      <w:bookmarkEnd w:id="220"/>
      <w:bookmarkEnd w:id="221"/>
      <w:bookmarkEnd w:id="222"/>
      <w:bookmarkEnd w:id="223"/>
      <w:bookmarkEnd w:id="224"/>
      <w:bookmarkEnd w:id="225"/>
      <w:bookmarkEnd w:id="226"/>
      <w:bookmarkEnd w:id="227"/>
      <w:bookmarkEnd w:id="228"/>
    </w:p>
    <w:p w14:paraId="59140811">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bookmarkStart w:id="229" w:name="_Toc228591646"/>
      <w:bookmarkStart w:id="230" w:name="_Toc214433876"/>
      <w:bookmarkStart w:id="231" w:name="_Toc227492233"/>
      <w:bookmarkStart w:id="232" w:name="_Toc272772563"/>
      <w:bookmarkStart w:id="233" w:name="_Toc228591498"/>
      <w:bookmarkStart w:id="234" w:name="_Toc228589152"/>
      <w:bookmarkStart w:id="235" w:name="_Toc228881150"/>
      <w:bookmarkStart w:id="236" w:name="_Toc227657476"/>
      <w:bookmarkStart w:id="237" w:name="_Toc228337087"/>
      <w:r>
        <w:rPr>
          <w:rFonts w:hint="eastAsia" w:ascii="宋体" w:hAnsi="宋体" w:eastAsia="宋体" w:cs="宋体"/>
          <w:color w:val="auto"/>
          <w:highlight w:val="none"/>
        </w:rPr>
        <w:t>2.2.1投标人应仔细阅读和检查招标文件的全部内容。</w:t>
      </w:r>
      <w:r>
        <w:rPr>
          <w:rFonts w:hint="eastAsia" w:ascii="宋体" w:hAnsi="宋体" w:eastAsia="宋体" w:cs="宋体"/>
          <w:color w:val="auto"/>
          <w:szCs w:val="21"/>
          <w:highlight w:val="none"/>
        </w:rPr>
        <w:t>如发现缺页或附件不全，应及时向招标人提出，以便补齐。</w:t>
      </w:r>
      <w:r>
        <w:rPr>
          <w:rFonts w:hint="eastAsia" w:ascii="宋体" w:hAnsi="宋体" w:eastAsia="宋体" w:cs="宋体"/>
          <w:color w:val="auto"/>
          <w:highlight w:val="none"/>
        </w:rPr>
        <w:t>如有疑问，应在投标人须知前附表规定的时间前在驻马店市公共资源电子交易平台上进行提问，要求招标人对招标文件予以澄清。</w:t>
      </w:r>
    </w:p>
    <w:p w14:paraId="528881DA">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2.2.2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14:paraId="11D9EEFC">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2.2.3 投标人在收到澄清后，应在投标人须知前附表规定的时间内在交易平台上回复确认已收到该澄清。</w:t>
      </w:r>
    </w:p>
    <w:p w14:paraId="7336632B">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2.2.4除非招标人认为确有必要答复，否则，招标人有权拒绝回复投标人在投标须知前附表第2.2.1项规定的时间后的任何澄清要求。</w:t>
      </w:r>
    </w:p>
    <w:p w14:paraId="72A54EFC">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238" w:name="_Toc1812"/>
      <w:r>
        <w:rPr>
          <w:rFonts w:hint="eastAsia" w:ascii="宋体" w:hAnsi="宋体" w:eastAsia="宋体" w:cs="宋体"/>
          <w:b/>
          <w:bCs/>
          <w:color w:val="auto"/>
          <w:kern w:val="0"/>
          <w:sz w:val="24"/>
          <w:szCs w:val="24"/>
          <w:highlight w:val="none"/>
        </w:rPr>
        <w:t>2.3 招标文件的修改</w:t>
      </w:r>
      <w:bookmarkEnd w:id="229"/>
      <w:bookmarkEnd w:id="230"/>
      <w:bookmarkEnd w:id="231"/>
      <w:bookmarkEnd w:id="232"/>
      <w:bookmarkEnd w:id="233"/>
      <w:bookmarkEnd w:id="234"/>
      <w:bookmarkEnd w:id="235"/>
      <w:bookmarkEnd w:id="236"/>
      <w:bookmarkEnd w:id="237"/>
      <w:bookmarkEnd w:id="238"/>
    </w:p>
    <w:p w14:paraId="09F71276">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bookmarkStart w:id="239" w:name="_Toc228589153"/>
      <w:bookmarkStart w:id="240" w:name="_Toc227657477"/>
      <w:bookmarkStart w:id="241" w:name="_Toc228591499"/>
      <w:bookmarkStart w:id="242" w:name="_Toc228881151"/>
      <w:bookmarkStart w:id="243" w:name="_Toc228591647"/>
      <w:bookmarkStart w:id="244" w:name="_Toc214433877"/>
      <w:bookmarkStart w:id="245" w:name="_Toc228337088"/>
      <w:bookmarkStart w:id="246" w:name="_Toc272772564"/>
      <w:bookmarkStart w:id="247" w:name="_Toc227492234"/>
      <w:r>
        <w:rPr>
          <w:rFonts w:hint="eastAsia" w:ascii="宋体" w:hAnsi="宋体" w:eastAsia="宋体" w:cs="宋体"/>
          <w:color w:val="auto"/>
          <w:highlight w:val="none"/>
        </w:rPr>
        <w:t xml:space="preserve">2.3.1 在投标截止时间15天前，招标人可以修改招标文件。如有修改，应在交易平台上发给所有获取招标文件的投标人。如果修改招标文件的时间距投标截止时间不足15天，相应延长投标截止时间。 </w:t>
      </w:r>
    </w:p>
    <w:p w14:paraId="4F69C86C">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2.3.2 投标人收到修改内容后，应在投标人须知前附表规定的时间内在交易平台上回复确认已收到该修改。</w:t>
      </w:r>
    </w:p>
    <w:p w14:paraId="7845A57E">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2.4招标文件的异议</w:t>
      </w:r>
    </w:p>
    <w:p w14:paraId="5786944C">
      <w:pPr>
        <w:pageBreakBefore w:val="0"/>
        <w:kinsoku/>
        <w:wordWrap w:val="0"/>
        <w:overflowPunct/>
        <w:topLinePunct w:val="0"/>
        <w:bidi w:val="0"/>
        <w:spacing w:line="420" w:lineRule="exact"/>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  投标人或者其他利害关系人对招标文件有异议的，应当在投标截止时间10日前以书面形式提出，逾期为未</w:t>
      </w:r>
      <w:r>
        <w:rPr>
          <w:rFonts w:hint="eastAsia" w:ascii="宋体" w:hAnsi="宋体" w:eastAsia="宋体" w:cs="宋体"/>
          <w:color w:val="auto"/>
          <w:highlight w:val="none"/>
          <w:lang w:val="en-US" w:eastAsia="zh-CN"/>
        </w:rPr>
        <w:t>提</w:t>
      </w:r>
      <w:r>
        <w:rPr>
          <w:rFonts w:hint="eastAsia" w:ascii="宋体" w:hAnsi="宋体" w:eastAsia="宋体" w:cs="宋体"/>
          <w:color w:val="auto"/>
          <w:highlight w:val="none"/>
        </w:rPr>
        <w:t>，视为对招标文件无异议。招标人将在收到异议之日起3日内作出答复；作出答复前，将暂停招标投标活动。</w:t>
      </w:r>
    </w:p>
    <w:p w14:paraId="74417C0E">
      <w:pPr>
        <w:pStyle w:val="87"/>
        <w:pageBreakBefore w:val="0"/>
        <w:kinsoku/>
        <w:wordWrap w:val="0"/>
        <w:overflowPunct/>
        <w:topLinePunct w:val="0"/>
        <w:bidi w:val="0"/>
        <w:spacing w:line="420" w:lineRule="exact"/>
        <w:ind w:right="-34" w:rightChars="-16"/>
        <w:jc w:val="both"/>
        <w:outlineLvl w:val="1"/>
        <w:rPr>
          <w:rFonts w:hint="eastAsia" w:ascii="宋体" w:hAnsi="宋体" w:eastAsia="宋体" w:cs="宋体"/>
          <w:b/>
          <w:bCs/>
          <w:color w:val="auto"/>
          <w:szCs w:val="24"/>
          <w:highlight w:val="none"/>
        </w:rPr>
      </w:pPr>
      <w:bookmarkStart w:id="248" w:name="_Toc5844"/>
      <w:bookmarkStart w:id="249" w:name="_Toc8029"/>
      <w:r>
        <w:rPr>
          <w:rFonts w:hint="eastAsia" w:ascii="宋体" w:hAnsi="宋体" w:eastAsia="宋体" w:cs="宋体"/>
          <w:b/>
          <w:bCs/>
          <w:color w:val="auto"/>
          <w:szCs w:val="24"/>
          <w:highlight w:val="none"/>
        </w:rPr>
        <w:t>3. 投标文件</w:t>
      </w:r>
      <w:bookmarkEnd w:id="239"/>
      <w:bookmarkEnd w:id="240"/>
      <w:bookmarkEnd w:id="241"/>
      <w:bookmarkEnd w:id="242"/>
      <w:bookmarkEnd w:id="243"/>
      <w:bookmarkEnd w:id="244"/>
      <w:bookmarkEnd w:id="245"/>
      <w:bookmarkEnd w:id="246"/>
      <w:bookmarkEnd w:id="247"/>
      <w:bookmarkEnd w:id="248"/>
      <w:bookmarkEnd w:id="249"/>
    </w:p>
    <w:p w14:paraId="18EFCB4C">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250" w:name="_Toc227492235"/>
      <w:bookmarkStart w:id="251" w:name="_Toc272772565"/>
      <w:bookmarkStart w:id="252" w:name="_Toc228591500"/>
      <w:bookmarkStart w:id="253" w:name="_Toc227657478"/>
      <w:bookmarkStart w:id="254" w:name="_Toc228591648"/>
      <w:bookmarkStart w:id="255" w:name="_Toc8959"/>
      <w:bookmarkStart w:id="256" w:name="_Toc228589154"/>
      <w:bookmarkStart w:id="257" w:name="_Toc228881152"/>
      <w:bookmarkStart w:id="258" w:name="_Toc214433878"/>
      <w:bookmarkStart w:id="259" w:name="_Toc228337089"/>
      <w:r>
        <w:rPr>
          <w:rFonts w:hint="eastAsia" w:ascii="宋体" w:hAnsi="宋体" w:eastAsia="宋体" w:cs="宋体"/>
          <w:b/>
          <w:bCs/>
          <w:color w:val="auto"/>
          <w:kern w:val="0"/>
          <w:sz w:val="24"/>
          <w:szCs w:val="24"/>
          <w:highlight w:val="none"/>
        </w:rPr>
        <w:t>3.1 投标文件的组成</w:t>
      </w:r>
      <w:bookmarkEnd w:id="250"/>
      <w:bookmarkEnd w:id="251"/>
      <w:bookmarkEnd w:id="252"/>
      <w:bookmarkEnd w:id="253"/>
      <w:bookmarkEnd w:id="254"/>
      <w:bookmarkEnd w:id="255"/>
      <w:bookmarkEnd w:id="256"/>
      <w:bookmarkEnd w:id="257"/>
      <w:bookmarkEnd w:id="258"/>
      <w:bookmarkEnd w:id="259"/>
    </w:p>
    <w:p w14:paraId="77DC0826">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3.1.1 投标文件应包括下列内容：</w:t>
      </w:r>
    </w:p>
    <w:p w14:paraId="2E320D37">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（1）投标函及投标函附录；</w:t>
      </w:r>
    </w:p>
    <w:p w14:paraId="0A0215EB">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（2）法定代表人身份证明；</w:t>
      </w:r>
    </w:p>
    <w:p w14:paraId="03334D8C">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（3）附有法定代表人身份证明的授权委托书；</w:t>
      </w:r>
    </w:p>
    <w:p w14:paraId="15B1C6E4">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）投标保证金；</w:t>
      </w:r>
    </w:p>
    <w:p w14:paraId="2FFCEC02">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）已标价工程量清单；</w:t>
      </w:r>
    </w:p>
    <w:p w14:paraId="5B735DA5">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）技术标；</w:t>
      </w:r>
    </w:p>
    <w:p w14:paraId="180F7665">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）技术标准和要求；</w:t>
      </w:r>
    </w:p>
    <w:p w14:paraId="40B5170E">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）项目管理机构；</w:t>
      </w:r>
    </w:p>
    <w:p w14:paraId="081775FC">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9</w:t>
      </w:r>
      <w:r>
        <w:rPr>
          <w:rFonts w:hint="eastAsia" w:ascii="宋体" w:hAnsi="宋体" w:eastAsia="宋体" w:cs="宋体"/>
          <w:color w:val="auto"/>
          <w:kern w:val="0"/>
          <w:szCs w:val="21"/>
          <w:highlight w:val="none"/>
        </w:rPr>
        <w:t>）资格审查资料；</w:t>
      </w:r>
    </w:p>
    <w:p w14:paraId="4D4D4BAA">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0</w:t>
      </w:r>
      <w:r>
        <w:rPr>
          <w:rFonts w:hint="eastAsia" w:ascii="宋体" w:hAnsi="宋体" w:eastAsia="宋体" w:cs="宋体"/>
          <w:color w:val="auto"/>
          <w:kern w:val="0"/>
          <w:szCs w:val="21"/>
          <w:highlight w:val="none"/>
        </w:rPr>
        <w:t>）投标人须知前附表规定的其他材料。</w:t>
      </w:r>
    </w:p>
    <w:p w14:paraId="10F36408">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260" w:name="_Toc227492236"/>
      <w:bookmarkStart w:id="261" w:name="_Toc228591501"/>
      <w:bookmarkStart w:id="262" w:name="_Toc228589155"/>
      <w:bookmarkStart w:id="263" w:name="_Toc228881153"/>
      <w:bookmarkStart w:id="264" w:name="_Toc228337090"/>
      <w:bookmarkStart w:id="265" w:name="_Toc228591649"/>
      <w:bookmarkStart w:id="266" w:name="_Toc1006"/>
      <w:bookmarkStart w:id="267" w:name="_Toc214433879"/>
      <w:bookmarkStart w:id="268" w:name="_Toc272772566"/>
      <w:bookmarkStart w:id="269" w:name="_Toc227657479"/>
      <w:r>
        <w:rPr>
          <w:rFonts w:hint="eastAsia" w:ascii="宋体" w:hAnsi="宋体" w:eastAsia="宋体" w:cs="宋体"/>
          <w:color w:val="auto"/>
          <w:kern w:val="0"/>
          <w:szCs w:val="21"/>
          <w:highlight w:val="none"/>
        </w:rPr>
        <w:t>投标人在评标过程中作出的符合法律法规和招标文件规定的澄清确认，构成投标文件的组成部分。投标人为响应招标文件要求而自拟格式的内容应加盖本单位公章并由其法定代表人</w:t>
      </w:r>
      <w:r>
        <w:rPr>
          <w:rFonts w:hint="eastAsia" w:ascii="宋体" w:hAnsi="宋体" w:eastAsia="宋体" w:cs="宋体"/>
          <w:color w:val="auto"/>
          <w:kern w:val="0"/>
          <w:szCs w:val="21"/>
          <w:highlight w:val="none"/>
          <w:lang w:val="en-US" w:eastAsia="zh-CN"/>
        </w:rPr>
        <w:t>签字</w:t>
      </w:r>
      <w:r>
        <w:rPr>
          <w:rFonts w:hint="eastAsia" w:ascii="宋体" w:hAnsi="宋体" w:eastAsia="宋体" w:cs="宋体"/>
          <w:color w:val="auto"/>
          <w:kern w:val="0"/>
          <w:szCs w:val="21"/>
          <w:highlight w:val="none"/>
        </w:rPr>
        <w:t>。</w:t>
      </w:r>
    </w:p>
    <w:p w14:paraId="78D8174B">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3.1.3 投标人须知前附表未要求提交投标保证金的，投标文件不包括本章第 3.1.1（</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）目所指的投标保证金。</w:t>
      </w:r>
    </w:p>
    <w:p w14:paraId="033143C5">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3.2 投标报价</w:t>
      </w:r>
      <w:bookmarkEnd w:id="260"/>
      <w:bookmarkEnd w:id="261"/>
      <w:bookmarkEnd w:id="262"/>
      <w:bookmarkEnd w:id="263"/>
      <w:bookmarkEnd w:id="264"/>
      <w:bookmarkEnd w:id="265"/>
      <w:bookmarkEnd w:id="266"/>
      <w:bookmarkEnd w:id="267"/>
      <w:bookmarkEnd w:id="268"/>
      <w:bookmarkEnd w:id="269"/>
    </w:p>
    <w:p w14:paraId="136386B6">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270" w:name="_Toc418520746"/>
      <w:bookmarkStart w:id="271" w:name="_Toc500577609"/>
      <w:bookmarkStart w:id="272" w:name="_Toc31523"/>
      <w:bookmarkStart w:id="273" w:name="_Toc499891560"/>
      <w:bookmarkStart w:id="274" w:name="_Toc27067"/>
      <w:bookmarkStart w:id="275" w:name="_Toc459289868"/>
      <w:bookmarkStart w:id="276" w:name="_Toc463776542"/>
      <w:bookmarkStart w:id="277" w:name="_Toc369620542"/>
      <w:bookmarkStart w:id="278" w:name="_Toc500865800"/>
      <w:bookmarkStart w:id="279" w:name="_Toc453573273"/>
      <w:bookmarkStart w:id="280" w:name="_Toc499892756"/>
      <w:bookmarkStart w:id="281" w:name="_Toc372286499"/>
      <w:bookmarkStart w:id="282" w:name="_Toc7059"/>
      <w:bookmarkStart w:id="283" w:name="_Toc436583857"/>
      <w:bookmarkStart w:id="284" w:name="_Toc368902788"/>
      <w:bookmarkStart w:id="285" w:name="_Toc454031536"/>
      <w:bookmarkStart w:id="286" w:name="_Toc214433880"/>
      <w:bookmarkStart w:id="287" w:name="_Toc227492237"/>
      <w:bookmarkStart w:id="288" w:name="_Toc10386"/>
      <w:bookmarkStart w:id="289" w:name="_Toc272772567"/>
      <w:bookmarkStart w:id="290" w:name="_Toc227657480"/>
      <w:bookmarkStart w:id="291" w:name="_Toc228589156"/>
      <w:bookmarkStart w:id="292" w:name="_Toc228591502"/>
      <w:bookmarkStart w:id="293" w:name="_Toc228881154"/>
      <w:bookmarkStart w:id="294" w:name="_Toc228337091"/>
      <w:bookmarkStart w:id="295" w:name="_Toc228591650"/>
      <w:r>
        <w:rPr>
          <w:rFonts w:hint="eastAsia" w:ascii="宋体" w:hAnsi="宋体" w:eastAsia="宋体" w:cs="宋体"/>
          <w:color w:val="auto"/>
          <w:kern w:val="0"/>
          <w:szCs w:val="21"/>
          <w:highlight w:val="none"/>
        </w:rPr>
        <w:t>3.2.1 投标人应按第</w:t>
      </w:r>
      <w:r>
        <w:rPr>
          <w:rFonts w:hint="eastAsia" w:ascii="宋体" w:hAnsi="宋体" w:eastAsia="宋体" w:cs="宋体"/>
          <w:color w:val="auto"/>
          <w:kern w:val="0"/>
          <w:szCs w:val="21"/>
          <w:highlight w:val="none"/>
          <w:lang w:val="en-US" w:eastAsia="zh-CN"/>
        </w:rPr>
        <w:t>六</w:t>
      </w:r>
      <w:r>
        <w:rPr>
          <w:rFonts w:hint="eastAsia" w:ascii="宋体" w:hAnsi="宋体" w:eastAsia="宋体" w:cs="宋体"/>
          <w:color w:val="auto"/>
          <w:kern w:val="0"/>
          <w:szCs w:val="21"/>
          <w:highlight w:val="none"/>
        </w:rPr>
        <w:t>章“工程量清单”的要求填写相应表格。</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41C0A1E5">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296" w:name="_Toc418520747"/>
      <w:bookmarkStart w:id="297" w:name="_Toc453573274"/>
      <w:bookmarkStart w:id="298" w:name="_Toc22976"/>
      <w:bookmarkStart w:id="299" w:name="_Toc499891561"/>
      <w:bookmarkStart w:id="300" w:name="_Toc500865801"/>
      <w:bookmarkStart w:id="301" w:name="_Toc463776543"/>
      <w:bookmarkStart w:id="302" w:name="_Toc14634"/>
      <w:bookmarkStart w:id="303" w:name="_Toc5041"/>
      <w:bookmarkStart w:id="304" w:name="_Toc372286500"/>
      <w:bookmarkStart w:id="305" w:name="_Toc369620543"/>
      <w:bookmarkStart w:id="306" w:name="_Toc368902789"/>
      <w:bookmarkStart w:id="307" w:name="_Toc500577610"/>
      <w:bookmarkStart w:id="308" w:name="_Toc499892757"/>
      <w:bookmarkStart w:id="309" w:name="_Toc436583858"/>
      <w:bookmarkStart w:id="310" w:name="_Toc459289869"/>
      <w:bookmarkStart w:id="311" w:name="_Toc454031537"/>
      <w:r>
        <w:rPr>
          <w:rFonts w:hint="eastAsia" w:ascii="宋体" w:hAnsi="宋体" w:eastAsia="宋体" w:cs="宋体"/>
          <w:color w:val="auto"/>
          <w:kern w:val="0"/>
          <w:szCs w:val="21"/>
          <w:highlight w:val="none"/>
        </w:rPr>
        <w:t>3.2.2 投标人在投标截止时间前修改投标函中的投标总报价，应同时修改 “工程量清单”中的相应报价。此修改须符合本章第4.3款的有关要求。</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64BE2FDD">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312" w:name="_Toc19757"/>
      <w:bookmarkStart w:id="313" w:name="_Toc418520748"/>
      <w:bookmarkStart w:id="314" w:name="_Toc368902790"/>
      <w:bookmarkStart w:id="315" w:name="_Toc500865802"/>
      <w:bookmarkStart w:id="316" w:name="_Toc499892758"/>
      <w:bookmarkStart w:id="317" w:name="_Toc463776544"/>
      <w:bookmarkStart w:id="318" w:name="_Toc499891562"/>
      <w:bookmarkStart w:id="319" w:name="_Toc372286501"/>
      <w:bookmarkStart w:id="320" w:name="_Toc454031538"/>
      <w:bookmarkStart w:id="321" w:name="_Toc459289870"/>
      <w:bookmarkStart w:id="322" w:name="_Toc369620544"/>
      <w:bookmarkStart w:id="323" w:name="_Toc453573275"/>
      <w:bookmarkStart w:id="324" w:name="_Toc25639"/>
      <w:bookmarkStart w:id="325" w:name="_Toc500577611"/>
      <w:bookmarkStart w:id="326" w:name="_Toc12444"/>
      <w:bookmarkStart w:id="327" w:name="_Toc436583859"/>
      <w:r>
        <w:rPr>
          <w:rFonts w:hint="eastAsia" w:ascii="宋体" w:hAnsi="宋体" w:eastAsia="宋体" w:cs="宋体"/>
          <w:color w:val="auto"/>
          <w:kern w:val="0"/>
          <w:szCs w:val="21"/>
          <w:highlight w:val="none"/>
        </w:rPr>
        <w:t>3.2.3 投标工程量清单必须按照招标人提供的工程量清单格式进行填写报价，不得做任何修改。</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67B8A143">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328" w:name="_Toc418520749"/>
      <w:bookmarkStart w:id="329" w:name="_Toc454031539"/>
      <w:bookmarkStart w:id="330" w:name="_Toc499892759"/>
      <w:bookmarkStart w:id="331" w:name="_Toc459289871"/>
      <w:bookmarkStart w:id="332" w:name="_Toc369620545"/>
      <w:bookmarkStart w:id="333" w:name="_Toc368902791"/>
      <w:bookmarkStart w:id="334" w:name="_Toc463776545"/>
      <w:bookmarkStart w:id="335" w:name="_Toc32699"/>
      <w:bookmarkStart w:id="336" w:name="_Toc372286502"/>
      <w:bookmarkStart w:id="337" w:name="_Toc500865803"/>
      <w:bookmarkStart w:id="338" w:name="_Toc499891563"/>
      <w:bookmarkStart w:id="339" w:name="_Toc436583860"/>
      <w:bookmarkStart w:id="340" w:name="_Toc9838"/>
      <w:bookmarkStart w:id="341" w:name="_Toc500577612"/>
      <w:bookmarkStart w:id="342" w:name="_Toc31960"/>
      <w:bookmarkStart w:id="343" w:name="_Toc453573276"/>
      <w:r>
        <w:rPr>
          <w:rFonts w:hint="eastAsia" w:ascii="宋体" w:hAnsi="宋体" w:eastAsia="宋体" w:cs="宋体"/>
          <w:color w:val="auto"/>
          <w:kern w:val="0"/>
          <w:szCs w:val="21"/>
          <w:highlight w:val="none"/>
        </w:rPr>
        <w:t>3.2.4 投标人对项目的各项报价和竣工结算的计价方式均采用工程量清单计价方式。</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24B97A06">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3.2.5</w:t>
      </w:r>
      <w:r>
        <w:rPr>
          <w:rFonts w:hint="eastAsia" w:ascii="宋体" w:hAnsi="宋体" w:eastAsia="宋体" w:cs="宋体"/>
          <w:color w:val="auto"/>
          <w:sz w:val="21"/>
          <w:szCs w:val="21"/>
          <w:highlight w:val="none"/>
        </w:rPr>
        <w:t>安全文明施工措施费应按</w:t>
      </w:r>
      <w:r>
        <w:rPr>
          <w:rFonts w:hint="eastAsia" w:ascii="宋体" w:hAnsi="宋体" w:eastAsia="宋体" w:cs="宋体"/>
          <w:b/>
          <w:color w:val="auto"/>
          <w:sz w:val="21"/>
          <w:szCs w:val="21"/>
          <w:highlight w:val="none"/>
        </w:rPr>
        <w:t>豫建设标［2014］57号文</w:t>
      </w:r>
      <w:r>
        <w:rPr>
          <w:rFonts w:hint="eastAsia" w:ascii="宋体" w:hAnsi="宋体" w:eastAsia="宋体" w:cs="宋体"/>
          <w:color w:val="auto"/>
          <w:sz w:val="21"/>
          <w:szCs w:val="21"/>
          <w:highlight w:val="none"/>
        </w:rPr>
        <w:t>规定足额计取计入工程总报价中，单独列项；增值税按照</w:t>
      </w:r>
      <w:r>
        <w:rPr>
          <w:rFonts w:hint="eastAsia" w:ascii="宋体" w:hAnsi="宋体" w:eastAsia="宋体" w:cs="宋体"/>
          <w:b/>
          <w:bCs/>
          <w:color w:val="auto"/>
          <w:sz w:val="21"/>
          <w:szCs w:val="21"/>
          <w:highlight w:val="none"/>
        </w:rPr>
        <w:t>建办标函［2019］193号文</w:t>
      </w:r>
      <w:r>
        <w:rPr>
          <w:rFonts w:hint="eastAsia" w:ascii="宋体" w:hAnsi="宋体" w:eastAsia="宋体" w:cs="宋体"/>
          <w:color w:val="auto"/>
          <w:sz w:val="21"/>
          <w:szCs w:val="21"/>
          <w:highlight w:val="none"/>
        </w:rPr>
        <w:t>记取；扬尘污染防治费按</w:t>
      </w:r>
      <w:r>
        <w:rPr>
          <w:rFonts w:hint="eastAsia" w:ascii="宋体" w:hAnsi="宋体" w:eastAsia="宋体" w:cs="宋体"/>
          <w:b/>
          <w:color w:val="auto"/>
          <w:sz w:val="21"/>
          <w:szCs w:val="21"/>
          <w:highlight w:val="none"/>
        </w:rPr>
        <w:t>豫建设标［2016］47号文</w:t>
      </w:r>
      <w:r>
        <w:rPr>
          <w:rFonts w:hint="eastAsia" w:ascii="宋体" w:hAnsi="宋体" w:eastAsia="宋体" w:cs="宋体"/>
          <w:color w:val="auto"/>
          <w:sz w:val="21"/>
          <w:szCs w:val="21"/>
          <w:highlight w:val="none"/>
        </w:rPr>
        <w:t>记取；规费中的社会保障费、工伤保险费执行</w:t>
      </w:r>
      <w:r>
        <w:rPr>
          <w:rFonts w:hint="eastAsia" w:ascii="宋体" w:hAnsi="宋体" w:eastAsia="宋体" w:cs="宋体"/>
          <w:b/>
          <w:color w:val="auto"/>
          <w:sz w:val="21"/>
          <w:szCs w:val="21"/>
          <w:highlight w:val="none"/>
        </w:rPr>
        <w:t>豫建设标[2014]29号文、豫建建[2016]62号文</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以上计费依据如国家省市有政策调整，按新政策执行</w:t>
      </w:r>
      <w:r>
        <w:rPr>
          <w:rFonts w:hint="eastAsia" w:ascii="宋体" w:hAnsi="宋体" w:eastAsia="宋体" w:cs="宋体"/>
          <w:color w:val="auto"/>
          <w:szCs w:val="21"/>
          <w:highlight w:val="none"/>
        </w:rPr>
        <w:t>。</w:t>
      </w:r>
    </w:p>
    <w:p w14:paraId="03BD8066">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清单报价编制依据：                  </w:t>
      </w:r>
    </w:p>
    <w:p w14:paraId="28D2BFD7">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1）招标文件、答疑纪要及有关书面通知；</w:t>
      </w:r>
    </w:p>
    <w:p w14:paraId="79D2CDCA">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2）经业主确认的施工图纸、设计变更、工程量清单；</w:t>
      </w:r>
    </w:p>
    <w:p w14:paraId="41648F19">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3）现行的计价依据和政策；</w:t>
      </w:r>
    </w:p>
    <w:p w14:paraId="68422931">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《建设工程工程量清单计价规范》（20</w:t>
      </w:r>
      <w:r>
        <w:rPr>
          <w:rFonts w:hint="eastAsia" w:ascii="宋体" w:hAnsi="宋体" w:eastAsia="宋体" w:cs="宋体"/>
          <w:color w:val="auto"/>
          <w:szCs w:val="21"/>
          <w:highlight w:val="none"/>
          <w:lang w:val="en-US" w:eastAsia="zh-CN"/>
        </w:rPr>
        <w:t>24</w:t>
      </w:r>
      <w:r>
        <w:rPr>
          <w:rFonts w:hint="eastAsia" w:ascii="宋体" w:hAnsi="宋体" w:eastAsia="宋体" w:cs="宋体"/>
          <w:color w:val="auto"/>
          <w:szCs w:val="21"/>
          <w:highlight w:val="none"/>
        </w:rPr>
        <w:t>）</w:t>
      </w:r>
    </w:p>
    <w:p w14:paraId="3BD341F1">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《河南省通用安装工程预算定额》（HA02-31-2016）</w:t>
      </w:r>
    </w:p>
    <w:p w14:paraId="1D8A0ABB">
      <w:pPr>
        <w:pageBreakBefore w:val="0"/>
        <w:kinsoku/>
        <w:wordWrap w:val="0"/>
        <w:overflowPunct/>
        <w:topLinePunct w:val="0"/>
        <w:bidi w:val="0"/>
        <w:spacing w:line="40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584C39AF">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4）本报价包括施工图纸中发包内容（有补遗及招标答疑纪要时以补遗及招标答疑纪要修改内容为准）。</w:t>
      </w:r>
    </w:p>
    <w:p w14:paraId="360DBBAF">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3.2.6材料价格：材料价格可以参考驻马店市</w:t>
      </w:r>
      <w:r>
        <w:rPr>
          <w:rFonts w:hint="eastAsia" w:ascii="宋体" w:hAnsi="宋体" w:eastAsia="宋体" w:cs="宋体"/>
          <w:b/>
          <w:color w:val="auto"/>
          <w:szCs w:val="21"/>
          <w:highlight w:val="none"/>
        </w:rPr>
        <w:t>最新季度</w:t>
      </w:r>
      <w:r>
        <w:rPr>
          <w:rFonts w:hint="eastAsia" w:ascii="宋体" w:hAnsi="宋体" w:eastAsia="宋体" w:cs="宋体"/>
          <w:color w:val="auto"/>
          <w:szCs w:val="21"/>
          <w:highlight w:val="none"/>
        </w:rPr>
        <w:t>建设工程造价信息，或投标人根据建筑材料市场情况自主确定。</w:t>
      </w:r>
    </w:p>
    <w:p w14:paraId="1DFCD883">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3.2.7承包价的确定和调整</w:t>
      </w:r>
    </w:p>
    <w:p w14:paraId="2A9458F7">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1、工程承包价包括完成本招标发包范围内的全部施工内容所需的工程成本、利润、规费、专项费用、税金、政策性调整等全部费用</w:t>
      </w:r>
      <w:r>
        <w:rPr>
          <w:rFonts w:hint="eastAsia" w:ascii="宋体" w:hAnsi="宋体" w:eastAsia="宋体" w:cs="宋体"/>
          <w:b/>
          <w:color w:val="auto"/>
          <w:sz w:val="21"/>
          <w:szCs w:val="21"/>
          <w:highlight w:val="none"/>
        </w:rPr>
        <w:t>(暂列金额依据工程量清单及招标控制价编制说明中注明计取方式计算)，</w:t>
      </w:r>
      <w:r>
        <w:rPr>
          <w:rFonts w:hint="eastAsia" w:ascii="宋体" w:hAnsi="宋体" w:eastAsia="宋体" w:cs="宋体"/>
          <w:b/>
          <w:color w:val="auto"/>
          <w:szCs w:val="21"/>
          <w:highlight w:val="none"/>
        </w:rPr>
        <w:t>工程竣工结算超过暂列金额等费用按国家定额、施工期造价信息、国家有关税费规定等据实计量计价</w:t>
      </w:r>
      <w:r>
        <w:rPr>
          <w:rFonts w:hint="eastAsia" w:ascii="宋体" w:hAnsi="宋体" w:eastAsia="宋体" w:cs="宋体"/>
          <w:color w:val="auto"/>
          <w:szCs w:val="21"/>
          <w:highlight w:val="none"/>
        </w:rPr>
        <w:t>。</w:t>
      </w:r>
    </w:p>
    <w:p w14:paraId="3B1B1D4A">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2、本工程在施工当中因承包方失误造成费用增加的，中标价格不调整。</w:t>
      </w:r>
    </w:p>
    <w:p w14:paraId="4E1186CD">
      <w:pPr>
        <w:pageBreakBefore w:val="0"/>
        <w:kinsoku/>
        <w:wordWrap w:val="0"/>
        <w:overflowPunct/>
        <w:topLinePunct w:val="0"/>
        <w:bidi w:val="0"/>
        <w:spacing w:line="42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3、因业主原因造成的工程量、材料等变更、签证的工程量清单项目，其对应的综合单价按下列方法确定：</w:t>
      </w:r>
    </w:p>
    <w:p w14:paraId="029A755C">
      <w:pPr>
        <w:pageBreakBefore w:val="0"/>
        <w:kinsoku/>
        <w:wordWrap w:val="0"/>
        <w:overflowPunct/>
        <w:topLinePunct w:val="0"/>
        <w:bidi w:val="0"/>
        <w:spacing w:line="420" w:lineRule="exact"/>
        <w:ind w:right="-34" w:rightChars="-16" w:firstLine="630" w:firstLineChars="3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1）合同中已有适用的综合单价，按合同中已有的综合单价确定；</w:t>
      </w:r>
    </w:p>
    <w:p w14:paraId="4C3AD241">
      <w:pPr>
        <w:pageBreakBefore w:val="0"/>
        <w:kinsoku/>
        <w:wordWrap w:val="0"/>
        <w:overflowPunct/>
        <w:topLinePunct w:val="0"/>
        <w:bidi w:val="0"/>
        <w:spacing w:line="420" w:lineRule="exact"/>
        <w:ind w:right="-34" w:rightChars="-16" w:firstLine="630" w:firstLineChars="3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2）合同中有类似的综合单价，参照类似的综合单价确定；</w:t>
      </w:r>
    </w:p>
    <w:p w14:paraId="27C1FA55">
      <w:pPr>
        <w:pageBreakBefore w:val="0"/>
        <w:kinsoku/>
        <w:wordWrap w:val="0"/>
        <w:overflowPunct/>
        <w:topLinePunct w:val="0"/>
        <w:bidi w:val="0"/>
        <w:spacing w:line="420" w:lineRule="exact"/>
        <w:ind w:right="-34" w:rightChars="-16" w:firstLine="630" w:firstLineChars="3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3）合同中没有适用或类似的综合单价，由承包人提出综合单价，经发包人确认后执行。</w:t>
      </w:r>
    </w:p>
    <w:p w14:paraId="1A5CF726">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4、投标人的投标价，应是本须知所述本工程全部工程的投标价，并以投标人在工程量清单报价中提出的单价或总价为依据。</w:t>
      </w:r>
    </w:p>
    <w:p w14:paraId="00E0E035">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3.3 投标有效期</w:t>
      </w:r>
      <w:bookmarkEnd w:id="286"/>
      <w:bookmarkEnd w:id="287"/>
      <w:bookmarkEnd w:id="288"/>
      <w:bookmarkEnd w:id="289"/>
      <w:bookmarkEnd w:id="290"/>
      <w:bookmarkEnd w:id="291"/>
      <w:bookmarkEnd w:id="292"/>
      <w:bookmarkEnd w:id="293"/>
      <w:bookmarkEnd w:id="294"/>
      <w:bookmarkEnd w:id="295"/>
    </w:p>
    <w:p w14:paraId="765C8336">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3.3.1 在投标人须知前附表规定的投标有效期内，投标人不得要求撤销或修改其投标文件。除投标人须知前附表另有规定外，投标有效期为</w:t>
      </w:r>
      <w:r>
        <w:rPr>
          <w:rFonts w:hint="eastAsia" w:ascii="宋体" w:hAnsi="宋体" w:eastAsia="宋体" w:cs="宋体"/>
          <w:color w:val="auto"/>
          <w:kern w:val="0"/>
          <w:szCs w:val="21"/>
          <w:highlight w:val="none"/>
          <w:lang w:val="en-US" w:eastAsia="zh-CN"/>
        </w:rPr>
        <w:t>60日历</w:t>
      </w:r>
      <w:r>
        <w:rPr>
          <w:rFonts w:hint="eastAsia" w:ascii="宋体" w:hAnsi="宋体" w:eastAsia="宋体" w:cs="宋体"/>
          <w:color w:val="auto"/>
          <w:kern w:val="0"/>
          <w:szCs w:val="21"/>
          <w:highlight w:val="none"/>
        </w:rPr>
        <w:t>天。</w:t>
      </w:r>
    </w:p>
    <w:p w14:paraId="55B330F1">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3.3.2 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30CABFC0">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344" w:name="_Toc214433881"/>
      <w:bookmarkStart w:id="345" w:name="_Toc228881155"/>
      <w:bookmarkStart w:id="346" w:name="_Toc23407"/>
      <w:bookmarkStart w:id="347" w:name="_Toc228591651"/>
      <w:bookmarkStart w:id="348" w:name="_Toc227657481"/>
      <w:bookmarkStart w:id="349" w:name="_Toc227492238"/>
      <w:bookmarkStart w:id="350" w:name="_Toc272772568"/>
      <w:bookmarkStart w:id="351" w:name="_Toc228589157"/>
      <w:bookmarkStart w:id="352" w:name="_Toc228337092"/>
      <w:bookmarkStart w:id="353" w:name="_Toc228591503"/>
      <w:r>
        <w:rPr>
          <w:rFonts w:hint="eastAsia" w:ascii="宋体" w:hAnsi="宋体" w:eastAsia="宋体" w:cs="宋体"/>
          <w:b/>
          <w:bCs/>
          <w:color w:val="auto"/>
          <w:kern w:val="0"/>
          <w:sz w:val="24"/>
          <w:szCs w:val="24"/>
          <w:highlight w:val="none"/>
        </w:rPr>
        <w:t>3.4 投标保证金</w:t>
      </w:r>
      <w:bookmarkEnd w:id="344"/>
      <w:bookmarkEnd w:id="345"/>
      <w:bookmarkEnd w:id="346"/>
      <w:bookmarkEnd w:id="347"/>
      <w:bookmarkEnd w:id="348"/>
      <w:bookmarkEnd w:id="349"/>
      <w:bookmarkEnd w:id="350"/>
      <w:bookmarkEnd w:id="351"/>
      <w:bookmarkEnd w:id="352"/>
      <w:bookmarkEnd w:id="353"/>
    </w:p>
    <w:p w14:paraId="3DC9554A">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 投标人在递交投标文件的同时，应按投标人须知前附表规定的金额、递交形式和第</w:t>
      </w:r>
      <w:r>
        <w:rPr>
          <w:rFonts w:hint="eastAsia" w:ascii="宋体" w:hAnsi="宋体" w:eastAsia="宋体" w:cs="宋体"/>
          <w:color w:val="auto"/>
          <w:kern w:val="0"/>
          <w:szCs w:val="21"/>
          <w:highlight w:val="none"/>
          <w:lang w:val="en-US" w:eastAsia="zh-CN"/>
        </w:rPr>
        <w:t>九</w:t>
      </w:r>
      <w:r>
        <w:rPr>
          <w:rFonts w:hint="eastAsia" w:ascii="宋体" w:hAnsi="宋体" w:eastAsia="宋体" w:cs="宋体"/>
          <w:color w:val="auto"/>
          <w:kern w:val="0"/>
          <w:szCs w:val="21"/>
          <w:highlight w:val="none"/>
        </w:rPr>
        <w:t>章“投标文件格式”规定的投标保证金格式递交投标保证金，并作为其投标文件的组成部分。</w:t>
      </w:r>
    </w:p>
    <w:p w14:paraId="52DFFF6F">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联合体投标的，其投标保证金由牵头人递交，并应符合投标人须知前附表的规定。</w:t>
      </w:r>
    </w:p>
    <w:p w14:paraId="03E61BB7">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3.4.2 投标人不按本章第3.4.1 项要求提交投标保证金的，其投标文件作无效标处理。</w:t>
      </w:r>
    </w:p>
    <w:p w14:paraId="78DD83AB">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3.4.3 招标人与中标人签订合同后5日内，按有关规定向中标人和未中标人退还投标保证金。</w:t>
      </w:r>
    </w:p>
    <w:p w14:paraId="786A4468">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3.4.4 有下列情形之一的，投标保证金将不予退还：</w:t>
      </w:r>
    </w:p>
    <w:p w14:paraId="45F1E84F">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（1）投标人在规定的投标有效期内撤销或修改其投标文件；</w:t>
      </w:r>
    </w:p>
    <w:p w14:paraId="7F4E6502">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（2）招标人发放中标通知书前，中标人除因被查实存在违法违规行为取消中标人资格和不可抗力放弃中标外，中标人放弃中标的，其递交的投标保证金招标人不予退还；</w:t>
      </w:r>
    </w:p>
    <w:p w14:paraId="5631835B">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（3）中标人在收到中标通知书后，无正当理由拒签合同协议书或未按招标文件规定提交履约保证金；</w:t>
      </w:r>
    </w:p>
    <w:p w14:paraId="3EF788E2">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（4）有串标、围标、弄虚作假等违规情况的。</w:t>
      </w:r>
    </w:p>
    <w:p w14:paraId="7FB400F6">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354" w:name="_Toc228337093"/>
      <w:bookmarkStart w:id="355" w:name="_Toc227492239"/>
      <w:bookmarkStart w:id="356" w:name="_Toc228881156"/>
      <w:bookmarkStart w:id="357" w:name="_Toc227657482"/>
      <w:bookmarkStart w:id="358" w:name="_Toc228591652"/>
      <w:bookmarkStart w:id="359" w:name="_Toc272772569"/>
      <w:bookmarkStart w:id="360" w:name="_Toc228591504"/>
      <w:bookmarkStart w:id="361" w:name="_Toc214433882"/>
      <w:bookmarkStart w:id="362" w:name="_Toc228589158"/>
      <w:bookmarkStart w:id="363" w:name="_Toc6761"/>
      <w:r>
        <w:rPr>
          <w:rFonts w:hint="eastAsia" w:ascii="宋体" w:hAnsi="宋体" w:eastAsia="宋体" w:cs="宋体"/>
          <w:b/>
          <w:bCs/>
          <w:color w:val="auto"/>
          <w:kern w:val="0"/>
          <w:sz w:val="24"/>
          <w:szCs w:val="24"/>
          <w:highlight w:val="none"/>
        </w:rPr>
        <w:t>3.5</w:t>
      </w:r>
      <w:r>
        <w:rPr>
          <w:rFonts w:hint="eastAsia" w:ascii="宋体" w:hAnsi="宋体" w:eastAsia="宋体" w:cs="宋体"/>
          <w:b/>
          <w:bCs/>
          <w:color w:val="auto"/>
          <w:kern w:val="0"/>
          <w:sz w:val="24"/>
          <w:szCs w:val="24"/>
          <w:highlight w:val="none"/>
          <w:lang w:val="en-US" w:eastAsia="zh-CN"/>
        </w:rPr>
        <w:t xml:space="preserve"> </w:t>
      </w:r>
      <w:r>
        <w:rPr>
          <w:rFonts w:hint="eastAsia" w:ascii="宋体" w:hAnsi="宋体" w:eastAsia="宋体" w:cs="宋体"/>
          <w:b/>
          <w:bCs/>
          <w:color w:val="auto"/>
          <w:kern w:val="0"/>
          <w:sz w:val="24"/>
          <w:szCs w:val="24"/>
          <w:highlight w:val="none"/>
        </w:rPr>
        <w:t>资格审查资料</w:t>
      </w:r>
      <w:bookmarkEnd w:id="354"/>
      <w:bookmarkEnd w:id="355"/>
      <w:bookmarkEnd w:id="356"/>
      <w:bookmarkEnd w:id="357"/>
      <w:bookmarkEnd w:id="358"/>
      <w:bookmarkEnd w:id="359"/>
      <w:bookmarkEnd w:id="360"/>
      <w:bookmarkEnd w:id="361"/>
      <w:bookmarkEnd w:id="362"/>
      <w:r>
        <w:rPr>
          <w:rFonts w:hint="eastAsia" w:ascii="宋体" w:hAnsi="宋体" w:eastAsia="宋体" w:cs="宋体"/>
          <w:b/>
          <w:bCs/>
          <w:color w:val="auto"/>
          <w:kern w:val="0"/>
          <w:sz w:val="24"/>
          <w:szCs w:val="24"/>
          <w:highlight w:val="none"/>
        </w:rPr>
        <w:t>（适用于未进行资格预审的）</w:t>
      </w:r>
      <w:bookmarkEnd w:id="363"/>
    </w:p>
    <w:p w14:paraId="2458EA7E">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szCs w:val="21"/>
          <w:highlight w:val="none"/>
        </w:rPr>
      </w:pPr>
      <w:bookmarkStart w:id="364" w:name="_Toc282853913"/>
      <w:bookmarkStart w:id="365" w:name="_Toc227492241"/>
      <w:bookmarkStart w:id="366" w:name="_Toc228589160"/>
      <w:bookmarkStart w:id="367" w:name="_Toc228881158"/>
      <w:bookmarkStart w:id="368" w:name="_Toc227657484"/>
      <w:bookmarkStart w:id="369" w:name="_Toc272772571"/>
      <w:bookmarkStart w:id="370" w:name="_Toc214433884"/>
      <w:bookmarkStart w:id="371" w:name="_Toc228591506"/>
      <w:bookmarkStart w:id="372" w:name="_Toc228591654"/>
      <w:bookmarkStart w:id="373" w:name="_Toc228337095"/>
      <w:r>
        <w:rPr>
          <w:rFonts w:hint="eastAsia" w:ascii="宋体" w:hAnsi="宋体" w:eastAsia="宋体" w:cs="宋体"/>
          <w:color w:val="auto"/>
          <w:kern w:val="0"/>
          <w:szCs w:val="21"/>
          <w:highlight w:val="none"/>
        </w:rPr>
        <w:t>投标人在编制投标文件时，应提供如下资料，以证实其各项资格条件能满足要求，具备承担本项目施工的资质条件、能力和信誉。</w:t>
      </w:r>
    </w:p>
    <w:p w14:paraId="1964D2A9">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3.5.1 “投标人基本情况表”应附投标人营业执照副本、资质证书副本和安全生产许可证副本等材料的复印件。</w:t>
      </w:r>
    </w:p>
    <w:p w14:paraId="2D0298B5">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3.5.2 “近年财务状况表”应附经会计师事务所或审计机构审计的</w:t>
      </w:r>
      <w:r>
        <w:rPr>
          <w:rFonts w:hint="eastAsia" w:ascii="宋体" w:hAnsi="宋体" w:eastAsia="宋体" w:cs="宋体"/>
          <w:color w:val="auto"/>
          <w:kern w:val="0"/>
          <w:szCs w:val="21"/>
          <w:highlight w:val="none"/>
          <w:lang w:val="en-US" w:eastAsia="zh-CN"/>
        </w:rPr>
        <w:t>财务审计报告</w:t>
      </w:r>
      <w:r>
        <w:rPr>
          <w:rFonts w:hint="eastAsia" w:ascii="宋体" w:hAnsi="宋体" w:eastAsia="宋体" w:cs="宋体"/>
          <w:color w:val="auto"/>
          <w:kern w:val="0"/>
          <w:szCs w:val="21"/>
          <w:highlight w:val="none"/>
        </w:rPr>
        <w:t>，包括应包括资产负债表、利润表、现金流量表、所有者权益变动表、财务报表附注和财务情况说明书等的复印件，并附具会计师事务所的营业执照、执业证书、签章的注册会计师证书（年度检验有效的文字信息）等完整信息以供审查。</w:t>
      </w:r>
    </w:p>
    <w:p w14:paraId="5FDB7753">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3.5.3 “近年完成的类似项目情况表”应附中标通知书、合同协议书的复印件，具体年份要求见投标人须知前附表。每张表格只填写一个项目，并标明序号。</w:t>
      </w:r>
    </w:p>
    <w:p w14:paraId="61DA52C6">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3.5.4 “正在施工和新承接的项目情况表”应附中标通知书或合同协议书复印件。每张表格只填写一个项目，并标明序号。</w:t>
      </w:r>
    </w:p>
    <w:p w14:paraId="6C9A5A60">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3.5.5 “近年发生的诉讼及仲裁情况”应说明相关情况，并附法院或仲裁机构作出的判决、裁决等有关法律文书复印件，具体年份要求见投标人须知前附表。</w:t>
      </w:r>
    </w:p>
    <w:p w14:paraId="3FCCE2F2">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3.5.6 投标人须知前附表规定接受联合体投标的，本章第3.5.1项至第3.5.</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项规定的表格和资料应包括联合体各方相关情况。</w:t>
      </w:r>
    </w:p>
    <w:p w14:paraId="726E3293">
      <w:pPr>
        <w:pageBreakBefore w:val="0"/>
        <w:kinsoku/>
        <w:wordWrap w:val="0"/>
        <w:overflowPunct/>
        <w:topLinePunct w:val="0"/>
        <w:bidi w:val="0"/>
        <w:spacing w:line="420" w:lineRule="exac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3.6 备选投标方案（不允许）</w:t>
      </w:r>
      <w:bookmarkEnd w:id="364"/>
    </w:p>
    <w:p w14:paraId="7E2EC309">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374" w:name="_Toc3192"/>
      <w:r>
        <w:rPr>
          <w:rFonts w:hint="eastAsia" w:ascii="宋体" w:hAnsi="宋体" w:eastAsia="宋体" w:cs="宋体"/>
          <w:color w:val="auto"/>
          <w:kern w:val="0"/>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bookmarkEnd w:id="374"/>
    </w:p>
    <w:p w14:paraId="7FAB273B">
      <w:pPr>
        <w:pageBreakBefore w:val="0"/>
        <w:kinsoku/>
        <w:wordWrap w:val="0"/>
        <w:overflowPunct/>
        <w:topLinePunct w:val="0"/>
        <w:bidi w:val="0"/>
        <w:spacing w:line="420" w:lineRule="exact"/>
        <w:outlineLvl w:val="9"/>
        <w:rPr>
          <w:rFonts w:hint="eastAsia" w:ascii="宋体" w:hAnsi="宋体" w:eastAsia="宋体" w:cs="宋体"/>
          <w:b/>
          <w:color w:val="auto"/>
          <w:sz w:val="24"/>
          <w:szCs w:val="22"/>
          <w:highlight w:val="none"/>
        </w:rPr>
      </w:pPr>
      <w:bookmarkStart w:id="375" w:name="_Toc18505"/>
      <w:r>
        <w:rPr>
          <w:rFonts w:hint="eastAsia" w:ascii="宋体" w:hAnsi="宋体" w:eastAsia="宋体" w:cs="宋体"/>
          <w:b/>
          <w:color w:val="auto"/>
          <w:sz w:val="24"/>
          <w:szCs w:val="22"/>
          <w:highlight w:val="none"/>
        </w:rPr>
        <w:t>3.7 投标文件的编制</w:t>
      </w:r>
      <w:bookmarkEnd w:id="365"/>
      <w:bookmarkEnd w:id="366"/>
      <w:bookmarkEnd w:id="367"/>
      <w:bookmarkEnd w:id="368"/>
      <w:bookmarkEnd w:id="369"/>
      <w:bookmarkEnd w:id="370"/>
      <w:bookmarkEnd w:id="371"/>
      <w:bookmarkEnd w:id="372"/>
      <w:bookmarkEnd w:id="373"/>
      <w:bookmarkEnd w:id="375"/>
    </w:p>
    <w:p w14:paraId="757538D6">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bookmarkStart w:id="376" w:name="_Toc228337096"/>
      <w:bookmarkStart w:id="377" w:name="_Toc228881159"/>
      <w:bookmarkStart w:id="378" w:name="_Toc214433885"/>
      <w:bookmarkStart w:id="379" w:name="_Toc272772572"/>
      <w:bookmarkStart w:id="380" w:name="_Toc228589161"/>
      <w:bookmarkStart w:id="381" w:name="_Toc228591507"/>
      <w:bookmarkStart w:id="382" w:name="_Toc228591655"/>
      <w:bookmarkStart w:id="383" w:name="_Toc16906"/>
      <w:bookmarkStart w:id="384" w:name="_Toc227657485"/>
      <w:bookmarkStart w:id="385" w:name="_Toc227492242"/>
      <w:r>
        <w:rPr>
          <w:rFonts w:hint="eastAsia" w:ascii="宋体" w:hAnsi="宋体" w:eastAsia="宋体" w:cs="宋体"/>
          <w:color w:val="auto"/>
          <w:szCs w:val="21"/>
          <w:highlight w:val="none"/>
        </w:rPr>
        <w:t>3.7.1 投标文件应按第</w:t>
      </w:r>
      <w:r>
        <w:rPr>
          <w:rFonts w:hint="eastAsia" w:ascii="宋体" w:hAnsi="宋体" w:eastAsia="宋体" w:cs="宋体"/>
          <w:color w:val="auto"/>
          <w:szCs w:val="21"/>
          <w:highlight w:val="none"/>
          <w:lang w:val="en-US" w:eastAsia="zh-CN"/>
        </w:rPr>
        <w:t>九</w:t>
      </w:r>
      <w:r>
        <w:rPr>
          <w:rFonts w:hint="eastAsia" w:ascii="宋体" w:hAnsi="宋体" w:eastAsia="宋体" w:cs="宋体"/>
          <w:color w:val="auto"/>
          <w:szCs w:val="21"/>
          <w:highlight w:val="none"/>
        </w:rPr>
        <w:t>章“投标文件格式”使用驻马店市公共资源交易系统投标文件制作专用工具软件编制。其中，投标函附录在满足招标文件实质性要求的基础上，可以提出比招标文件要求更有利于招标人的承诺。</w:t>
      </w:r>
    </w:p>
    <w:p w14:paraId="2C60F034">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3.7.2 投标文件应当对招标文件有关工期、投标有效期、质量要求、技术标准和要求、招标范围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合同签订</w:t>
      </w:r>
      <w:r>
        <w:rPr>
          <w:rFonts w:hint="eastAsia" w:ascii="宋体" w:hAnsi="宋体" w:eastAsia="宋体" w:cs="宋体"/>
          <w:color w:val="auto"/>
          <w:szCs w:val="21"/>
          <w:highlight w:val="none"/>
        </w:rPr>
        <w:t>等实质性内容作出响应。</w:t>
      </w:r>
    </w:p>
    <w:p w14:paraId="356D6384">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3.7.3 投标文件全部采用电子文档，除投标人须知前附表另有规定外，投标文件所附证书证件均为原件复印件或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14:paraId="7171D3DD">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3.7.</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07E872C3">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3.7.</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投标人须承诺此次投标所使用的资格、信誉、荣誉、业绩与企业认证必须为本投标人所拥有，否则视为未实质性响应招标文件。</w:t>
      </w:r>
    </w:p>
    <w:p w14:paraId="46318C28">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3.7.6</w:t>
      </w:r>
      <w:r>
        <w:rPr>
          <w:rFonts w:hint="eastAsia" w:ascii="宋体" w:hAnsi="宋体" w:eastAsia="宋体" w:cs="宋体"/>
          <w:color w:val="auto"/>
          <w:szCs w:val="21"/>
          <w:highlight w:val="none"/>
        </w:rPr>
        <w:t>投标人对所提供的全部资料的合法性、真实性负责并作出书面保证附投标文件内，否则视为对招标文件未作出实质性响应。</w:t>
      </w:r>
    </w:p>
    <w:p w14:paraId="7B6D5370">
      <w:pPr>
        <w:pStyle w:val="87"/>
        <w:pageBreakBefore w:val="0"/>
        <w:kinsoku/>
        <w:wordWrap w:val="0"/>
        <w:overflowPunct/>
        <w:topLinePunct w:val="0"/>
        <w:bidi w:val="0"/>
        <w:spacing w:line="420" w:lineRule="exact"/>
        <w:ind w:right="-34" w:rightChars="-16"/>
        <w:jc w:val="both"/>
        <w:outlineLvl w:val="1"/>
        <w:rPr>
          <w:rFonts w:hint="eastAsia" w:ascii="宋体" w:hAnsi="宋体" w:eastAsia="宋体" w:cs="宋体"/>
          <w:b/>
          <w:bCs/>
          <w:color w:val="auto"/>
          <w:sz w:val="28"/>
          <w:szCs w:val="28"/>
          <w:highlight w:val="none"/>
        </w:rPr>
      </w:pPr>
      <w:bookmarkStart w:id="386" w:name="_Toc25930"/>
      <w:r>
        <w:rPr>
          <w:rFonts w:hint="eastAsia" w:ascii="宋体" w:hAnsi="宋体" w:eastAsia="宋体" w:cs="宋体"/>
          <w:b/>
          <w:bCs/>
          <w:color w:val="auto"/>
          <w:sz w:val="28"/>
          <w:szCs w:val="28"/>
          <w:highlight w:val="none"/>
        </w:rPr>
        <w:t>4. 投标</w:t>
      </w:r>
      <w:bookmarkEnd w:id="376"/>
      <w:bookmarkEnd w:id="377"/>
      <w:bookmarkEnd w:id="378"/>
      <w:bookmarkEnd w:id="379"/>
      <w:bookmarkEnd w:id="380"/>
      <w:bookmarkEnd w:id="381"/>
      <w:bookmarkEnd w:id="382"/>
      <w:bookmarkEnd w:id="383"/>
      <w:bookmarkEnd w:id="384"/>
      <w:bookmarkEnd w:id="385"/>
      <w:bookmarkEnd w:id="386"/>
    </w:p>
    <w:p w14:paraId="4775DFC9">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387" w:name="_Toc10354"/>
      <w:bookmarkStart w:id="388" w:name="_Toc17398"/>
      <w:bookmarkStart w:id="389" w:name="_Toc14571"/>
      <w:bookmarkStart w:id="390" w:name="_Toc112"/>
      <w:bookmarkStart w:id="391" w:name="_Toc24047"/>
      <w:bookmarkStart w:id="392" w:name="_Toc18533"/>
      <w:bookmarkStart w:id="393" w:name="_Toc6715"/>
      <w:bookmarkStart w:id="394" w:name="_Toc29803"/>
      <w:bookmarkStart w:id="395" w:name="_Toc29973"/>
      <w:bookmarkStart w:id="396" w:name="_Toc3446"/>
      <w:bookmarkStart w:id="397" w:name="_Toc31778"/>
      <w:bookmarkStart w:id="398" w:name="_Toc29706"/>
      <w:bookmarkStart w:id="399" w:name="_Toc2345"/>
      <w:bookmarkStart w:id="400" w:name="_Toc29730"/>
      <w:bookmarkStart w:id="401" w:name="_Toc28204"/>
      <w:bookmarkStart w:id="402" w:name="_Toc5977"/>
      <w:bookmarkStart w:id="403" w:name="_Toc23965"/>
      <w:bookmarkStart w:id="404" w:name="_Toc7117"/>
      <w:bookmarkStart w:id="405" w:name="_Toc10871"/>
      <w:bookmarkStart w:id="406" w:name="_Toc15808"/>
      <w:bookmarkStart w:id="407" w:name="_Toc227492244"/>
      <w:bookmarkStart w:id="408" w:name="_Toc214433887"/>
      <w:bookmarkStart w:id="409" w:name="_Toc228589163"/>
      <w:bookmarkStart w:id="410" w:name="_Toc228591509"/>
      <w:bookmarkStart w:id="411" w:name="_Toc228337098"/>
      <w:bookmarkStart w:id="412" w:name="_Toc227657487"/>
      <w:bookmarkStart w:id="413" w:name="_Toc272772574"/>
      <w:bookmarkStart w:id="414" w:name="_Toc20235"/>
      <w:bookmarkStart w:id="415" w:name="_Toc228591657"/>
      <w:bookmarkStart w:id="416" w:name="_Toc228881161"/>
      <w:r>
        <w:rPr>
          <w:rFonts w:hint="eastAsia" w:ascii="宋体" w:hAnsi="宋体" w:eastAsia="宋体" w:cs="宋体"/>
          <w:b/>
          <w:bCs/>
          <w:color w:val="auto"/>
          <w:kern w:val="0"/>
          <w:sz w:val="24"/>
          <w:szCs w:val="24"/>
          <w:highlight w:val="none"/>
        </w:rPr>
        <w:t>4.1 投标文件的加密</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1B756296">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 投标人应当按照招标文件和电子招标投标交易平台的要求加密投标文件，具体要求见投标人须知前附表。</w:t>
      </w:r>
    </w:p>
    <w:p w14:paraId="6D2EF78A">
      <w:pPr>
        <w:pageBreakBefore w:val="0"/>
        <w:kinsoku/>
        <w:wordWrap w:val="0"/>
        <w:overflowPunct/>
        <w:topLinePunct w:val="0"/>
        <w:bidi w:val="0"/>
        <w:spacing w:line="40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4.1.2 未加密的投标文件，电子招标投标交易平台将予以拒收。</w:t>
      </w:r>
    </w:p>
    <w:p w14:paraId="07AA73DE">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4.2 投标文件的递交</w:t>
      </w:r>
      <w:bookmarkEnd w:id="407"/>
      <w:bookmarkEnd w:id="408"/>
      <w:bookmarkEnd w:id="409"/>
      <w:bookmarkEnd w:id="410"/>
      <w:bookmarkEnd w:id="411"/>
      <w:bookmarkEnd w:id="412"/>
      <w:bookmarkEnd w:id="413"/>
      <w:bookmarkEnd w:id="414"/>
      <w:bookmarkEnd w:id="415"/>
      <w:bookmarkEnd w:id="416"/>
    </w:p>
    <w:p w14:paraId="72D1BC40">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417" w:name="_Toc228589164"/>
      <w:bookmarkStart w:id="418" w:name="_Toc228337099"/>
      <w:bookmarkStart w:id="419" w:name="_Toc272772575"/>
      <w:bookmarkStart w:id="420" w:name="_Toc228591510"/>
      <w:bookmarkStart w:id="421" w:name="_Toc227657488"/>
      <w:bookmarkStart w:id="422" w:name="_Toc227492245"/>
      <w:bookmarkStart w:id="423" w:name="_Toc214433888"/>
      <w:bookmarkStart w:id="424" w:name="_Toc228881162"/>
      <w:bookmarkStart w:id="425" w:name="_Toc228591658"/>
      <w:r>
        <w:rPr>
          <w:rFonts w:hint="eastAsia" w:ascii="宋体" w:hAnsi="宋体" w:eastAsia="宋体" w:cs="宋体"/>
          <w:color w:val="auto"/>
          <w:kern w:val="0"/>
          <w:szCs w:val="21"/>
          <w:highlight w:val="none"/>
        </w:rPr>
        <w:t>4.2.1 投标人应在投标人须知前附表规定的投标截止时间前递交投标文件。</w:t>
      </w:r>
    </w:p>
    <w:p w14:paraId="4591D2F0">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4.2.2 投标人递交投标文件的地点：见投标人须知前附表。</w:t>
      </w:r>
    </w:p>
    <w:p w14:paraId="4CCE3D6A">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4.2.3</w:t>
      </w: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本项目采用不见面开标，投标人无需递交纸质投标文件及原件，投标企业应在项目开标前，将</w:t>
      </w:r>
      <w:r>
        <w:rPr>
          <w:rFonts w:hint="eastAsia" w:ascii="宋体" w:hAnsi="宋体" w:eastAsia="宋体" w:cs="宋体"/>
          <w:color w:val="auto"/>
          <w:kern w:val="0"/>
          <w:szCs w:val="21"/>
          <w:highlight w:val="none"/>
          <w:lang w:eastAsia="zh-CN"/>
        </w:rPr>
        <w:t>项目经理（或总监、负责人）</w:t>
      </w:r>
      <w:r>
        <w:rPr>
          <w:rFonts w:hint="eastAsia" w:ascii="宋体" w:hAnsi="宋体" w:eastAsia="宋体" w:cs="宋体"/>
          <w:color w:val="auto"/>
          <w:kern w:val="0"/>
          <w:szCs w:val="21"/>
          <w:highlight w:val="none"/>
        </w:rPr>
        <w:t>、人员、资质、业绩、荣誉、财务等投标所需材料扫描件，上传至驻马店市公共资源电子交易平台诚信库中，同时在“资格审查材料（不见面开标）”</w:t>
      </w:r>
      <w:r>
        <w:rPr>
          <w:rFonts w:hint="eastAsia" w:ascii="宋体" w:hAnsi="宋体" w:eastAsia="宋体" w:cs="宋体"/>
          <w:color w:val="auto"/>
          <w:szCs w:val="21"/>
          <w:highlight w:val="none"/>
          <w:shd w:val="clear" w:color="auto" w:fill="FFFFFF"/>
        </w:rPr>
        <w:t>菜单下按标段挑选该标段投标所用资格审查材料</w:t>
      </w:r>
      <w:r>
        <w:rPr>
          <w:rFonts w:hint="eastAsia" w:ascii="宋体" w:hAnsi="宋体" w:eastAsia="宋体" w:cs="宋体"/>
          <w:color w:val="auto"/>
          <w:kern w:val="0"/>
          <w:szCs w:val="21"/>
          <w:highlight w:val="none"/>
        </w:rPr>
        <w:t>，评标时以电子投标文件及“资格审查材料（不见面开标）”菜单中选取的信息为准。</w:t>
      </w:r>
    </w:p>
    <w:p w14:paraId="3771EF15">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4.2.4 </w:t>
      </w:r>
      <w:r>
        <w:rPr>
          <w:rFonts w:hint="eastAsia" w:ascii="宋体" w:hAnsi="宋体" w:eastAsia="宋体" w:cs="宋体"/>
          <w:color w:val="auto"/>
          <w:kern w:val="0"/>
          <w:szCs w:val="21"/>
          <w:highlight w:val="none"/>
        </w:rPr>
        <w:t>投标人完成电子投标文件上传后，电子招标投标交易平台即时向投标人发出递交回执通知。递交时间以递交回执通知载明的传输完成时间为准。</w:t>
      </w:r>
    </w:p>
    <w:p w14:paraId="1B36897B">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highlight w:val="none"/>
        </w:rPr>
      </w:pPr>
      <w:r>
        <w:rPr>
          <w:rFonts w:hint="eastAsia" w:ascii="宋体" w:hAnsi="宋体" w:eastAsia="宋体" w:cs="宋体"/>
          <w:color w:val="auto"/>
          <w:kern w:val="0"/>
          <w:szCs w:val="21"/>
          <w:highlight w:val="none"/>
        </w:rPr>
        <w:t>4.2.</w:t>
      </w:r>
      <w:r>
        <w:rPr>
          <w:rFonts w:hint="eastAsia" w:ascii="宋体" w:hAnsi="宋体" w:eastAsia="宋体" w:cs="宋体"/>
          <w:color w:val="auto"/>
          <w:kern w:val="0"/>
          <w:szCs w:val="21"/>
          <w:highlight w:val="none"/>
          <w:lang w:val="en-US" w:eastAsia="zh-CN"/>
        </w:rPr>
        <w:t xml:space="preserve">5 </w:t>
      </w:r>
      <w:r>
        <w:rPr>
          <w:rFonts w:hint="eastAsia" w:ascii="宋体" w:hAnsi="宋体" w:eastAsia="宋体" w:cs="宋体"/>
          <w:color w:val="auto"/>
          <w:kern w:val="0"/>
          <w:szCs w:val="21"/>
          <w:highlight w:val="none"/>
        </w:rPr>
        <w:t>逾期送达的或者未送达指定地点的投标文件，招标人不予受理。</w:t>
      </w:r>
    </w:p>
    <w:p w14:paraId="65FEE875">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426" w:name="_Toc26166"/>
      <w:r>
        <w:rPr>
          <w:rFonts w:hint="eastAsia" w:ascii="宋体" w:hAnsi="宋体" w:eastAsia="宋体" w:cs="宋体"/>
          <w:b/>
          <w:bCs/>
          <w:color w:val="auto"/>
          <w:kern w:val="0"/>
          <w:sz w:val="24"/>
          <w:szCs w:val="24"/>
          <w:highlight w:val="none"/>
        </w:rPr>
        <w:t>4.3 投标文件的修改与撤回</w:t>
      </w:r>
      <w:bookmarkEnd w:id="417"/>
      <w:bookmarkEnd w:id="418"/>
      <w:bookmarkEnd w:id="419"/>
      <w:bookmarkEnd w:id="420"/>
      <w:bookmarkEnd w:id="421"/>
      <w:bookmarkEnd w:id="422"/>
      <w:bookmarkEnd w:id="423"/>
      <w:bookmarkEnd w:id="424"/>
      <w:bookmarkEnd w:id="425"/>
      <w:bookmarkEnd w:id="426"/>
    </w:p>
    <w:p w14:paraId="3C24F40F">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kern w:val="0"/>
          <w:szCs w:val="21"/>
          <w:highlight w:val="none"/>
        </w:rPr>
      </w:pPr>
      <w:bookmarkStart w:id="427" w:name="_Toc272772576"/>
      <w:bookmarkStart w:id="428" w:name="_Toc227492246"/>
      <w:bookmarkStart w:id="429" w:name="_Toc228591659"/>
      <w:bookmarkStart w:id="430" w:name="_Toc228589165"/>
      <w:bookmarkStart w:id="431" w:name="_Toc214433889"/>
      <w:bookmarkStart w:id="432" w:name="_Toc228591511"/>
      <w:bookmarkStart w:id="433" w:name="_Toc228337100"/>
      <w:bookmarkStart w:id="434" w:name="_Toc227657489"/>
      <w:bookmarkStart w:id="435" w:name="_Toc228881163"/>
      <w:r>
        <w:rPr>
          <w:rFonts w:hint="eastAsia" w:ascii="宋体" w:hAnsi="宋体" w:eastAsia="宋体" w:cs="宋体"/>
          <w:color w:val="auto"/>
          <w:kern w:val="0"/>
          <w:szCs w:val="21"/>
          <w:highlight w:val="none"/>
        </w:rPr>
        <w:t>4.3.1 在投标人须知前附表4.2.1项规定的投标截止时间前，投标人可以多次修改或撤回已递交的投标文件，最终投标文件以投标截止时间前完成上传至驻马店市公共资源交易中心交易系统最后一份投标文件为准。</w:t>
      </w:r>
    </w:p>
    <w:p w14:paraId="02A3B1BA">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kern w:val="0"/>
          <w:szCs w:val="21"/>
          <w:highlight w:val="none"/>
        </w:rPr>
      </w:pPr>
      <w:bookmarkStart w:id="436" w:name="_Toc30349"/>
      <w:bookmarkStart w:id="437" w:name="_Toc21417"/>
      <w:r>
        <w:rPr>
          <w:rFonts w:hint="eastAsia" w:ascii="宋体" w:hAnsi="宋体" w:eastAsia="宋体" w:cs="宋体"/>
          <w:color w:val="auto"/>
          <w:kern w:val="0"/>
          <w:szCs w:val="21"/>
          <w:highlight w:val="none"/>
        </w:rPr>
        <w:t>4.3.2 投标人修改或撤回已递交投标文件的通知，应按照本章第3.7.3项的要求加盖电子印章。电子招标投标交易平台收到通知后，即时向投标人发出确认回执通知。</w:t>
      </w:r>
    </w:p>
    <w:p w14:paraId="22C416B7">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4.3.3 投标人撤回投标文件的，招标人自收到投标人书面撤回通知之日起5日内退还已收取的投标保证金。</w:t>
      </w:r>
    </w:p>
    <w:p w14:paraId="02CEC034">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4.3.4 修改的内容为投标文件的组成部分。修改的投标文件应按照本章第3条、第4条的规定进行编制、加密、标记和递交。</w:t>
      </w:r>
    </w:p>
    <w:p w14:paraId="767995A2">
      <w:pPr>
        <w:pageBreakBefore w:val="0"/>
        <w:kinsoku/>
        <w:wordWrap w:val="0"/>
        <w:overflowPunct/>
        <w:topLinePunct w:val="0"/>
        <w:autoSpaceDE w:val="0"/>
        <w:autoSpaceDN w:val="0"/>
        <w:bidi w:val="0"/>
        <w:adjustRightInd w:val="0"/>
        <w:spacing w:line="420" w:lineRule="exact"/>
        <w:ind w:right="-34" w:rightChars="-16"/>
        <w:jc w:val="left"/>
        <w:outlineLvl w:val="1"/>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 开标</w:t>
      </w:r>
      <w:bookmarkEnd w:id="427"/>
      <w:bookmarkEnd w:id="428"/>
      <w:bookmarkEnd w:id="429"/>
      <w:bookmarkEnd w:id="430"/>
      <w:bookmarkEnd w:id="431"/>
      <w:bookmarkEnd w:id="432"/>
      <w:bookmarkEnd w:id="433"/>
      <w:bookmarkEnd w:id="434"/>
      <w:bookmarkEnd w:id="435"/>
      <w:bookmarkEnd w:id="436"/>
      <w:bookmarkEnd w:id="437"/>
    </w:p>
    <w:p w14:paraId="03BD5AFC">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438" w:name="_Toc23922"/>
      <w:r>
        <w:rPr>
          <w:rFonts w:hint="eastAsia" w:ascii="宋体" w:hAnsi="宋体" w:eastAsia="宋体" w:cs="宋体"/>
          <w:b/>
          <w:bCs/>
          <w:color w:val="auto"/>
          <w:kern w:val="0"/>
          <w:sz w:val="24"/>
          <w:szCs w:val="24"/>
          <w:highlight w:val="none"/>
        </w:rPr>
        <w:t>5.1</w:t>
      </w:r>
      <w:r>
        <w:rPr>
          <w:rFonts w:hint="eastAsia" w:ascii="宋体" w:hAnsi="宋体" w:eastAsia="宋体" w:cs="宋体"/>
          <w:b/>
          <w:bCs/>
          <w:color w:val="auto"/>
          <w:kern w:val="0"/>
          <w:sz w:val="24"/>
          <w:szCs w:val="24"/>
          <w:highlight w:val="none"/>
          <w:lang w:val="en-US" w:eastAsia="zh-CN"/>
        </w:rPr>
        <w:t xml:space="preserve"> </w:t>
      </w:r>
      <w:r>
        <w:rPr>
          <w:rFonts w:hint="eastAsia" w:ascii="宋体" w:hAnsi="宋体" w:eastAsia="宋体" w:cs="宋体"/>
          <w:b/>
          <w:bCs/>
          <w:color w:val="auto"/>
          <w:kern w:val="0"/>
          <w:sz w:val="24"/>
          <w:szCs w:val="24"/>
          <w:highlight w:val="none"/>
        </w:rPr>
        <w:t>开标的时间、地点和要求</w:t>
      </w:r>
      <w:bookmarkEnd w:id="438"/>
    </w:p>
    <w:p w14:paraId="728CDEC4">
      <w:pPr>
        <w:pageBreakBefore w:val="0"/>
        <w:kinsoku/>
        <w:wordWrap w:val="0"/>
        <w:overflowPunct/>
        <w:topLinePunct w:val="0"/>
        <w:bidi w:val="0"/>
        <w:spacing w:line="420" w:lineRule="exact"/>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招标人在本章第4.2.1项规定的投标截止时间（开标时间），通过电子招标投标交易平台公开开标，所有投标人的法定代表人或其委托代理人应当准时参加。</w:t>
      </w:r>
    </w:p>
    <w:p w14:paraId="3673C550">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5.2  开标程序</w:t>
      </w:r>
    </w:p>
    <w:p w14:paraId="5389BD34">
      <w:pPr>
        <w:pageBreakBefore w:val="0"/>
        <w:kinsoku/>
        <w:wordWrap w:val="0"/>
        <w:overflowPunct/>
        <w:topLinePunct w:val="0"/>
        <w:autoSpaceDE w:val="0"/>
        <w:autoSpaceDN w:val="0"/>
        <w:bidi w:val="0"/>
        <w:adjustRightInd w:val="0"/>
        <w:spacing w:line="420" w:lineRule="exact"/>
        <w:ind w:firstLine="315" w:firstLineChars="150"/>
        <w:jc w:val="left"/>
        <w:outlineLvl w:val="9"/>
        <w:rPr>
          <w:rFonts w:hint="eastAsia" w:ascii="宋体" w:hAnsi="宋体" w:eastAsia="宋体" w:cs="宋体"/>
          <w:color w:val="auto"/>
          <w:highlight w:val="none"/>
        </w:rPr>
      </w:pPr>
      <w:bookmarkStart w:id="439" w:name="_Toc227492249"/>
      <w:bookmarkStart w:id="440" w:name="_Toc228881166"/>
      <w:bookmarkStart w:id="441" w:name="_Toc214433892"/>
      <w:bookmarkStart w:id="442" w:name="_Toc228337103"/>
      <w:bookmarkStart w:id="443" w:name="_Toc272772579"/>
      <w:bookmarkStart w:id="444" w:name="_Toc228591662"/>
      <w:bookmarkStart w:id="445" w:name="_Toc227657492"/>
      <w:bookmarkStart w:id="446" w:name="_Toc228589168"/>
      <w:bookmarkStart w:id="447" w:name="_Toc228591514"/>
      <w:r>
        <w:rPr>
          <w:rFonts w:hint="eastAsia" w:ascii="宋体" w:hAnsi="宋体" w:eastAsia="宋体" w:cs="宋体"/>
          <w:color w:val="auto"/>
          <w:highlight w:val="none"/>
        </w:rPr>
        <w:t>5.2.1 主持人按下列程序进行开标：</w:t>
      </w:r>
    </w:p>
    <w:p w14:paraId="2262F431">
      <w:pPr>
        <w:pageBreakBefore w:val="0"/>
        <w:kinsoku/>
        <w:wordWrap w:val="0"/>
        <w:overflowPunct/>
        <w:topLinePunct w:val="0"/>
        <w:autoSpaceDE w:val="0"/>
        <w:autoSpaceDN w:val="0"/>
        <w:bidi w:val="0"/>
        <w:adjustRightInd w:val="0"/>
        <w:spacing w:line="420" w:lineRule="exact"/>
        <w:ind w:firstLine="315" w:firstLineChars="15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（1）宣布开标纪律；</w:t>
      </w:r>
    </w:p>
    <w:p w14:paraId="3C4F7225">
      <w:pPr>
        <w:pageBreakBefore w:val="0"/>
        <w:kinsoku/>
        <w:wordWrap w:val="0"/>
        <w:overflowPunct/>
        <w:topLinePunct w:val="0"/>
        <w:autoSpaceDE w:val="0"/>
        <w:autoSpaceDN w:val="0"/>
        <w:bidi w:val="0"/>
        <w:adjustRightInd w:val="0"/>
        <w:spacing w:line="420" w:lineRule="exact"/>
        <w:ind w:firstLine="315" w:firstLineChars="15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（2）公布在投标截止时间前递交投标文件的投标人名称；</w:t>
      </w:r>
    </w:p>
    <w:p w14:paraId="468575EF">
      <w:pPr>
        <w:pageBreakBefore w:val="0"/>
        <w:kinsoku/>
        <w:wordWrap w:val="0"/>
        <w:overflowPunct/>
        <w:topLinePunct w:val="0"/>
        <w:autoSpaceDE w:val="0"/>
        <w:autoSpaceDN w:val="0"/>
        <w:bidi w:val="0"/>
        <w:adjustRightInd w:val="0"/>
        <w:spacing w:line="420" w:lineRule="exact"/>
        <w:ind w:firstLine="315" w:firstLineChars="15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投标人通过电子招标投标交易平台对已递交的电子投标文件进行解密，因投标人原因造成投标文件未能解密的，视为撤销其投标文件；因投标人之外的原因造成投标文件未解密的，视为撤回其投标文件，投标人有权要求责任方赔偿因此遭受的直接损失。部分投标文件未解密的，其他投标文件的开标继续进行；</w:t>
      </w:r>
    </w:p>
    <w:p w14:paraId="48663B85">
      <w:pPr>
        <w:pageBreakBefore w:val="0"/>
        <w:kinsoku/>
        <w:wordWrap w:val="0"/>
        <w:overflowPunct/>
        <w:topLinePunct w:val="0"/>
        <w:autoSpaceDE w:val="0"/>
        <w:autoSpaceDN w:val="0"/>
        <w:bidi w:val="0"/>
        <w:adjustRightInd w:val="0"/>
        <w:spacing w:line="420" w:lineRule="exact"/>
        <w:ind w:firstLine="315" w:firstLineChars="15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（4）公布招标项目名称、投标人名称、投标保证金的递交情况、投标报价、项目经理、工期及其他内容；</w:t>
      </w:r>
    </w:p>
    <w:p w14:paraId="345448BA">
      <w:pPr>
        <w:pageBreakBefore w:val="0"/>
        <w:kinsoku/>
        <w:wordWrap w:val="0"/>
        <w:overflowPunct/>
        <w:topLinePunct w:val="0"/>
        <w:autoSpaceDE w:val="0"/>
        <w:autoSpaceDN w:val="0"/>
        <w:bidi w:val="0"/>
        <w:adjustRightInd w:val="0"/>
        <w:spacing w:line="420" w:lineRule="exact"/>
        <w:ind w:firstLine="315" w:firstLineChars="15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（5）开标结束，生成开标记录；</w:t>
      </w:r>
    </w:p>
    <w:p w14:paraId="0D7EEFBE">
      <w:pPr>
        <w:pageBreakBefore w:val="0"/>
        <w:kinsoku/>
        <w:wordWrap w:val="0"/>
        <w:overflowPunct/>
        <w:topLinePunct w:val="0"/>
        <w:autoSpaceDE w:val="0"/>
        <w:autoSpaceDN w:val="0"/>
        <w:bidi w:val="0"/>
        <w:adjustRightInd w:val="0"/>
        <w:spacing w:line="420" w:lineRule="exact"/>
        <w:ind w:firstLine="315" w:firstLineChars="15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（6）招标人或招标代理机构按投标人须知前附表规定查询相关信息。</w:t>
      </w:r>
    </w:p>
    <w:p w14:paraId="3304FA91">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5.3 开标异议</w:t>
      </w:r>
    </w:p>
    <w:p w14:paraId="5C333933">
      <w:pPr>
        <w:pageBreakBefore w:val="0"/>
        <w:kinsoku/>
        <w:wordWrap w:val="0"/>
        <w:overflowPunct/>
        <w:topLinePunct w:val="0"/>
        <w:bidi w:val="0"/>
        <w:spacing w:line="420" w:lineRule="exact"/>
        <w:ind w:firstLine="359" w:firstLineChars="171"/>
        <w:outlineLvl w:val="9"/>
        <w:rPr>
          <w:rFonts w:hint="eastAsia" w:ascii="宋体" w:hAnsi="宋体" w:eastAsia="宋体" w:cs="宋体"/>
          <w:color w:val="auto"/>
          <w:highlight w:val="none"/>
        </w:rPr>
      </w:pPr>
      <w:r>
        <w:rPr>
          <w:rFonts w:hint="eastAsia" w:ascii="宋体" w:hAnsi="宋体" w:eastAsia="宋体" w:cs="宋体"/>
          <w:color w:val="auto"/>
          <w:highlight w:val="none"/>
        </w:rPr>
        <w:t>投标人对开标有异议的，可在开标期间通过不见面开标大厅进行网上提问，招标人当场作出答复。</w:t>
      </w:r>
    </w:p>
    <w:p w14:paraId="3B8F9755">
      <w:pPr>
        <w:pStyle w:val="87"/>
        <w:pageBreakBefore w:val="0"/>
        <w:kinsoku/>
        <w:wordWrap w:val="0"/>
        <w:overflowPunct/>
        <w:topLinePunct w:val="0"/>
        <w:bidi w:val="0"/>
        <w:spacing w:line="420" w:lineRule="exact"/>
        <w:ind w:right="-34" w:rightChars="-16"/>
        <w:outlineLvl w:val="1"/>
        <w:rPr>
          <w:rFonts w:hint="eastAsia" w:ascii="宋体" w:hAnsi="宋体" w:eastAsia="宋体" w:cs="宋体"/>
          <w:b/>
          <w:bCs/>
          <w:color w:val="auto"/>
          <w:szCs w:val="24"/>
          <w:highlight w:val="none"/>
        </w:rPr>
      </w:pPr>
      <w:bookmarkStart w:id="448" w:name="_Toc21687"/>
      <w:bookmarkStart w:id="449" w:name="_Toc30660"/>
      <w:r>
        <w:rPr>
          <w:rFonts w:hint="eastAsia" w:ascii="宋体" w:hAnsi="宋体" w:eastAsia="宋体" w:cs="宋体"/>
          <w:b/>
          <w:bCs/>
          <w:color w:val="auto"/>
          <w:szCs w:val="24"/>
          <w:highlight w:val="none"/>
        </w:rPr>
        <w:t>6. 评标</w:t>
      </w:r>
      <w:bookmarkEnd w:id="439"/>
      <w:bookmarkEnd w:id="440"/>
      <w:bookmarkEnd w:id="441"/>
      <w:bookmarkEnd w:id="442"/>
      <w:bookmarkEnd w:id="443"/>
      <w:bookmarkEnd w:id="444"/>
      <w:bookmarkEnd w:id="445"/>
      <w:bookmarkEnd w:id="446"/>
      <w:bookmarkEnd w:id="447"/>
      <w:bookmarkEnd w:id="448"/>
      <w:bookmarkEnd w:id="449"/>
    </w:p>
    <w:p w14:paraId="43A51487">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450" w:name="_Toc228591663"/>
      <w:bookmarkStart w:id="451" w:name="_Toc272772580"/>
      <w:bookmarkStart w:id="452" w:name="_Toc228881167"/>
      <w:bookmarkStart w:id="453" w:name="_Toc228589169"/>
      <w:bookmarkStart w:id="454" w:name="_Toc228337104"/>
      <w:bookmarkStart w:id="455" w:name="_Toc228591515"/>
      <w:bookmarkStart w:id="456" w:name="_Toc227657493"/>
      <w:bookmarkStart w:id="457" w:name="_Toc214433893"/>
      <w:bookmarkStart w:id="458" w:name="_Toc227492250"/>
      <w:bookmarkStart w:id="459" w:name="_Toc20474"/>
      <w:r>
        <w:rPr>
          <w:rFonts w:hint="eastAsia" w:ascii="宋体" w:hAnsi="宋体" w:eastAsia="宋体" w:cs="宋体"/>
          <w:b/>
          <w:bCs/>
          <w:color w:val="auto"/>
          <w:kern w:val="0"/>
          <w:sz w:val="24"/>
          <w:szCs w:val="24"/>
          <w:highlight w:val="none"/>
        </w:rPr>
        <w:t>6.1 评标委员会</w:t>
      </w:r>
      <w:bookmarkEnd w:id="450"/>
      <w:bookmarkEnd w:id="451"/>
      <w:bookmarkEnd w:id="452"/>
      <w:bookmarkEnd w:id="453"/>
      <w:bookmarkEnd w:id="454"/>
      <w:bookmarkEnd w:id="455"/>
      <w:bookmarkEnd w:id="456"/>
      <w:bookmarkEnd w:id="457"/>
      <w:bookmarkEnd w:id="458"/>
      <w:bookmarkEnd w:id="459"/>
    </w:p>
    <w:p w14:paraId="5795493E">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kern w:val="0"/>
          <w:szCs w:val="21"/>
          <w:highlight w:val="none"/>
        </w:rPr>
        <w:t>6.1.1</w:t>
      </w:r>
      <w:r>
        <w:rPr>
          <w:rFonts w:hint="eastAsia" w:ascii="宋体" w:hAnsi="宋体" w:eastAsia="宋体" w:cs="宋体"/>
          <w:color w:val="auto"/>
          <w:highlight w:val="none"/>
        </w:rPr>
        <w:t>评标由招标人依法组建的评标委员会负责。评标委员会由有关技术、经济等方面的专家组成。评标委员会成员人数以及技术、经济等方面专家的确定方式见投标人须知前附表。</w:t>
      </w:r>
    </w:p>
    <w:p w14:paraId="37C7D6B3">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6.1.2 评标委员会成员有下列情形之一的，应当回避：</w:t>
      </w:r>
    </w:p>
    <w:p w14:paraId="32687332">
      <w:pPr>
        <w:pageBreakBefore w:val="0"/>
        <w:kinsoku/>
        <w:wordWrap w:val="0"/>
        <w:overflowPunct/>
        <w:topLinePunct w:val="0"/>
        <w:autoSpaceDE w:val="0"/>
        <w:autoSpaceDN w:val="0"/>
        <w:bidi w:val="0"/>
        <w:adjustRightInd w:val="0"/>
        <w:spacing w:line="420" w:lineRule="exact"/>
        <w:ind w:right="-34" w:rightChars="-16" w:firstLine="462" w:firstLineChars="22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（1）投标人或者投标人主要负责人的近亲属；</w:t>
      </w:r>
    </w:p>
    <w:p w14:paraId="3746884B">
      <w:pPr>
        <w:pageBreakBefore w:val="0"/>
        <w:kinsoku/>
        <w:wordWrap w:val="0"/>
        <w:overflowPunct/>
        <w:topLinePunct w:val="0"/>
        <w:autoSpaceDE w:val="0"/>
        <w:autoSpaceDN w:val="0"/>
        <w:bidi w:val="0"/>
        <w:adjustRightInd w:val="0"/>
        <w:spacing w:line="420" w:lineRule="exact"/>
        <w:ind w:right="-34" w:rightChars="-16" w:firstLine="462" w:firstLineChars="22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（2）项目主管部门或者对该项目有监督职责的行政主管部门的工作人员；</w:t>
      </w:r>
    </w:p>
    <w:p w14:paraId="07070D44">
      <w:pPr>
        <w:pageBreakBefore w:val="0"/>
        <w:kinsoku/>
        <w:wordWrap w:val="0"/>
        <w:overflowPunct/>
        <w:topLinePunct w:val="0"/>
        <w:autoSpaceDE w:val="0"/>
        <w:autoSpaceDN w:val="0"/>
        <w:bidi w:val="0"/>
        <w:adjustRightInd w:val="0"/>
        <w:spacing w:line="420" w:lineRule="exact"/>
        <w:ind w:right="-34" w:rightChars="-16" w:firstLine="462" w:firstLineChars="22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（3）与投标人有经济利益等利害关系，可能影响公正评审的；</w:t>
      </w:r>
    </w:p>
    <w:p w14:paraId="5E55B625">
      <w:pPr>
        <w:pageBreakBefore w:val="0"/>
        <w:kinsoku/>
        <w:wordWrap w:val="0"/>
        <w:overflowPunct/>
        <w:topLinePunct w:val="0"/>
        <w:autoSpaceDE w:val="0"/>
        <w:autoSpaceDN w:val="0"/>
        <w:bidi w:val="0"/>
        <w:adjustRightInd w:val="0"/>
        <w:spacing w:line="420" w:lineRule="exact"/>
        <w:ind w:right="-34" w:rightChars="-16" w:firstLine="462" w:firstLineChars="22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（4）曾因在招标、评标以及其他与招标投标有关活动中从事违法行为而受过行政处罚或刑事处罚的；</w:t>
      </w:r>
    </w:p>
    <w:p w14:paraId="0FFBF0BC">
      <w:pPr>
        <w:pageBreakBefore w:val="0"/>
        <w:kinsoku/>
        <w:wordWrap w:val="0"/>
        <w:overflowPunct/>
        <w:topLinePunct w:val="0"/>
        <w:autoSpaceDE w:val="0"/>
        <w:autoSpaceDN w:val="0"/>
        <w:bidi w:val="0"/>
        <w:adjustRightInd w:val="0"/>
        <w:spacing w:line="420" w:lineRule="exact"/>
        <w:ind w:right="-34" w:rightChars="-16" w:firstLine="462" w:firstLineChars="220"/>
        <w:jc w:val="left"/>
        <w:outlineLvl w:val="9"/>
        <w:rPr>
          <w:rFonts w:hint="eastAsia" w:ascii="宋体" w:hAnsi="宋体" w:eastAsia="宋体" w:cs="宋体"/>
          <w:color w:val="auto"/>
          <w:kern w:val="0"/>
          <w:szCs w:val="21"/>
          <w:highlight w:val="none"/>
        </w:rPr>
      </w:pPr>
      <w:bookmarkStart w:id="460" w:name="OLE_LINK13"/>
      <w:bookmarkStart w:id="461" w:name="OLE_LINK12"/>
      <w:r>
        <w:rPr>
          <w:rFonts w:hint="eastAsia" w:ascii="宋体" w:hAnsi="宋体" w:eastAsia="宋体" w:cs="宋体"/>
          <w:color w:val="auto"/>
          <w:kern w:val="0"/>
          <w:szCs w:val="21"/>
          <w:highlight w:val="none"/>
        </w:rPr>
        <w:t>（5）</w:t>
      </w:r>
      <w:bookmarkEnd w:id="460"/>
      <w:bookmarkEnd w:id="461"/>
      <w:r>
        <w:rPr>
          <w:rFonts w:hint="eastAsia" w:ascii="宋体" w:hAnsi="宋体" w:eastAsia="宋体" w:cs="宋体"/>
          <w:color w:val="auto"/>
          <w:kern w:val="0"/>
          <w:szCs w:val="21"/>
          <w:highlight w:val="none"/>
        </w:rPr>
        <w:t>招标项目代理机构的在职人员</w:t>
      </w:r>
      <w:r>
        <w:rPr>
          <w:rFonts w:hint="eastAsia" w:ascii="宋体" w:hAnsi="宋体" w:eastAsia="宋体" w:cs="宋体"/>
          <w:color w:val="auto"/>
          <w:kern w:val="0"/>
          <w:szCs w:val="21"/>
          <w:highlight w:val="none"/>
          <w:lang w:val="en-US" w:eastAsia="zh-CN"/>
        </w:rPr>
        <w:t>作为评标专家的</w:t>
      </w:r>
      <w:r>
        <w:rPr>
          <w:rFonts w:hint="eastAsia" w:ascii="宋体" w:hAnsi="宋体" w:eastAsia="宋体" w:cs="宋体"/>
          <w:color w:val="auto"/>
          <w:kern w:val="0"/>
          <w:szCs w:val="21"/>
          <w:highlight w:val="none"/>
        </w:rPr>
        <w:t>；</w:t>
      </w:r>
    </w:p>
    <w:p w14:paraId="7787A24E">
      <w:pPr>
        <w:pageBreakBefore w:val="0"/>
        <w:kinsoku/>
        <w:wordWrap w:val="0"/>
        <w:overflowPunct/>
        <w:topLinePunct w:val="0"/>
        <w:autoSpaceDE w:val="0"/>
        <w:autoSpaceDN w:val="0"/>
        <w:bidi w:val="0"/>
        <w:adjustRightInd w:val="0"/>
        <w:spacing w:line="420" w:lineRule="exact"/>
        <w:ind w:right="-34" w:rightChars="-16" w:firstLine="462" w:firstLineChars="22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（6）法律法规和规章规定的其他情形。</w:t>
      </w:r>
    </w:p>
    <w:p w14:paraId="37128E1E">
      <w:pPr>
        <w:pageBreakBefore w:val="0"/>
        <w:kinsoku/>
        <w:wordWrap w:val="0"/>
        <w:overflowPunct/>
        <w:topLinePunct w:val="0"/>
        <w:autoSpaceDE w:val="0"/>
        <w:autoSpaceDN w:val="0"/>
        <w:bidi w:val="0"/>
        <w:adjustRightInd w:val="0"/>
        <w:spacing w:line="420" w:lineRule="exact"/>
        <w:ind w:right="-34" w:rightChars="-16" w:firstLine="462" w:firstLineChars="22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5249A11E">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462" w:name="_Toc272772581"/>
      <w:bookmarkStart w:id="463" w:name="_Toc227492251"/>
      <w:bookmarkStart w:id="464" w:name="_Toc228589170"/>
      <w:bookmarkStart w:id="465" w:name="_Toc228591516"/>
      <w:bookmarkStart w:id="466" w:name="_Toc227657494"/>
      <w:bookmarkStart w:id="467" w:name="_Toc228881168"/>
      <w:bookmarkStart w:id="468" w:name="_Toc214433894"/>
      <w:bookmarkStart w:id="469" w:name="_Toc19497"/>
      <w:bookmarkStart w:id="470" w:name="_Toc228591664"/>
      <w:bookmarkStart w:id="471" w:name="_Toc228337105"/>
      <w:r>
        <w:rPr>
          <w:rFonts w:hint="eastAsia" w:ascii="宋体" w:hAnsi="宋体" w:eastAsia="宋体" w:cs="宋体"/>
          <w:b/>
          <w:bCs/>
          <w:color w:val="auto"/>
          <w:kern w:val="0"/>
          <w:sz w:val="24"/>
          <w:szCs w:val="24"/>
          <w:highlight w:val="none"/>
        </w:rPr>
        <w:t>6.2 评标原则</w:t>
      </w:r>
      <w:bookmarkEnd w:id="462"/>
      <w:bookmarkEnd w:id="463"/>
      <w:bookmarkEnd w:id="464"/>
      <w:bookmarkEnd w:id="465"/>
      <w:bookmarkEnd w:id="466"/>
      <w:bookmarkEnd w:id="467"/>
      <w:bookmarkEnd w:id="468"/>
      <w:bookmarkEnd w:id="469"/>
      <w:bookmarkEnd w:id="470"/>
      <w:bookmarkEnd w:id="471"/>
    </w:p>
    <w:p w14:paraId="0F123449">
      <w:pPr>
        <w:pageBreakBefore w:val="0"/>
        <w:kinsoku/>
        <w:wordWrap w:val="0"/>
        <w:overflowPunct/>
        <w:topLinePunct w:val="0"/>
        <w:autoSpaceDE w:val="0"/>
        <w:autoSpaceDN w:val="0"/>
        <w:bidi w:val="0"/>
        <w:adjustRightInd w:val="0"/>
        <w:spacing w:line="420" w:lineRule="exact"/>
        <w:ind w:right="-34" w:rightChars="-16" w:firstLine="525" w:firstLineChars="2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评标活动遵循公平、公正、科学和择优的原则。</w:t>
      </w:r>
    </w:p>
    <w:p w14:paraId="64030BA0">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472" w:name="_Toc228591665"/>
      <w:bookmarkStart w:id="473" w:name="_Toc227492252"/>
      <w:bookmarkStart w:id="474" w:name="_Toc272772582"/>
      <w:bookmarkStart w:id="475" w:name="_Toc228337106"/>
      <w:bookmarkStart w:id="476" w:name="_Toc228589171"/>
      <w:bookmarkStart w:id="477" w:name="_Toc228881169"/>
      <w:bookmarkStart w:id="478" w:name="_Toc214433895"/>
      <w:bookmarkStart w:id="479" w:name="_Toc228591517"/>
      <w:bookmarkStart w:id="480" w:name="_Toc227657495"/>
      <w:bookmarkStart w:id="481" w:name="_Toc6691"/>
      <w:r>
        <w:rPr>
          <w:rFonts w:hint="eastAsia" w:ascii="宋体" w:hAnsi="宋体" w:eastAsia="宋体" w:cs="宋体"/>
          <w:b/>
          <w:bCs/>
          <w:color w:val="auto"/>
          <w:kern w:val="0"/>
          <w:sz w:val="24"/>
          <w:szCs w:val="24"/>
          <w:highlight w:val="none"/>
        </w:rPr>
        <w:t>6.3 评标</w:t>
      </w:r>
      <w:bookmarkEnd w:id="472"/>
      <w:bookmarkEnd w:id="473"/>
      <w:bookmarkEnd w:id="474"/>
      <w:bookmarkEnd w:id="475"/>
      <w:bookmarkEnd w:id="476"/>
      <w:bookmarkEnd w:id="477"/>
      <w:bookmarkEnd w:id="478"/>
      <w:bookmarkEnd w:id="479"/>
      <w:bookmarkEnd w:id="480"/>
      <w:bookmarkEnd w:id="481"/>
    </w:p>
    <w:p w14:paraId="3409DD51">
      <w:pPr>
        <w:pageBreakBefore w:val="0"/>
        <w:kinsoku/>
        <w:wordWrap w:val="0"/>
        <w:overflowPunct/>
        <w:topLinePunct w:val="0"/>
        <w:autoSpaceDE w:val="0"/>
        <w:autoSpaceDN w:val="0"/>
        <w:bidi w:val="0"/>
        <w:adjustRightInd w:val="0"/>
        <w:spacing w:line="420" w:lineRule="exact"/>
        <w:ind w:right="-34" w:rightChars="-16" w:firstLine="315" w:firstLineChars="1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6.3.1评标委员会按照第三章“评标办法”规定的方法、评审因素、标准和程序对投标文件进行评审。第三章“评标办法”没有规定的方法、评审因素和标准，不作为评标依据。</w:t>
      </w:r>
    </w:p>
    <w:p w14:paraId="4C734369">
      <w:pPr>
        <w:pageBreakBefore w:val="0"/>
        <w:kinsoku/>
        <w:wordWrap w:val="0"/>
        <w:overflowPunct/>
        <w:topLinePunct w:val="0"/>
        <w:autoSpaceDE w:val="0"/>
        <w:autoSpaceDN w:val="0"/>
        <w:bidi w:val="0"/>
        <w:adjustRightInd w:val="0"/>
        <w:spacing w:line="420" w:lineRule="exact"/>
        <w:ind w:right="-34" w:rightChars="-16" w:firstLine="315" w:firstLineChars="150"/>
        <w:jc w:val="left"/>
        <w:outlineLvl w:val="9"/>
        <w:rPr>
          <w:rFonts w:hint="eastAsia" w:ascii="宋体" w:hAnsi="宋体" w:eastAsia="宋体" w:cs="宋体"/>
          <w:color w:val="auto"/>
          <w:kern w:val="0"/>
          <w:szCs w:val="21"/>
          <w:highlight w:val="none"/>
        </w:rPr>
      </w:pPr>
      <w:bookmarkStart w:id="482" w:name="_Toc25085"/>
      <w:bookmarkStart w:id="483" w:name="_Toc30400"/>
      <w:bookmarkStart w:id="484" w:name="_Toc48292864"/>
      <w:bookmarkStart w:id="485" w:name="_Toc17116"/>
      <w:r>
        <w:rPr>
          <w:rFonts w:hint="eastAsia" w:ascii="宋体" w:hAnsi="宋体" w:eastAsia="宋体" w:cs="宋体"/>
          <w:color w:val="auto"/>
          <w:kern w:val="0"/>
          <w:szCs w:val="21"/>
          <w:highlight w:val="none"/>
        </w:rPr>
        <w:t>6.3.2 评标完成后，评标委员会应当向招标人提交书面评标报告和中标候选人名单。评标委员会推荐中标候选人的人数见投标人须知前附表。</w:t>
      </w:r>
    </w:p>
    <w:p w14:paraId="260FF7B7">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486" w:name="_Toc23337"/>
      <w:bookmarkStart w:id="487" w:name="_Toc8608"/>
      <w:bookmarkStart w:id="488" w:name="_Toc23693"/>
      <w:bookmarkStart w:id="489" w:name="_Toc34"/>
      <w:bookmarkStart w:id="490" w:name="_Toc19500"/>
      <w:bookmarkStart w:id="491" w:name="_Toc13993"/>
      <w:bookmarkStart w:id="492" w:name="_Toc3027"/>
      <w:bookmarkStart w:id="493" w:name="_Toc14335"/>
      <w:bookmarkStart w:id="494" w:name="_Toc2687"/>
      <w:bookmarkStart w:id="495" w:name="_Toc2591"/>
      <w:bookmarkStart w:id="496" w:name="_Toc10529"/>
      <w:bookmarkStart w:id="497" w:name="_Toc14652"/>
      <w:bookmarkStart w:id="498" w:name="_Toc32134"/>
      <w:bookmarkStart w:id="499" w:name="_Toc31403"/>
      <w:bookmarkStart w:id="500" w:name="_Toc17673"/>
      <w:bookmarkStart w:id="501" w:name="_Toc29516"/>
      <w:bookmarkStart w:id="502" w:name="_Toc26676"/>
      <w:bookmarkStart w:id="503" w:name="_Toc23272"/>
      <w:bookmarkStart w:id="504" w:name="_Toc7854"/>
      <w:bookmarkStart w:id="505" w:name="_Toc3799"/>
      <w:r>
        <w:rPr>
          <w:rFonts w:hint="eastAsia" w:ascii="宋体" w:hAnsi="宋体" w:eastAsia="宋体" w:cs="宋体"/>
          <w:b/>
          <w:bCs/>
          <w:color w:val="auto"/>
          <w:kern w:val="0"/>
          <w:sz w:val="24"/>
          <w:szCs w:val="24"/>
          <w:highlight w:val="none"/>
        </w:rPr>
        <w:t>6.4 评标报告审查</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1CE83F4A">
      <w:pPr>
        <w:pageBreakBefore w:val="0"/>
        <w:kinsoku/>
        <w:wordWrap w:val="0"/>
        <w:overflowPunct/>
        <w:topLinePunct w:val="0"/>
        <w:autoSpaceDE w:val="0"/>
        <w:autoSpaceDN w:val="0"/>
        <w:bidi w:val="0"/>
        <w:adjustRightInd w:val="0"/>
        <w:spacing w:line="420" w:lineRule="exact"/>
        <w:ind w:right="-34" w:rightChars="-16" w:firstLine="315" w:firstLineChars="15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人在发布中标候选人公示前应当对评标委员会提交的书面评标报告进行审查，发现异常情形的，依照法定程序进行复核，确认存在问题的，依照法定程序予以纠正。重点关注评标委员会是否按照招标文件规定的评标标准和方法进行评标；是否存在对客观评审因素评分不一致，或者评分畸高、畸低现象；是否对可能低于成本或者影响履约的异常低价投标和严重不平衡报价进行分析研判；是否依法通知投标人进行澄清、说明；是否存在随意否决投标的情况。</w:t>
      </w:r>
      <w:bookmarkEnd w:id="482"/>
      <w:bookmarkEnd w:id="483"/>
      <w:bookmarkEnd w:id="484"/>
      <w:bookmarkEnd w:id="485"/>
    </w:p>
    <w:p w14:paraId="107375F8">
      <w:pPr>
        <w:pStyle w:val="87"/>
        <w:pageBreakBefore w:val="0"/>
        <w:kinsoku/>
        <w:wordWrap w:val="0"/>
        <w:overflowPunct/>
        <w:topLinePunct w:val="0"/>
        <w:bidi w:val="0"/>
        <w:spacing w:line="420" w:lineRule="exact"/>
        <w:ind w:right="-34" w:rightChars="-16"/>
        <w:jc w:val="both"/>
        <w:outlineLvl w:val="1"/>
        <w:rPr>
          <w:rFonts w:hint="eastAsia" w:ascii="宋体" w:hAnsi="宋体" w:eastAsia="宋体" w:cs="宋体"/>
          <w:b/>
          <w:bCs/>
          <w:color w:val="auto"/>
          <w:szCs w:val="24"/>
          <w:highlight w:val="none"/>
        </w:rPr>
      </w:pPr>
      <w:bookmarkStart w:id="506" w:name="_Toc228591666"/>
      <w:bookmarkStart w:id="507" w:name="_Toc850"/>
      <w:bookmarkStart w:id="508" w:name="_Toc214433896"/>
      <w:bookmarkStart w:id="509" w:name="_Toc228337107"/>
      <w:bookmarkStart w:id="510" w:name="_Toc272772583"/>
      <w:bookmarkStart w:id="511" w:name="_Toc227492253"/>
      <w:bookmarkStart w:id="512" w:name="_Toc228881170"/>
      <w:bookmarkStart w:id="513" w:name="_Toc228591518"/>
      <w:bookmarkStart w:id="514" w:name="_Toc228589172"/>
      <w:bookmarkStart w:id="515" w:name="_Toc227657496"/>
      <w:bookmarkStart w:id="516" w:name="_Toc28350"/>
      <w:r>
        <w:rPr>
          <w:rFonts w:hint="eastAsia" w:ascii="宋体" w:hAnsi="宋体" w:eastAsia="宋体" w:cs="宋体"/>
          <w:b/>
          <w:bCs/>
          <w:color w:val="auto"/>
          <w:szCs w:val="24"/>
          <w:highlight w:val="none"/>
        </w:rPr>
        <w:t>7. 合同授予</w:t>
      </w:r>
      <w:bookmarkEnd w:id="506"/>
      <w:bookmarkEnd w:id="507"/>
      <w:bookmarkEnd w:id="508"/>
      <w:bookmarkEnd w:id="509"/>
      <w:bookmarkEnd w:id="510"/>
      <w:bookmarkEnd w:id="511"/>
      <w:bookmarkEnd w:id="512"/>
      <w:bookmarkEnd w:id="513"/>
      <w:bookmarkEnd w:id="514"/>
      <w:bookmarkEnd w:id="515"/>
      <w:bookmarkEnd w:id="516"/>
    </w:p>
    <w:p w14:paraId="6E5836C1">
      <w:pPr>
        <w:pStyle w:val="87"/>
        <w:pageBreakBefore w:val="0"/>
        <w:kinsoku/>
        <w:wordWrap w:val="0"/>
        <w:overflowPunct/>
        <w:topLinePunct w:val="0"/>
        <w:bidi w:val="0"/>
        <w:spacing w:line="420" w:lineRule="exact"/>
        <w:ind w:right="-34" w:rightChars="-16"/>
        <w:jc w:val="both"/>
        <w:outlineLvl w:val="9"/>
        <w:rPr>
          <w:rFonts w:hint="eastAsia" w:ascii="宋体" w:hAnsi="宋体" w:eastAsia="宋体" w:cs="宋体"/>
          <w:b/>
          <w:bCs/>
          <w:color w:val="auto"/>
          <w:szCs w:val="24"/>
          <w:highlight w:val="none"/>
        </w:rPr>
      </w:pPr>
      <w:bookmarkStart w:id="517" w:name="_Toc15970"/>
      <w:bookmarkStart w:id="518" w:name="_Toc214433904"/>
      <w:bookmarkStart w:id="519" w:name="_Toc228881178"/>
      <w:bookmarkStart w:id="520" w:name="_Toc228591674"/>
      <w:bookmarkStart w:id="521" w:name="_Toc228591526"/>
      <w:bookmarkStart w:id="522" w:name="_Toc228589180"/>
      <w:bookmarkStart w:id="523" w:name="_Toc227657504"/>
      <w:bookmarkStart w:id="524" w:name="_Toc272772591"/>
      <w:bookmarkStart w:id="525" w:name="_Toc31323"/>
      <w:bookmarkStart w:id="526" w:name="_Toc24685"/>
      <w:bookmarkStart w:id="527" w:name="_Toc228337115"/>
      <w:bookmarkStart w:id="528" w:name="_Toc227492261"/>
      <w:r>
        <w:rPr>
          <w:rFonts w:hint="eastAsia" w:ascii="宋体" w:hAnsi="宋体" w:eastAsia="宋体" w:cs="宋体"/>
          <w:b/>
          <w:bCs/>
          <w:color w:val="auto"/>
          <w:szCs w:val="24"/>
          <w:highlight w:val="none"/>
        </w:rPr>
        <w:t>7.1</w:t>
      </w:r>
      <w:r>
        <w:rPr>
          <w:rFonts w:hint="eastAsia" w:ascii="宋体" w:hAnsi="宋体" w:eastAsia="宋体" w:cs="宋体"/>
          <w:b/>
          <w:bCs/>
          <w:color w:val="auto"/>
          <w:szCs w:val="24"/>
          <w:highlight w:val="none"/>
          <w:lang w:val="en-US" w:eastAsia="zh-CN"/>
        </w:rPr>
        <w:t xml:space="preserve"> </w:t>
      </w:r>
      <w:r>
        <w:rPr>
          <w:rFonts w:hint="eastAsia" w:ascii="宋体" w:hAnsi="宋体" w:eastAsia="宋体" w:cs="宋体"/>
          <w:b/>
          <w:bCs/>
          <w:color w:val="auto"/>
          <w:szCs w:val="24"/>
          <w:highlight w:val="none"/>
        </w:rPr>
        <w:t>推荐中标候选人</w:t>
      </w:r>
      <w:bookmarkEnd w:id="517"/>
    </w:p>
    <w:p w14:paraId="2023079A">
      <w:pPr>
        <w:pageBreakBefore w:val="0"/>
        <w:kinsoku/>
        <w:wordWrap w:val="0"/>
        <w:overflowPunct/>
        <w:topLinePunct w:val="0"/>
        <w:autoSpaceDE w:val="0"/>
        <w:autoSpaceDN w:val="0"/>
        <w:bidi w:val="0"/>
        <w:adjustRightInd w:val="0"/>
        <w:spacing w:line="420" w:lineRule="exact"/>
        <w:ind w:right="-34" w:rightChars="-16" w:firstLine="315" w:firstLineChars="150"/>
        <w:jc w:val="left"/>
        <w:outlineLvl w:val="9"/>
        <w:rPr>
          <w:rFonts w:hint="eastAsia" w:ascii="宋体" w:hAnsi="宋体" w:eastAsia="宋体" w:cs="宋体"/>
          <w:color w:val="auto"/>
          <w:kern w:val="0"/>
          <w:szCs w:val="21"/>
          <w:highlight w:val="none"/>
          <w:lang w:eastAsia="zh-CN"/>
        </w:rPr>
      </w:pPr>
      <w:bookmarkStart w:id="529" w:name="_Toc21125"/>
      <w:bookmarkStart w:id="530" w:name="_Toc214433897"/>
      <w:bookmarkStart w:id="531" w:name="_Toc228591519"/>
      <w:bookmarkStart w:id="532" w:name="_Toc228337108"/>
      <w:bookmarkStart w:id="533" w:name="_Toc227492254"/>
      <w:bookmarkStart w:id="534" w:name="_Toc228589173"/>
      <w:bookmarkStart w:id="535" w:name="_Toc228591667"/>
      <w:bookmarkStart w:id="536" w:name="_Toc228881171"/>
      <w:bookmarkStart w:id="537" w:name="_Toc272772584"/>
      <w:bookmarkStart w:id="538" w:name="_Toc227657497"/>
      <w:r>
        <w:rPr>
          <w:rFonts w:hint="eastAsia" w:ascii="宋体" w:hAnsi="宋体" w:eastAsia="宋体" w:cs="宋体"/>
          <w:color w:val="auto"/>
          <w:kern w:val="0"/>
          <w:szCs w:val="21"/>
          <w:highlight w:val="none"/>
        </w:rPr>
        <w:t>按照本招标文件第三章评标办法要求推荐中标候选人</w:t>
      </w:r>
      <w:r>
        <w:rPr>
          <w:rFonts w:hint="eastAsia" w:ascii="宋体" w:hAnsi="宋体" w:eastAsia="宋体" w:cs="宋体"/>
          <w:color w:val="auto"/>
          <w:kern w:val="0"/>
          <w:szCs w:val="21"/>
          <w:highlight w:val="none"/>
          <w:lang w:eastAsia="zh-CN"/>
        </w:rPr>
        <w:t>。</w:t>
      </w:r>
    </w:p>
    <w:p w14:paraId="181E050C">
      <w:pPr>
        <w:pageBreakBefore w:val="0"/>
        <w:kinsoku/>
        <w:wordWrap w:val="0"/>
        <w:overflowPunct/>
        <w:topLinePunct w:val="0"/>
        <w:autoSpaceDE w:val="0"/>
        <w:autoSpaceDN w:val="0"/>
        <w:bidi w:val="0"/>
        <w:adjustRightInd w:val="0"/>
        <w:spacing w:line="420" w:lineRule="exact"/>
        <w:ind w:right="-34" w:rightChars="-16"/>
        <w:jc w:val="left"/>
        <w:outlineLvl w:val="9"/>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7.2</w:t>
      </w:r>
      <w:r>
        <w:rPr>
          <w:rFonts w:hint="eastAsia" w:ascii="宋体" w:hAnsi="宋体" w:eastAsia="宋体" w:cs="宋体"/>
          <w:b/>
          <w:bCs/>
          <w:color w:val="auto"/>
          <w:kern w:val="0"/>
          <w:sz w:val="24"/>
          <w:szCs w:val="24"/>
          <w:highlight w:val="none"/>
          <w:lang w:val="en-US" w:eastAsia="zh-CN"/>
        </w:rPr>
        <w:t xml:space="preserve"> </w:t>
      </w:r>
      <w:r>
        <w:rPr>
          <w:rFonts w:hint="eastAsia" w:ascii="宋体" w:hAnsi="宋体" w:eastAsia="宋体" w:cs="宋体"/>
          <w:b/>
          <w:bCs/>
          <w:color w:val="auto"/>
          <w:kern w:val="0"/>
          <w:sz w:val="24"/>
          <w:szCs w:val="24"/>
          <w:highlight w:val="none"/>
        </w:rPr>
        <w:t>中标候选人公示</w:t>
      </w:r>
      <w:bookmarkEnd w:id="529"/>
      <w:r>
        <w:rPr>
          <w:rFonts w:hint="eastAsia" w:ascii="宋体" w:hAnsi="宋体" w:eastAsia="宋体" w:cs="宋体"/>
          <w:b/>
          <w:bCs/>
          <w:color w:val="auto"/>
          <w:kern w:val="0"/>
          <w:sz w:val="24"/>
          <w:szCs w:val="24"/>
          <w:highlight w:val="none"/>
          <w:lang w:val="en-US" w:eastAsia="zh-CN"/>
        </w:rPr>
        <w:t>和现场考察</w:t>
      </w:r>
    </w:p>
    <w:p w14:paraId="691050F4">
      <w:pPr>
        <w:pStyle w:val="19"/>
        <w:pageBreakBefore w:val="0"/>
        <w:kinsoku/>
        <w:wordWrap w:val="0"/>
        <w:overflowPunct/>
        <w:topLinePunct w:val="0"/>
        <w:bidi w:val="0"/>
        <w:spacing w:after="0" w:line="420" w:lineRule="exact"/>
        <w:ind w:right="-34" w:rightChars="-16" w:firstLine="315" w:firstLineChars="150"/>
        <w:outlineLvl w:val="9"/>
        <w:rPr>
          <w:rFonts w:hint="eastAsia" w:ascii="宋体" w:hAnsi="宋体" w:eastAsia="宋体" w:cs="宋体"/>
          <w:color w:val="auto"/>
          <w:kern w:val="0"/>
          <w:sz w:val="21"/>
          <w:szCs w:val="21"/>
          <w:highlight w:val="none"/>
        </w:rPr>
      </w:pPr>
      <w:bookmarkStart w:id="539" w:name="_Toc14829"/>
      <w:r>
        <w:rPr>
          <w:rFonts w:hint="eastAsia" w:ascii="宋体" w:hAnsi="宋体" w:eastAsia="宋体" w:cs="宋体"/>
          <w:color w:val="auto"/>
          <w:kern w:val="0"/>
          <w:sz w:val="21"/>
          <w:szCs w:val="21"/>
          <w:highlight w:val="none"/>
          <w:lang w:val="en-US" w:eastAsia="zh-CN"/>
        </w:rPr>
        <w:t>7.2.1</w:t>
      </w:r>
      <w:r>
        <w:rPr>
          <w:rFonts w:hint="eastAsia" w:ascii="宋体" w:hAnsi="宋体" w:eastAsia="宋体" w:cs="宋体"/>
          <w:color w:val="auto"/>
          <w:kern w:val="0"/>
          <w:sz w:val="21"/>
          <w:szCs w:val="21"/>
          <w:highlight w:val="none"/>
        </w:rPr>
        <w:t>招标人</w:t>
      </w:r>
      <w:r>
        <w:rPr>
          <w:rFonts w:hint="eastAsia" w:ascii="宋体" w:hAnsi="宋体" w:eastAsia="宋体" w:cs="宋体"/>
          <w:color w:val="auto"/>
          <w:kern w:val="0"/>
          <w:sz w:val="21"/>
          <w:szCs w:val="21"/>
          <w:highlight w:val="none"/>
          <w:lang w:val="en-US" w:eastAsia="zh-CN"/>
        </w:rPr>
        <w:t>应当自</w:t>
      </w:r>
      <w:r>
        <w:rPr>
          <w:rFonts w:hint="eastAsia" w:ascii="宋体" w:hAnsi="宋体" w:eastAsia="宋体" w:cs="宋体"/>
          <w:color w:val="auto"/>
          <w:kern w:val="0"/>
          <w:sz w:val="21"/>
          <w:szCs w:val="21"/>
          <w:highlight w:val="none"/>
        </w:rPr>
        <w:t>收到评标报告</w:t>
      </w:r>
      <w:r>
        <w:rPr>
          <w:rFonts w:hint="eastAsia" w:ascii="宋体" w:hAnsi="宋体" w:eastAsia="宋体" w:cs="宋体"/>
          <w:color w:val="auto"/>
          <w:kern w:val="0"/>
          <w:sz w:val="21"/>
          <w:szCs w:val="21"/>
          <w:highlight w:val="none"/>
          <w:lang w:val="en-US" w:eastAsia="zh-CN"/>
        </w:rPr>
        <w:t>之日起</w:t>
      </w:r>
      <w:r>
        <w:rPr>
          <w:rFonts w:hint="eastAsia" w:ascii="宋体" w:hAnsi="宋体" w:eastAsia="宋体" w:cs="宋体"/>
          <w:color w:val="auto"/>
          <w:kern w:val="0"/>
          <w:sz w:val="21"/>
          <w:szCs w:val="21"/>
          <w:highlight w:val="none"/>
        </w:rPr>
        <w:t>3日内，按照投标人须知前附表10.5款规定的公示媒介和期限公示中标候选人，公示期不少于3日。中标候选人公示应当载明所有投标人情况、推荐的中标候选人情况(包括项目投标信息、管理人员信息、业绩信息等)、否决投标情况及原因、异议方式、监督电话及投诉方式等内容。</w:t>
      </w:r>
    </w:p>
    <w:p w14:paraId="1F3DC198">
      <w:pPr>
        <w:pStyle w:val="19"/>
        <w:pageBreakBefore w:val="0"/>
        <w:kinsoku/>
        <w:wordWrap w:val="0"/>
        <w:overflowPunct/>
        <w:topLinePunct w:val="0"/>
        <w:bidi w:val="0"/>
        <w:spacing w:after="0" w:line="420" w:lineRule="exact"/>
        <w:ind w:right="-34" w:rightChars="-16" w:firstLine="315" w:firstLineChars="15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7.2.2 招标人应当在中标候选人公示前审查评标委员会提交的书面评标报告，发现异常情形的，依照法定程序复核，确认存在问题的，依照法定程序予以纠正。招标人不得擅自改变评标委员会评标结果。</w:t>
      </w:r>
    </w:p>
    <w:p w14:paraId="158E68D5">
      <w:pPr>
        <w:pStyle w:val="19"/>
        <w:pageBreakBefore w:val="0"/>
        <w:kinsoku/>
        <w:wordWrap w:val="0"/>
        <w:overflowPunct/>
        <w:topLinePunct w:val="0"/>
        <w:bidi w:val="0"/>
        <w:spacing w:after="0" w:line="420" w:lineRule="exact"/>
        <w:ind w:right="-34" w:rightChars="-16" w:firstLine="315" w:firstLineChars="15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7.2.3中标候选人</w:t>
      </w:r>
      <w:r>
        <w:rPr>
          <w:rFonts w:hint="eastAsia" w:ascii="宋体" w:hAnsi="宋体" w:eastAsia="宋体" w:cs="宋体"/>
          <w:color w:val="auto"/>
          <w:kern w:val="0"/>
          <w:sz w:val="21"/>
          <w:szCs w:val="21"/>
          <w:highlight w:val="none"/>
        </w:rPr>
        <w:t>公示期间，招标人有权对</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候选人</w:t>
      </w:r>
      <w:r>
        <w:rPr>
          <w:rFonts w:hint="eastAsia" w:ascii="宋体" w:hAnsi="宋体" w:eastAsia="宋体" w:cs="宋体"/>
          <w:color w:val="auto"/>
          <w:kern w:val="0"/>
          <w:sz w:val="21"/>
          <w:szCs w:val="21"/>
          <w:highlight w:val="none"/>
        </w:rPr>
        <w:t>进行现场考察，</w:t>
      </w:r>
      <w:r>
        <w:rPr>
          <w:rFonts w:hint="eastAsia" w:ascii="宋体" w:hAnsi="宋体" w:eastAsia="宋体" w:cs="宋体"/>
          <w:color w:val="auto"/>
          <w:sz w:val="21"/>
          <w:szCs w:val="21"/>
          <w:highlight w:val="none"/>
        </w:rPr>
        <w:t>如发现</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候选人有弄虚作假（含不实承诺）情况的，取消其</w:t>
      </w:r>
      <w:r>
        <w:rPr>
          <w:rFonts w:hint="eastAsia" w:ascii="宋体" w:hAnsi="宋体" w:eastAsia="宋体" w:cs="宋体"/>
          <w:color w:val="auto"/>
          <w:sz w:val="21"/>
          <w:szCs w:val="21"/>
          <w:highlight w:val="none"/>
          <w:lang w:eastAsia="zh-CN"/>
        </w:rPr>
        <w:t>候选人</w:t>
      </w:r>
      <w:r>
        <w:rPr>
          <w:rFonts w:hint="eastAsia" w:ascii="宋体" w:hAnsi="宋体" w:eastAsia="宋体" w:cs="宋体"/>
          <w:color w:val="auto"/>
          <w:sz w:val="21"/>
          <w:szCs w:val="21"/>
          <w:highlight w:val="none"/>
        </w:rPr>
        <w:t>资格</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val="en-US" w:eastAsia="zh-CN"/>
        </w:rPr>
        <w:t>合格</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候选人</w:t>
      </w:r>
      <w:r>
        <w:rPr>
          <w:rFonts w:hint="eastAsia" w:ascii="宋体" w:hAnsi="宋体" w:eastAsia="宋体" w:cs="宋体"/>
          <w:color w:val="auto"/>
          <w:sz w:val="21"/>
          <w:szCs w:val="21"/>
          <w:highlight w:val="none"/>
          <w:lang w:val="en-US" w:eastAsia="zh-CN"/>
        </w:rPr>
        <w:t>少于2家（不含2家）</w:t>
      </w:r>
      <w:r>
        <w:rPr>
          <w:rFonts w:hint="eastAsia" w:ascii="宋体" w:hAnsi="宋体" w:eastAsia="宋体" w:cs="宋体"/>
          <w:color w:val="auto"/>
          <w:sz w:val="21"/>
          <w:szCs w:val="21"/>
          <w:highlight w:val="none"/>
        </w:rPr>
        <w:t>由招标人重新组织招标。</w:t>
      </w:r>
    </w:p>
    <w:p w14:paraId="60F19143">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7.3</w:t>
      </w:r>
      <w:r>
        <w:rPr>
          <w:rFonts w:hint="eastAsia" w:ascii="宋体" w:hAnsi="宋体" w:eastAsia="宋体" w:cs="宋体"/>
          <w:b/>
          <w:bCs/>
          <w:color w:val="auto"/>
          <w:kern w:val="0"/>
          <w:sz w:val="24"/>
          <w:szCs w:val="24"/>
          <w:highlight w:val="none"/>
          <w:lang w:val="en-US" w:eastAsia="zh-CN"/>
        </w:rPr>
        <w:t xml:space="preserve"> </w:t>
      </w:r>
      <w:r>
        <w:rPr>
          <w:rFonts w:hint="eastAsia" w:ascii="宋体" w:hAnsi="宋体" w:eastAsia="宋体" w:cs="宋体"/>
          <w:b/>
          <w:bCs/>
          <w:color w:val="auto"/>
          <w:kern w:val="0"/>
          <w:sz w:val="24"/>
          <w:szCs w:val="24"/>
          <w:highlight w:val="none"/>
        </w:rPr>
        <w:t>评标结果异议</w:t>
      </w:r>
      <w:bookmarkEnd w:id="539"/>
    </w:p>
    <w:p w14:paraId="5F1760F6">
      <w:pPr>
        <w:pageBreakBefore w:val="0"/>
        <w:tabs>
          <w:tab w:val="left" w:pos="540"/>
        </w:tabs>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 w:val="24"/>
          <w:szCs w:val="24"/>
          <w:highlight w:val="none"/>
        </w:rPr>
        <w:t xml:space="preserve">   </w:t>
      </w:r>
      <w:bookmarkStart w:id="540" w:name="_Toc14219"/>
      <w:bookmarkStart w:id="541" w:name="_Toc499892780"/>
      <w:bookmarkStart w:id="542" w:name="_Toc500577633"/>
      <w:bookmarkStart w:id="543" w:name="_Toc500865824"/>
      <w:bookmarkStart w:id="544" w:name="_Toc9325"/>
      <w:bookmarkStart w:id="545" w:name="_Toc499891584"/>
      <w:r>
        <w:rPr>
          <w:rFonts w:hint="eastAsia" w:ascii="宋体" w:hAnsi="宋体" w:eastAsia="宋体" w:cs="宋体"/>
          <w:color w:val="auto"/>
          <w:kern w:val="0"/>
          <w:szCs w:val="21"/>
          <w:highlight w:val="none"/>
        </w:rPr>
        <w:t>投标人或者其他利害关系人对评标结果有异议的，应当在中标候选人公示期间提出，招标人将在收到异议之日起3日内作出答复，作出答复前，将暂停招投标活动。</w:t>
      </w:r>
      <w:bookmarkEnd w:id="540"/>
      <w:bookmarkEnd w:id="541"/>
      <w:bookmarkEnd w:id="542"/>
      <w:bookmarkEnd w:id="543"/>
      <w:bookmarkEnd w:id="544"/>
      <w:bookmarkEnd w:id="545"/>
    </w:p>
    <w:p w14:paraId="19FD3BCC">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546" w:name="_Toc8799"/>
      <w:r>
        <w:rPr>
          <w:rFonts w:hint="eastAsia" w:ascii="宋体" w:hAnsi="宋体" w:eastAsia="宋体" w:cs="宋体"/>
          <w:b/>
          <w:bCs/>
          <w:color w:val="auto"/>
          <w:kern w:val="0"/>
          <w:sz w:val="24"/>
          <w:szCs w:val="24"/>
          <w:highlight w:val="none"/>
        </w:rPr>
        <w:t>7.4</w:t>
      </w:r>
      <w:r>
        <w:rPr>
          <w:rFonts w:hint="eastAsia" w:ascii="宋体" w:hAnsi="宋体" w:eastAsia="宋体" w:cs="宋体"/>
          <w:b/>
          <w:bCs/>
          <w:color w:val="auto"/>
          <w:kern w:val="0"/>
          <w:sz w:val="24"/>
          <w:szCs w:val="24"/>
          <w:highlight w:val="none"/>
          <w:lang w:val="en-US" w:eastAsia="zh-CN"/>
        </w:rPr>
        <w:t xml:space="preserve"> </w:t>
      </w:r>
      <w:r>
        <w:rPr>
          <w:rFonts w:hint="eastAsia" w:ascii="宋体" w:hAnsi="宋体" w:eastAsia="宋体" w:cs="宋体"/>
          <w:b/>
          <w:bCs/>
          <w:color w:val="auto"/>
          <w:kern w:val="0"/>
          <w:sz w:val="24"/>
          <w:szCs w:val="24"/>
          <w:highlight w:val="none"/>
        </w:rPr>
        <w:t>中标候选人履约能力审查</w:t>
      </w:r>
      <w:bookmarkEnd w:id="546"/>
    </w:p>
    <w:p w14:paraId="786C64B0">
      <w:pPr>
        <w:pStyle w:val="19"/>
        <w:pageBreakBefore w:val="0"/>
        <w:kinsoku/>
        <w:wordWrap w:val="0"/>
        <w:overflowPunct/>
        <w:topLinePunct w:val="0"/>
        <w:bidi w:val="0"/>
        <w:spacing w:after="0" w:line="420" w:lineRule="exact"/>
        <w:ind w:right="-34" w:rightChars="-16" w:firstLine="420" w:firstLineChars="20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中标候选人的经营、财务状况发生较大变化或存在违法行为，招标人认为可能影响其履约能力的，将在</w:t>
      </w:r>
      <w:r>
        <w:rPr>
          <w:rFonts w:hint="eastAsia" w:ascii="宋体" w:hAnsi="宋体" w:eastAsia="宋体" w:cs="宋体"/>
          <w:color w:val="auto"/>
          <w:kern w:val="0"/>
          <w:sz w:val="21"/>
          <w:szCs w:val="21"/>
          <w:highlight w:val="none"/>
          <w:lang w:val="en-US" w:eastAsia="zh-CN"/>
        </w:rPr>
        <w:t>定标会议</w:t>
      </w:r>
      <w:r>
        <w:rPr>
          <w:rFonts w:hint="eastAsia" w:ascii="宋体" w:hAnsi="宋体" w:eastAsia="宋体" w:cs="宋体"/>
          <w:color w:val="auto"/>
          <w:kern w:val="0"/>
          <w:sz w:val="21"/>
          <w:szCs w:val="21"/>
          <w:highlight w:val="none"/>
        </w:rPr>
        <w:t>前请原评标委员会按照招标文件规定的标准和方法进行审查确认。</w:t>
      </w:r>
    </w:p>
    <w:bookmarkEnd w:id="530"/>
    <w:bookmarkEnd w:id="531"/>
    <w:bookmarkEnd w:id="532"/>
    <w:bookmarkEnd w:id="533"/>
    <w:bookmarkEnd w:id="534"/>
    <w:bookmarkEnd w:id="535"/>
    <w:bookmarkEnd w:id="536"/>
    <w:bookmarkEnd w:id="537"/>
    <w:bookmarkEnd w:id="538"/>
    <w:p w14:paraId="6F7784CA">
      <w:pPr>
        <w:pageBreakBefore w:val="0"/>
        <w:kinsoku/>
        <w:wordWrap w:val="0"/>
        <w:overflowPunct/>
        <w:topLinePunct w:val="0"/>
        <w:autoSpaceDE w:val="0"/>
        <w:autoSpaceDN w:val="0"/>
        <w:bidi w:val="0"/>
        <w:adjustRightInd w:val="0"/>
        <w:spacing w:line="420" w:lineRule="exact"/>
        <w:ind w:right="-34" w:rightChars="-16"/>
        <w:jc w:val="left"/>
        <w:outlineLvl w:val="9"/>
        <w:rPr>
          <w:rFonts w:hint="default" w:ascii="宋体" w:hAnsi="宋体" w:eastAsia="宋体" w:cs="宋体"/>
          <w:b/>
          <w:bCs/>
          <w:color w:val="auto"/>
          <w:kern w:val="0"/>
          <w:sz w:val="24"/>
          <w:szCs w:val="24"/>
          <w:highlight w:val="none"/>
          <w:lang w:val="en-US" w:eastAsia="zh-CN"/>
        </w:rPr>
      </w:pPr>
      <w:bookmarkStart w:id="547" w:name="_Toc228589174"/>
      <w:bookmarkStart w:id="548" w:name="_Toc227492255"/>
      <w:bookmarkStart w:id="549" w:name="_Toc214433898"/>
      <w:bookmarkStart w:id="550" w:name="_Toc228591668"/>
      <w:bookmarkStart w:id="551" w:name="_Toc228337109"/>
      <w:bookmarkStart w:id="552" w:name="_Toc9990"/>
      <w:bookmarkStart w:id="553" w:name="_Toc227657498"/>
      <w:bookmarkStart w:id="554" w:name="_Toc228591520"/>
      <w:bookmarkStart w:id="555" w:name="_Toc228881172"/>
      <w:bookmarkStart w:id="556" w:name="_Toc272772585"/>
      <w:r>
        <w:rPr>
          <w:rFonts w:hint="eastAsia" w:ascii="宋体" w:hAnsi="宋体" w:eastAsia="宋体" w:cs="宋体"/>
          <w:b/>
          <w:bCs/>
          <w:color w:val="auto"/>
          <w:kern w:val="0"/>
          <w:sz w:val="24"/>
          <w:szCs w:val="24"/>
          <w:highlight w:val="none"/>
        </w:rPr>
        <w:t xml:space="preserve">7.5 </w:t>
      </w:r>
      <w:r>
        <w:rPr>
          <w:rFonts w:hint="eastAsia" w:ascii="宋体" w:hAnsi="宋体" w:eastAsia="宋体" w:cs="宋体"/>
          <w:b/>
          <w:bCs/>
          <w:color w:val="auto"/>
          <w:kern w:val="0"/>
          <w:sz w:val="24"/>
          <w:szCs w:val="24"/>
          <w:highlight w:val="none"/>
          <w:lang w:val="en-US" w:eastAsia="zh-CN"/>
        </w:rPr>
        <w:t>定</w:t>
      </w:r>
      <w:r>
        <w:rPr>
          <w:rFonts w:hint="eastAsia" w:ascii="宋体" w:hAnsi="宋体" w:eastAsia="宋体" w:cs="宋体"/>
          <w:b/>
          <w:bCs/>
          <w:color w:val="auto"/>
          <w:kern w:val="0"/>
          <w:sz w:val="24"/>
          <w:szCs w:val="24"/>
          <w:highlight w:val="none"/>
        </w:rPr>
        <w:t>标</w:t>
      </w:r>
      <w:r>
        <w:rPr>
          <w:rFonts w:hint="eastAsia" w:ascii="宋体" w:hAnsi="宋体" w:eastAsia="宋体" w:cs="宋体"/>
          <w:b/>
          <w:bCs/>
          <w:color w:val="auto"/>
          <w:kern w:val="0"/>
          <w:sz w:val="24"/>
          <w:szCs w:val="24"/>
          <w:highlight w:val="none"/>
          <w:lang w:val="en-US" w:eastAsia="zh-CN"/>
        </w:rPr>
        <w:t>和中标通知</w:t>
      </w:r>
    </w:p>
    <w:p w14:paraId="5153E7EA">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7.5.1按照本招标文件第四章定标办法要求定标。</w:t>
      </w:r>
    </w:p>
    <w:p w14:paraId="1EF20D1B">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7.5.2</w:t>
      </w:r>
      <w:r>
        <w:rPr>
          <w:rFonts w:hint="eastAsia" w:ascii="宋体" w:hAnsi="宋体" w:eastAsia="宋体" w:cs="宋体"/>
          <w:color w:val="auto"/>
          <w:kern w:val="0"/>
          <w:szCs w:val="21"/>
          <w:highlight w:val="none"/>
        </w:rPr>
        <w:t>在本章第3.3.1款规定的投标有效期内，招标人以书面形式向中标人发出中标通知书。</w:t>
      </w:r>
    </w:p>
    <w:p w14:paraId="6439F901">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557" w:name="_Toc23950"/>
      <w:r>
        <w:rPr>
          <w:rFonts w:hint="eastAsia" w:ascii="宋体" w:hAnsi="宋体" w:eastAsia="宋体" w:cs="宋体"/>
          <w:b/>
          <w:bCs/>
          <w:color w:val="auto"/>
          <w:kern w:val="0"/>
          <w:sz w:val="24"/>
          <w:szCs w:val="24"/>
          <w:highlight w:val="none"/>
        </w:rPr>
        <w:t>7.</w:t>
      </w:r>
      <w:r>
        <w:rPr>
          <w:rFonts w:hint="eastAsia" w:ascii="宋体" w:hAnsi="宋体" w:eastAsia="宋体" w:cs="宋体"/>
          <w:b/>
          <w:bCs/>
          <w:color w:val="auto"/>
          <w:kern w:val="0"/>
          <w:sz w:val="24"/>
          <w:szCs w:val="24"/>
          <w:highlight w:val="none"/>
          <w:lang w:val="en-US" w:eastAsia="zh-CN"/>
        </w:rPr>
        <w:t>6</w:t>
      </w:r>
      <w:r>
        <w:rPr>
          <w:rFonts w:hint="eastAsia" w:ascii="宋体" w:hAnsi="宋体" w:eastAsia="宋体" w:cs="宋体"/>
          <w:b/>
          <w:bCs/>
          <w:color w:val="auto"/>
          <w:kern w:val="0"/>
          <w:sz w:val="24"/>
          <w:szCs w:val="24"/>
          <w:highlight w:val="none"/>
        </w:rPr>
        <w:t xml:space="preserve"> 中标结果公示（评定分离项目）</w:t>
      </w:r>
      <w:bookmarkEnd w:id="557"/>
    </w:p>
    <w:p w14:paraId="7E853881">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人在定标工作完成后3日内发布中标结果公示，按照投标人须知前附表规定的公示媒介和期限公示中标人，公示期不少于3日。中标结果公示应当载明定标时间、定标地点、定标方法、中标人名称、中标价格、质量、工期、</w:t>
      </w:r>
      <w:r>
        <w:rPr>
          <w:rFonts w:hint="eastAsia" w:ascii="宋体" w:hAnsi="宋体" w:eastAsia="宋体" w:cs="宋体"/>
          <w:color w:val="auto"/>
          <w:kern w:val="0"/>
          <w:szCs w:val="21"/>
          <w:highlight w:val="none"/>
          <w:lang w:val="en-US" w:eastAsia="zh-CN"/>
        </w:rPr>
        <w:t>资质</w:t>
      </w:r>
      <w:r>
        <w:rPr>
          <w:rFonts w:hint="eastAsia" w:ascii="宋体" w:hAnsi="宋体" w:eastAsia="宋体" w:cs="宋体"/>
          <w:color w:val="auto"/>
          <w:kern w:val="0"/>
          <w:szCs w:val="21"/>
          <w:highlight w:val="none"/>
        </w:rPr>
        <w:t>条件、项目负责人信息，中标候选人的核查、考察、比较优势，核查未通过的中标候选人名单和原因，以及异议和投诉渠道等内容。对中标结果公示有异议的，应当在公示期内向招标人提出。</w:t>
      </w:r>
    </w:p>
    <w:bookmarkEnd w:id="547"/>
    <w:bookmarkEnd w:id="548"/>
    <w:bookmarkEnd w:id="549"/>
    <w:bookmarkEnd w:id="550"/>
    <w:bookmarkEnd w:id="551"/>
    <w:bookmarkEnd w:id="552"/>
    <w:bookmarkEnd w:id="553"/>
    <w:bookmarkEnd w:id="554"/>
    <w:bookmarkEnd w:id="555"/>
    <w:bookmarkEnd w:id="556"/>
    <w:p w14:paraId="1D9CCB26">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558" w:name="_Toc272772586"/>
      <w:bookmarkStart w:id="559" w:name="_Toc227492256"/>
      <w:bookmarkStart w:id="560" w:name="_Toc228591669"/>
      <w:bookmarkStart w:id="561" w:name="_Toc228589175"/>
      <w:bookmarkStart w:id="562" w:name="_Toc228881173"/>
      <w:bookmarkStart w:id="563" w:name="_Toc228337110"/>
      <w:bookmarkStart w:id="564" w:name="_Toc228591521"/>
      <w:bookmarkStart w:id="565" w:name="_Toc227657499"/>
      <w:bookmarkStart w:id="566" w:name="_Toc214433899"/>
      <w:bookmarkStart w:id="567" w:name="_Toc23626"/>
      <w:r>
        <w:rPr>
          <w:rFonts w:hint="eastAsia" w:ascii="宋体" w:hAnsi="宋体" w:eastAsia="宋体" w:cs="宋体"/>
          <w:b/>
          <w:bCs/>
          <w:color w:val="auto"/>
          <w:kern w:val="0"/>
          <w:sz w:val="24"/>
          <w:szCs w:val="24"/>
          <w:highlight w:val="none"/>
        </w:rPr>
        <w:t>7.</w:t>
      </w:r>
      <w:r>
        <w:rPr>
          <w:rFonts w:hint="eastAsia" w:ascii="宋体" w:hAnsi="宋体" w:eastAsia="宋体" w:cs="宋体"/>
          <w:b/>
          <w:bCs/>
          <w:color w:val="auto"/>
          <w:kern w:val="0"/>
          <w:sz w:val="24"/>
          <w:szCs w:val="24"/>
          <w:highlight w:val="none"/>
          <w:lang w:val="en-US" w:eastAsia="zh-CN"/>
        </w:rPr>
        <w:t>7</w:t>
      </w:r>
      <w:r>
        <w:rPr>
          <w:rFonts w:hint="eastAsia" w:ascii="宋体" w:hAnsi="宋体" w:eastAsia="宋体" w:cs="宋体"/>
          <w:b/>
          <w:bCs/>
          <w:color w:val="auto"/>
          <w:kern w:val="0"/>
          <w:sz w:val="24"/>
          <w:szCs w:val="24"/>
          <w:highlight w:val="none"/>
        </w:rPr>
        <w:t xml:space="preserve"> 履约</w:t>
      </w:r>
      <w:bookmarkEnd w:id="558"/>
      <w:bookmarkEnd w:id="559"/>
      <w:bookmarkEnd w:id="560"/>
      <w:bookmarkEnd w:id="561"/>
      <w:bookmarkEnd w:id="562"/>
      <w:bookmarkEnd w:id="563"/>
      <w:bookmarkEnd w:id="564"/>
      <w:bookmarkEnd w:id="565"/>
      <w:bookmarkEnd w:id="566"/>
      <w:r>
        <w:rPr>
          <w:rFonts w:hint="eastAsia" w:ascii="宋体" w:hAnsi="宋体" w:eastAsia="宋体" w:cs="宋体"/>
          <w:b/>
          <w:bCs/>
          <w:color w:val="auto"/>
          <w:kern w:val="0"/>
          <w:sz w:val="24"/>
          <w:szCs w:val="24"/>
          <w:highlight w:val="none"/>
        </w:rPr>
        <w:t>保证金</w:t>
      </w:r>
      <w:bookmarkEnd w:id="567"/>
      <w:r>
        <w:rPr>
          <w:rFonts w:hint="eastAsia" w:ascii="宋体" w:hAnsi="宋体" w:eastAsia="宋体" w:cs="宋体"/>
          <w:b/>
          <w:bCs/>
          <w:color w:val="auto"/>
          <w:kern w:val="0"/>
          <w:sz w:val="24"/>
          <w:szCs w:val="24"/>
          <w:highlight w:val="none"/>
        </w:rPr>
        <w:t>（如要求）</w:t>
      </w:r>
    </w:p>
    <w:p w14:paraId="0ADD050C">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.1在签订合同前，中标人应按投标人须知前附表规定的金额、担保形式和招标文件第</w:t>
      </w:r>
      <w:r>
        <w:rPr>
          <w:rFonts w:hint="eastAsia" w:ascii="宋体" w:hAnsi="宋体" w:eastAsia="宋体" w:cs="宋体"/>
          <w:color w:val="auto"/>
          <w:kern w:val="0"/>
          <w:szCs w:val="21"/>
          <w:highlight w:val="none"/>
          <w:lang w:val="en-US" w:eastAsia="zh-CN"/>
        </w:rPr>
        <w:t>五</w:t>
      </w:r>
      <w:r>
        <w:rPr>
          <w:rFonts w:hint="eastAsia" w:ascii="宋体" w:hAnsi="宋体" w:eastAsia="宋体" w:cs="宋体"/>
          <w:color w:val="auto"/>
          <w:kern w:val="0"/>
          <w:szCs w:val="21"/>
          <w:highlight w:val="none"/>
        </w:rPr>
        <w:t>章“合同条款及格式”规定的履约担保格式向招标人提交履约担保。联合体中标的，其履约担保由牵头人递交，并应符合投标人须知前附表规定的金额、担保形式和招标文件第</w:t>
      </w:r>
      <w:r>
        <w:rPr>
          <w:rFonts w:hint="eastAsia" w:ascii="宋体" w:hAnsi="宋体" w:eastAsia="宋体" w:cs="宋体"/>
          <w:color w:val="auto"/>
          <w:kern w:val="0"/>
          <w:szCs w:val="21"/>
          <w:highlight w:val="none"/>
          <w:lang w:val="en-US" w:eastAsia="zh-CN"/>
        </w:rPr>
        <w:t>五</w:t>
      </w:r>
      <w:r>
        <w:rPr>
          <w:rFonts w:hint="eastAsia" w:ascii="宋体" w:hAnsi="宋体" w:eastAsia="宋体" w:cs="宋体"/>
          <w:color w:val="auto"/>
          <w:kern w:val="0"/>
          <w:szCs w:val="21"/>
          <w:highlight w:val="none"/>
        </w:rPr>
        <w:t>章“合同条款及格式”规定的履约担保格式要求。联合体中标的，其履约保证金以联合体各方或者联合体中牵头人的名义提交。</w:t>
      </w:r>
    </w:p>
    <w:p w14:paraId="463A0D5D">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.2 中标人不能按本章第7.</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.1 项要求提交履约保证金的，视为放弃中标，其投标保证金不予退还，给招标人造成的损失超过投标保证金数额的，中标人还应当对超过部分予以赔偿。</w:t>
      </w:r>
    </w:p>
    <w:p w14:paraId="519FE84C">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568" w:name="_Toc227492257"/>
      <w:bookmarkStart w:id="569" w:name="_Toc228881174"/>
      <w:bookmarkStart w:id="570" w:name="_Toc227657500"/>
      <w:bookmarkStart w:id="571" w:name="_Toc16195"/>
      <w:bookmarkStart w:id="572" w:name="_Toc272772587"/>
      <w:bookmarkStart w:id="573" w:name="_Toc228591522"/>
      <w:bookmarkStart w:id="574" w:name="_Toc228337111"/>
      <w:bookmarkStart w:id="575" w:name="_Toc228589176"/>
      <w:bookmarkStart w:id="576" w:name="_Toc214433900"/>
      <w:bookmarkStart w:id="577" w:name="_Toc228591670"/>
      <w:r>
        <w:rPr>
          <w:rFonts w:hint="eastAsia" w:ascii="宋体" w:hAnsi="宋体" w:eastAsia="宋体" w:cs="宋体"/>
          <w:b/>
          <w:bCs/>
          <w:color w:val="auto"/>
          <w:kern w:val="0"/>
          <w:sz w:val="24"/>
          <w:szCs w:val="24"/>
          <w:highlight w:val="none"/>
        </w:rPr>
        <w:t>7.</w:t>
      </w:r>
      <w:r>
        <w:rPr>
          <w:rFonts w:hint="eastAsia" w:ascii="宋体" w:hAnsi="宋体" w:eastAsia="宋体" w:cs="宋体"/>
          <w:b/>
          <w:bCs/>
          <w:color w:val="auto"/>
          <w:kern w:val="0"/>
          <w:sz w:val="24"/>
          <w:szCs w:val="24"/>
          <w:highlight w:val="none"/>
          <w:lang w:val="en-US" w:eastAsia="zh-CN"/>
        </w:rPr>
        <w:t>8</w:t>
      </w:r>
      <w:r>
        <w:rPr>
          <w:rFonts w:hint="eastAsia" w:ascii="宋体" w:hAnsi="宋体" w:eastAsia="宋体" w:cs="宋体"/>
          <w:b/>
          <w:bCs/>
          <w:color w:val="auto"/>
          <w:kern w:val="0"/>
          <w:sz w:val="24"/>
          <w:szCs w:val="24"/>
          <w:highlight w:val="none"/>
        </w:rPr>
        <w:t xml:space="preserve"> 签订合同</w:t>
      </w:r>
      <w:bookmarkEnd w:id="568"/>
      <w:bookmarkEnd w:id="569"/>
      <w:bookmarkEnd w:id="570"/>
      <w:bookmarkEnd w:id="571"/>
      <w:bookmarkEnd w:id="572"/>
      <w:bookmarkEnd w:id="573"/>
      <w:bookmarkEnd w:id="574"/>
      <w:bookmarkEnd w:id="575"/>
      <w:bookmarkEnd w:id="576"/>
      <w:bookmarkEnd w:id="577"/>
    </w:p>
    <w:p w14:paraId="18EEC955">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 xml:space="preserve">.1 </w:t>
      </w:r>
      <w:r>
        <w:rPr>
          <w:rFonts w:hint="default" w:ascii="宋体" w:hAnsi="宋体" w:eastAsia="宋体" w:cs="宋体"/>
          <w:color w:val="auto"/>
          <w:kern w:val="0"/>
          <w:szCs w:val="21"/>
          <w:highlight w:val="none"/>
        </w:rPr>
        <w:t>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r>
        <w:rPr>
          <w:rFonts w:hint="eastAsia" w:ascii="宋体" w:hAnsi="宋体" w:eastAsia="宋体" w:cs="宋体"/>
          <w:color w:val="auto"/>
          <w:kern w:val="0"/>
          <w:sz w:val="21"/>
          <w:szCs w:val="21"/>
          <w:highlight w:val="none"/>
        </w:rPr>
        <w:t>针对此项内容投标人在投标函中做出响应</w:t>
      </w:r>
      <w:r>
        <w:rPr>
          <w:rFonts w:hint="eastAsia" w:ascii="宋体" w:hAnsi="宋体" w:eastAsia="宋体" w:cs="宋体"/>
          <w:color w:val="auto"/>
          <w:sz w:val="21"/>
          <w:szCs w:val="16"/>
          <w:highlight w:val="none"/>
        </w:rPr>
        <w:t>承</w:t>
      </w:r>
      <w:r>
        <w:rPr>
          <w:rFonts w:hint="eastAsia" w:ascii="宋体" w:hAnsi="宋体" w:eastAsia="宋体" w:cs="宋体"/>
          <w:color w:val="auto"/>
          <w:w w:val="10"/>
          <w:kern w:val="0"/>
          <w:sz w:val="2"/>
          <w:szCs w:val="2"/>
          <w:highlight w:val="none"/>
          <w:lang w:val="en-US" w:eastAsia="zh-CN"/>
        </w:rPr>
        <w:t xml:space="preserve"> </w:t>
      </w:r>
      <w:r>
        <w:rPr>
          <w:rFonts w:hint="eastAsia" w:ascii="宋体" w:hAnsi="宋体" w:eastAsia="宋体" w:cs="宋体"/>
          <w:color w:val="auto"/>
          <w:sz w:val="21"/>
          <w:szCs w:val="16"/>
          <w:highlight w:val="none"/>
        </w:rPr>
        <w:t>诺</w:t>
      </w:r>
      <w:r>
        <w:rPr>
          <w:rFonts w:hint="eastAsia" w:ascii="宋体" w:hAnsi="宋体" w:eastAsia="宋体" w:cs="宋体"/>
          <w:color w:val="auto"/>
          <w:kern w:val="0"/>
          <w:sz w:val="21"/>
          <w:szCs w:val="21"/>
          <w:highlight w:val="none"/>
        </w:rPr>
        <w:t>。</w:t>
      </w:r>
    </w:p>
    <w:p w14:paraId="6CA3C18E">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578" w:name="_Toc231031247"/>
      <w:bookmarkStart w:id="579" w:name="_Toc233775487"/>
      <w:bookmarkStart w:id="580" w:name="_Toc231783606"/>
      <w:r>
        <w:rPr>
          <w:rFonts w:hint="eastAsia" w:ascii="宋体" w:hAnsi="宋体" w:eastAsia="宋体" w:cs="宋体"/>
          <w:color w:val="auto"/>
          <w:kern w:val="0"/>
          <w:szCs w:val="21"/>
          <w:highlight w:val="none"/>
        </w:rPr>
        <w:t>7.7.2 发出中标通知书后，招标人无正当理由拒签合同，或者在签订合同时向中标人提出附加条件的，招标人向中标人退还投标保证金；给中标人造成损失的，还应当赔偿损失。</w:t>
      </w:r>
    </w:p>
    <w:p w14:paraId="72E65677">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7.7.3 联合体中标的，联合体各方应当共同与招标人签订合同，就中标项目向招标人承担连带责任。</w:t>
      </w:r>
      <w:bookmarkEnd w:id="578"/>
      <w:bookmarkEnd w:id="579"/>
      <w:bookmarkEnd w:id="580"/>
      <w:bookmarkStart w:id="581" w:name="_Toc228589177"/>
      <w:bookmarkStart w:id="582" w:name="_Toc227657501"/>
      <w:bookmarkStart w:id="583" w:name="_Toc228591523"/>
      <w:bookmarkStart w:id="584" w:name="_Toc228337112"/>
      <w:bookmarkStart w:id="585" w:name="_Toc272772588"/>
      <w:bookmarkStart w:id="586" w:name="_Toc214433901"/>
      <w:bookmarkStart w:id="587" w:name="_Toc227492258"/>
      <w:bookmarkStart w:id="588" w:name="_Toc228881175"/>
      <w:bookmarkStart w:id="589" w:name="_Toc228591671"/>
    </w:p>
    <w:p w14:paraId="710E80E9">
      <w:pPr>
        <w:pageBreakBefore w:val="0"/>
        <w:kinsoku/>
        <w:wordWrap w:val="0"/>
        <w:overflowPunct/>
        <w:topLinePunct w:val="0"/>
        <w:autoSpaceDE w:val="0"/>
        <w:autoSpaceDN w:val="0"/>
        <w:bidi w:val="0"/>
        <w:adjustRightInd w:val="0"/>
        <w:spacing w:line="420" w:lineRule="exact"/>
        <w:ind w:right="-34" w:rightChars="-16"/>
        <w:jc w:val="left"/>
        <w:outlineLvl w:val="1"/>
        <w:rPr>
          <w:rFonts w:hint="eastAsia" w:ascii="宋体" w:hAnsi="宋体" w:eastAsia="宋体" w:cs="宋体"/>
          <w:b/>
          <w:bCs/>
          <w:color w:val="auto"/>
          <w:kern w:val="0"/>
          <w:sz w:val="24"/>
          <w:szCs w:val="24"/>
          <w:highlight w:val="none"/>
        </w:rPr>
      </w:pPr>
      <w:bookmarkStart w:id="590" w:name="_Toc3362"/>
      <w:bookmarkStart w:id="591" w:name="_Toc4992"/>
      <w:r>
        <w:rPr>
          <w:rFonts w:hint="eastAsia" w:ascii="宋体" w:hAnsi="宋体" w:eastAsia="宋体" w:cs="宋体"/>
          <w:b/>
          <w:bCs/>
          <w:color w:val="auto"/>
          <w:kern w:val="0"/>
          <w:sz w:val="24"/>
          <w:szCs w:val="24"/>
          <w:highlight w:val="none"/>
        </w:rPr>
        <w:t>8. 重新招标和不再招标</w:t>
      </w:r>
      <w:bookmarkEnd w:id="581"/>
      <w:bookmarkEnd w:id="582"/>
      <w:bookmarkEnd w:id="583"/>
      <w:bookmarkEnd w:id="584"/>
      <w:bookmarkEnd w:id="585"/>
      <w:bookmarkEnd w:id="586"/>
      <w:bookmarkEnd w:id="587"/>
      <w:bookmarkEnd w:id="588"/>
      <w:bookmarkEnd w:id="589"/>
      <w:bookmarkEnd w:id="590"/>
      <w:bookmarkEnd w:id="591"/>
    </w:p>
    <w:p w14:paraId="6E722695">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592" w:name="_Toc227657502"/>
      <w:bookmarkStart w:id="593" w:name="_Toc272772589"/>
      <w:bookmarkStart w:id="594" w:name="_Toc228881176"/>
      <w:bookmarkStart w:id="595" w:name="_Toc228337113"/>
      <w:bookmarkStart w:id="596" w:name="_Toc228591672"/>
      <w:bookmarkStart w:id="597" w:name="_Toc228589178"/>
      <w:bookmarkStart w:id="598" w:name="_Toc214433902"/>
      <w:bookmarkStart w:id="599" w:name="_Toc227492259"/>
      <w:bookmarkStart w:id="600" w:name="_Toc228591524"/>
      <w:bookmarkStart w:id="601" w:name="_Toc20224"/>
      <w:r>
        <w:rPr>
          <w:rFonts w:hint="eastAsia" w:ascii="宋体" w:hAnsi="宋体" w:eastAsia="宋体" w:cs="宋体"/>
          <w:b/>
          <w:bCs/>
          <w:color w:val="auto"/>
          <w:kern w:val="0"/>
          <w:sz w:val="24"/>
          <w:szCs w:val="24"/>
          <w:highlight w:val="none"/>
        </w:rPr>
        <w:t>8.1 重新招标</w:t>
      </w:r>
      <w:bookmarkEnd w:id="592"/>
      <w:bookmarkEnd w:id="593"/>
      <w:bookmarkEnd w:id="594"/>
      <w:bookmarkEnd w:id="595"/>
      <w:bookmarkEnd w:id="596"/>
      <w:bookmarkEnd w:id="597"/>
      <w:bookmarkEnd w:id="598"/>
      <w:bookmarkEnd w:id="599"/>
      <w:bookmarkEnd w:id="600"/>
      <w:bookmarkEnd w:id="601"/>
    </w:p>
    <w:p w14:paraId="1A2ED4F5">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有下列情形之一的，招标人将重新招标：</w:t>
      </w:r>
    </w:p>
    <w:p w14:paraId="4DFEE503">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bookmarkStart w:id="602" w:name="_Toc227492260"/>
      <w:bookmarkStart w:id="603" w:name="_Toc227657503"/>
      <w:bookmarkStart w:id="604" w:name="_Toc272772590"/>
      <w:bookmarkStart w:id="605" w:name="_Toc228881177"/>
      <w:bookmarkStart w:id="606" w:name="_Toc214433903"/>
      <w:bookmarkStart w:id="607" w:name="_Toc228591525"/>
      <w:bookmarkStart w:id="608" w:name="_Toc228337114"/>
      <w:bookmarkStart w:id="609" w:name="_Toc9418"/>
      <w:bookmarkStart w:id="610" w:name="_Toc228591673"/>
      <w:bookmarkStart w:id="611" w:name="_Toc228589179"/>
      <w:r>
        <w:rPr>
          <w:rFonts w:hint="eastAsia" w:ascii="宋体" w:hAnsi="宋体" w:eastAsia="宋体" w:cs="宋体"/>
          <w:color w:val="auto"/>
          <w:kern w:val="0"/>
          <w:szCs w:val="21"/>
          <w:highlight w:val="none"/>
        </w:rPr>
        <w:t>（1）投标截止时间止，投标人少于3个的；</w:t>
      </w:r>
    </w:p>
    <w:p w14:paraId="0F532059">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（2）经评标委员会评审后否决所有投标的；</w:t>
      </w:r>
    </w:p>
    <w:p w14:paraId="6F217C8A">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（3）通过初步评审的投标人少于3个的，按投标人须知前附表处理；</w:t>
      </w:r>
    </w:p>
    <w:p w14:paraId="767E1ABB">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（4）同意延长投标有效期的投标人少于3个的。</w:t>
      </w:r>
    </w:p>
    <w:p w14:paraId="3DAFECDC">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8.2 不再招标</w:t>
      </w:r>
      <w:bookmarkEnd w:id="602"/>
      <w:bookmarkEnd w:id="603"/>
      <w:bookmarkEnd w:id="604"/>
      <w:bookmarkEnd w:id="605"/>
      <w:bookmarkEnd w:id="606"/>
      <w:bookmarkEnd w:id="607"/>
      <w:bookmarkEnd w:id="608"/>
      <w:bookmarkEnd w:id="609"/>
      <w:bookmarkEnd w:id="610"/>
      <w:bookmarkEnd w:id="611"/>
    </w:p>
    <w:p w14:paraId="11B384FB">
      <w:pPr>
        <w:pStyle w:val="87"/>
        <w:pageBreakBefore w:val="0"/>
        <w:kinsoku/>
        <w:wordWrap w:val="0"/>
        <w:overflowPunct/>
        <w:topLinePunct w:val="0"/>
        <w:bidi w:val="0"/>
        <w:spacing w:line="420" w:lineRule="exact"/>
        <w:ind w:right="-34" w:rightChars="-16" w:firstLine="420" w:firstLineChars="200"/>
        <w:jc w:val="both"/>
        <w:outlineLvl w:val="9"/>
        <w:rPr>
          <w:rFonts w:hint="eastAsia" w:ascii="宋体" w:hAnsi="宋体" w:eastAsia="宋体" w:cs="宋体"/>
          <w:color w:val="auto"/>
          <w:sz w:val="21"/>
          <w:szCs w:val="21"/>
          <w:highlight w:val="none"/>
        </w:rPr>
      </w:pPr>
      <w:bookmarkStart w:id="612" w:name="_Toc24754"/>
      <w:bookmarkStart w:id="613" w:name="_Toc14269"/>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bookmarkEnd w:id="612"/>
      <w:bookmarkEnd w:id="613"/>
    </w:p>
    <w:p w14:paraId="177D3D67">
      <w:pPr>
        <w:pageBreakBefore w:val="0"/>
        <w:kinsoku/>
        <w:wordWrap w:val="0"/>
        <w:overflowPunct/>
        <w:topLinePunct w:val="0"/>
        <w:autoSpaceDE w:val="0"/>
        <w:autoSpaceDN w:val="0"/>
        <w:bidi w:val="0"/>
        <w:adjustRightInd w:val="0"/>
        <w:spacing w:line="420" w:lineRule="exact"/>
        <w:ind w:right="-34" w:rightChars="-16"/>
        <w:jc w:val="left"/>
        <w:outlineLvl w:val="1"/>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9. 纪律和监督</w:t>
      </w:r>
      <w:bookmarkEnd w:id="518"/>
      <w:bookmarkEnd w:id="519"/>
      <w:bookmarkEnd w:id="520"/>
      <w:bookmarkEnd w:id="521"/>
      <w:bookmarkEnd w:id="522"/>
      <w:bookmarkEnd w:id="523"/>
      <w:bookmarkEnd w:id="524"/>
      <w:bookmarkEnd w:id="525"/>
      <w:bookmarkEnd w:id="526"/>
      <w:bookmarkEnd w:id="527"/>
      <w:bookmarkEnd w:id="528"/>
    </w:p>
    <w:p w14:paraId="7E269CC9">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614" w:name="_Toc227492262"/>
      <w:bookmarkStart w:id="615" w:name="_Toc228591675"/>
      <w:bookmarkStart w:id="616" w:name="_Toc228337116"/>
      <w:bookmarkStart w:id="617" w:name="_Toc227657505"/>
      <w:bookmarkStart w:id="618" w:name="_Toc228591527"/>
      <w:bookmarkStart w:id="619" w:name="_Toc214433905"/>
      <w:bookmarkStart w:id="620" w:name="_Toc228881179"/>
      <w:bookmarkStart w:id="621" w:name="_Toc272772592"/>
      <w:bookmarkStart w:id="622" w:name="_Toc228589181"/>
      <w:bookmarkStart w:id="623" w:name="_Toc22224"/>
      <w:r>
        <w:rPr>
          <w:rFonts w:hint="eastAsia" w:ascii="宋体" w:hAnsi="宋体" w:eastAsia="宋体" w:cs="宋体"/>
          <w:b/>
          <w:bCs/>
          <w:color w:val="auto"/>
          <w:kern w:val="0"/>
          <w:sz w:val="24"/>
          <w:szCs w:val="24"/>
          <w:highlight w:val="none"/>
        </w:rPr>
        <w:t>9.1 对招标人的纪律要求</w:t>
      </w:r>
      <w:bookmarkEnd w:id="614"/>
      <w:bookmarkEnd w:id="615"/>
      <w:bookmarkEnd w:id="616"/>
      <w:bookmarkEnd w:id="617"/>
      <w:bookmarkEnd w:id="618"/>
      <w:bookmarkEnd w:id="619"/>
      <w:bookmarkEnd w:id="620"/>
      <w:bookmarkEnd w:id="621"/>
      <w:bookmarkEnd w:id="622"/>
      <w:bookmarkEnd w:id="623"/>
    </w:p>
    <w:p w14:paraId="2194DBCD">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招标人不得泄漏招标投标活动中应当保密的情况和资料，不得与投标人串通损害国家利益、社会公共利益或者他人合法权益。</w:t>
      </w:r>
    </w:p>
    <w:p w14:paraId="3E2B3976">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624" w:name="_Toc214433906"/>
      <w:bookmarkStart w:id="625" w:name="_Toc228591676"/>
      <w:bookmarkStart w:id="626" w:name="_Toc227657506"/>
      <w:bookmarkStart w:id="627" w:name="_Toc20599"/>
      <w:bookmarkStart w:id="628" w:name="_Toc228589182"/>
      <w:bookmarkStart w:id="629" w:name="_Toc227492263"/>
      <w:bookmarkStart w:id="630" w:name="_Toc228881180"/>
      <w:bookmarkStart w:id="631" w:name="_Toc228337117"/>
      <w:bookmarkStart w:id="632" w:name="_Toc272772593"/>
      <w:bookmarkStart w:id="633" w:name="_Toc228591528"/>
      <w:r>
        <w:rPr>
          <w:rFonts w:hint="eastAsia" w:ascii="宋体" w:hAnsi="宋体" w:eastAsia="宋体" w:cs="宋体"/>
          <w:b/>
          <w:bCs/>
          <w:color w:val="auto"/>
          <w:kern w:val="0"/>
          <w:sz w:val="24"/>
          <w:szCs w:val="24"/>
          <w:highlight w:val="none"/>
        </w:rPr>
        <w:t>9.2 对投标人的纪律要求</w:t>
      </w:r>
      <w:bookmarkEnd w:id="624"/>
      <w:bookmarkEnd w:id="625"/>
      <w:bookmarkEnd w:id="626"/>
      <w:bookmarkEnd w:id="627"/>
      <w:bookmarkEnd w:id="628"/>
      <w:bookmarkEnd w:id="629"/>
      <w:bookmarkEnd w:id="630"/>
      <w:bookmarkEnd w:id="631"/>
      <w:bookmarkEnd w:id="632"/>
      <w:bookmarkEnd w:id="633"/>
    </w:p>
    <w:p w14:paraId="2CC80E3D">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D768972">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634" w:name="_Toc228591677"/>
      <w:bookmarkStart w:id="635" w:name="_Toc214433907"/>
      <w:bookmarkStart w:id="636" w:name="_Toc672"/>
      <w:bookmarkStart w:id="637" w:name="_Toc228881181"/>
      <w:bookmarkStart w:id="638" w:name="_Toc228591529"/>
      <w:bookmarkStart w:id="639" w:name="_Toc272772594"/>
      <w:bookmarkStart w:id="640" w:name="_Toc227657507"/>
      <w:bookmarkStart w:id="641" w:name="_Toc227492264"/>
      <w:bookmarkStart w:id="642" w:name="_Toc228589183"/>
      <w:bookmarkStart w:id="643" w:name="_Toc228337118"/>
      <w:r>
        <w:rPr>
          <w:rFonts w:hint="eastAsia" w:ascii="宋体" w:hAnsi="宋体" w:eastAsia="宋体" w:cs="宋体"/>
          <w:b/>
          <w:bCs/>
          <w:color w:val="auto"/>
          <w:kern w:val="0"/>
          <w:sz w:val="24"/>
          <w:szCs w:val="24"/>
          <w:highlight w:val="none"/>
        </w:rPr>
        <w:t>9.3 对评标委员会成员的纪律要求</w:t>
      </w:r>
      <w:bookmarkEnd w:id="634"/>
      <w:bookmarkEnd w:id="635"/>
      <w:bookmarkEnd w:id="636"/>
      <w:bookmarkEnd w:id="637"/>
      <w:bookmarkEnd w:id="638"/>
      <w:bookmarkEnd w:id="639"/>
      <w:bookmarkEnd w:id="640"/>
      <w:bookmarkEnd w:id="641"/>
      <w:bookmarkEnd w:id="642"/>
      <w:bookmarkEnd w:id="643"/>
    </w:p>
    <w:p w14:paraId="20C0B96E">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C4BF83F">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644" w:name="_Toc214433908"/>
      <w:bookmarkStart w:id="645" w:name="_Toc272772595"/>
      <w:bookmarkStart w:id="646" w:name="_Toc227657508"/>
      <w:bookmarkStart w:id="647" w:name="_Toc228881182"/>
      <w:bookmarkStart w:id="648" w:name="_Toc228591530"/>
      <w:bookmarkStart w:id="649" w:name="_Toc228591678"/>
      <w:bookmarkStart w:id="650" w:name="_Toc227492265"/>
      <w:bookmarkStart w:id="651" w:name="_Toc27189"/>
      <w:bookmarkStart w:id="652" w:name="_Toc228337119"/>
      <w:bookmarkStart w:id="653" w:name="_Toc228589184"/>
      <w:r>
        <w:rPr>
          <w:rFonts w:hint="eastAsia" w:ascii="宋体" w:hAnsi="宋体" w:eastAsia="宋体" w:cs="宋体"/>
          <w:b/>
          <w:bCs/>
          <w:color w:val="auto"/>
          <w:kern w:val="0"/>
          <w:sz w:val="24"/>
          <w:szCs w:val="24"/>
          <w:highlight w:val="none"/>
        </w:rPr>
        <w:t>9.4 对与评标活动有关的工作人员的纪律要求</w:t>
      </w:r>
      <w:bookmarkEnd w:id="644"/>
      <w:bookmarkEnd w:id="645"/>
      <w:bookmarkEnd w:id="646"/>
      <w:bookmarkEnd w:id="647"/>
      <w:bookmarkEnd w:id="648"/>
      <w:bookmarkEnd w:id="649"/>
      <w:bookmarkEnd w:id="650"/>
      <w:bookmarkEnd w:id="651"/>
      <w:bookmarkEnd w:id="652"/>
      <w:bookmarkEnd w:id="653"/>
    </w:p>
    <w:p w14:paraId="59A07D25">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921B514">
      <w:pPr>
        <w:pageBreakBefore w:val="0"/>
        <w:kinsoku/>
        <w:wordWrap w:val="0"/>
        <w:overflowPunct/>
        <w:topLinePunct w:val="0"/>
        <w:autoSpaceDE w:val="0"/>
        <w:autoSpaceDN w:val="0"/>
        <w:bidi w:val="0"/>
        <w:adjustRightInd w:val="0"/>
        <w:spacing w:line="420" w:lineRule="exact"/>
        <w:ind w:right="-34" w:rightChars="-16"/>
        <w:jc w:val="left"/>
        <w:outlineLvl w:val="9"/>
        <w:rPr>
          <w:rFonts w:hint="eastAsia" w:ascii="宋体" w:hAnsi="宋体" w:eastAsia="宋体" w:cs="宋体"/>
          <w:b/>
          <w:bCs/>
          <w:color w:val="auto"/>
          <w:kern w:val="0"/>
          <w:sz w:val="24"/>
          <w:szCs w:val="24"/>
          <w:highlight w:val="none"/>
        </w:rPr>
      </w:pPr>
      <w:bookmarkStart w:id="654" w:name="_Toc227492266"/>
      <w:bookmarkStart w:id="655" w:name="_Toc228591531"/>
      <w:bookmarkStart w:id="656" w:name="_Toc228337120"/>
      <w:bookmarkStart w:id="657" w:name="_Toc272772596"/>
      <w:bookmarkStart w:id="658" w:name="_Toc26360"/>
      <w:bookmarkStart w:id="659" w:name="_Toc227657509"/>
      <w:bookmarkStart w:id="660" w:name="_Toc214433909"/>
      <w:bookmarkStart w:id="661" w:name="_Toc228881183"/>
      <w:bookmarkStart w:id="662" w:name="_Toc228589185"/>
      <w:bookmarkStart w:id="663" w:name="_Toc228591679"/>
      <w:r>
        <w:rPr>
          <w:rFonts w:hint="eastAsia" w:ascii="宋体" w:hAnsi="宋体" w:eastAsia="宋体" w:cs="宋体"/>
          <w:b/>
          <w:bCs/>
          <w:color w:val="auto"/>
          <w:kern w:val="0"/>
          <w:sz w:val="24"/>
          <w:szCs w:val="24"/>
          <w:highlight w:val="none"/>
        </w:rPr>
        <w:t>9.5 投诉</w:t>
      </w:r>
      <w:bookmarkEnd w:id="654"/>
      <w:bookmarkEnd w:id="655"/>
      <w:bookmarkEnd w:id="656"/>
      <w:bookmarkEnd w:id="657"/>
      <w:bookmarkEnd w:id="658"/>
      <w:bookmarkEnd w:id="659"/>
      <w:bookmarkEnd w:id="660"/>
      <w:bookmarkEnd w:id="661"/>
      <w:bookmarkEnd w:id="662"/>
      <w:bookmarkEnd w:id="663"/>
    </w:p>
    <w:p w14:paraId="4D5D6EFE">
      <w:pPr>
        <w:pageBreakBefore w:val="0"/>
        <w:kinsoku/>
        <w:wordWrap w:val="0"/>
        <w:overflowPunct/>
        <w:topLinePunct w:val="0"/>
        <w:autoSpaceDE w:val="0"/>
        <w:autoSpaceDN w:val="0"/>
        <w:bidi w:val="0"/>
        <w:adjustRightInd w:val="0"/>
        <w:spacing w:line="420" w:lineRule="exact"/>
        <w:ind w:right="-34" w:rightChars="-16" w:firstLine="404" w:firstLineChars="200"/>
        <w:jc w:val="left"/>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9.5.1 投标人或者其他利害关系人认为招标投标活动不符合法律、行政法规规定的，可以自知道或者应当知道之日起10日内向有关行政监督部门投诉。投诉应当有明确的请求和必要的证明材料。</w:t>
      </w:r>
    </w:p>
    <w:p w14:paraId="54F93F91">
      <w:pPr>
        <w:pageBreakBefore w:val="0"/>
        <w:kinsoku/>
        <w:wordWrap w:val="0"/>
        <w:overflowPunct/>
        <w:topLinePunct w:val="0"/>
        <w:autoSpaceDE w:val="0"/>
        <w:autoSpaceDN w:val="0"/>
        <w:bidi w:val="0"/>
        <w:adjustRightInd w:val="0"/>
        <w:spacing w:line="420" w:lineRule="exact"/>
        <w:ind w:right="-34" w:rightChars="-16" w:firstLine="404" w:firstLineChars="200"/>
        <w:jc w:val="left"/>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9.5.2 投标人或者其他利害关系人对招标文件、开标和评标结果提出投诉的，应当按照投标人须知第2.4款、第5.3款</w:t>
      </w:r>
      <w:r>
        <w:rPr>
          <w:rFonts w:hint="eastAsia" w:ascii="宋体" w:hAnsi="宋体" w:eastAsia="宋体" w:cs="宋体"/>
          <w:color w:val="auto"/>
          <w:spacing w:val="-4"/>
          <w:kern w:val="0"/>
          <w:szCs w:val="21"/>
          <w:highlight w:val="none"/>
          <w:lang w:eastAsia="zh-CN"/>
        </w:rPr>
        <w:t>、</w:t>
      </w:r>
      <w:r>
        <w:rPr>
          <w:rFonts w:hint="eastAsia" w:ascii="宋体" w:hAnsi="宋体" w:eastAsia="宋体" w:cs="宋体"/>
          <w:color w:val="auto"/>
          <w:spacing w:val="-4"/>
          <w:kern w:val="0"/>
          <w:szCs w:val="21"/>
          <w:highlight w:val="none"/>
        </w:rPr>
        <w:t>第7.</w:t>
      </w:r>
      <w:r>
        <w:rPr>
          <w:rFonts w:hint="eastAsia" w:ascii="宋体" w:hAnsi="宋体" w:eastAsia="宋体" w:cs="宋体"/>
          <w:color w:val="auto"/>
          <w:spacing w:val="-4"/>
          <w:kern w:val="0"/>
          <w:szCs w:val="21"/>
          <w:highlight w:val="none"/>
          <w:lang w:val="en-US" w:eastAsia="zh-CN"/>
        </w:rPr>
        <w:t>3</w:t>
      </w:r>
      <w:r>
        <w:rPr>
          <w:rFonts w:hint="eastAsia" w:ascii="宋体" w:hAnsi="宋体" w:eastAsia="宋体" w:cs="宋体"/>
          <w:color w:val="auto"/>
          <w:spacing w:val="-4"/>
          <w:kern w:val="0"/>
          <w:szCs w:val="21"/>
          <w:highlight w:val="none"/>
        </w:rPr>
        <w:t>款</w:t>
      </w:r>
      <w:r>
        <w:rPr>
          <w:rFonts w:hint="eastAsia" w:ascii="宋体" w:hAnsi="宋体" w:eastAsia="宋体" w:cs="宋体"/>
          <w:color w:val="auto"/>
          <w:spacing w:val="-4"/>
          <w:kern w:val="0"/>
          <w:szCs w:val="21"/>
          <w:highlight w:val="none"/>
          <w:lang w:eastAsia="zh-CN"/>
        </w:rPr>
        <w:t>、</w:t>
      </w:r>
      <w:r>
        <w:rPr>
          <w:rFonts w:hint="eastAsia" w:ascii="宋体" w:hAnsi="宋体" w:eastAsia="宋体" w:cs="宋体"/>
          <w:color w:val="auto"/>
          <w:spacing w:val="-4"/>
          <w:kern w:val="0"/>
          <w:szCs w:val="21"/>
          <w:highlight w:val="none"/>
        </w:rPr>
        <w:t>第7.</w:t>
      </w:r>
      <w:r>
        <w:rPr>
          <w:rFonts w:hint="eastAsia" w:ascii="宋体" w:hAnsi="宋体" w:eastAsia="宋体" w:cs="宋体"/>
          <w:color w:val="auto"/>
          <w:spacing w:val="-4"/>
          <w:kern w:val="0"/>
          <w:szCs w:val="21"/>
          <w:highlight w:val="none"/>
          <w:lang w:val="en-US" w:eastAsia="zh-CN"/>
        </w:rPr>
        <w:t>6</w:t>
      </w:r>
      <w:r>
        <w:rPr>
          <w:rFonts w:hint="eastAsia" w:ascii="宋体" w:hAnsi="宋体" w:eastAsia="宋体" w:cs="宋体"/>
          <w:color w:val="auto"/>
          <w:spacing w:val="-4"/>
          <w:kern w:val="0"/>
          <w:szCs w:val="21"/>
          <w:highlight w:val="none"/>
        </w:rPr>
        <w:t>款</w:t>
      </w:r>
      <w:r>
        <w:rPr>
          <w:rFonts w:hint="eastAsia" w:ascii="宋体" w:hAnsi="宋体" w:eastAsia="宋体" w:cs="宋体"/>
          <w:color w:val="auto"/>
          <w:spacing w:val="-4"/>
          <w:kern w:val="0"/>
          <w:szCs w:val="21"/>
          <w:highlight w:val="none"/>
          <w:lang w:eastAsia="zh-CN"/>
        </w:rPr>
        <w:t>（</w:t>
      </w:r>
      <w:r>
        <w:rPr>
          <w:rFonts w:hint="eastAsia" w:ascii="宋体" w:hAnsi="宋体" w:eastAsia="宋体" w:cs="宋体"/>
          <w:color w:val="auto"/>
          <w:spacing w:val="-4"/>
          <w:kern w:val="0"/>
          <w:szCs w:val="21"/>
          <w:highlight w:val="none"/>
          <w:lang w:val="en-US" w:eastAsia="zh-CN"/>
        </w:rPr>
        <w:t>评定分离项目</w:t>
      </w:r>
      <w:r>
        <w:rPr>
          <w:rFonts w:hint="eastAsia" w:ascii="宋体" w:hAnsi="宋体" w:eastAsia="宋体" w:cs="宋体"/>
          <w:color w:val="auto"/>
          <w:spacing w:val="-4"/>
          <w:kern w:val="0"/>
          <w:szCs w:val="21"/>
          <w:highlight w:val="none"/>
          <w:lang w:eastAsia="zh-CN"/>
        </w:rPr>
        <w:t>）</w:t>
      </w:r>
      <w:r>
        <w:rPr>
          <w:rFonts w:hint="eastAsia" w:ascii="宋体" w:hAnsi="宋体" w:eastAsia="宋体" w:cs="宋体"/>
          <w:color w:val="auto"/>
          <w:spacing w:val="-4"/>
          <w:kern w:val="0"/>
          <w:szCs w:val="21"/>
          <w:highlight w:val="none"/>
        </w:rPr>
        <w:t>的规定先向招标人提出异议。异议答复期间不计算在第9.5.1项规定的期限内。</w:t>
      </w:r>
    </w:p>
    <w:p w14:paraId="31637F58">
      <w:pPr>
        <w:pageBreakBefore w:val="0"/>
        <w:kinsoku/>
        <w:wordWrap w:val="0"/>
        <w:overflowPunct/>
        <w:topLinePunct w:val="0"/>
        <w:autoSpaceDE w:val="0"/>
        <w:autoSpaceDN w:val="0"/>
        <w:bidi w:val="0"/>
        <w:adjustRightInd w:val="0"/>
        <w:spacing w:line="420" w:lineRule="exact"/>
        <w:ind w:right="-34" w:rightChars="-16"/>
        <w:jc w:val="left"/>
        <w:outlineLvl w:val="1"/>
        <w:rPr>
          <w:rFonts w:hint="eastAsia" w:ascii="宋体" w:hAnsi="宋体" w:eastAsia="宋体" w:cs="宋体"/>
          <w:b/>
          <w:bCs/>
          <w:color w:val="auto"/>
          <w:kern w:val="0"/>
          <w:sz w:val="24"/>
          <w:szCs w:val="24"/>
          <w:highlight w:val="none"/>
        </w:rPr>
      </w:pPr>
      <w:bookmarkStart w:id="664" w:name="_Toc227657510"/>
      <w:bookmarkStart w:id="665" w:name="_Toc29145"/>
      <w:bookmarkStart w:id="666" w:name="_Toc228589186"/>
      <w:bookmarkStart w:id="667" w:name="_Toc214433910"/>
      <w:bookmarkStart w:id="668" w:name="_Toc228337121"/>
      <w:bookmarkStart w:id="669" w:name="_Toc228591680"/>
      <w:bookmarkStart w:id="670" w:name="_Toc228881184"/>
      <w:bookmarkStart w:id="671" w:name="_Toc227492267"/>
      <w:bookmarkStart w:id="672" w:name="_Toc3355"/>
      <w:bookmarkStart w:id="673" w:name="_Toc272772597"/>
      <w:bookmarkStart w:id="674" w:name="_Toc228591532"/>
      <w:r>
        <w:rPr>
          <w:rFonts w:hint="eastAsia" w:ascii="宋体" w:hAnsi="宋体" w:eastAsia="宋体" w:cs="宋体"/>
          <w:b/>
          <w:bCs/>
          <w:color w:val="auto"/>
          <w:kern w:val="0"/>
          <w:sz w:val="24"/>
          <w:szCs w:val="24"/>
          <w:highlight w:val="none"/>
        </w:rPr>
        <w:t>10. 需要补充的其他内容</w:t>
      </w:r>
      <w:bookmarkEnd w:id="664"/>
      <w:bookmarkEnd w:id="665"/>
      <w:bookmarkEnd w:id="666"/>
      <w:bookmarkEnd w:id="667"/>
      <w:bookmarkEnd w:id="668"/>
      <w:bookmarkEnd w:id="669"/>
      <w:bookmarkEnd w:id="670"/>
      <w:bookmarkEnd w:id="671"/>
      <w:bookmarkEnd w:id="672"/>
      <w:bookmarkEnd w:id="673"/>
      <w:bookmarkEnd w:id="674"/>
    </w:p>
    <w:p w14:paraId="2CE41376">
      <w:pPr>
        <w:pageBreakBefore w:val="0"/>
        <w:kinsoku/>
        <w:wordWrap w:val="0"/>
        <w:overflowPunct/>
        <w:topLinePunct w:val="0"/>
        <w:bidi w:val="0"/>
        <w:spacing w:line="420" w:lineRule="exact"/>
        <w:ind w:firstLine="420" w:firstLineChars="200"/>
        <w:outlineLvl w:val="9"/>
        <w:rPr>
          <w:rFonts w:hint="eastAsia" w:ascii="宋体" w:hAnsi="宋体" w:eastAsia="宋体" w:cs="宋体"/>
          <w:color w:val="auto"/>
          <w:highlight w:val="none"/>
        </w:rPr>
      </w:pPr>
      <w:bookmarkStart w:id="675" w:name="_Toc436038196"/>
      <w:bookmarkStart w:id="676" w:name="_Toc228589195"/>
      <w:bookmarkStart w:id="677" w:name="_Toc228591577"/>
      <w:bookmarkStart w:id="678" w:name="_Toc228591725"/>
      <w:bookmarkStart w:id="679" w:name="_Toc228881229"/>
      <w:bookmarkStart w:id="680" w:name="_Toc227492312"/>
      <w:bookmarkStart w:id="681" w:name="_Toc299439351"/>
      <w:bookmarkStart w:id="682" w:name="_Toc228337130"/>
      <w:bookmarkStart w:id="683" w:name="_Toc214433919"/>
      <w:bookmarkStart w:id="684" w:name="_Toc184635092"/>
      <w:bookmarkStart w:id="685" w:name="_Toc228591541"/>
      <w:bookmarkStart w:id="686" w:name="_Toc272772606"/>
      <w:bookmarkStart w:id="687" w:name="_Toc352146050"/>
      <w:bookmarkStart w:id="688" w:name="_Toc227492276"/>
      <w:bookmarkStart w:id="689" w:name="_Toc214433955"/>
      <w:bookmarkStart w:id="690" w:name="_Toc186913852"/>
      <w:bookmarkStart w:id="691" w:name="_Toc228591689"/>
      <w:bookmarkStart w:id="692" w:name="_Toc228337166"/>
      <w:bookmarkStart w:id="693" w:name="_Toc227657555"/>
      <w:bookmarkStart w:id="694" w:name="_Toc227657519"/>
      <w:bookmarkStart w:id="695" w:name="_Toc228881193"/>
      <w:bookmarkStart w:id="696" w:name="_Toc228589231"/>
      <w:bookmarkStart w:id="697" w:name="_Toc272772615"/>
      <w:r>
        <w:rPr>
          <w:rFonts w:hint="eastAsia" w:ascii="宋体" w:hAnsi="宋体" w:eastAsia="宋体" w:cs="宋体"/>
          <w:color w:val="auto"/>
          <w:highlight w:val="none"/>
        </w:rPr>
        <w:t>10.1需要补充的其他内容：见投标人须知前附表。</w:t>
      </w:r>
    </w:p>
    <w:p w14:paraId="0A6E6D58">
      <w:pPr>
        <w:pStyle w:val="23"/>
        <w:pageBreakBefore w:val="0"/>
        <w:kinsoku/>
        <w:wordWrap w:val="0"/>
        <w:overflowPunct/>
        <w:topLinePunct w:val="0"/>
        <w:bidi w:val="0"/>
        <w:ind w:firstLine="200"/>
        <w:outlineLvl w:val="9"/>
        <w:rPr>
          <w:rFonts w:hint="eastAsia" w:ascii="宋体" w:hAnsi="宋体" w:eastAsia="宋体" w:cs="宋体"/>
          <w:color w:val="auto"/>
          <w:highlight w:val="none"/>
        </w:rPr>
      </w:pPr>
    </w:p>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14:paraId="57F36D76">
      <w:pPr>
        <w:pageBreakBefore w:val="0"/>
        <w:kinsoku/>
        <w:wordWrap w:val="0"/>
        <w:overflowPunct/>
        <w:topLinePunct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highlight w:val="none"/>
        </w:rPr>
      </w:pPr>
      <w:bookmarkStart w:id="698" w:name="_Toc22630"/>
      <w:bookmarkStart w:id="699" w:name="_Toc6044"/>
      <w:r>
        <w:rPr>
          <w:rFonts w:hint="eastAsia" w:ascii="宋体" w:hAnsi="宋体" w:eastAsia="宋体" w:cs="宋体"/>
          <w:b/>
          <w:color w:val="auto"/>
          <w:kern w:val="0"/>
          <w:sz w:val="36"/>
          <w:highlight w:val="none"/>
        </w:rPr>
        <w:br w:type="page"/>
      </w:r>
      <w:r>
        <w:rPr>
          <w:rFonts w:hint="eastAsia" w:ascii="宋体" w:hAnsi="宋体" w:eastAsia="宋体" w:cs="宋体"/>
          <w:b/>
          <w:color w:val="auto"/>
          <w:kern w:val="0"/>
          <w:sz w:val="36"/>
          <w:highlight w:val="none"/>
        </w:rPr>
        <w:t>第三章</w:t>
      </w:r>
      <w:r>
        <w:rPr>
          <w:rFonts w:hint="eastAsia" w:ascii="宋体" w:hAnsi="宋体" w:eastAsia="宋体" w:cs="宋体"/>
          <w:b/>
          <w:color w:val="auto"/>
          <w:kern w:val="0"/>
          <w:sz w:val="36"/>
          <w:highlight w:val="none"/>
          <w:lang w:val="en-US" w:eastAsia="zh-CN"/>
        </w:rPr>
        <w:t xml:space="preserve"> </w:t>
      </w:r>
      <w:r>
        <w:rPr>
          <w:rFonts w:hint="eastAsia" w:ascii="宋体" w:hAnsi="宋体" w:eastAsia="宋体" w:cs="宋体"/>
          <w:b/>
          <w:color w:val="auto"/>
          <w:kern w:val="0"/>
          <w:sz w:val="36"/>
          <w:highlight w:val="none"/>
        </w:rPr>
        <w:t>评标办法（</w:t>
      </w:r>
      <w:r>
        <w:rPr>
          <w:rFonts w:hint="eastAsia" w:ascii="宋体" w:hAnsi="宋体" w:eastAsia="宋体" w:cs="宋体"/>
          <w:b/>
          <w:color w:val="auto"/>
          <w:kern w:val="0"/>
          <w:sz w:val="36"/>
          <w:highlight w:val="none"/>
          <w:lang w:eastAsia="zh-CN"/>
        </w:rPr>
        <w:t>综合评估法</w:t>
      </w:r>
      <w:r>
        <w:rPr>
          <w:rFonts w:hint="eastAsia" w:ascii="宋体" w:hAnsi="宋体" w:eastAsia="宋体" w:cs="宋体"/>
          <w:b/>
          <w:color w:val="auto"/>
          <w:kern w:val="0"/>
          <w:sz w:val="36"/>
          <w:highlight w:val="none"/>
        </w:rPr>
        <w:t>）</w:t>
      </w:r>
      <w:bookmarkEnd w:id="698"/>
      <w:bookmarkEnd w:id="699"/>
    </w:p>
    <w:p w14:paraId="560B566B">
      <w:pPr>
        <w:pageBreakBefore w:val="0"/>
        <w:kinsoku/>
        <w:wordWrap w:val="0"/>
        <w:overflowPunct/>
        <w:topLinePunct w:val="0"/>
        <w:autoSpaceDE w:val="0"/>
        <w:autoSpaceDN w:val="0"/>
        <w:bidi w:val="0"/>
        <w:adjustRightInd w:val="0"/>
        <w:spacing w:before="156" w:beforeLines="50" w:after="156" w:afterLines="50" w:line="400" w:lineRule="exact"/>
        <w:ind w:right="-34" w:rightChars="-16"/>
        <w:jc w:val="center"/>
        <w:outlineLvl w:val="0"/>
        <w:rPr>
          <w:rFonts w:hint="eastAsia" w:ascii="宋体" w:hAnsi="宋体" w:eastAsia="宋体" w:cs="宋体"/>
          <w:b/>
          <w:color w:val="auto"/>
          <w:kern w:val="0"/>
          <w:sz w:val="32"/>
          <w:szCs w:val="32"/>
          <w:highlight w:val="none"/>
        </w:rPr>
      </w:pPr>
      <w:bookmarkStart w:id="700" w:name="_Toc7396"/>
      <w:bookmarkStart w:id="701" w:name="_Toc30530"/>
      <w:bookmarkStart w:id="702" w:name="_Toc15694"/>
      <w:bookmarkStart w:id="703" w:name="_Toc16566"/>
      <w:bookmarkStart w:id="704" w:name="_Toc5163"/>
      <w:bookmarkStart w:id="705" w:name="_Toc7936"/>
      <w:bookmarkStart w:id="706" w:name="_Toc3203"/>
      <w:bookmarkStart w:id="707" w:name="_Toc27708"/>
      <w:bookmarkStart w:id="708" w:name="_Toc12677"/>
      <w:bookmarkStart w:id="709" w:name="_Toc17857"/>
      <w:bookmarkStart w:id="710" w:name="_Toc27667"/>
      <w:bookmarkStart w:id="711" w:name="_Toc10377"/>
      <w:bookmarkStart w:id="712" w:name="_Toc18177"/>
      <w:bookmarkStart w:id="713" w:name="_Toc32536"/>
      <w:bookmarkStart w:id="714" w:name="_Toc21505"/>
      <w:bookmarkStart w:id="715" w:name="_Toc32533"/>
      <w:bookmarkStart w:id="716" w:name="_Toc15179"/>
      <w:bookmarkStart w:id="717" w:name="_Toc8882"/>
      <w:bookmarkStart w:id="718" w:name="_Toc26960482"/>
      <w:bookmarkStart w:id="719" w:name="_Toc144974568"/>
      <w:bookmarkStart w:id="720" w:name="_Toc152045601"/>
      <w:bookmarkStart w:id="721" w:name="_Toc247527626"/>
      <w:bookmarkStart w:id="722" w:name="_Toc247514025"/>
      <w:bookmarkStart w:id="723" w:name="_Toc410312109"/>
      <w:bookmarkStart w:id="724" w:name="_Toc152042378"/>
      <w:r>
        <w:rPr>
          <w:rFonts w:hint="eastAsia" w:ascii="宋体" w:hAnsi="宋体" w:eastAsia="宋体" w:cs="宋体"/>
          <w:b/>
          <w:color w:val="auto"/>
          <w:kern w:val="0"/>
          <w:sz w:val="24"/>
          <w:highlight w:val="none"/>
        </w:rPr>
        <w:t>执行“河南省建设工程工程量清单招标评标办法”豫建行规〔2023〕3号</w:t>
      </w:r>
      <w:bookmarkEnd w:id="700"/>
    </w:p>
    <w:p w14:paraId="689D8A3D">
      <w:pPr>
        <w:pageBreakBefore w:val="0"/>
        <w:kinsoku/>
        <w:wordWrap w:val="0"/>
        <w:overflowPunct/>
        <w:topLinePunct w:val="0"/>
        <w:bidi w:val="0"/>
        <w:spacing w:after="156" w:afterLines="50"/>
        <w:jc w:val="center"/>
        <w:outlineLvl w:val="1"/>
        <w:rPr>
          <w:rFonts w:hint="eastAsia" w:ascii="宋体" w:hAnsi="宋体" w:eastAsia="宋体" w:cs="宋体"/>
          <w:color w:val="auto"/>
          <w:sz w:val="32"/>
          <w:szCs w:val="40"/>
          <w:highlight w:val="none"/>
        </w:rPr>
      </w:pPr>
      <w:bookmarkStart w:id="725" w:name="_Toc9645"/>
      <w:r>
        <w:rPr>
          <w:rFonts w:hint="eastAsia" w:ascii="宋体" w:hAnsi="宋体" w:eastAsia="宋体" w:cs="宋体"/>
          <w:color w:val="auto"/>
          <w:sz w:val="32"/>
          <w:szCs w:val="32"/>
          <w:highlight w:val="none"/>
        </w:rPr>
        <w:t>评标办法前附表</w:t>
      </w:r>
      <w:bookmarkEnd w:id="701"/>
      <w:bookmarkEnd w:id="702"/>
      <w:bookmarkEnd w:id="725"/>
    </w:p>
    <w:tbl>
      <w:tblPr>
        <w:tblStyle w:val="49"/>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992"/>
        <w:gridCol w:w="284"/>
        <w:gridCol w:w="1378"/>
        <w:gridCol w:w="307"/>
        <w:gridCol w:w="1816"/>
        <w:gridCol w:w="1816"/>
        <w:gridCol w:w="1685"/>
      </w:tblGrid>
      <w:tr w14:paraId="2229A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00" w:type="dxa"/>
            <w:gridSpan w:val="2"/>
            <w:noWrap w:val="0"/>
            <w:tcMar>
              <w:left w:w="57" w:type="dxa"/>
              <w:right w:w="57" w:type="dxa"/>
            </w:tcMar>
            <w:vAlign w:val="center"/>
          </w:tcPr>
          <w:p w14:paraId="7F6905C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1662" w:type="dxa"/>
            <w:gridSpan w:val="2"/>
            <w:noWrap w:val="0"/>
            <w:tcMar>
              <w:left w:w="57" w:type="dxa"/>
              <w:right w:w="57" w:type="dxa"/>
            </w:tcMar>
            <w:vAlign w:val="center"/>
          </w:tcPr>
          <w:p w14:paraId="53BB362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5624" w:type="dxa"/>
            <w:gridSpan w:val="4"/>
            <w:noWrap w:val="0"/>
            <w:tcMar>
              <w:left w:w="57" w:type="dxa"/>
              <w:right w:w="57" w:type="dxa"/>
            </w:tcMar>
            <w:vAlign w:val="center"/>
          </w:tcPr>
          <w:p w14:paraId="34CA231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545E8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E68A4FD">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tc>
        <w:tc>
          <w:tcPr>
            <w:tcW w:w="992" w:type="dxa"/>
            <w:vMerge w:val="restart"/>
            <w:noWrap w:val="0"/>
            <w:tcMar>
              <w:left w:w="57" w:type="dxa"/>
              <w:right w:w="57" w:type="dxa"/>
            </w:tcMar>
            <w:vAlign w:val="center"/>
          </w:tcPr>
          <w:p w14:paraId="3FA9EE9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w:t>
            </w:r>
          </w:p>
          <w:p w14:paraId="1FE7AE5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6E2BBBB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1662" w:type="dxa"/>
            <w:gridSpan w:val="2"/>
            <w:noWrap w:val="0"/>
            <w:tcMar>
              <w:left w:w="57" w:type="dxa"/>
              <w:right w:w="57" w:type="dxa"/>
            </w:tcMar>
            <w:vAlign w:val="center"/>
          </w:tcPr>
          <w:p w14:paraId="1D21B03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5624" w:type="dxa"/>
            <w:gridSpan w:val="4"/>
            <w:noWrap w:val="0"/>
            <w:tcMar>
              <w:left w:w="57" w:type="dxa"/>
              <w:right w:w="57" w:type="dxa"/>
            </w:tcMar>
            <w:vAlign w:val="center"/>
          </w:tcPr>
          <w:p w14:paraId="0683F55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74DD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E1C6148">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4ED2A74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184B37E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投标函及投标函附录</w:t>
            </w:r>
          </w:p>
        </w:tc>
        <w:tc>
          <w:tcPr>
            <w:tcW w:w="5624" w:type="dxa"/>
            <w:gridSpan w:val="4"/>
            <w:noWrap w:val="0"/>
            <w:tcMar>
              <w:left w:w="57" w:type="dxa"/>
              <w:right w:w="57" w:type="dxa"/>
            </w:tcMar>
            <w:vAlign w:val="center"/>
          </w:tcPr>
          <w:p w14:paraId="4D05AA4B">
            <w:pPr>
              <w:keepNext w:val="0"/>
              <w:keepLines w:val="0"/>
              <w:pageBreakBefore w:val="0"/>
              <w:suppressLineNumbers w:val="0"/>
              <w:kinsoku/>
              <w:wordWrap w:val="0"/>
              <w:overflowPunct/>
              <w:topLinePunct w:val="0"/>
              <w:bidi w:val="0"/>
              <w:spacing w:before="0" w:beforeAutospacing="0" w:after="0" w:afterAutospacing="0"/>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按招标文件格式要求</w:t>
            </w:r>
          </w:p>
        </w:tc>
      </w:tr>
      <w:tr w14:paraId="6F69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08" w:type="dxa"/>
            <w:vMerge w:val="continue"/>
            <w:noWrap w:val="0"/>
            <w:tcMar>
              <w:left w:w="57" w:type="dxa"/>
              <w:right w:w="57" w:type="dxa"/>
            </w:tcMar>
            <w:vAlign w:val="center"/>
          </w:tcPr>
          <w:p w14:paraId="563EB4E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EB1679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44AD211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投标文件签字盖章</w:t>
            </w:r>
          </w:p>
        </w:tc>
        <w:tc>
          <w:tcPr>
            <w:tcW w:w="5624" w:type="dxa"/>
            <w:gridSpan w:val="4"/>
            <w:noWrap w:val="0"/>
            <w:tcMar>
              <w:left w:w="57" w:type="dxa"/>
              <w:right w:w="57" w:type="dxa"/>
            </w:tcMar>
            <w:vAlign w:val="center"/>
          </w:tcPr>
          <w:p w14:paraId="0B913EB0">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符合招标文件格式要求，并按要求加盖投标单位章、法定代表人（或委托代理人）</w:t>
            </w:r>
            <w:r>
              <w:rPr>
                <w:rFonts w:hint="eastAsia" w:ascii="宋体" w:hAnsi="宋体" w:eastAsia="宋体" w:cs="宋体"/>
                <w:bCs/>
                <w:color w:val="auto"/>
                <w:kern w:val="0"/>
                <w:sz w:val="21"/>
                <w:szCs w:val="21"/>
                <w:highlight w:val="none"/>
              </w:rPr>
              <w:t>签字或电子章</w:t>
            </w:r>
          </w:p>
        </w:tc>
      </w:tr>
      <w:tr w14:paraId="4F116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BA1B3F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03C1A50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7DFA3BC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5624" w:type="dxa"/>
            <w:gridSpan w:val="4"/>
            <w:noWrap w:val="0"/>
            <w:tcMar>
              <w:left w:w="57" w:type="dxa"/>
              <w:right w:w="57" w:type="dxa"/>
            </w:tcMar>
            <w:vAlign w:val="center"/>
          </w:tcPr>
          <w:p w14:paraId="31112026">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的规定</w:t>
            </w:r>
          </w:p>
        </w:tc>
      </w:tr>
      <w:tr w14:paraId="3670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9BE9A1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476700C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467DAE8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w:t>
            </w:r>
          </w:p>
        </w:tc>
        <w:tc>
          <w:tcPr>
            <w:tcW w:w="5624" w:type="dxa"/>
            <w:gridSpan w:val="4"/>
            <w:noWrap w:val="0"/>
            <w:tcMar>
              <w:left w:w="57" w:type="dxa"/>
              <w:right w:w="57" w:type="dxa"/>
            </w:tcMar>
            <w:vAlign w:val="center"/>
          </w:tcPr>
          <w:p w14:paraId="37FAF1D3">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rPr>
              <w:t>只能有一个有效报价</w:t>
            </w:r>
          </w:p>
        </w:tc>
      </w:tr>
      <w:tr w14:paraId="5CF77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F50D4B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tc>
        <w:tc>
          <w:tcPr>
            <w:tcW w:w="992" w:type="dxa"/>
            <w:vMerge w:val="restart"/>
            <w:noWrap w:val="0"/>
            <w:tcMar>
              <w:left w:w="57" w:type="dxa"/>
              <w:right w:w="57" w:type="dxa"/>
            </w:tcMar>
            <w:vAlign w:val="center"/>
          </w:tcPr>
          <w:p w14:paraId="32CBB4B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w:t>
            </w:r>
          </w:p>
          <w:p w14:paraId="59599D7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5E2CEAE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p w14:paraId="1344A42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7E241AD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5624" w:type="dxa"/>
            <w:gridSpan w:val="4"/>
            <w:noWrap w:val="0"/>
            <w:vAlign w:val="center"/>
          </w:tcPr>
          <w:p w14:paraId="145114B4">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具备有效的营业执照</w:t>
            </w:r>
          </w:p>
        </w:tc>
      </w:tr>
      <w:tr w14:paraId="48635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103404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9EC3C4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5B07ECE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安全生产许可证</w:t>
            </w:r>
          </w:p>
        </w:tc>
        <w:tc>
          <w:tcPr>
            <w:tcW w:w="5624" w:type="dxa"/>
            <w:gridSpan w:val="4"/>
            <w:noWrap w:val="0"/>
            <w:vAlign w:val="center"/>
          </w:tcPr>
          <w:p w14:paraId="2BC229A2">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具备有效的安全生产许可证</w:t>
            </w:r>
          </w:p>
        </w:tc>
      </w:tr>
      <w:tr w14:paraId="1525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72DA48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495833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1046713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资质等级</w:t>
            </w:r>
          </w:p>
        </w:tc>
        <w:tc>
          <w:tcPr>
            <w:tcW w:w="5624" w:type="dxa"/>
            <w:gridSpan w:val="4"/>
            <w:noWrap w:val="0"/>
            <w:vAlign w:val="center"/>
          </w:tcPr>
          <w:p w14:paraId="0E6AB846">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14C2C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35FB6C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3A8DAA4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6403CA75">
            <w:pPr>
              <w:pStyle w:val="87"/>
              <w:keepNext w:val="0"/>
              <w:keepLines w:val="0"/>
              <w:pageBreakBefore w:val="0"/>
              <w:suppressLineNumbers w:val="0"/>
              <w:kinsoku/>
              <w:wordWrap w:val="0"/>
              <w:overflowPunct/>
              <w:topLinePunct w:val="0"/>
              <w:bidi w:val="0"/>
              <w:spacing w:before="0" w:beforeAutospacing="0" w:after="0" w:afterAutospacing="0" w:line="3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c>
          <w:tcPr>
            <w:tcW w:w="5624" w:type="dxa"/>
            <w:gridSpan w:val="4"/>
            <w:noWrap w:val="0"/>
            <w:vAlign w:val="center"/>
          </w:tcPr>
          <w:p w14:paraId="58E7C335">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762E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08" w:type="dxa"/>
            <w:vMerge w:val="continue"/>
            <w:noWrap w:val="0"/>
            <w:tcMar>
              <w:left w:w="57" w:type="dxa"/>
              <w:right w:w="57" w:type="dxa"/>
            </w:tcMar>
            <w:vAlign w:val="center"/>
          </w:tcPr>
          <w:p w14:paraId="25F2E4B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43F8614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3894E320">
            <w:pPr>
              <w:pStyle w:val="87"/>
              <w:keepNext w:val="0"/>
              <w:keepLines w:val="0"/>
              <w:pageBreakBefore w:val="0"/>
              <w:suppressLineNumbers w:val="0"/>
              <w:kinsoku/>
              <w:wordWrap w:val="0"/>
              <w:overflowPunct/>
              <w:topLinePunct w:val="0"/>
              <w:bidi w:val="0"/>
              <w:spacing w:before="0" w:beforeAutospacing="0" w:after="0" w:afterAutospacing="0" w:line="3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5624" w:type="dxa"/>
            <w:gridSpan w:val="4"/>
            <w:noWrap w:val="0"/>
            <w:vAlign w:val="center"/>
          </w:tcPr>
          <w:p w14:paraId="75642112">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09E9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6693F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213ADA5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099007A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kern w:val="2"/>
                <w:sz w:val="21"/>
                <w:szCs w:val="21"/>
                <w:highlight w:val="none"/>
                <w:lang w:val="en-US" w:eastAsia="zh-CN" w:bidi="ar-SA"/>
              </w:rPr>
              <w:t>财务要求</w:t>
            </w:r>
          </w:p>
        </w:tc>
        <w:tc>
          <w:tcPr>
            <w:tcW w:w="5624" w:type="dxa"/>
            <w:gridSpan w:val="4"/>
            <w:noWrap w:val="0"/>
            <w:vAlign w:val="center"/>
          </w:tcPr>
          <w:p w14:paraId="4F0985AE">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41A7D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927465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339FA4C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07630F1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信誉要求</w:t>
            </w:r>
          </w:p>
        </w:tc>
        <w:tc>
          <w:tcPr>
            <w:tcW w:w="5624" w:type="dxa"/>
            <w:gridSpan w:val="4"/>
            <w:noWrap w:val="0"/>
            <w:vAlign w:val="center"/>
          </w:tcPr>
          <w:p w14:paraId="71279EE6">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460D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7C2A701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1375B2F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2DC5591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其他要求</w:t>
            </w:r>
          </w:p>
        </w:tc>
        <w:tc>
          <w:tcPr>
            <w:tcW w:w="5624" w:type="dxa"/>
            <w:gridSpan w:val="4"/>
            <w:noWrap w:val="0"/>
            <w:vAlign w:val="center"/>
          </w:tcPr>
          <w:p w14:paraId="4EF213AA">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18465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8" w:type="dxa"/>
            <w:vMerge w:val="continue"/>
            <w:noWrap w:val="0"/>
            <w:tcMar>
              <w:left w:w="57" w:type="dxa"/>
              <w:right w:w="57" w:type="dxa"/>
            </w:tcMar>
            <w:vAlign w:val="center"/>
          </w:tcPr>
          <w:p w14:paraId="32B149B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23B2A7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286" w:type="dxa"/>
            <w:gridSpan w:val="6"/>
            <w:noWrap w:val="0"/>
            <w:tcMar>
              <w:left w:w="57" w:type="dxa"/>
              <w:right w:w="57" w:type="dxa"/>
            </w:tcMar>
            <w:vAlign w:val="center"/>
          </w:tcPr>
          <w:p w14:paraId="305CE730">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备注：招标文件中所要求证件、证明等，投标文件中应附相应资料清晰的扫描件或复印件，由于模糊不清导致评委无法辨别的，后果由投标人自行承担。</w:t>
            </w:r>
          </w:p>
        </w:tc>
      </w:tr>
      <w:tr w14:paraId="3B7F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73B6D1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tc>
        <w:tc>
          <w:tcPr>
            <w:tcW w:w="992" w:type="dxa"/>
            <w:vMerge w:val="restart"/>
            <w:noWrap w:val="0"/>
            <w:tcMar>
              <w:left w:w="57" w:type="dxa"/>
              <w:right w:w="57" w:type="dxa"/>
            </w:tcMar>
            <w:vAlign w:val="center"/>
          </w:tcPr>
          <w:p w14:paraId="744EFA7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响应性</w:t>
            </w:r>
          </w:p>
          <w:p w14:paraId="31ADBD5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2940C9B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1662" w:type="dxa"/>
            <w:gridSpan w:val="2"/>
            <w:noWrap w:val="0"/>
            <w:tcMar>
              <w:left w:w="57" w:type="dxa"/>
              <w:right w:w="57" w:type="dxa"/>
            </w:tcMar>
            <w:vAlign w:val="center"/>
          </w:tcPr>
          <w:p w14:paraId="6B56A26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投标内容</w:t>
            </w:r>
          </w:p>
        </w:tc>
        <w:tc>
          <w:tcPr>
            <w:tcW w:w="5624" w:type="dxa"/>
            <w:gridSpan w:val="4"/>
            <w:noWrap w:val="0"/>
            <w:vAlign w:val="center"/>
          </w:tcPr>
          <w:p w14:paraId="675D8923">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第1.3.1项规定</w:t>
            </w:r>
          </w:p>
        </w:tc>
      </w:tr>
      <w:tr w14:paraId="1D88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D498B2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054CAA4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712FFEC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w:t>
            </w:r>
          </w:p>
        </w:tc>
        <w:tc>
          <w:tcPr>
            <w:tcW w:w="5624" w:type="dxa"/>
            <w:gridSpan w:val="4"/>
            <w:noWrap w:val="0"/>
            <w:vAlign w:val="center"/>
          </w:tcPr>
          <w:p w14:paraId="1A3B4A06">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第1.3.2项规定</w:t>
            </w:r>
          </w:p>
        </w:tc>
      </w:tr>
      <w:tr w14:paraId="76FD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507493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5B9BA1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2BA02E4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5624" w:type="dxa"/>
            <w:gridSpan w:val="4"/>
            <w:noWrap w:val="0"/>
            <w:vAlign w:val="center"/>
          </w:tcPr>
          <w:p w14:paraId="09A0BCB5">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第1.3.3项规定</w:t>
            </w:r>
          </w:p>
        </w:tc>
      </w:tr>
      <w:tr w14:paraId="519B3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08B174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4AF87FC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10A8A83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624" w:type="dxa"/>
            <w:gridSpan w:val="4"/>
            <w:noWrap w:val="0"/>
            <w:vAlign w:val="center"/>
          </w:tcPr>
          <w:p w14:paraId="1042B1AB">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第3.3.1项规定</w:t>
            </w:r>
          </w:p>
        </w:tc>
      </w:tr>
      <w:tr w14:paraId="0D3A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7430D7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079368D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3E4C074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5624" w:type="dxa"/>
            <w:gridSpan w:val="4"/>
            <w:noWrap w:val="0"/>
            <w:vAlign w:val="center"/>
          </w:tcPr>
          <w:p w14:paraId="5C1918C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第3.4.1项规定</w:t>
            </w:r>
          </w:p>
        </w:tc>
      </w:tr>
      <w:tr w14:paraId="0DF4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3E62D3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C312B5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1A413DE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技术标准和要求</w:t>
            </w:r>
          </w:p>
        </w:tc>
        <w:tc>
          <w:tcPr>
            <w:tcW w:w="5624" w:type="dxa"/>
            <w:gridSpan w:val="4"/>
            <w:noWrap w:val="0"/>
            <w:vAlign w:val="center"/>
          </w:tcPr>
          <w:p w14:paraId="17B78105">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技术标准和要求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规定</w:t>
            </w:r>
          </w:p>
        </w:tc>
      </w:tr>
      <w:tr w14:paraId="55DF2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08" w:type="dxa"/>
            <w:vMerge w:val="continue"/>
            <w:noWrap w:val="0"/>
            <w:tcMar>
              <w:left w:w="57" w:type="dxa"/>
              <w:right w:w="57" w:type="dxa"/>
            </w:tcMar>
            <w:vAlign w:val="center"/>
          </w:tcPr>
          <w:p w14:paraId="7B459BB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308D47C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678CCB2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技术标是否存在违反国家强制标准要求</w:t>
            </w:r>
          </w:p>
        </w:tc>
        <w:tc>
          <w:tcPr>
            <w:tcW w:w="5624" w:type="dxa"/>
            <w:gridSpan w:val="4"/>
            <w:noWrap w:val="0"/>
            <w:vAlign w:val="center"/>
          </w:tcPr>
          <w:p w14:paraId="14B9BF32">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不存在技术标违反国家强制标准要求</w:t>
            </w:r>
          </w:p>
        </w:tc>
      </w:tr>
      <w:tr w14:paraId="583F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0A0DCF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3F37019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0ACA442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w:t>
            </w:r>
          </w:p>
        </w:tc>
        <w:tc>
          <w:tcPr>
            <w:tcW w:w="5624" w:type="dxa"/>
            <w:gridSpan w:val="4"/>
            <w:noWrap w:val="0"/>
            <w:vAlign w:val="center"/>
          </w:tcPr>
          <w:p w14:paraId="01ED2542">
            <w:pPr>
              <w:pStyle w:val="45"/>
              <w:keepNext w:val="0"/>
              <w:keepLines w:val="0"/>
              <w:pageBreakBefore w:val="0"/>
              <w:widowControl/>
              <w:suppressLineNumbers w:val="0"/>
              <w:kinsoku/>
              <w:wordWrap w:val="0"/>
              <w:overflowPunct/>
              <w:topLinePunct w:val="0"/>
              <w:bidi w:val="0"/>
              <w:ind w:left="0" w:right="0"/>
              <w:rPr>
                <w:rFonts w:hint="eastAsia" w:ascii="宋体" w:hAnsi="宋体" w:eastAsia="宋体" w:cs="宋体"/>
                <w:color w:val="auto"/>
                <w:kern w:val="2"/>
                <w:sz w:val="21"/>
                <w:szCs w:val="21"/>
                <w:highlight w:val="none"/>
                <w:lang w:val="en-US" w:bidi="ar-SA"/>
              </w:rPr>
            </w:pPr>
            <w:r>
              <w:rPr>
                <w:rFonts w:hint="eastAsia" w:ascii="宋体" w:hAnsi="宋体" w:eastAsia="宋体" w:cs="宋体"/>
                <w:color w:val="auto"/>
                <w:kern w:val="2"/>
                <w:sz w:val="21"/>
                <w:szCs w:val="21"/>
                <w:highlight w:val="none"/>
              </w:rPr>
              <w:t>低于（含等于）招标控制价</w:t>
            </w:r>
          </w:p>
        </w:tc>
      </w:tr>
      <w:tr w14:paraId="21F33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A391B0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D6ADA7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441A4B2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投标人是否存在串通投标、弄虚作假、行贿等违法行为</w:t>
            </w:r>
          </w:p>
        </w:tc>
        <w:tc>
          <w:tcPr>
            <w:tcW w:w="5624" w:type="dxa"/>
            <w:gridSpan w:val="4"/>
            <w:noWrap w:val="0"/>
            <w:vAlign w:val="center"/>
          </w:tcPr>
          <w:p w14:paraId="7808B79A">
            <w:pPr>
              <w:pStyle w:val="45"/>
              <w:keepNext w:val="0"/>
              <w:keepLines w:val="0"/>
              <w:pageBreakBefore w:val="0"/>
              <w:widowControl/>
              <w:suppressLineNumbers w:val="0"/>
              <w:kinsoku/>
              <w:wordWrap w:val="0"/>
              <w:overflowPunct/>
              <w:topLinePunct w:val="0"/>
              <w:bidi w:val="0"/>
              <w:ind w:left="0" w:right="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rPr>
              <w:t>不存在投标人在本次投标活动中有串通投标、弄虚作假、行贿等违法行为</w:t>
            </w:r>
          </w:p>
        </w:tc>
      </w:tr>
      <w:tr w14:paraId="18C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EE0533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3D64E90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7B61F270">
            <w:pPr>
              <w:keepNext w:val="0"/>
              <w:keepLines w:val="0"/>
              <w:pageBreakBefore w:val="0"/>
              <w:suppressLineNumbers w:val="0"/>
              <w:kinsoku/>
              <w:wordWrap w:val="0"/>
              <w:overflowPunct/>
              <w:topLinePunct w:val="0"/>
              <w:bidi w:val="0"/>
              <w:spacing w:before="0" w:beforeAutospacing="0" w:after="0" w:afterAutospacing="0" w:line="3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highlight w:val="none"/>
              </w:rPr>
              <w:t>否决投标条件</w:t>
            </w:r>
          </w:p>
        </w:tc>
        <w:tc>
          <w:tcPr>
            <w:tcW w:w="5624" w:type="dxa"/>
            <w:gridSpan w:val="4"/>
            <w:noWrap w:val="0"/>
            <w:vAlign w:val="center"/>
          </w:tcPr>
          <w:p w14:paraId="26367B91">
            <w:pPr>
              <w:keepNext w:val="0"/>
              <w:keepLines w:val="0"/>
              <w:pageBreakBefore w:val="0"/>
              <w:widowControl/>
              <w:suppressLineNumbers w:val="0"/>
              <w:kinsoku/>
              <w:wordWrap w:val="0"/>
              <w:overflowPunct/>
              <w:topLinePunct w:val="0"/>
              <w:bidi w:val="0"/>
              <w:spacing w:before="0" w:beforeAutospacing="0" w:after="0" w:afterAutospacing="0" w:line="300" w:lineRule="exact"/>
              <w:ind w:left="0" w:right="0"/>
              <w:jc w:val="left"/>
              <w:rPr>
                <w:rFonts w:hint="eastAsia" w:ascii="宋体" w:hAnsi="宋体" w:eastAsia="宋体" w:cs="宋体"/>
                <w:color w:val="auto"/>
                <w:kern w:val="2"/>
                <w:sz w:val="21"/>
                <w:szCs w:val="21"/>
                <w:highlight w:val="none"/>
                <w:lang w:val="en-US"/>
              </w:rPr>
            </w:pPr>
            <w:r>
              <w:rPr>
                <w:rFonts w:hint="eastAsia" w:ascii="宋体" w:hAnsi="宋体" w:eastAsia="宋体" w:cs="宋体"/>
                <w:color w:val="auto"/>
                <w:szCs w:val="21"/>
                <w:highlight w:val="none"/>
              </w:rPr>
              <w:t>不符合“附件B：</w:t>
            </w:r>
            <w:r>
              <w:rPr>
                <w:rFonts w:hint="eastAsia" w:ascii="宋体" w:hAnsi="宋体" w:eastAsia="宋体" w:cs="宋体"/>
                <w:color w:val="auto"/>
                <w:highlight w:val="none"/>
              </w:rPr>
              <w:t>否决投标情形</w:t>
            </w:r>
            <w:r>
              <w:rPr>
                <w:rFonts w:hint="eastAsia" w:ascii="宋体" w:hAnsi="宋体" w:eastAsia="宋体" w:cs="宋体"/>
                <w:color w:val="auto"/>
                <w:szCs w:val="21"/>
                <w:highlight w:val="none"/>
              </w:rPr>
              <w:t>”规定</w:t>
            </w:r>
          </w:p>
        </w:tc>
      </w:tr>
      <w:tr w14:paraId="2CFE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9186" w:type="dxa"/>
            <w:gridSpan w:val="8"/>
            <w:noWrap w:val="0"/>
            <w:tcMar>
              <w:left w:w="57" w:type="dxa"/>
              <w:right w:w="57" w:type="dxa"/>
            </w:tcMar>
            <w:vAlign w:val="center"/>
          </w:tcPr>
          <w:p w14:paraId="6DDEE17D">
            <w:pPr>
              <w:keepNext w:val="0"/>
              <w:keepLines w:val="0"/>
              <w:pageBreakBefore w:val="0"/>
              <w:suppressLineNumbers w:val="0"/>
              <w:kinsoku/>
              <w:wordWrap w:val="0"/>
              <w:overflowPunct/>
              <w:topLinePunct w:val="0"/>
              <w:bidi w:val="0"/>
              <w:spacing w:before="0" w:beforeAutospacing="0" w:after="0" w:afterAutospacing="0" w:line="240" w:lineRule="exact"/>
              <w:ind w:left="0" w:right="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备注：1.招标文件中所要求证件、证明等，投标文件中应附相应资料清晰的扫描件或复印件，由于模糊不清导致评委无法辨别的，后果由投标人自行承担。</w:t>
            </w:r>
          </w:p>
          <w:p w14:paraId="17D69236">
            <w:pPr>
              <w:keepNext w:val="0"/>
              <w:keepLines w:val="0"/>
              <w:pageBreakBefore w:val="0"/>
              <w:suppressLineNumbers w:val="0"/>
              <w:kinsoku/>
              <w:wordWrap w:val="0"/>
              <w:overflowPunct/>
              <w:topLinePunct w:val="0"/>
              <w:bidi w:val="0"/>
              <w:spacing w:before="0" w:beforeAutospacing="0" w:after="0" w:afterAutospacing="0" w:line="240" w:lineRule="exact"/>
              <w:ind w:left="0" w:right="0"/>
              <w:rPr>
                <w:rFonts w:hint="eastAsia" w:ascii="宋体" w:hAnsi="宋体" w:eastAsia="宋体" w:cs="宋体"/>
                <w:color w:val="auto"/>
                <w:kern w:val="2"/>
                <w:sz w:val="21"/>
                <w:szCs w:val="21"/>
                <w:highlight w:val="none"/>
              </w:rPr>
            </w:pPr>
            <w:r>
              <w:rPr>
                <w:rFonts w:hint="eastAsia" w:ascii="宋体" w:hAnsi="宋体" w:eastAsia="宋体" w:cs="宋体"/>
                <w:b/>
                <w:color w:val="auto"/>
                <w:szCs w:val="21"/>
                <w:highlight w:val="none"/>
                <w:lang w:val="en-US"/>
              </w:rPr>
              <w:t>2.不在上述范围内且不具有实质性影响的内容，一般不作为否决投标的依据或理由。</w:t>
            </w:r>
          </w:p>
        </w:tc>
      </w:tr>
      <w:tr w14:paraId="131ED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noWrap w:val="0"/>
            <w:tcMar>
              <w:left w:w="57" w:type="dxa"/>
              <w:right w:w="57" w:type="dxa"/>
            </w:tcMar>
            <w:vAlign w:val="center"/>
          </w:tcPr>
          <w:p w14:paraId="3563558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961" w:type="dxa"/>
            <w:gridSpan w:val="4"/>
            <w:noWrap w:val="0"/>
            <w:tcMar>
              <w:left w:w="57" w:type="dxa"/>
              <w:right w:w="57" w:type="dxa"/>
            </w:tcMar>
            <w:vAlign w:val="center"/>
          </w:tcPr>
          <w:p w14:paraId="3015FC6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条款内容</w:t>
            </w:r>
          </w:p>
        </w:tc>
        <w:tc>
          <w:tcPr>
            <w:tcW w:w="5317" w:type="dxa"/>
            <w:gridSpan w:val="3"/>
            <w:noWrap w:val="0"/>
            <w:tcMar>
              <w:left w:w="57" w:type="dxa"/>
              <w:right w:w="57" w:type="dxa"/>
            </w:tcMar>
            <w:vAlign w:val="center"/>
          </w:tcPr>
          <w:p w14:paraId="7DC237A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319D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restart"/>
            <w:noWrap w:val="0"/>
            <w:tcMar>
              <w:left w:w="57" w:type="dxa"/>
              <w:right w:w="57" w:type="dxa"/>
            </w:tcMar>
            <w:vAlign w:val="center"/>
          </w:tcPr>
          <w:p w14:paraId="0166A133">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961" w:type="dxa"/>
            <w:gridSpan w:val="4"/>
            <w:vMerge w:val="restart"/>
            <w:noWrap w:val="0"/>
            <w:tcMar>
              <w:left w:w="57" w:type="dxa"/>
              <w:right w:w="57" w:type="dxa"/>
            </w:tcMar>
            <w:vAlign w:val="center"/>
          </w:tcPr>
          <w:p w14:paraId="786DA736">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709A4D99">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（总分100分）</w:t>
            </w:r>
          </w:p>
        </w:tc>
        <w:tc>
          <w:tcPr>
            <w:tcW w:w="5317" w:type="dxa"/>
            <w:gridSpan w:val="3"/>
            <w:noWrap w:val="0"/>
            <w:tcMar>
              <w:left w:w="57" w:type="dxa"/>
              <w:right w:w="57" w:type="dxa"/>
            </w:tcMar>
            <w:vAlign w:val="center"/>
          </w:tcPr>
          <w:p w14:paraId="55587046">
            <w:pPr>
              <w:keepNext w:val="0"/>
              <w:keepLines w:val="0"/>
              <w:pageBreakBefore w:val="0"/>
              <w:suppressLineNumbers w:val="0"/>
              <w:kinsoku/>
              <w:wordWrap w:val="0"/>
              <w:overflowPunct/>
              <w:topLinePunct w:val="0"/>
              <w:bidi w:val="0"/>
              <w:adjustRightInd w:val="0"/>
              <w:snapToGrid w:val="0"/>
              <w:spacing w:before="0" w:beforeAutospacing="0" w:after="0" w:afterAutospacing="0"/>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施工组织设计</w:t>
            </w:r>
            <w:r>
              <w:rPr>
                <w:rFonts w:hint="eastAsia" w:ascii="宋体" w:hAnsi="宋体" w:eastAsia="宋体" w:cs="宋体"/>
                <w:color w:val="auto"/>
                <w:kern w:val="0"/>
                <w:sz w:val="21"/>
                <w:szCs w:val="21"/>
                <w:highlight w:val="none"/>
              </w:rPr>
              <w:t>：20分</w:t>
            </w:r>
          </w:p>
        </w:tc>
      </w:tr>
      <w:tr w14:paraId="4CFE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continue"/>
            <w:noWrap w:val="0"/>
            <w:tcMar>
              <w:left w:w="57" w:type="dxa"/>
              <w:right w:w="57" w:type="dxa"/>
            </w:tcMar>
            <w:vAlign w:val="center"/>
          </w:tcPr>
          <w:p w14:paraId="7D936E79">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2961" w:type="dxa"/>
            <w:gridSpan w:val="4"/>
            <w:vMerge w:val="continue"/>
            <w:noWrap w:val="0"/>
            <w:tcMar>
              <w:left w:w="57" w:type="dxa"/>
              <w:right w:w="57" w:type="dxa"/>
            </w:tcMar>
            <w:vAlign w:val="center"/>
          </w:tcPr>
          <w:p w14:paraId="5EF81488">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5317" w:type="dxa"/>
            <w:gridSpan w:val="3"/>
            <w:noWrap w:val="0"/>
            <w:tcMar>
              <w:left w:w="57" w:type="dxa"/>
              <w:right w:w="57" w:type="dxa"/>
            </w:tcMar>
            <w:vAlign w:val="center"/>
          </w:tcPr>
          <w:p w14:paraId="6B8DA7B9">
            <w:pPr>
              <w:keepNext w:val="0"/>
              <w:keepLines w:val="0"/>
              <w:pageBreakBefore w:val="0"/>
              <w:suppressLineNumbers w:val="0"/>
              <w:kinsoku/>
              <w:wordWrap w:val="0"/>
              <w:overflowPunct/>
              <w:topLinePunct w:val="0"/>
              <w:bidi w:val="0"/>
              <w:adjustRightInd w:val="0"/>
              <w:snapToGrid w:val="0"/>
              <w:spacing w:before="0" w:beforeAutospacing="0" w:after="0" w:afterAutospacing="0"/>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商务标：50分</w:t>
            </w:r>
          </w:p>
        </w:tc>
      </w:tr>
      <w:tr w14:paraId="444A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908" w:type="dxa"/>
            <w:vMerge w:val="continue"/>
            <w:noWrap w:val="0"/>
            <w:tcMar>
              <w:left w:w="57" w:type="dxa"/>
              <w:right w:w="57" w:type="dxa"/>
            </w:tcMar>
            <w:vAlign w:val="center"/>
          </w:tcPr>
          <w:p w14:paraId="4691E7E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2961" w:type="dxa"/>
            <w:gridSpan w:val="4"/>
            <w:vMerge w:val="continue"/>
            <w:noWrap w:val="0"/>
            <w:tcMar>
              <w:left w:w="57" w:type="dxa"/>
              <w:right w:w="57" w:type="dxa"/>
            </w:tcMar>
            <w:vAlign w:val="center"/>
          </w:tcPr>
          <w:p w14:paraId="0C13B7B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317" w:type="dxa"/>
            <w:gridSpan w:val="3"/>
            <w:noWrap w:val="0"/>
            <w:tcMar>
              <w:left w:w="57" w:type="dxa"/>
              <w:right w:w="57" w:type="dxa"/>
            </w:tcMar>
            <w:vAlign w:val="center"/>
          </w:tcPr>
          <w:p w14:paraId="714E5794">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综合标：30分</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rPr>
              <w:t>企业信用、拟派项目</w:t>
            </w:r>
            <w:r>
              <w:rPr>
                <w:rFonts w:hint="eastAsia" w:ascii="宋体" w:hAnsi="宋体" w:eastAsia="宋体" w:cs="宋体"/>
                <w:color w:val="auto"/>
                <w:sz w:val="21"/>
                <w:szCs w:val="21"/>
                <w:highlight w:val="none"/>
                <w:lang w:eastAsia="zh-CN"/>
              </w:rPr>
              <w:t>经理</w:t>
            </w:r>
            <w:r>
              <w:rPr>
                <w:rFonts w:hint="eastAsia" w:ascii="宋体" w:hAnsi="宋体" w:eastAsia="宋体" w:cs="宋体"/>
                <w:color w:val="auto"/>
                <w:sz w:val="21"/>
                <w:szCs w:val="21"/>
                <w:highlight w:val="none"/>
              </w:rPr>
              <w:t>信用，对应项</w:t>
            </w:r>
            <w:r>
              <w:rPr>
                <w:rFonts w:hint="eastAsia" w:ascii="宋体" w:hAnsi="宋体" w:eastAsia="宋体" w:cs="宋体"/>
                <w:color w:val="auto"/>
                <w:sz w:val="21"/>
                <w:szCs w:val="21"/>
                <w:highlight w:val="none"/>
                <w:lang w:eastAsia="zh-CN"/>
              </w:rPr>
              <w:t>分值</w:t>
            </w:r>
            <w:r>
              <w:rPr>
                <w:rFonts w:hint="eastAsia" w:ascii="宋体" w:hAnsi="宋体" w:eastAsia="宋体" w:cs="宋体"/>
                <w:color w:val="auto"/>
                <w:sz w:val="21"/>
                <w:szCs w:val="21"/>
                <w:highlight w:val="none"/>
              </w:rPr>
              <w:t>暂按满分计入）</w:t>
            </w:r>
          </w:p>
        </w:tc>
      </w:tr>
      <w:tr w14:paraId="4ABAB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08" w:type="dxa"/>
            <w:vMerge w:val="restart"/>
            <w:noWrap w:val="0"/>
            <w:tcMar>
              <w:left w:w="57" w:type="dxa"/>
              <w:right w:w="57" w:type="dxa"/>
            </w:tcMar>
            <w:vAlign w:val="center"/>
          </w:tcPr>
          <w:p w14:paraId="615BF986">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2</w:t>
            </w:r>
          </w:p>
          <w:p w14:paraId="712F157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1)</w:t>
            </w:r>
          </w:p>
        </w:tc>
        <w:tc>
          <w:tcPr>
            <w:tcW w:w="1276" w:type="dxa"/>
            <w:gridSpan w:val="2"/>
            <w:vMerge w:val="restart"/>
            <w:noWrap w:val="0"/>
            <w:tcMar>
              <w:left w:w="57" w:type="dxa"/>
              <w:right w:w="57" w:type="dxa"/>
            </w:tcMar>
            <w:vAlign w:val="center"/>
          </w:tcPr>
          <w:p w14:paraId="30C2E69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施工组织设计</w:t>
            </w:r>
          </w:p>
          <w:p w14:paraId="7B819B84">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rPr>
              <w:t>（总分</w:t>
            </w:r>
            <w:r>
              <w:rPr>
                <w:rFonts w:hint="eastAsia" w:ascii="宋体" w:hAnsi="宋体" w:eastAsia="宋体" w:cs="宋体"/>
                <w:color w:val="auto"/>
                <w:sz w:val="21"/>
                <w:szCs w:val="21"/>
                <w:highlight w:val="none"/>
                <w:lang w:val="en-US"/>
              </w:rPr>
              <w:t>2</w:t>
            </w:r>
            <w:r>
              <w:rPr>
                <w:rFonts w:hint="eastAsia" w:ascii="宋体" w:hAnsi="宋体" w:eastAsia="宋体" w:cs="宋体"/>
                <w:color w:val="auto"/>
                <w:sz w:val="21"/>
                <w:szCs w:val="21"/>
                <w:highlight w:val="none"/>
              </w:rPr>
              <w:t>0分）</w:t>
            </w:r>
          </w:p>
        </w:tc>
        <w:tc>
          <w:tcPr>
            <w:tcW w:w="1685" w:type="dxa"/>
            <w:gridSpan w:val="2"/>
            <w:noWrap w:val="0"/>
            <w:tcMar>
              <w:left w:w="57" w:type="dxa"/>
              <w:right w:w="57" w:type="dxa"/>
            </w:tcMar>
            <w:vAlign w:val="center"/>
          </w:tcPr>
          <w:p w14:paraId="3F12569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5317" w:type="dxa"/>
            <w:gridSpan w:val="3"/>
            <w:noWrap w:val="0"/>
            <w:tcMar>
              <w:left w:w="57" w:type="dxa"/>
              <w:right w:w="57" w:type="dxa"/>
            </w:tcMar>
            <w:vAlign w:val="center"/>
          </w:tcPr>
          <w:p w14:paraId="1F77E62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参考评分标准</w:t>
            </w:r>
          </w:p>
        </w:tc>
      </w:tr>
      <w:tr w14:paraId="0CE86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3FAC2121">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38A205F7">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47FCF89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主要施工方案 与技术措施</w:t>
            </w:r>
          </w:p>
        </w:tc>
        <w:tc>
          <w:tcPr>
            <w:tcW w:w="1816" w:type="dxa"/>
            <w:noWrap w:val="0"/>
            <w:tcMar>
              <w:left w:w="57" w:type="dxa"/>
              <w:right w:w="57" w:type="dxa"/>
            </w:tcMar>
            <w:vAlign w:val="center"/>
          </w:tcPr>
          <w:p w14:paraId="333C000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501" w:type="dxa"/>
            <w:gridSpan w:val="2"/>
            <w:noWrap w:val="0"/>
            <w:tcMar>
              <w:left w:w="57" w:type="dxa"/>
              <w:right w:w="57" w:type="dxa"/>
            </w:tcMar>
            <w:vAlign w:val="center"/>
          </w:tcPr>
          <w:p w14:paraId="39B983F6">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施工方案（含工程特点、施工重点与难点及绿色施工）总体安排合理，合理运用先进的施工工艺、施工机械；对施工难点有科学合理的建议。</w:t>
            </w:r>
          </w:p>
          <w:p w14:paraId="12E99755">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w:t>
            </w:r>
          </w:p>
        </w:tc>
      </w:tr>
      <w:tr w14:paraId="5856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6C88129C">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02C768CB">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1938020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质量管理体系与措施</w:t>
            </w:r>
          </w:p>
        </w:tc>
        <w:tc>
          <w:tcPr>
            <w:tcW w:w="1816" w:type="dxa"/>
            <w:noWrap w:val="0"/>
            <w:tcMar>
              <w:left w:w="57" w:type="dxa"/>
              <w:right w:w="57" w:type="dxa"/>
            </w:tcMar>
            <w:vAlign w:val="center"/>
          </w:tcPr>
          <w:p w14:paraId="20AD1B3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3501" w:type="dxa"/>
            <w:gridSpan w:val="2"/>
            <w:noWrap w:val="0"/>
            <w:tcMar>
              <w:left w:w="57" w:type="dxa"/>
              <w:right w:w="57" w:type="dxa"/>
            </w:tcMar>
            <w:vAlign w:val="center"/>
          </w:tcPr>
          <w:p w14:paraId="72095BA5">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w:t>
            </w:r>
          </w:p>
          <w:p w14:paraId="7957F94B">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(0-1.5)</w:t>
            </w:r>
          </w:p>
        </w:tc>
      </w:tr>
      <w:tr w14:paraId="66B9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170E22F6">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15E3D0D2">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5F6EE64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安全管理体系与措施</w:t>
            </w:r>
          </w:p>
        </w:tc>
        <w:tc>
          <w:tcPr>
            <w:tcW w:w="1816" w:type="dxa"/>
            <w:noWrap w:val="0"/>
            <w:tcMar>
              <w:left w:w="57" w:type="dxa"/>
              <w:right w:w="57" w:type="dxa"/>
            </w:tcMar>
            <w:vAlign w:val="center"/>
          </w:tcPr>
          <w:p w14:paraId="4E829A2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3501" w:type="dxa"/>
            <w:gridSpan w:val="2"/>
            <w:noWrap w:val="0"/>
            <w:tcMar>
              <w:left w:w="57" w:type="dxa"/>
              <w:right w:w="57" w:type="dxa"/>
            </w:tcMar>
            <w:vAlign w:val="center"/>
          </w:tcPr>
          <w:p w14:paraId="341AF43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施工安全生产保障体系健全，安全管理制度完善，安全管理目标具体，全员安全责任制明确，现场安全管理组织机构、人员配备满足国家规定要求。（0-0.5）</w:t>
            </w:r>
          </w:p>
          <w:p w14:paraId="2C6E561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安全技术方案根据工程特点、周边环境和施工工艺，制定措施科学合理、可行。（0-0.5）</w:t>
            </w:r>
          </w:p>
          <w:p w14:paraId="20687096">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现场重大危险源辨识全面，有项目危险性较大的分部分项工程清单并明确有相应的安全管理措施。（0-0.5）</w:t>
            </w:r>
          </w:p>
        </w:tc>
      </w:tr>
      <w:tr w14:paraId="21C8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8" w:type="dxa"/>
            <w:vMerge w:val="continue"/>
            <w:noWrap w:val="0"/>
            <w:tcMar>
              <w:left w:w="57" w:type="dxa"/>
              <w:right w:w="57" w:type="dxa"/>
            </w:tcMar>
            <w:vAlign w:val="center"/>
          </w:tcPr>
          <w:p w14:paraId="58AC4A99">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1245812D">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1F352AD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文明施工、环境保护管理体系及施工现场扬尘治理措施</w:t>
            </w:r>
          </w:p>
        </w:tc>
        <w:tc>
          <w:tcPr>
            <w:tcW w:w="1816" w:type="dxa"/>
            <w:noWrap w:val="0"/>
            <w:tcMar>
              <w:left w:w="57" w:type="dxa"/>
              <w:right w:w="57" w:type="dxa"/>
            </w:tcMar>
            <w:vAlign w:val="center"/>
          </w:tcPr>
          <w:p w14:paraId="5313B0F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01" w:type="dxa"/>
            <w:gridSpan w:val="2"/>
            <w:noWrap w:val="0"/>
            <w:tcMar>
              <w:left w:w="57" w:type="dxa"/>
              <w:right w:w="57" w:type="dxa"/>
            </w:tcMar>
            <w:vAlign w:val="center"/>
          </w:tcPr>
          <w:p w14:paraId="1C522A1B">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创安全文明标准化工地目标明确，有针对项目实际情况，科学可行的创建计划和符合相关标准、规范、规程的创建保证措施和安全生产措施费投入使用计划，现场施工区、生活区、办公区等设置科学规范，符合有关文明施工、健康卫生的规定。有防治施工现场扬尘治理方案，措施符合河南省《城市房屋建筑和市政基础设施工程及道路扬尘污染防治标准》（DBJ41/174 ）的规定。（0-1）</w:t>
            </w:r>
          </w:p>
        </w:tc>
      </w:tr>
      <w:tr w14:paraId="385B2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04107F98">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3291DC07">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585B0E6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工期保证措施</w:t>
            </w:r>
          </w:p>
        </w:tc>
        <w:tc>
          <w:tcPr>
            <w:tcW w:w="1816" w:type="dxa"/>
            <w:noWrap w:val="0"/>
            <w:tcMar>
              <w:left w:w="57" w:type="dxa"/>
              <w:right w:w="57" w:type="dxa"/>
            </w:tcMar>
            <w:vAlign w:val="center"/>
          </w:tcPr>
          <w:p w14:paraId="448CEF6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01" w:type="dxa"/>
            <w:gridSpan w:val="2"/>
            <w:noWrap w:val="0"/>
            <w:tcMar>
              <w:left w:w="57" w:type="dxa"/>
              <w:right w:w="57" w:type="dxa"/>
            </w:tcMar>
            <w:vAlign w:val="center"/>
          </w:tcPr>
          <w:p w14:paraId="1B1A52E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工期承诺满足招标文件要求，工期保证措施合理且有针对性，有具体的违约责任承诺。（0-1）</w:t>
            </w:r>
          </w:p>
        </w:tc>
      </w:tr>
      <w:tr w14:paraId="57F34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4CE3DB8E">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4BB35E62">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09CFEE4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拟投入资源配备计划措施</w:t>
            </w:r>
          </w:p>
        </w:tc>
        <w:tc>
          <w:tcPr>
            <w:tcW w:w="1816" w:type="dxa"/>
            <w:noWrap w:val="0"/>
            <w:tcMar>
              <w:left w:w="57" w:type="dxa"/>
              <w:right w:w="57" w:type="dxa"/>
            </w:tcMar>
            <w:vAlign w:val="center"/>
          </w:tcPr>
          <w:p w14:paraId="06DD8FD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3501" w:type="dxa"/>
            <w:gridSpan w:val="2"/>
            <w:noWrap w:val="0"/>
            <w:tcMar>
              <w:left w:w="57" w:type="dxa"/>
              <w:right w:w="57" w:type="dxa"/>
            </w:tcMar>
            <w:vAlign w:val="center"/>
          </w:tcPr>
          <w:p w14:paraId="108EC1C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1.机械：投入计划与进度计划呼应，采用先进机械设备且配置合理，满足安全技术规范和施工进度需要；PC构件运输、安装设备满足施工要求；（0-0.5）</w:t>
            </w:r>
          </w:p>
          <w:p w14:paraId="5402EB7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2.劳动力：投入计划与进度计划呼应，满足施工需要，调配投入计划合理、准确；（0-0.5）</w:t>
            </w:r>
          </w:p>
          <w:p w14:paraId="2CCB8B6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3.主要物资计划：主要物资（含PC构件的供应需求）投入计划与进度计划呼应，满足施工需要，调配投入计划合理、准确。（0-0.5）</w:t>
            </w:r>
          </w:p>
        </w:tc>
      </w:tr>
      <w:tr w14:paraId="3588E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5355E133">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7AB032B3">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7F16D14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施工进度表与网络计划图</w:t>
            </w:r>
          </w:p>
        </w:tc>
        <w:tc>
          <w:tcPr>
            <w:tcW w:w="1816" w:type="dxa"/>
            <w:noWrap w:val="0"/>
            <w:tcMar>
              <w:left w:w="57" w:type="dxa"/>
              <w:right w:w="57" w:type="dxa"/>
            </w:tcMar>
            <w:vAlign w:val="center"/>
          </w:tcPr>
          <w:p w14:paraId="753EA9D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01" w:type="dxa"/>
            <w:gridSpan w:val="2"/>
            <w:noWrap w:val="0"/>
            <w:tcMar>
              <w:left w:w="57" w:type="dxa"/>
              <w:right w:w="57" w:type="dxa"/>
            </w:tcMar>
            <w:vAlign w:val="center"/>
          </w:tcPr>
          <w:p w14:paraId="18AC3249">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关键线路清晰、准确、完整，计划编制合理、可行，满足招标文件对工期的要求。（0-1）</w:t>
            </w:r>
          </w:p>
        </w:tc>
      </w:tr>
      <w:tr w14:paraId="57C3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8" w:type="dxa"/>
            <w:vMerge w:val="continue"/>
            <w:noWrap w:val="0"/>
            <w:tcMar>
              <w:left w:w="57" w:type="dxa"/>
              <w:right w:w="57" w:type="dxa"/>
            </w:tcMar>
            <w:vAlign w:val="center"/>
          </w:tcPr>
          <w:p w14:paraId="2F5DE852">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03951E1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0E260B9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施工总平面图布置</w:t>
            </w:r>
          </w:p>
        </w:tc>
        <w:tc>
          <w:tcPr>
            <w:tcW w:w="1816" w:type="dxa"/>
            <w:noWrap w:val="0"/>
            <w:tcMar>
              <w:left w:w="57" w:type="dxa"/>
              <w:right w:w="57" w:type="dxa"/>
            </w:tcMar>
            <w:vAlign w:val="center"/>
          </w:tcPr>
          <w:p w14:paraId="21F8632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01" w:type="dxa"/>
            <w:gridSpan w:val="2"/>
            <w:noWrap w:val="0"/>
            <w:tcMar>
              <w:left w:w="57" w:type="dxa"/>
              <w:right w:w="57" w:type="dxa"/>
            </w:tcMar>
            <w:vAlign w:val="center"/>
          </w:tcPr>
          <w:p w14:paraId="2593724A">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总体布置有针对性、合理，能满足施工需要，符合安全、文明施工要求，材料堆放有序。（0-1）</w:t>
            </w:r>
          </w:p>
        </w:tc>
      </w:tr>
      <w:tr w14:paraId="000B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7E3DE713">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4A35B02E">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0DDB8E8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建造方式的创新应用实施方案</w:t>
            </w:r>
          </w:p>
        </w:tc>
        <w:tc>
          <w:tcPr>
            <w:tcW w:w="1816" w:type="dxa"/>
            <w:noWrap w:val="0"/>
            <w:tcMar>
              <w:left w:w="57" w:type="dxa"/>
              <w:right w:w="57" w:type="dxa"/>
            </w:tcMar>
            <w:vAlign w:val="center"/>
          </w:tcPr>
          <w:p w14:paraId="24236D3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501" w:type="dxa"/>
            <w:gridSpan w:val="2"/>
            <w:noWrap w:val="0"/>
            <w:tcMar>
              <w:left w:w="57" w:type="dxa"/>
              <w:right w:w="57" w:type="dxa"/>
            </w:tcMar>
            <w:vAlign w:val="center"/>
          </w:tcPr>
          <w:p w14:paraId="01112D8D">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1.智能建造、2.节能减排、3.绿色施工、4.装配式建筑等建造方式的创新应用实施方案符合工程情况，具有针对性、可行性、经济适用性；每一项（0-1）。</w:t>
            </w:r>
          </w:p>
        </w:tc>
      </w:tr>
      <w:tr w14:paraId="128F7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vMerge w:val="continue"/>
            <w:noWrap w:val="0"/>
            <w:tcMar>
              <w:left w:w="57" w:type="dxa"/>
              <w:right w:w="57" w:type="dxa"/>
            </w:tcMar>
            <w:vAlign w:val="center"/>
          </w:tcPr>
          <w:p w14:paraId="5D2679E7">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D099141">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restart"/>
            <w:noWrap w:val="0"/>
            <w:tcMar>
              <w:left w:w="57" w:type="dxa"/>
              <w:right w:w="57" w:type="dxa"/>
            </w:tcMar>
            <w:vAlign w:val="center"/>
          </w:tcPr>
          <w:p w14:paraId="151FEF3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采用新工艺、新技术、新设备、新材料、BIM等的程度</w:t>
            </w:r>
          </w:p>
        </w:tc>
        <w:tc>
          <w:tcPr>
            <w:tcW w:w="1816" w:type="dxa"/>
            <w:vMerge w:val="restart"/>
            <w:noWrap w:val="0"/>
            <w:tcMar>
              <w:left w:w="57" w:type="dxa"/>
              <w:right w:w="57" w:type="dxa"/>
            </w:tcMar>
            <w:vAlign w:val="center"/>
          </w:tcPr>
          <w:p w14:paraId="0CA786C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3501" w:type="dxa"/>
            <w:gridSpan w:val="2"/>
            <w:noWrap w:val="0"/>
            <w:tcMar>
              <w:left w:w="57" w:type="dxa"/>
              <w:right w:w="57" w:type="dxa"/>
            </w:tcMar>
            <w:vAlign w:val="center"/>
          </w:tcPr>
          <w:p w14:paraId="5EDCA7B7">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采用1.新工艺、2.新技术、3.新设备（含工器具、智能设备等）、4.新材料等满足实现设计要求，符合施工需要和相应技术标准等规定，经济适用；每一项（0-0.5）。</w:t>
            </w:r>
          </w:p>
        </w:tc>
      </w:tr>
      <w:tr w14:paraId="02C7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vMerge w:val="continue"/>
            <w:noWrap w:val="0"/>
            <w:tcMar>
              <w:left w:w="57" w:type="dxa"/>
              <w:right w:w="57" w:type="dxa"/>
            </w:tcMar>
            <w:vAlign w:val="center"/>
          </w:tcPr>
          <w:p w14:paraId="34CB831D">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76A364B">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54BAF9D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816" w:type="dxa"/>
            <w:vMerge w:val="continue"/>
            <w:noWrap w:val="0"/>
            <w:tcMar>
              <w:left w:w="57" w:type="dxa"/>
              <w:right w:w="57" w:type="dxa"/>
            </w:tcMar>
            <w:vAlign w:val="center"/>
          </w:tcPr>
          <w:p w14:paraId="58F3899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3501" w:type="dxa"/>
            <w:gridSpan w:val="2"/>
            <w:noWrap w:val="0"/>
            <w:tcMar>
              <w:left w:w="57" w:type="dxa"/>
              <w:right w:w="57" w:type="dxa"/>
            </w:tcMar>
            <w:vAlign w:val="center"/>
          </w:tcPr>
          <w:p w14:paraId="3CFAF1D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应用BIM技术优化施工工序、资源配置及数字化管理，措施得当，有效提高施工效率。（0-1.5）</w:t>
            </w:r>
          </w:p>
        </w:tc>
      </w:tr>
      <w:tr w14:paraId="7CE49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vMerge w:val="continue"/>
            <w:noWrap w:val="0"/>
            <w:tcMar>
              <w:left w:w="57" w:type="dxa"/>
              <w:right w:w="57" w:type="dxa"/>
            </w:tcMar>
            <w:vAlign w:val="center"/>
          </w:tcPr>
          <w:p w14:paraId="17D50B03">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1805178">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3099726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施工现场实施信息化监控和数据处理</w:t>
            </w:r>
          </w:p>
        </w:tc>
        <w:tc>
          <w:tcPr>
            <w:tcW w:w="1816" w:type="dxa"/>
            <w:noWrap w:val="0"/>
            <w:tcMar>
              <w:left w:w="57" w:type="dxa"/>
              <w:right w:w="57" w:type="dxa"/>
            </w:tcMar>
            <w:vAlign w:val="center"/>
          </w:tcPr>
          <w:p w14:paraId="78C7541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01" w:type="dxa"/>
            <w:gridSpan w:val="2"/>
            <w:noWrap w:val="0"/>
            <w:tcMar>
              <w:left w:w="57" w:type="dxa"/>
              <w:right w:w="57" w:type="dxa"/>
            </w:tcMar>
            <w:vAlign w:val="center"/>
          </w:tcPr>
          <w:p w14:paraId="49A4FF7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施工现场实施信息化监控和数据处理系统布置合理，满足管理需要。（0-1）</w:t>
            </w:r>
          </w:p>
        </w:tc>
      </w:tr>
      <w:tr w14:paraId="1F9EC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3BDF49BA">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7D0E9ED1">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3EA3C42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风险管理措施</w:t>
            </w:r>
          </w:p>
        </w:tc>
        <w:tc>
          <w:tcPr>
            <w:tcW w:w="1816" w:type="dxa"/>
            <w:noWrap w:val="0"/>
            <w:tcMar>
              <w:left w:w="57" w:type="dxa"/>
              <w:right w:w="57" w:type="dxa"/>
            </w:tcMar>
            <w:vAlign w:val="center"/>
          </w:tcPr>
          <w:p w14:paraId="20BD2B9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01" w:type="dxa"/>
            <w:gridSpan w:val="2"/>
            <w:noWrap w:val="0"/>
            <w:tcMar>
              <w:left w:w="57" w:type="dxa"/>
              <w:right w:w="57" w:type="dxa"/>
            </w:tcMar>
            <w:vAlign w:val="center"/>
          </w:tcPr>
          <w:p w14:paraId="32BC15B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风险防控管理措施齐全，风险预控符合规范要求，风险控制要点定位准确，各阶段风险控制及应急措施得力。（0-1）</w:t>
            </w:r>
          </w:p>
        </w:tc>
      </w:tr>
      <w:tr w14:paraId="0CFED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jc w:val="center"/>
        </w:trPr>
        <w:tc>
          <w:tcPr>
            <w:tcW w:w="908" w:type="dxa"/>
            <w:vMerge w:val="continue"/>
            <w:noWrap w:val="0"/>
            <w:tcMar>
              <w:left w:w="57" w:type="dxa"/>
              <w:right w:w="57" w:type="dxa"/>
            </w:tcMar>
            <w:vAlign w:val="center"/>
          </w:tcPr>
          <w:p w14:paraId="0304EE54">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6E95E6CA">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7002" w:type="dxa"/>
            <w:gridSpan w:val="5"/>
            <w:noWrap w:val="0"/>
            <w:tcMar>
              <w:left w:w="57" w:type="dxa"/>
              <w:right w:w="57" w:type="dxa"/>
            </w:tcMar>
            <w:vAlign w:val="center"/>
          </w:tcPr>
          <w:p w14:paraId="452F381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1.各档次的标准设定如下：</w:t>
            </w:r>
          </w:p>
          <w:p w14:paraId="3E4D074B">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优：内容详实，方案科学、合理、安全，考虑周全，措施到位，针对性强，完全能够满足招标工程的施工需要。</w:t>
            </w:r>
          </w:p>
          <w:p w14:paraId="185E2737">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良：内容完整，方案基本科学、合理、安全，基本考虑周全，措施基本到位，针对性较强，可以满足招标工程的施工需要，但有个别细节需要进一步完善或提高。</w:t>
            </w:r>
          </w:p>
          <w:p w14:paraId="644D5F4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一般：内容基本完整，方案在科学、合理、安全性方面一般，基本考虑不周，措施不够到位，针对性不强，虽然能够基本满足招标工程的施工需要，但有很多方面需要进一步完善甚至重新考虑。</w:t>
            </w:r>
          </w:p>
          <w:p w14:paraId="524A4825">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差：内容不完整，方案在科学、合理、安全性方面差，考虑非常不周，措施基本不到位，没有针对性，不能满足招标工程的施工需要。</w:t>
            </w:r>
          </w:p>
          <w:p w14:paraId="2615FA9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2.各分项内容如缺项，相应项目得分为0。</w:t>
            </w:r>
          </w:p>
        </w:tc>
      </w:tr>
      <w:tr w14:paraId="3744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1" w:hRule="atLeast"/>
          <w:jc w:val="center"/>
        </w:trPr>
        <w:tc>
          <w:tcPr>
            <w:tcW w:w="908" w:type="dxa"/>
            <w:noWrap w:val="0"/>
            <w:tcMar>
              <w:left w:w="57" w:type="dxa"/>
              <w:right w:w="57" w:type="dxa"/>
            </w:tcMar>
            <w:vAlign w:val="center"/>
          </w:tcPr>
          <w:p w14:paraId="6964A26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2</w:t>
            </w:r>
          </w:p>
          <w:p w14:paraId="46ED02F9">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2)</w:t>
            </w:r>
          </w:p>
        </w:tc>
        <w:tc>
          <w:tcPr>
            <w:tcW w:w="1276" w:type="dxa"/>
            <w:gridSpan w:val="2"/>
            <w:noWrap w:val="0"/>
            <w:tcMar>
              <w:left w:w="57" w:type="dxa"/>
              <w:right w:w="57" w:type="dxa"/>
            </w:tcMar>
            <w:vAlign w:val="center"/>
          </w:tcPr>
          <w:p w14:paraId="17672F58">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商务标</w:t>
            </w:r>
          </w:p>
          <w:p w14:paraId="6A6A804F">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w:t>
            </w:r>
            <w:r>
              <w:rPr>
                <w:rFonts w:hint="eastAsia" w:ascii="宋体" w:hAnsi="宋体" w:eastAsia="宋体" w:cs="宋体"/>
                <w:color w:val="auto"/>
                <w:sz w:val="21"/>
                <w:szCs w:val="21"/>
                <w:highlight w:val="none"/>
                <w:lang w:val="en-US"/>
              </w:rPr>
              <w:t>50</w:t>
            </w:r>
            <w:r>
              <w:rPr>
                <w:rFonts w:hint="eastAsia" w:ascii="宋体" w:hAnsi="宋体" w:eastAsia="宋体" w:cs="宋体"/>
                <w:color w:val="auto"/>
                <w:sz w:val="21"/>
                <w:szCs w:val="21"/>
                <w:highlight w:val="none"/>
              </w:rPr>
              <w:t>分）</w:t>
            </w:r>
          </w:p>
        </w:tc>
        <w:tc>
          <w:tcPr>
            <w:tcW w:w="1685" w:type="dxa"/>
            <w:gridSpan w:val="2"/>
            <w:noWrap w:val="0"/>
            <w:tcMar>
              <w:left w:w="57" w:type="dxa"/>
              <w:right w:w="57" w:type="dxa"/>
            </w:tcMar>
            <w:vAlign w:val="center"/>
          </w:tcPr>
          <w:p w14:paraId="21C4CB7E">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6963E35C">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p>
        </w:tc>
        <w:tc>
          <w:tcPr>
            <w:tcW w:w="5317" w:type="dxa"/>
            <w:gridSpan w:val="3"/>
            <w:noWrap w:val="0"/>
            <w:tcMar>
              <w:left w:w="57" w:type="dxa"/>
              <w:right w:w="57" w:type="dxa"/>
            </w:tcMar>
            <w:vAlign w:val="center"/>
          </w:tcPr>
          <w:p w14:paraId="71E57141">
            <w:pPr>
              <w:keepNext w:val="0"/>
              <w:keepLines w:val="0"/>
              <w:pageBreakBefore w:val="0"/>
              <w:suppressLineNumbers w:val="0"/>
              <w:kinsoku/>
              <w:wordWrap w:val="0"/>
              <w:overflowPunct/>
              <w:topLinePunct w:val="0"/>
              <w:bidi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本项目设招标控制价，高于招标控制价的投标报价按无效标处理。</w:t>
            </w:r>
          </w:p>
          <w:p w14:paraId="4BBC4FE6">
            <w:pPr>
              <w:keepNext w:val="0"/>
              <w:keepLines w:val="0"/>
              <w:pageBreakBefore w:val="0"/>
              <w:suppressLineNumbers w:val="0"/>
              <w:kinsoku/>
              <w:wordWrap w:val="0"/>
              <w:overflowPunct/>
              <w:topLinePunct w:val="0"/>
              <w:bidi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评标基准值C计算方法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C=60%A+40%B（A：招标控制价；B：参与评标基准值计算的投标报价的算术平均值。）</w:t>
            </w:r>
          </w:p>
          <w:p w14:paraId="3AFECF5F">
            <w:pPr>
              <w:keepNext w:val="0"/>
              <w:keepLines w:val="0"/>
              <w:pageBreakBefore w:val="0"/>
              <w:suppressLineNumbers w:val="0"/>
              <w:kinsoku/>
              <w:wordWrap w:val="0"/>
              <w:overflowPunct/>
              <w:topLinePunct w:val="0"/>
              <w:bidi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评标基准值计算的投标报价是指在招标控制价的95%（含）-100%（含）范围内的报价；若投标人的投标报价低于招标控制价的95%（不含95%）,不参与B值的计算，但参与投标报价的合理性评审；当参与评标基准值计算的投标报价多于</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家时（不含</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家），去掉一个最高和一个最低投标报价后的算术平均值为B值。</w:t>
            </w:r>
          </w:p>
          <w:p w14:paraId="0FF74339">
            <w:pPr>
              <w:keepNext w:val="0"/>
              <w:keepLines w:val="0"/>
              <w:pageBreakBefore w:val="0"/>
              <w:suppressLineNumbers w:val="0"/>
              <w:kinsoku/>
              <w:wordWrap w:val="0"/>
              <w:overflowPunct/>
              <w:topLinePunct w:val="0"/>
              <w:bidi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当所有投标人的投标报价均低于招标控制价的95%（不含95%）时,评标基准值</w:t>
            </w:r>
            <w:r>
              <w:rPr>
                <w:rFonts w:hint="eastAsia" w:ascii="宋体" w:hAnsi="宋体" w:eastAsia="宋体" w:cs="宋体"/>
                <w:color w:val="auto"/>
                <w:sz w:val="21"/>
                <w:szCs w:val="21"/>
                <w:highlight w:val="none"/>
                <w:lang w:val="en-US" w:eastAsia="zh-CN"/>
              </w:rPr>
              <w:t>C=</w:t>
            </w:r>
            <w:r>
              <w:rPr>
                <w:rFonts w:hint="eastAsia" w:ascii="宋体" w:hAnsi="宋体" w:eastAsia="宋体" w:cs="宋体"/>
                <w:color w:val="auto"/>
                <w:sz w:val="21"/>
                <w:szCs w:val="21"/>
                <w:highlight w:val="none"/>
              </w:rPr>
              <w:t>=招标控制价×95%。</w:t>
            </w:r>
          </w:p>
          <w:p w14:paraId="000AB882">
            <w:pPr>
              <w:keepNext w:val="0"/>
              <w:keepLines w:val="0"/>
              <w:pageBreakBefore w:val="0"/>
              <w:suppressLineNumbers w:val="0"/>
              <w:kinsoku/>
              <w:wordWrap w:val="0"/>
              <w:overflowPunct/>
              <w:topLinePunct w:val="0"/>
              <w:bidi w:val="0"/>
              <w:spacing w:before="0" w:beforeAutospacing="0" w:after="0" w:afterAutospacing="0"/>
              <w:ind w:left="0" w:right="0"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当投标报价=C时，得</w:t>
            </w:r>
            <w:r>
              <w:rPr>
                <w:rFonts w:hint="eastAsia" w:ascii="宋体" w:hAnsi="宋体" w:eastAsia="宋体" w:cs="宋体"/>
                <w:color w:val="auto"/>
                <w:sz w:val="21"/>
                <w:szCs w:val="21"/>
                <w:highlight w:val="none"/>
                <w:lang w:val="en-US" w:eastAsia="zh-CN"/>
              </w:rPr>
              <w:t>满分50</w:t>
            </w:r>
            <w:r>
              <w:rPr>
                <w:rFonts w:hint="eastAsia" w:ascii="宋体" w:hAnsi="宋体" w:eastAsia="宋体" w:cs="宋体"/>
                <w:color w:val="auto"/>
                <w:sz w:val="21"/>
                <w:szCs w:val="21"/>
                <w:highlight w:val="none"/>
              </w:rPr>
              <w:t>分。</w:t>
            </w:r>
          </w:p>
          <w:p w14:paraId="040843D0">
            <w:pPr>
              <w:keepNext w:val="0"/>
              <w:keepLines w:val="0"/>
              <w:pageBreakBefore w:val="0"/>
              <w:suppressLineNumbers w:val="0"/>
              <w:kinsoku/>
              <w:wordWrap w:val="0"/>
              <w:overflowPunct/>
              <w:topLinePunct w:val="0"/>
              <w:bidi w:val="0"/>
              <w:spacing w:before="0" w:beforeAutospacing="0" w:after="0" w:afterAutospacing="0"/>
              <w:ind w:left="0" w:right="0"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当投标报价＞C</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投标报价＜C</w:t>
            </w:r>
            <w:r>
              <w:rPr>
                <w:rFonts w:hint="eastAsia" w:ascii="宋体" w:hAnsi="宋体" w:eastAsia="宋体" w:cs="宋体"/>
                <w:color w:val="auto"/>
                <w:sz w:val="21"/>
                <w:szCs w:val="21"/>
                <w:highlight w:val="none"/>
                <w:lang w:val="en-US" w:eastAsia="zh-CN"/>
              </w:rPr>
              <w:t>时</w:t>
            </w:r>
            <w:r>
              <w:rPr>
                <w:rFonts w:hint="eastAsia" w:ascii="宋体" w:hAnsi="宋体" w:eastAsia="宋体" w:cs="宋体"/>
                <w:color w:val="auto"/>
                <w:sz w:val="21"/>
                <w:szCs w:val="21"/>
                <w:highlight w:val="none"/>
              </w:rPr>
              <w:t>，投标报价与C相比，每高1%</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每低1%在</w:t>
            </w:r>
            <w:r>
              <w:rPr>
                <w:rFonts w:hint="eastAsia" w:ascii="宋体" w:hAnsi="宋体" w:eastAsia="宋体" w:cs="宋体"/>
                <w:color w:val="auto"/>
                <w:sz w:val="21"/>
                <w:szCs w:val="21"/>
                <w:highlight w:val="none"/>
                <w:lang w:val="en-US" w:eastAsia="zh-CN"/>
              </w:rPr>
              <w:t>满</w:t>
            </w:r>
            <w:r>
              <w:rPr>
                <w:rFonts w:hint="eastAsia" w:ascii="宋体" w:hAnsi="宋体" w:eastAsia="宋体" w:cs="宋体"/>
                <w:color w:val="auto"/>
                <w:sz w:val="21"/>
                <w:szCs w:val="21"/>
                <w:highlight w:val="none"/>
              </w:rPr>
              <w:t>分的基础上扣1分，此项得分扣完为止。</w:t>
            </w:r>
          </w:p>
          <w:p w14:paraId="704CF82D">
            <w:pPr>
              <w:keepNext w:val="0"/>
              <w:keepLines w:val="0"/>
              <w:pageBreakBefore w:val="0"/>
              <w:suppressLineNumbers w:val="0"/>
              <w:kinsoku/>
              <w:wordWrap w:val="0"/>
              <w:overflowPunct/>
              <w:topLinePunct w:val="0"/>
              <w:bidi w:val="0"/>
              <w:adjustRightInd w:val="0"/>
              <w:snapToGrid w:val="0"/>
              <w:spacing w:before="0" w:beforeAutospacing="0" w:after="0" w:afterAutospacing="0"/>
              <w:ind w:left="0" w:right="0"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注：不足</w:t>
            </w:r>
            <w:r>
              <w:rPr>
                <w:rFonts w:hint="eastAsia" w:ascii="宋体" w:hAnsi="宋体" w:eastAsia="宋体" w:cs="宋体"/>
                <w:b/>
                <w:bCs/>
                <w:color w:val="auto"/>
                <w:kern w:val="0"/>
                <w:sz w:val="21"/>
                <w:szCs w:val="21"/>
                <w:highlight w:val="none"/>
                <w:u w:val="single"/>
              </w:rPr>
              <w:t>1%</w:t>
            </w:r>
            <w:r>
              <w:rPr>
                <w:rFonts w:hint="eastAsia" w:ascii="宋体" w:hAnsi="宋体" w:eastAsia="宋体" w:cs="宋体"/>
                <w:b/>
                <w:bCs/>
                <w:color w:val="auto"/>
                <w:kern w:val="0"/>
                <w:sz w:val="21"/>
                <w:szCs w:val="21"/>
                <w:highlight w:val="none"/>
              </w:rPr>
              <w:t>的按比例扣分。</w:t>
            </w:r>
          </w:p>
        </w:tc>
      </w:tr>
      <w:tr w14:paraId="4F31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vMerge w:val="restart"/>
            <w:noWrap w:val="0"/>
            <w:tcMar>
              <w:left w:w="57" w:type="dxa"/>
              <w:right w:w="57" w:type="dxa"/>
            </w:tcMar>
            <w:vAlign w:val="center"/>
          </w:tcPr>
          <w:p w14:paraId="535376DE">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2</w:t>
            </w:r>
          </w:p>
          <w:p w14:paraId="1E04E421">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3)</w:t>
            </w:r>
          </w:p>
        </w:tc>
        <w:tc>
          <w:tcPr>
            <w:tcW w:w="1276" w:type="dxa"/>
            <w:gridSpan w:val="2"/>
            <w:vMerge w:val="restart"/>
            <w:noWrap w:val="0"/>
            <w:tcMar>
              <w:left w:w="57" w:type="dxa"/>
              <w:right w:w="57" w:type="dxa"/>
            </w:tcMar>
            <w:vAlign w:val="center"/>
          </w:tcPr>
          <w:p w14:paraId="53A3F5D1">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综合标</w:t>
            </w:r>
          </w:p>
          <w:p w14:paraId="5B14A0EB">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w:t>
            </w:r>
            <w:r>
              <w:rPr>
                <w:rFonts w:hint="eastAsia" w:ascii="宋体" w:hAnsi="宋体" w:eastAsia="宋体" w:cs="宋体"/>
                <w:color w:val="auto"/>
                <w:sz w:val="21"/>
                <w:szCs w:val="21"/>
                <w:highlight w:val="none"/>
                <w:lang w:val="en-US"/>
              </w:rPr>
              <w:t>3</w:t>
            </w:r>
            <w:r>
              <w:rPr>
                <w:rFonts w:hint="eastAsia" w:ascii="宋体" w:hAnsi="宋体" w:eastAsia="宋体" w:cs="宋体"/>
                <w:color w:val="auto"/>
                <w:sz w:val="21"/>
                <w:szCs w:val="21"/>
                <w:highlight w:val="none"/>
              </w:rPr>
              <w:t>0分）</w:t>
            </w:r>
          </w:p>
        </w:tc>
        <w:tc>
          <w:tcPr>
            <w:tcW w:w="1685" w:type="dxa"/>
            <w:gridSpan w:val="2"/>
            <w:noWrap w:val="0"/>
            <w:tcMar>
              <w:left w:w="57" w:type="dxa"/>
              <w:right w:w="57" w:type="dxa"/>
            </w:tcMar>
            <w:vAlign w:val="center"/>
          </w:tcPr>
          <w:p w14:paraId="6F0A803F">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3632" w:type="dxa"/>
            <w:gridSpan w:val="2"/>
            <w:noWrap w:val="0"/>
            <w:tcMar>
              <w:left w:w="57" w:type="dxa"/>
              <w:right w:w="57" w:type="dxa"/>
            </w:tcMar>
            <w:vAlign w:val="center"/>
          </w:tcPr>
          <w:p w14:paraId="6D70D43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评审标准</w:t>
            </w:r>
          </w:p>
        </w:tc>
        <w:tc>
          <w:tcPr>
            <w:tcW w:w="1685" w:type="dxa"/>
            <w:noWrap w:val="0"/>
            <w:tcMar>
              <w:left w:w="57" w:type="dxa"/>
              <w:right w:w="57" w:type="dxa"/>
            </w:tcMar>
            <w:vAlign w:val="center"/>
          </w:tcPr>
          <w:p w14:paraId="071626F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评审计分</w:t>
            </w:r>
          </w:p>
        </w:tc>
      </w:tr>
      <w:tr w14:paraId="21508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285F4C8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EF6F7F2">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0D0A2224">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tc>
        <w:tc>
          <w:tcPr>
            <w:tcW w:w="3632" w:type="dxa"/>
            <w:gridSpan w:val="2"/>
            <w:noWrap w:val="0"/>
            <w:tcMar>
              <w:left w:w="57" w:type="dxa"/>
              <w:right w:w="57" w:type="dxa"/>
            </w:tcMar>
            <w:vAlign w:val="center"/>
          </w:tcPr>
          <w:p w14:paraId="399C396B">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投标企业自202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年1月1日以来承担过的类似工程的业绩，提供一份得2分，最多2分，没有提供得0分。（提供施工合同</w:t>
            </w:r>
            <w:r>
              <w:rPr>
                <w:rFonts w:hint="eastAsia" w:ascii="宋体" w:hAnsi="宋体" w:eastAsia="宋体" w:cs="宋体"/>
                <w:color w:val="auto"/>
                <w:sz w:val="21"/>
                <w:szCs w:val="21"/>
                <w:highlight w:val="none"/>
                <w:lang w:val="en-US" w:eastAsia="zh-CN"/>
              </w:rPr>
              <w:t>和</w:t>
            </w:r>
            <w:r>
              <w:rPr>
                <w:rFonts w:hint="eastAsia" w:ascii="宋体" w:hAnsi="宋体" w:eastAsia="宋体" w:cs="宋体"/>
                <w:color w:val="auto"/>
                <w:sz w:val="21"/>
                <w:szCs w:val="21"/>
                <w:highlight w:val="none"/>
              </w:rPr>
              <w:t>中标通知书。）</w:t>
            </w:r>
          </w:p>
        </w:tc>
        <w:tc>
          <w:tcPr>
            <w:tcW w:w="1685" w:type="dxa"/>
            <w:noWrap w:val="0"/>
            <w:tcMar>
              <w:left w:w="57" w:type="dxa"/>
              <w:right w:w="57" w:type="dxa"/>
            </w:tcMar>
            <w:vAlign w:val="center"/>
          </w:tcPr>
          <w:p w14:paraId="4EF859D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rPr>
              <w:t>0≤得分≤</w:t>
            </w:r>
            <w:r>
              <w:rPr>
                <w:rFonts w:hint="eastAsia" w:ascii="宋体" w:hAnsi="宋体" w:eastAsia="宋体" w:cs="宋体"/>
                <w:color w:val="auto"/>
                <w:sz w:val="21"/>
                <w:szCs w:val="21"/>
                <w:highlight w:val="none"/>
                <w:lang w:val="en"/>
              </w:rPr>
              <w:t>2分</w:t>
            </w:r>
          </w:p>
        </w:tc>
      </w:tr>
      <w:tr w14:paraId="07DD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18B92742">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0FE7B364">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restart"/>
            <w:noWrap w:val="0"/>
            <w:tcMar>
              <w:left w:w="57" w:type="dxa"/>
              <w:right w:w="57" w:type="dxa"/>
            </w:tcMar>
            <w:vAlign w:val="center"/>
          </w:tcPr>
          <w:p w14:paraId="16939BA6">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企业既往项目</w:t>
            </w:r>
          </w:p>
          <w:p w14:paraId="777F11D2">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人员在岗情况</w:t>
            </w:r>
          </w:p>
        </w:tc>
        <w:tc>
          <w:tcPr>
            <w:tcW w:w="1816" w:type="dxa"/>
            <w:vMerge w:val="restart"/>
            <w:noWrap w:val="0"/>
            <w:tcMar>
              <w:left w:w="57" w:type="dxa"/>
              <w:right w:w="57" w:type="dxa"/>
            </w:tcMar>
            <w:vAlign w:val="center"/>
          </w:tcPr>
          <w:p w14:paraId="5AAF839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企业项目经理实名 制平均考勤率</w:t>
            </w:r>
          </w:p>
        </w:tc>
        <w:tc>
          <w:tcPr>
            <w:tcW w:w="1816" w:type="dxa"/>
            <w:noWrap w:val="0"/>
            <w:tcMar>
              <w:left w:w="57" w:type="dxa"/>
              <w:right w:w="57" w:type="dxa"/>
            </w:tcMar>
            <w:vAlign w:val="center"/>
          </w:tcPr>
          <w:p w14:paraId="5404DFBB">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平均考勤率≥80%</w:t>
            </w:r>
          </w:p>
        </w:tc>
        <w:tc>
          <w:tcPr>
            <w:tcW w:w="1685" w:type="dxa"/>
            <w:noWrap w:val="0"/>
            <w:tcMar>
              <w:left w:w="57" w:type="dxa"/>
              <w:right w:w="57" w:type="dxa"/>
            </w:tcMar>
            <w:vAlign w:val="center"/>
          </w:tcPr>
          <w:p w14:paraId="646B1D8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4分</w:t>
            </w:r>
          </w:p>
        </w:tc>
      </w:tr>
      <w:tr w14:paraId="32599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5870BC2D">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6E92F232">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0F9A6DF7">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vMerge w:val="continue"/>
            <w:noWrap w:val="0"/>
            <w:tcMar>
              <w:left w:w="57" w:type="dxa"/>
              <w:right w:w="57" w:type="dxa"/>
            </w:tcMar>
            <w:vAlign w:val="center"/>
          </w:tcPr>
          <w:p w14:paraId="47818FD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816" w:type="dxa"/>
            <w:noWrap w:val="0"/>
            <w:tcMar>
              <w:left w:w="57" w:type="dxa"/>
              <w:right w:w="57" w:type="dxa"/>
            </w:tcMar>
            <w:vAlign w:val="center"/>
          </w:tcPr>
          <w:p w14:paraId="58AACB87">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80%＞平均考勤率≥30%</w:t>
            </w:r>
          </w:p>
        </w:tc>
        <w:tc>
          <w:tcPr>
            <w:tcW w:w="1685" w:type="dxa"/>
            <w:noWrap w:val="0"/>
            <w:tcMar>
              <w:left w:w="57" w:type="dxa"/>
              <w:right w:w="57" w:type="dxa"/>
            </w:tcMar>
            <w:vAlign w:val="center"/>
          </w:tcPr>
          <w:p w14:paraId="76B1DA4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8分×（平均考勤率-30%）</w:t>
            </w:r>
          </w:p>
        </w:tc>
      </w:tr>
      <w:tr w14:paraId="7D3B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204F03D7">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A5A1D3B">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4786315C">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vMerge w:val="continue"/>
            <w:noWrap w:val="0"/>
            <w:tcMar>
              <w:left w:w="57" w:type="dxa"/>
              <w:right w:w="57" w:type="dxa"/>
            </w:tcMar>
            <w:vAlign w:val="center"/>
          </w:tcPr>
          <w:p w14:paraId="5945E81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816" w:type="dxa"/>
            <w:noWrap w:val="0"/>
            <w:tcMar>
              <w:left w:w="57" w:type="dxa"/>
              <w:right w:w="57" w:type="dxa"/>
            </w:tcMar>
            <w:vAlign w:val="center"/>
          </w:tcPr>
          <w:p w14:paraId="455DE57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平均考勤率＜30%</w:t>
            </w:r>
          </w:p>
        </w:tc>
        <w:tc>
          <w:tcPr>
            <w:tcW w:w="1685" w:type="dxa"/>
            <w:noWrap w:val="0"/>
            <w:tcMar>
              <w:left w:w="57" w:type="dxa"/>
              <w:right w:w="57" w:type="dxa"/>
            </w:tcMar>
            <w:vAlign w:val="center"/>
          </w:tcPr>
          <w:p w14:paraId="0E8BBB5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0分</w:t>
            </w:r>
          </w:p>
        </w:tc>
      </w:tr>
      <w:tr w14:paraId="3081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29BF244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C789619">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50EDD78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vMerge w:val="restart"/>
            <w:noWrap w:val="0"/>
            <w:tcMar>
              <w:left w:w="57" w:type="dxa"/>
              <w:right w:w="57" w:type="dxa"/>
            </w:tcMar>
            <w:vAlign w:val="center"/>
          </w:tcPr>
          <w:p w14:paraId="3F0B6B2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企业项目建筑工人实名制平均考勤率</w:t>
            </w:r>
          </w:p>
        </w:tc>
        <w:tc>
          <w:tcPr>
            <w:tcW w:w="1816" w:type="dxa"/>
            <w:noWrap w:val="0"/>
            <w:tcMar>
              <w:left w:w="57" w:type="dxa"/>
              <w:right w:w="57" w:type="dxa"/>
            </w:tcMar>
            <w:vAlign w:val="center"/>
          </w:tcPr>
          <w:p w14:paraId="5B8047F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平均考勤率≥80%</w:t>
            </w:r>
          </w:p>
        </w:tc>
        <w:tc>
          <w:tcPr>
            <w:tcW w:w="1685" w:type="dxa"/>
            <w:noWrap w:val="0"/>
            <w:tcMar>
              <w:left w:w="57" w:type="dxa"/>
              <w:right w:w="57" w:type="dxa"/>
            </w:tcMar>
            <w:vAlign w:val="center"/>
          </w:tcPr>
          <w:p w14:paraId="27516D8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4分</w:t>
            </w:r>
          </w:p>
        </w:tc>
      </w:tr>
      <w:tr w14:paraId="1BDC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59D05EF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7DD8B00">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67E86583">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vMerge w:val="continue"/>
            <w:noWrap w:val="0"/>
            <w:tcMar>
              <w:left w:w="57" w:type="dxa"/>
              <w:right w:w="57" w:type="dxa"/>
            </w:tcMar>
            <w:vAlign w:val="center"/>
          </w:tcPr>
          <w:p w14:paraId="1B947EF0">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p>
        </w:tc>
        <w:tc>
          <w:tcPr>
            <w:tcW w:w="1816" w:type="dxa"/>
            <w:noWrap w:val="0"/>
            <w:tcMar>
              <w:left w:w="57" w:type="dxa"/>
              <w:right w:w="57" w:type="dxa"/>
            </w:tcMar>
            <w:vAlign w:val="center"/>
          </w:tcPr>
          <w:p w14:paraId="0D579EE2">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80%＞平均考勤率≥30%</w:t>
            </w:r>
          </w:p>
        </w:tc>
        <w:tc>
          <w:tcPr>
            <w:tcW w:w="1685" w:type="dxa"/>
            <w:noWrap w:val="0"/>
            <w:tcMar>
              <w:left w:w="57" w:type="dxa"/>
              <w:right w:w="57" w:type="dxa"/>
            </w:tcMar>
            <w:vAlign w:val="center"/>
          </w:tcPr>
          <w:p w14:paraId="4CB1424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8分×（平均考勤率-30%）</w:t>
            </w:r>
          </w:p>
        </w:tc>
      </w:tr>
      <w:tr w14:paraId="1D21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713096D3">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5AF6A91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6EF975AF">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vMerge w:val="continue"/>
            <w:noWrap w:val="0"/>
            <w:tcMar>
              <w:left w:w="57" w:type="dxa"/>
              <w:right w:w="57" w:type="dxa"/>
            </w:tcMar>
            <w:vAlign w:val="center"/>
          </w:tcPr>
          <w:p w14:paraId="11A2818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p>
        </w:tc>
        <w:tc>
          <w:tcPr>
            <w:tcW w:w="1816" w:type="dxa"/>
            <w:noWrap w:val="0"/>
            <w:tcMar>
              <w:left w:w="57" w:type="dxa"/>
              <w:right w:w="57" w:type="dxa"/>
            </w:tcMar>
            <w:vAlign w:val="center"/>
          </w:tcPr>
          <w:p w14:paraId="608FBC97">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平均考勤率＜30%</w:t>
            </w:r>
          </w:p>
        </w:tc>
        <w:tc>
          <w:tcPr>
            <w:tcW w:w="1685" w:type="dxa"/>
            <w:noWrap w:val="0"/>
            <w:tcMar>
              <w:left w:w="57" w:type="dxa"/>
              <w:right w:w="57" w:type="dxa"/>
            </w:tcMar>
            <w:vAlign w:val="center"/>
          </w:tcPr>
          <w:p w14:paraId="67E2D1E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0分</w:t>
            </w:r>
          </w:p>
        </w:tc>
      </w:tr>
      <w:tr w14:paraId="153DF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jc w:val="center"/>
        </w:trPr>
        <w:tc>
          <w:tcPr>
            <w:tcW w:w="908" w:type="dxa"/>
            <w:vMerge w:val="continue"/>
            <w:noWrap w:val="0"/>
            <w:tcMar>
              <w:left w:w="57" w:type="dxa"/>
              <w:right w:w="57" w:type="dxa"/>
            </w:tcMar>
            <w:vAlign w:val="center"/>
          </w:tcPr>
          <w:p w14:paraId="1DCCC58F">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68630A4C">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restart"/>
            <w:noWrap w:val="0"/>
            <w:tcMar>
              <w:left w:w="57" w:type="dxa"/>
              <w:right w:w="57" w:type="dxa"/>
            </w:tcMar>
            <w:vAlign w:val="center"/>
          </w:tcPr>
          <w:p w14:paraId="6813125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企业信用</w:t>
            </w:r>
          </w:p>
        </w:tc>
        <w:tc>
          <w:tcPr>
            <w:tcW w:w="3632" w:type="dxa"/>
            <w:gridSpan w:val="2"/>
            <w:noWrap w:val="0"/>
            <w:tcMar>
              <w:left w:w="57" w:type="dxa"/>
              <w:right w:w="57" w:type="dxa"/>
            </w:tcMar>
            <w:vAlign w:val="center"/>
          </w:tcPr>
          <w:p w14:paraId="08D75185">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□不采用</w:t>
            </w:r>
          </w:p>
          <w:p w14:paraId="4A7AFAFA">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w:t>
            </w:r>
          </w:p>
          <w:p w14:paraId="3359B944">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方法一：有效投标人的市场企业信用评价分值为L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（n为从1到n的自然数，示例：L</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），其中最高值为L</w:t>
            </w:r>
            <w:r>
              <w:rPr>
                <w:rFonts w:hint="eastAsia" w:ascii="宋体" w:hAnsi="宋体" w:eastAsia="宋体" w:cs="宋体"/>
                <w:color w:val="auto"/>
                <w:sz w:val="21"/>
                <w:szCs w:val="21"/>
                <w:highlight w:val="none"/>
                <w:vertAlign w:val="subscript"/>
              </w:rPr>
              <w:t>MAX</w:t>
            </w:r>
            <w:r>
              <w:rPr>
                <w:rFonts w:hint="eastAsia" w:ascii="宋体" w:hAnsi="宋体" w:eastAsia="宋体" w:cs="宋体"/>
                <w:color w:val="auto"/>
                <w:sz w:val="21"/>
                <w:szCs w:val="21"/>
                <w:highlight w:val="none"/>
              </w:rPr>
              <w:t>，投标人的企业信用得分L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=15×L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MAX</w:t>
            </w:r>
          </w:p>
        </w:tc>
        <w:tc>
          <w:tcPr>
            <w:tcW w:w="1685" w:type="dxa"/>
            <w:vMerge w:val="restart"/>
            <w:noWrap w:val="0"/>
            <w:tcMar>
              <w:left w:w="57" w:type="dxa"/>
              <w:right w:w="57" w:type="dxa"/>
            </w:tcMar>
            <w:vAlign w:val="center"/>
          </w:tcPr>
          <w:p w14:paraId="6698C15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0-15分</w:t>
            </w:r>
          </w:p>
        </w:tc>
      </w:tr>
      <w:tr w14:paraId="0B9F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jc w:val="center"/>
        </w:trPr>
        <w:tc>
          <w:tcPr>
            <w:tcW w:w="908" w:type="dxa"/>
            <w:vMerge w:val="continue"/>
            <w:noWrap w:val="0"/>
            <w:tcMar>
              <w:left w:w="57" w:type="dxa"/>
              <w:right w:w="57" w:type="dxa"/>
            </w:tcMar>
            <w:vAlign w:val="center"/>
          </w:tcPr>
          <w:p w14:paraId="7A63E6C0">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3EAB01E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1E548C3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3632" w:type="dxa"/>
            <w:gridSpan w:val="2"/>
            <w:noWrap w:val="0"/>
            <w:tcMar>
              <w:left w:w="57" w:type="dxa"/>
              <w:right w:w="57" w:type="dxa"/>
            </w:tcMar>
            <w:vAlign w:val="center"/>
          </w:tcPr>
          <w:p w14:paraId="45F1C7A9">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□不采用</w:t>
            </w:r>
          </w:p>
          <w:p w14:paraId="784C9E7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采用</w:t>
            </w:r>
          </w:p>
          <w:p w14:paraId="6132430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方法二：某有效投标人市场企业信用评价分为L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（n为从1到n的自然数，示例：L</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 投标人的企业信用得分L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=6+（L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 xml:space="preserve">-80）/10 </w:t>
            </w:r>
          </w:p>
        </w:tc>
        <w:tc>
          <w:tcPr>
            <w:tcW w:w="1685" w:type="dxa"/>
            <w:vMerge w:val="continue"/>
            <w:noWrap w:val="0"/>
            <w:tcMar>
              <w:left w:w="57" w:type="dxa"/>
              <w:right w:w="57" w:type="dxa"/>
            </w:tcMar>
            <w:vAlign w:val="center"/>
          </w:tcPr>
          <w:p w14:paraId="27DC028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1D72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492413F7">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01A2B0A">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03730E1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3632" w:type="dxa"/>
            <w:gridSpan w:val="2"/>
            <w:noWrap w:val="0"/>
            <w:tcMar>
              <w:left w:w="57" w:type="dxa"/>
              <w:right w:w="57" w:type="dxa"/>
            </w:tcMar>
            <w:vAlign w:val="center"/>
          </w:tcPr>
          <w:p w14:paraId="5B460259">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□不采用</w:t>
            </w:r>
          </w:p>
          <w:p w14:paraId="7E560ECA">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w:t>
            </w:r>
          </w:p>
          <w:p w14:paraId="3D673383">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方法三：某有效投标人市场企业信用评价分为L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（n为从1到n的自然数，示例：L</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 所有有效投标人L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的算术平均值作为基准值L</w:t>
            </w:r>
            <w:r>
              <w:rPr>
                <w:rFonts w:hint="eastAsia" w:ascii="宋体" w:hAnsi="宋体" w:eastAsia="宋体" w:cs="宋体"/>
                <w:color w:val="auto"/>
                <w:sz w:val="21"/>
                <w:szCs w:val="21"/>
                <w:highlight w:val="none"/>
                <w:vertAlign w:val="subscript"/>
              </w:rPr>
              <w:t>0</w:t>
            </w:r>
            <w:r>
              <w:rPr>
                <w:rFonts w:hint="eastAsia" w:ascii="宋体" w:hAnsi="宋体" w:eastAsia="宋体" w:cs="宋体"/>
                <w:color w:val="auto"/>
                <w:sz w:val="21"/>
                <w:szCs w:val="21"/>
                <w:highlight w:val="none"/>
              </w:rPr>
              <w:t>，投标人市场企业信用评价分偏差率为</w:t>
            </w:r>
          </w:p>
          <w:p w14:paraId="2661A190">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vertAlign w:val="subscript"/>
              </w:rPr>
            </w:pP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=100×L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0</w:t>
            </w:r>
          </w:p>
          <w:p w14:paraId="305E790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≥150%，L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＝15分</w:t>
            </w:r>
          </w:p>
          <w:p w14:paraId="51AD6CBA">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＜150%，L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＝12分</w:t>
            </w:r>
          </w:p>
          <w:p w14:paraId="6C56C38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＜120%，L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＝9分</w:t>
            </w:r>
          </w:p>
          <w:p w14:paraId="43D01049">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＜90%，L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＝6分</w:t>
            </w:r>
          </w:p>
          <w:p w14:paraId="768DABD4">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＜60%，L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＝3分</w:t>
            </w:r>
          </w:p>
        </w:tc>
        <w:tc>
          <w:tcPr>
            <w:tcW w:w="1685" w:type="dxa"/>
            <w:vMerge w:val="continue"/>
            <w:noWrap w:val="0"/>
            <w:tcMar>
              <w:left w:w="57" w:type="dxa"/>
              <w:right w:w="57" w:type="dxa"/>
            </w:tcMar>
            <w:vAlign w:val="center"/>
          </w:tcPr>
          <w:p w14:paraId="5DCAC2F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1BAE4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545A45CC">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rPr>
            </w:pPr>
          </w:p>
        </w:tc>
        <w:tc>
          <w:tcPr>
            <w:tcW w:w="1276" w:type="dxa"/>
            <w:gridSpan w:val="2"/>
            <w:vMerge w:val="continue"/>
            <w:noWrap w:val="0"/>
            <w:tcMar>
              <w:left w:w="57" w:type="dxa"/>
              <w:right w:w="57" w:type="dxa"/>
            </w:tcMar>
            <w:vAlign w:val="center"/>
          </w:tcPr>
          <w:p w14:paraId="63C8A535">
            <w:pPr>
              <w:pStyle w:val="45"/>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rPr>
            </w:pPr>
          </w:p>
        </w:tc>
        <w:tc>
          <w:tcPr>
            <w:tcW w:w="1685" w:type="dxa"/>
            <w:gridSpan w:val="2"/>
            <w:noWrap w:val="0"/>
            <w:tcMar>
              <w:left w:w="57" w:type="dxa"/>
              <w:right w:w="57" w:type="dxa"/>
            </w:tcMar>
            <w:vAlign w:val="center"/>
          </w:tcPr>
          <w:p w14:paraId="0A1AFD9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拟派项目经理</w:t>
            </w:r>
          </w:p>
          <w:p w14:paraId="7FF8007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w:t>
            </w:r>
          </w:p>
        </w:tc>
        <w:tc>
          <w:tcPr>
            <w:tcW w:w="3632" w:type="dxa"/>
            <w:gridSpan w:val="2"/>
            <w:noWrap w:val="0"/>
            <w:tcMar>
              <w:left w:w="57" w:type="dxa"/>
              <w:right w:w="57" w:type="dxa"/>
            </w:tcMar>
            <w:vAlign w:val="center"/>
          </w:tcPr>
          <w:p w14:paraId="5DC1C4ED">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有效投标人的拟派项目经理市场个人信用评价分值为W</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（n为从1到n的自然数，示例W</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、W</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……W</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），其中最高值为W</w:t>
            </w:r>
            <w:r>
              <w:rPr>
                <w:rFonts w:hint="eastAsia" w:ascii="宋体" w:hAnsi="宋体" w:eastAsia="宋体" w:cs="宋体"/>
                <w:color w:val="auto"/>
                <w:sz w:val="21"/>
                <w:szCs w:val="21"/>
                <w:highlight w:val="none"/>
                <w:vertAlign w:val="subscript"/>
              </w:rPr>
              <w:t>MAX</w:t>
            </w:r>
            <w:r>
              <w:rPr>
                <w:rFonts w:hint="eastAsia" w:ascii="宋体" w:hAnsi="宋体" w:eastAsia="宋体" w:cs="宋体"/>
                <w:color w:val="auto"/>
                <w:sz w:val="21"/>
                <w:szCs w:val="21"/>
                <w:highlight w:val="none"/>
              </w:rPr>
              <w:t>，投标人拟派项目经理信用得分：W</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=5×W</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/W</w:t>
            </w:r>
            <w:r>
              <w:rPr>
                <w:rFonts w:hint="eastAsia" w:ascii="宋体" w:hAnsi="宋体" w:eastAsia="宋体" w:cs="宋体"/>
                <w:color w:val="auto"/>
                <w:sz w:val="21"/>
                <w:szCs w:val="21"/>
                <w:highlight w:val="none"/>
                <w:vertAlign w:val="subscript"/>
              </w:rPr>
              <w:t>MAX</w:t>
            </w:r>
          </w:p>
        </w:tc>
        <w:tc>
          <w:tcPr>
            <w:tcW w:w="1685" w:type="dxa"/>
            <w:noWrap w:val="0"/>
            <w:tcMar>
              <w:left w:w="57" w:type="dxa"/>
              <w:right w:w="57" w:type="dxa"/>
            </w:tcMar>
            <w:vAlign w:val="center"/>
          </w:tcPr>
          <w:p w14:paraId="46FEA5A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r>
    </w:tbl>
    <w:p w14:paraId="226918F8">
      <w:pPr>
        <w:pageBreakBefore w:val="0"/>
        <w:kinsoku/>
        <w:wordWrap w:val="0"/>
        <w:overflowPunct/>
        <w:topLinePunct w:val="0"/>
        <w:bidi w:val="0"/>
        <w:spacing w:line="3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注：企业既往项目人员在岗情况</w:t>
      </w:r>
      <w:r>
        <w:rPr>
          <w:rFonts w:hint="eastAsia" w:ascii="宋体" w:hAnsi="宋体" w:eastAsia="宋体" w:cs="宋体"/>
          <w:color w:val="auto"/>
          <w:szCs w:val="21"/>
          <w:highlight w:val="none"/>
          <w:lang w:val="en-US" w:eastAsia="zh-CN"/>
        </w:rPr>
        <w:t>由招标人或招标代理机构在开标现场通过河南省建筑市场监管公共服务平台查询网页截图作为评标专家评审依据。</w:t>
      </w:r>
      <w:r>
        <w:rPr>
          <w:rFonts w:hint="eastAsia" w:ascii="宋体" w:hAnsi="宋体" w:eastAsia="宋体" w:cs="宋体"/>
          <w:color w:val="auto"/>
          <w:szCs w:val="21"/>
          <w:highlight w:val="none"/>
        </w:rPr>
        <w:t>依据河南省住房和城乡建设厅关于废止《河南省建筑市场信用管理实施办法暂行)》《河南省建筑市场主体信用评价办法(暂行)》的通知(豫建市【2025】137号)，鉴于《河南省建筑市场信用管理实施办法(暂行)》《河南省建筑市场主体信用评价办法(暂行)》(豫建行规(2021)2号)已废止，依法必须招投标的房屋建筑和市政基础设施工程，采用工程量清单计价方式进行施工招标时，企业信用、拟派项目经理信用分值，暂按满分计算。</w:t>
      </w:r>
    </w:p>
    <w:p w14:paraId="4BABA7A9">
      <w:pPr>
        <w:pageBreakBefore w:val="0"/>
        <w:kinsoku/>
        <w:wordWrap w:val="0"/>
        <w:overflowPunct/>
        <w:topLinePunct w:val="0"/>
        <w:bidi w:val="0"/>
        <w:spacing w:line="360" w:lineRule="auto"/>
        <w:outlineLvl w:val="1"/>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评标方法</w:t>
      </w:r>
      <w:r>
        <w:rPr>
          <w:rFonts w:hint="eastAsia" w:ascii="宋体" w:hAnsi="宋体" w:eastAsia="宋体" w:cs="宋体"/>
          <w:b/>
          <w:bCs/>
          <w:color w:val="auto"/>
          <w:szCs w:val="21"/>
          <w:highlight w:val="none"/>
          <w:lang w:eastAsia="zh-CN"/>
        </w:rPr>
        <w:t>（综合评估法）</w:t>
      </w:r>
      <w:bookmarkEnd w:id="703"/>
      <w:bookmarkEnd w:id="704"/>
      <w:bookmarkEnd w:id="705"/>
    </w:p>
    <w:p w14:paraId="65A7E602">
      <w:pPr>
        <w:pageBreakBefore w:val="0"/>
        <w:kinsoku/>
        <w:wordWrap w:val="0"/>
        <w:overflowPunct/>
        <w:topLinePunct w:val="0"/>
        <w:bidi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本次评标采用综合评分法。评标委员会对满足招标文件实质性要求的投标文件，按照本章第 2.2 款规定的评分标准进行打分，并按得分由高到低顺序推荐中标候选人（中标候选人不排序），但投标报价低于其成本的除外。推荐中标候选人的人数见投标人须知前附表。</w:t>
      </w:r>
      <w:bookmarkStart w:id="726" w:name="_Toc18162"/>
      <w:bookmarkStart w:id="727" w:name="_Toc12123"/>
      <w:bookmarkStart w:id="728" w:name="_Toc14806"/>
      <w:r>
        <w:rPr>
          <w:rFonts w:hint="default" w:ascii="宋体" w:hAnsi="宋体" w:eastAsia="宋体" w:cs="宋体"/>
          <w:b/>
          <w:color w:val="auto"/>
          <w:szCs w:val="21"/>
          <w:highlight w:val="none"/>
        </w:rPr>
        <w:t>综合评分相等时，以投标报价低的优先；投标报价也相等的，按照施工组织设计得分高的优先推荐，由评标委员会确定。</w:t>
      </w:r>
    </w:p>
    <w:p w14:paraId="38F7FA61">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中标候选人推荐方法</w:t>
      </w:r>
    </w:p>
    <w:p w14:paraId="4B765DC8">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所有经评标委员会评审的有效投标人数量为N</w:t>
      </w:r>
    </w:p>
    <w:p w14:paraId="47B43AAB">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1.2.1 当N＜3时，招标人应当重新招标；</w:t>
      </w:r>
    </w:p>
    <w:p w14:paraId="7001BA46">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1.2.2 当3≤N≤10时，全部推荐为中标候选人；</w:t>
      </w:r>
    </w:p>
    <w:p w14:paraId="203079E5">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1.2.3 当N＞10时，按各有效投标人最终评标得分由高到低进行排序，选择排名前10家有效投标人为中标候选人。</w:t>
      </w:r>
    </w:p>
    <w:p w14:paraId="456944E0">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注:择优原则为综合得分高的优先，综合得分相等时以报价低的优先。</w:t>
      </w:r>
    </w:p>
    <w:p w14:paraId="7B6189B7">
      <w:pPr>
        <w:pageBreakBefore w:val="0"/>
        <w:kinsoku/>
        <w:wordWrap w:val="0"/>
        <w:overflowPunct/>
        <w:topLinePunct w:val="0"/>
        <w:bidi w:val="0"/>
        <w:spacing w:line="380" w:lineRule="exact"/>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2.评标标准</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26"/>
      <w:bookmarkEnd w:id="727"/>
      <w:bookmarkEnd w:id="728"/>
    </w:p>
    <w:bookmarkEnd w:id="719"/>
    <w:bookmarkEnd w:id="720"/>
    <w:bookmarkEnd w:id="721"/>
    <w:bookmarkEnd w:id="722"/>
    <w:bookmarkEnd w:id="723"/>
    <w:bookmarkEnd w:id="724"/>
    <w:p w14:paraId="087C0A3E">
      <w:pPr>
        <w:pageBreakBefore w:val="0"/>
        <w:kinsoku/>
        <w:wordWrap w:val="0"/>
        <w:overflowPunct/>
        <w:topLinePunct w:val="0"/>
        <w:bidi w:val="0"/>
        <w:spacing w:line="380" w:lineRule="exact"/>
        <w:ind w:firstLine="422" w:firstLineChars="200"/>
        <w:rPr>
          <w:rFonts w:hint="eastAsia" w:ascii="宋体" w:hAnsi="宋体" w:eastAsia="宋体" w:cs="宋体"/>
          <w:b/>
          <w:bCs/>
          <w:color w:val="auto"/>
          <w:szCs w:val="21"/>
          <w:highlight w:val="none"/>
        </w:rPr>
      </w:pPr>
      <w:bookmarkStart w:id="729" w:name="_Toc152042379"/>
      <w:bookmarkStart w:id="730" w:name="_Toc144974569"/>
      <w:bookmarkStart w:id="731" w:name="_Toc458759014"/>
      <w:bookmarkStart w:id="732" w:name="_Toc450850891"/>
      <w:bookmarkStart w:id="733" w:name="_Toc152045602"/>
      <w:bookmarkStart w:id="734" w:name="_Toc458758944"/>
      <w:bookmarkStart w:id="735" w:name="_Toc179632620"/>
      <w:bookmarkStart w:id="736" w:name="_Toc247514028"/>
      <w:bookmarkStart w:id="737" w:name="_Toc144974571"/>
      <w:bookmarkStart w:id="738" w:name="_Toc410312112"/>
      <w:bookmarkStart w:id="739" w:name="_Toc152045604"/>
      <w:bookmarkStart w:id="740" w:name="_Toc247527629"/>
      <w:bookmarkStart w:id="741" w:name="_Toc152042381"/>
      <w:r>
        <w:rPr>
          <w:rFonts w:hint="eastAsia" w:ascii="宋体" w:hAnsi="宋体" w:eastAsia="宋体" w:cs="宋体"/>
          <w:b/>
          <w:bCs/>
          <w:color w:val="auto"/>
          <w:szCs w:val="21"/>
          <w:highlight w:val="none"/>
        </w:rPr>
        <w:t>2.1 初步评审标准</w:t>
      </w:r>
      <w:bookmarkEnd w:id="729"/>
      <w:bookmarkEnd w:id="730"/>
      <w:bookmarkEnd w:id="731"/>
      <w:bookmarkEnd w:id="732"/>
      <w:bookmarkEnd w:id="733"/>
      <w:bookmarkEnd w:id="734"/>
      <w:bookmarkEnd w:id="735"/>
    </w:p>
    <w:p w14:paraId="2BD01B9C">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形式评审标准：见评标办法前附表。</w:t>
      </w:r>
    </w:p>
    <w:p w14:paraId="47373082">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 资格评审标准：见评标办法前附表。</w:t>
      </w:r>
    </w:p>
    <w:p w14:paraId="7D8A085F">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响应性评审标准：见评标办法前附表。</w:t>
      </w:r>
    </w:p>
    <w:p w14:paraId="27EC63D8">
      <w:pPr>
        <w:pageBreakBefore w:val="0"/>
        <w:kinsoku/>
        <w:wordWrap w:val="0"/>
        <w:overflowPunct/>
        <w:topLinePunct w:val="0"/>
        <w:bidi w:val="0"/>
        <w:spacing w:line="380" w:lineRule="exact"/>
        <w:ind w:firstLine="422" w:firstLineChars="200"/>
        <w:rPr>
          <w:rFonts w:hint="eastAsia" w:ascii="宋体" w:hAnsi="宋体" w:eastAsia="宋体" w:cs="宋体"/>
          <w:b/>
          <w:bCs/>
          <w:color w:val="auto"/>
          <w:szCs w:val="21"/>
          <w:highlight w:val="none"/>
        </w:rPr>
      </w:pPr>
      <w:bookmarkStart w:id="742" w:name="_Toc458758945"/>
      <w:bookmarkStart w:id="743" w:name="_Toc152042380"/>
      <w:bookmarkStart w:id="744" w:name="_Toc458759015"/>
      <w:bookmarkStart w:id="745" w:name="_Toc179632621"/>
      <w:bookmarkStart w:id="746" w:name="_Toc450850892"/>
      <w:bookmarkStart w:id="747" w:name="_Toc144974570"/>
      <w:bookmarkStart w:id="748" w:name="_Toc152045603"/>
      <w:r>
        <w:rPr>
          <w:rFonts w:hint="eastAsia" w:ascii="宋体" w:hAnsi="宋体" w:eastAsia="宋体" w:cs="宋体"/>
          <w:b/>
          <w:bCs/>
          <w:color w:val="auto"/>
          <w:szCs w:val="21"/>
          <w:highlight w:val="none"/>
        </w:rPr>
        <w:t>2.2 分值构成与评分标准</w:t>
      </w:r>
      <w:bookmarkEnd w:id="742"/>
      <w:bookmarkEnd w:id="743"/>
      <w:bookmarkEnd w:id="744"/>
      <w:bookmarkEnd w:id="745"/>
      <w:bookmarkEnd w:id="746"/>
      <w:bookmarkEnd w:id="747"/>
      <w:bookmarkEnd w:id="748"/>
    </w:p>
    <w:p w14:paraId="4CCA717A">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 分值构成</w:t>
      </w:r>
    </w:p>
    <w:p w14:paraId="0A6B6665">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施工组织设计</w:t>
      </w:r>
      <w:r>
        <w:rPr>
          <w:rFonts w:hint="eastAsia" w:ascii="宋体" w:hAnsi="宋体" w:eastAsia="宋体" w:cs="宋体"/>
          <w:color w:val="auto"/>
          <w:szCs w:val="21"/>
          <w:highlight w:val="none"/>
        </w:rPr>
        <w:t>：见评标办法前附表</w:t>
      </w:r>
    </w:p>
    <w:p w14:paraId="17106D77">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（2）商务标：见评标办法前附表</w:t>
      </w:r>
    </w:p>
    <w:p w14:paraId="20A02F95">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（3）综合标：见评标办法前附表</w:t>
      </w:r>
    </w:p>
    <w:p w14:paraId="19407CA4">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评标基准</w:t>
      </w:r>
      <w:r>
        <w:rPr>
          <w:rFonts w:hint="eastAsia" w:ascii="宋体" w:hAnsi="宋体" w:eastAsia="宋体" w:cs="宋体"/>
          <w:color w:val="auto"/>
          <w:szCs w:val="21"/>
          <w:highlight w:val="none"/>
          <w:lang w:val="en-US" w:eastAsia="zh-CN"/>
        </w:rPr>
        <w:t>值</w:t>
      </w:r>
      <w:r>
        <w:rPr>
          <w:rFonts w:hint="eastAsia" w:ascii="宋体" w:hAnsi="宋体" w:eastAsia="宋体" w:cs="宋体"/>
          <w:color w:val="auto"/>
          <w:szCs w:val="21"/>
          <w:highlight w:val="none"/>
        </w:rPr>
        <w:t>计算</w:t>
      </w:r>
    </w:p>
    <w:p w14:paraId="086835D9">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w:t>
      </w:r>
      <w:r>
        <w:rPr>
          <w:rFonts w:hint="eastAsia" w:ascii="宋体" w:hAnsi="宋体" w:eastAsia="宋体" w:cs="宋体"/>
          <w:color w:val="auto"/>
          <w:szCs w:val="21"/>
          <w:highlight w:val="none"/>
          <w:lang w:val="en-US" w:eastAsia="zh-CN"/>
        </w:rPr>
        <w:t>值</w:t>
      </w:r>
      <w:r>
        <w:rPr>
          <w:rFonts w:hint="eastAsia" w:ascii="宋体" w:hAnsi="宋体" w:eastAsia="宋体" w:cs="宋体"/>
          <w:color w:val="auto"/>
          <w:szCs w:val="21"/>
          <w:highlight w:val="none"/>
        </w:rPr>
        <w:t>计算方法：见评标办法前附表。</w:t>
      </w:r>
    </w:p>
    <w:p w14:paraId="1C7297DA">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 xml:space="preserve"> 评分标准</w:t>
      </w:r>
    </w:p>
    <w:p w14:paraId="32CDC2EF">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施工组织设计</w:t>
      </w:r>
      <w:r>
        <w:rPr>
          <w:rFonts w:hint="eastAsia" w:ascii="宋体" w:hAnsi="宋体" w:eastAsia="宋体" w:cs="宋体"/>
          <w:color w:val="auto"/>
          <w:szCs w:val="21"/>
          <w:highlight w:val="none"/>
        </w:rPr>
        <w:t>：见评标办法前附表</w:t>
      </w:r>
    </w:p>
    <w:p w14:paraId="628E4BB2">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（2）商务标：见评标办法前附表</w:t>
      </w:r>
    </w:p>
    <w:p w14:paraId="75D7CEB8">
      <w:pPr>
        <w:pageBreakBefore w:val="0"/>
        <w:kinsoku/>
        <w:wordWrap w:val="0"/>
        <w:overflowPunct/>
        <w:topLinePunct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（3）综合标：见评标办法前附表</w:t>
      </w:r>
    </w:p>
    <w:p w14:paraId="1650DFBA">
      <w:pPr>
        <w:pageBreakBefore w:val="0"/>
        <w:kinsoku/>
        <w:wordWrap w:val="0"/>
        <w:overflowPunct/>
        <w:topLinePunct w:val="0"/>
        <w:bidi w:val="0"/>
        <w:spacing w:line="380" w:lineRule="exact"/>
        <w:outlineLvl w:val="1"/>
        <w:rPr>
          <w:rFonts w:hint="eastAsia" w:ascii="宋体" w:hAnsi="宋体" w:eastAsia="宋体" w:cs="宋体"/>
          <w:b/>
          <w:bCs/>
          <w:color w:val="auto"/>
          <w:szCs w:val="21"/>
          <w:highlight w:val="none"/>
        </w:rPr>
      </w:pPr>
      <w:bookmarkStart w:id="749" w:name="_Toc20822"/>
      <w:bookmarkStart w:id="750" w:name="_Toc25162"/>
      <w:bookmarkStart w:id="751" w:name="_Toc30639"/>
      <w:bookmarkStart w:id="752" w:name="_Toc20467"/>
      <w:bookmarkStart w:id="753" w:name="_Toc19279"/>
      <w:bookmarkStart w:id="754" w:name="_Toc24948"/>
      <w:bookmarkStart w:id="755" w:name="_Toc26960483"/>
      <w:bookmarkStart w:id="756" w:name="_Toc12079"/>
      <w:bookmarkStart w:id="757" w:name="_Toc19330"/>
      <w:bookmarkStart w:id="758" w:name="_Toc26392"/>
      <w:bookmarkStart w:id="759" w:name="_Toc2597"/>
      <w:bookmarkStart w:id="760" w:name="_Toc1574"/>
      <w:bookmarkStart w:id="761" w:name="_Toc21036"/>
      <w:bookmarkStart w:id="762" w:name="_Toc28711"/>
      <w:bookmarkStart w:id="763" w:name="_Toc24869"/>
      <w:bookmarkStart w:id="764" w:name="_Toc31284"/>
      <w:r>
        <w:rPr>
          <w:rFonts w:hint="eastAsia" w:ascii="宋体" w:hAnsi="宋体" w:eastAsia="宋体" w:cs="宋体"/>
          <w:b/>
          <w:bCs/>
          <w:color w:val="auto"/>
          <w:szCs w:val="21"/>
          <w:highlight w:val="none"/>
        </w:rPr>
        <w:t>3.评标程序</w:t>
      </w:r>
      <w:bookmarkEnd w:id="736"/>
      <w:bookmarkEnd w:id="737"/>
      <w:bookmarkEnd w:id="738"/>
      <w:bookmarkEnd w:id="739"/>
      <w:bookmarkEnd w:id="740"/>
      <w:bookmarkEnd w:id="741"/>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14:paraId="3997990F">
      <w:pPr>
        <w:pageBreakBefore w:val="0"/>
        <w:kinsoku/>
        <w:wordWrap w:val="0"/>
        <w:overflowPunct/>
        <w:topLinePunct w:val="0"/>
        <w:bidi w:val="0"/>
        <w:spacing w:line="360" w:lineRule="auto"/>
        <w:ind w:firstLine="422" w:firstLineChars="200"/>
        <w:rPr>
          <w:rFonts w:hint="default" w:ascii="宋体" w:hAnsi="宋体" w:eastAsia="宋体" w:cs="宋体"/>
          <w:b/>
          <w:bCs/>
          <w:color w:val="auto"/>
          <w:szCs w:val="21"/>
          <w:highlight w:val="none"/>
        </w:rPr>
      </w:pPr>
      <w:bookmarkStart w:id="765" w:name="_Toc450850894"/>
      <w:bookmarkStart w:id="766" w:name="_Toc144974572"/>
      <w:bookmarkStart w:id="767" w:name="_Toc458758947"/>
      <w:bookmarkStart w:id="768" w:name="_Toc458759017"/>
      <w:bookmarkStart w:id="769" w:name="_Toc179632623"/>
      <w:bookmarkStart w:id="770" w:name="_Toc152045605"/>
      <w:bookmarkStart w:id="771" w:name="_Toc152042382"/>
      <w:bookmarkStart w:id="772" w:name="_Toc4060"/>
      <w:bookmarkStart w:id="773" w:name="_Toc20133"/>
      <w:bookmarkStart w:id="774" w:name="_Toc21370"/>
      <w:bookmarkStart w:id="775" w:name="_Toc31223"/>
      <w:bookmarkStart w:id="776" w:name="_Toc18108"/>
      <w:r>
        <w:rPr>
          <w:rFonts w:hint="default" w:ascii="宋体" w:hAnsi="宋体" w:eastAsia="宋体" w:cs="宋体"/>
          <w:b/>
          <w:bCs/>
          <w:color w:val="auto"/>
          <w:szCs w:val="21"/>
          <w:highlight w:val="none"/>
        </w:rPr>
        <w:t>3.1 初步评审</w:t>
      </w:r>
      <w:bookmarkEnd w:id="765"/>
      <w:bookmarkEnd w:id="766"/>
      <w:bookmarkEnd w:id="767"/>
      <w:bookmarkEnd w:id="768"/>
      <w:bookmarkEnd w:id="769"/>
      <w:bookmarkEnd w:id="770"/>
      <w:bookmarkEnd w:id="771"/>
    </w:p>
    <w:p w14:paraId="0E4B693B">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3.1.1 评标委员会依据本章第2.1款规定的标准对投标文件进行初步评审。有一项不符合评审标准的，作否决投标处理。</w:t>
      </w:r>
    </w:p>
    <w:p w14:paraId="4E5A091A">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3.1.2 投标文件对招标文件的实质性要求和条件作出响应是指投标文件没有出现对招标人不利的工期、投标有效期、质量要求、技术标准和要求、招标范围的偏差。</w:t>
      </w:r>
    </w:p>
    <w:p w14:paraId="66571505">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3.1.3 投标人有以下情形之一的，其投标作否决投标处理：</w:t>
      </w:r>
    </w:p>
    <w:p w14:paraId="743915F2">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（1）第二章</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rPr>
        <w:t>投标人须知</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rPr>
        <w:t>第1.4.3项规定的任何一种情形的；</w:t>
      </w:r>
    </w:p>
    <w:p w14:paraId="31A808EC">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（2）串通投标或弄虚作假或有其他违法行为的；</w:t>
      </w:r>
    </w:p>
    <w:p w14:paraId="5B927C12">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（3）不按评标委员会要求澄清、说明或补正的。</w:t>
      </w:r>
    </w:p>
    <w:p w14:paraId="3A9FB681">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3.1.4 投标报价有算术错误的，评标委员会按以下原则对投标报价进行修正，修正的价格经投标人书面确认后具有约束力。投标人不接受修正价格的，其投标作否决投标处理。</w:t>
      </w:r>
    </w:p>
    <w:p w14:paraId="6CFFA84B">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bookmarkStart w:id="777" w:name="_Toc152042383"/>
      <w:r>
        <w:rPr>
          <w:rFonts w:hint="default" w:ascii="宋体" w:hAnsi="宋体" w:eastAsia="宋体" w:cs="宋体"/>
          <w:color w:val="auto"/>
          <w:szCs w:val="21"/>
          <w:highlight w:val="none"/>
        </w:rPr>
        <w:t>（1）投标文件中的大写金额与小写金额不一致的，以大写金额为准；</w:t>
      </w:r>
      <w:bookmarkEnd w:id="777"/>
    </w:p>
    <w:p w14:paraId="49E2F562">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（2）总价金额与依据单价计算出的结果不一致的，以单价金额为准修正总价，但单价金额小数点有明显错误的除外。</w:t>
      </w:r>
    </w:p>
    <w:p w14:paraId="5CCCC615">
      <w:pPr>
        <w:pageBreakBefore w:val="0"/>
        <w:kinsoku/>
        <w:wordWrap w:val="0"/>
        <w:overflowPunct/>
        <w:topLinePunct w:val="0"/>
        <w:bidi w:val="0"/>
        <w:spacing w:line="360" w:lineRule="auto"/>
        <w:ind w:firstLine="422" w:firstLineChars="200"/>
        <w:rPr>
          <w:rFonts w:hint="default" w:ascii="宋体" w:hAnsi="宋体" w:eastAsia="宋体" w:cs="宋体"/>
          <w:b/>
          <w:bCs/>
          <w:color w:val="auto"/>
          <w:szCs w:val="21"/>
          <w:highlight w:val="none"/>
        </w:rPr>
      </w:pPr>
      <w:bookmarkStart w:id="778" w:name="_Toc450850895"/>
      <w:bookmarkStart w:id="779" w:name="_Toc179632624"/>
      <w:bookmarkStart w:id="780" w:name="_Toc458759018"/>
      <w:bookmarkStart w:id="781" w:name="_Toc152042384"/>
      <w:bookmarkStart w:id="782" w:name="_Toc144974573"/>
      <w:bookmarkStart w:id="783" w:name="_Toc458758948"/>
      <w:bookmarkStart w:id="784" w:name="_Toc152045606"/>
      <w:r>
        <w:rPr>
          <w:rFonts w:hint="default" w:ascii="宋体" w:hAnsi="宋体" w:eastAsia="宋体" w:cs="宋体"/>
          <w:b/>
          <w:bCs/>
          <w:color w:val="auto"/>
          <w:szCs w:val="21"/>
          <w:highlight w:val="none"/>
        </w:rPr>
        <w:t>3.2 详细评审</w:t>
      </w:r>
      <w:bookmarkEnd w:id="778"/>
      <w:bookmarkEnd w:id="779"/>
      <w:bookmarkEnd w:id="780"/>
      <w:bookmarkEnd w:id="781"/>
      <w:bookmarkEnd w:id="782"/>
      <w:bookmarkEnd w:id="783"/>
      <w:bookmarkEnd w:id="784"/>
    </w:p>
    <w:p w14:paraId="55D20130">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3.2.1 评标委员会按本章第2.2 款规定的量化因素和分值进行打分，并计算出综合评估得分。</w:t>
      </w:r>
    </w:p>
    <w:p w14:paraId="670EF532">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（1）按本章第2.2.</w:t>
      </w:r>
      <w:r>
        <w:rPr>
          <w:rFonts w:hint="eastAsia" w:ascii="宋体" w:hAnsi="宋体" w:eastAsia="宋体" w:cs="宋体"/>
          <w:color w:val="auto"/>
          <w:szCs w:val="21"/>
          <w:highlight w:val="none"/>
          <w:lang w:val="en-US" w:eastAsia="zh-CN"/>
        </w:rPr>
        <w:t>2</w:t>
      </w:r>
      <w:r>
        <w:rPr>
          <w:rFonts w:hint="default" w:ascii="宋体" w:hAnsi="宋体" w:eastAsia="宋体" w:cs="宋体"/>
          <w:color w:val="auto"/>
          <w:szCs w:val="21"/>
          <w:highlight w:val="none"/>
        </w:rPr>
        <w:t>（1）目规定的评审因素和分值对</w:t>
      </w:r>
      <w:r>
        <w:rPr>
          <w:rFonts w:hint="eastAsia" w:ascii="宋体" w:hAnsi="宋体" w:eastAsia="宋体" w:cs="宋体"/>
          <w:color w:val="auto"/>
          <w:szCs w:val="21"/>
          <w:highlight w:val="none"/>
          <w:lang w:eastAsia="zh-CN"/>
        </w:rPr>
        <w:t>施工组织设计</w:t>
      </w:r>
      <w:r>
        <w:rPr>
          <w:rFonts w:hint="default" w:ascii="宋体" w:hAnsi="宋体" w:eastAsia="宋体" w:cs="宋体"/>
          <w:color w:val="auto"/>
          <w:szCs w:val="21"/>
          <w:highlight w:val="none"/>
        </w:rPr>
        <w:t>计算出得分A ；</w:t>
      </w:r>
    </w:p>
    <w:p w14:paraId="5729A5E9">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（2）按本章第2.2.</w:t>
      </w:r>
      <w:r>
        <w:rPr>
          <w:rFonts w:hint="eastAsia" w:ascii="宋体" w:hAnsi="宋体" w:eastAsia="宋体" w:cs="宋体"/>
          <w:color w:val="auto"/>
          <w:szCs w:val="21"/>
          <w:highlight w:val="none"/>
          <w:lang w:val="en-US" w:eastAsia="zh-CN"/>
        </w:rPr>
        <w:t>2</w:t>
      </w:r>
      <w:r>
        <w:rPr>
          <w:rFonts w:hint="default" w:ascii="宋体" w:hAnsi="宋体" w:eastAsia="宋体" w:cs="宋体"/>
          <w:color w:val="auto"/>
          <w:szCs w:val="21"/>
          <w:highlight w:val="none"/>
        </w:rPr>
        <w:t>（2）目规定的评审因素和分值对商务标计算出得分B；</w:t>
      </w:r>
    </w:p>
    <w:p w14:paraId="1E7B5B34">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（3）按本章第2.2.</w:t>
      </w:r>
      <w:r>
        <w:rPr>
          <w:rFonts w:hint="eastAsia" w:ascii="宋体" w:hAnsi="宋体" w:eastAsia="宋体" w:cs="宋体"/>
          <w:color w:val="auto"/>
          <w:szCs w:val="21"/>
          <w:highlight w:val="none"/>
          <w:lang w:val="en-US" w:eastAsia="zh-CN"/>
        </w:rPr>
        <w:t>2</w:t>
      </w:r>
      <w:r>
        <w:rPr>
          <w:rFonts w:hint="default" w:ascii="宋体" w:hAnsi="宋体" w:eastAsia="宋体" w:cs="宋体"/>
          <w:color w:val="auto"/>
          <w:szCs w:val="21"/>
          <w:highlight w:val="none"/>
        </w:rPr>
        <w:t>（3）目规定的评审因素和分值对综合标计算出得分C；</w:t>
      </w:r>
    </w:p>
    <w:p w14:paraId="249B7355">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3.2.2 评分分值数据保留小数点后三位。相同分值的可逐步向小数点后增加位数至不同为止。</w:t>
      </w:r>
    </w:p>
    <w:p w14:paraId="77A41835">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3.2.3 投标人得分=A+B+C</w:t>
      </w:r>
    </w:p>
    <w:p w14:paraId="069B880B">
      <w:pPr>
        <w:pageBreakBefore w:val="0"/>
        <w:kinsoku/>
        <w:wordWrap w:val="0"/>
        <w:overflowPunct/>
        <w:topLinePunct w:val="0"/>
        <w:bidi w:val="0"/>
        <w:spacing w:line="360" w:lineRule="auto"/>
        <w:ind w:firstLine="422" w:firstLineChars="200"/>
        <w:rPr>
          <w:rFonts w:hint="default" w:ascii="宋体" w:hAnsi="宋体" w:eastAsia="宋体" w:cs="宋体"/>
          <w:b/>
          <w:bCs/>
          <w:color w:val="auto"/>
          <w:szCs w:val="21"/>
          <w:highlight w:val="none"/>
        </w:rPr>
      </w:pPr>
      <w:bookmarkStart w:id="785" w:name="_Toc144974575"/>
      <w:bookmarkStart w:id="786" w:name="_Toc152042385"/>
      <w:bookmarkStart w:id="787" w:name="_Toc458758949"/>
      <w:bookmarkStart w:id="788" w:name="_Toc450850896"/>
      <w:bookmarkStart w:id="789" w:name="_Toc458759019"/>
      <w:bookmarkStart w:id="790" w:name="_Toc152045607"/>
      <w:bookmarkStart w:id="791" w:name="_Toc179632625"/>
      <w:r>
        <w:rPr>
          <w:rFonts w:hint="default" w:ascii="宋体" w:hAnsi="宋体" w:eastAsia="宋体" w:cs="宋体"/>
          <w:b/>
          <w:bCs/>
          <w:color w:val="auto"/>
          <w:szCs w:val="21"/>
          <w:highlight w:val="none"/>
        </w:rPr>
        <w:t>3.3 投标文件的澄清</w:t>
      </w:r>
      <w:bookmarkEnd w:id="785"/>
      <w:r>
        <w:rPr>
          <w:rFonts w:hint="default" w:ascii="宋体" w:hAnsi="宋体" w:eastAsia="宋体" w:cs="宋体"/>
          <w:b/>
          <w:bCs/>
          <w:color w:val="auto"/>
          <w:szCs w:val="21"/>
          <w:highlight w:val="none"/>
        </w:rPr>
        <w:t>和补正</w:t>
      </w:r>
      <w:bookmarkEnd w:id="786"/>
      <w:bookmarkEnd w:id="787"/>
      <w:bookmarkEnd w:id="788"/>
      <w:bookmarkEnd w:id="789"/>
      <w:bookmarkEnd w:id="790"/>
      <w:bookmarkEnd w:id="791"/>
    </w:p>
    <w:p w14:paraId="38E81D4E">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3.3.1 在评标过程中，评标委员会可以书面形式要求投标人对所提交投标文件中不明确的内容进行书面澄清或说明，或者对细微偏差进行补正。在评标结束前，</w:t>
      </w:r>
      <w:bookmarkStart w:id="792" w:name="OLE_LINK17"/>
      <w:bookmarkStart w:id="793" w:name="OLE_LINK18"/>
      <w:r>
        <w:rPr>
          <w:rFonts w:hint="default" w:ascii="宋体" w:hAnsi="宋体" w:eastAsia="宋体" w:cs="宋体"/>
          <w:color w:val="auto"/>
          <w:szCs w:val="21"/>
          <w:highlight w:val="none"/>
        </w:rPr>
        <w:t>投标人未对评委的质疑进行书面澄清或未按要求提供相关证明材料的，评标委员会有权进行相关处理</w:t>
      </w:r>
      <w:bookmarkEnd w:id="792"/>
      <w:bookmarkEnd w:id="793"/>
      <w:r>
        <w:rPr>
          <w:rFonts w:hint="default" w:ascii="宋体" w:hAnsi="宋体" w:eastAsia="宋体" w:cs="宋体"/>
          <w:color w:val="auto"/>
          <w:szCs w:val="21"/>
          <w:highlight w:val="none"/>
        </w:rPr>
        <w:t>。评标委员会不接受投标人主动提出的澄清、说明或补正。</w:t>
      </w:r>
    </w:p>
    <w:p w14:paraId="6C67E07E">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3.3.2 澄清、说明和补正不得改变投标文件的实质性内容（算术性错误修正的除外）。投标人的书面澄清、说明和补正属于投标文件的组成部分。</w:t>
      </w:r>
    </w:p>
    <w:p w14:paraId="22AAB2F8">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3.3.3 评标委员会对投标人提交的澄清、说明或补正有疑问的，可以要求投标人进一步澄清、说明或补正，直至满足评标委员会的要求。</w:t>
      </w:r>
    </w:p>
    <w:p w14:paraId="067D60B3">
      <w:pPr>
        <w:pageBreakBefore w:val="0"/>
        <w:kinsoku/>
        <w:wordWrap w:val="0"/>
        <w:overflowPunct/>
        <w:topLinePunct w:val="0"/>
        <w:bidi w:val="0"/>
        <w:spacing w:line="360" w:lineRule="auto"/>
        <w:ind w:firstLine="422" w:firstLineChars="200"/>
        <w:rPr>
          <w:rFonts w:hint="default" w:ascii="宋体" w:hAnsi="宋体" w:eastAsia="宋体" w:cs="宋体"/>
          <w:b/>
          <w:bCs/>
          <w:color w:val="auto"/>
          <w:szCs w:val="21"/>
          <w:highlight w:val="none"/>
        </w:rPr>
      </w:pPr>
      <w:bookmarkStart w:id="794" w:name="_Toc152045608"/>
      <w:bookmarkStart w:id="795" w:name="_Toc144974576"/>
      <w:bookmarkStart w:id="796" w:name="_Toc152042386"/>
      <w:bookmarkStart w:id="797" w:name="_Toc458758950"/>
      <w:bookmarkStart w:id="798" w:name="_Toc450850897"/>
      <w:bookmarkStart w:id="799" w:name="_Toc179632626"/>
      <w:bookmarkStart w:id="800" w:name="_Toc458759020"/>
      <w:r>
        <w:rPr>
          <w:rFonts w:hint="default" w:ascii="宋体" w:hAnsi="宋体" w:eastAsia="宋体" w:cs="宋体"/>
          <w:b/>
          <w:bCs/>
          <w:color w:val="auto"/>
          <w:szCs w:val="21"/>
          <w:highlight w:val="none"/>
        </w:rPr>
        <w:t>3.4 评标结果</w:t>
      </w:r>
      <w:bookmarkEnd w:id="794"/>
      <w:bookmarkEnd w:id="795"/>
      <w:bookmarkEnd w:id="796"/>
      <w:bookmarkEnd w:id="797"/>
      <w:bookmarkEnd w:id="798"/>
      <w:bookmarkEnd w:id="799"/>
      <w:bookmarkEnd w:id="800"/>
    </w:p>
    <w:p w14:paraId="68FA2801">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3.4.1 除第二章</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rPr>
        <w:t>投标人须知</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rPr>
        <w:t>前附表授权直接确定中标人和采用评定分离方式确定中标人外，评标委员会按照得分由高到低的顺序推荐中标候选人。</w:t>
      </w:r>
    </w:p>
    <w:p w14:paraId="2992830E">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default" w:ascii="宋体" w:hAnsi="宋体" w:eastAsia="宋体" w:cs="宋体"/>
          <w:color w:val="auto"/>
          <w:szCs w:val="21"/>
          <w:highlight w:val="none"/>
        </w:rPr>
        <w:t>3.4.2 评标委员会完成评标后，应当向招标人提交书面评标报告。采用评定分离方式确定中标人的项目，评标报告应按《河南省政府投资工程建设项目招标投标</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rPr>
        <w:t>评定分离</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rPr>
        <w:t xml:space="preserve">管理办法（试行）》的要求，载明每个中标候选人的特点、优势、缺点、风险等评审情况和推荐理由，并对技术、质量、安全、工期的控制能力等提供技术咨询建议，供定标委员会参考。 </w:t>
      </w:r>
    </w:p>
    <w:bookmarkEnd w:id="772"/>
    <w:bookmarkEnd w:id="773"/>
    <w:bookmarkEnd w:id="774"/>
    <w:bookmarkEnd w:id="775"/>
    <w:bookmarkEnd w:id="776"/>
    <w:p w14:paraId="5E35A705">
      <w:pPr>
        <w:pageBreakBefore w:val="0"/>
        <w:kinsoku/>
        <w:wordWrap w:val="0"/>
        <w:overflowPunct/>
        <w:topLinePunct w:val="0"/>
        <w:autoSpaceDE w:val="0"/>
        <w:autoSpaceDN w:val="0"/>
        <w:bidi w:val="0"/>
        <w:adjustRightInd w:val="0"/>
        <w:spacing w:line="400" w:lineRule="exact"/>
        <w:ind w:right="-34" w:rightChars="-16" w:firstLine="420" w:firstLineChars="200"/>
        <w:outlineLvl w:val="9"/>
        <w:rPr>
          <w:rFonts w:hint="eastAsia" w:ascii="宋体" w:hAnsi="宋体" w:eastAsia="宋体" w:cs="宋体"/>
          <w:color w:val="auto"/>
          <w:szCs w:val="21"/>
          <w:highlight w:val="none"/>
        </w:rPr>
      </w:pPr>
    </w:p>
    <w:p w14:paraId="1C69FA62">
      <w:pPr>
        <w:pageBreakBefore w:val="0"/>
        <w:kinsoku/>
        <w:wordWrap w:val="0"/>
        <w:overflowPunct/>
        <w:topLinePunct w:val="0"/>
        <w:bidi w:val="0"/>
        <w:spacing w:after="312" w:afterLines="100" w:line="420" w:lineRule="exact"/>
        <w:outlineLvl w:val="1"/>
        <w:rPr>
          <w:rFonts w:hint="eastAsia" w:ascii="宋体" w:hAnsi="宋体" w:eastAsia="宋体" w:cs="宋体"/>
          <w:b/>
          <w:color w:val="auto"/>
          <w:szCs w:val="21"/>
          <w:highlight w:val="none"/>
        </w:rPr>
      </w:pPr>
      <w:r>
        <w:rPr>
          <w:rFonts w:hint="eastAsia" w:ascii="宋体" w:hAnsi="宋体" w:eastAsia="宋体" w:cs="宋体"/>
          <w:b/>
          <w:color w:val="auto"/>
          <w:sz w:val="22"/>
          <w:szCs w:val="24"/>
          <w:highlight w:val="none"/>
        </w:rPr>
        <w:br w:type="page"/>
      </w:r>
      <w:bookmarkStart w:id="801" w:name="_Toc28810"/>
      <w:bookmarkStart w:id="802" w:name="_Toc24598"/>
      <w:r>
        <w:rPr>
          <w:rFonts w:hint="eastAsia" w:ascii="宋体" w:hAnsi="宋体" w:eastAsia="宋体" w:cs="宋体"/>
          <w:color w:val="auto"/>
          <w:szCs w:val="21"/>
          <w:highlight w:val="none"/>
        </w:rPr>
        <w:t>附件A：</w:t>
      </w:r>
      <w:bookmarkEnd w:id="801"/>
      <w:bookmarkEnd w:id="802"/>
    </w:p>
    <w:p w14:paraId="74A6E850">
      <w:pPr>
        <w:pageBreakBefore w:val="0"/>
        <w:kinsoku/>
        <w:wordWrap w:val="0"/>
        <w:overflowPunct/>
        <w:topLinePunct w:val="0"/>
        <w:bidi w:val="0"/>
        <w:spacing w:line="440" w:lineRule="exact"/>
        <w:jc w:val="center"/>
        <w:outlineLvl w:val="2"/>
        <w:rPr>
          <w:rFonts w:hint="eastAsia" w:ascii="宋体" w:hAnsi="宋体" w:eastAsia="宋体" w:cs="宋体"/>
          <w:color w:val="auto"/>
          <w:szCs w:val="21"/>
          <w:highlight w:val="none"/>
        </w:rPr>
      </w:pPr>
      <w:bookmarkStart w:id="803" w:name="_Toc24503"/>
      <w:bookmarkStart w:id="804" w:name="_Toc21490_WPSOffice_Level1"/>
      <w:bookmarkStart w:id="805" w:name="_Toc18706"/>
      <w:bookmarkStart w:id="806" w:name="_Toc8981"/>
      <w:bookmarkStart w:id="807" w:name="_Toc15065"/>
      <w:bookmarkStart w:id="808" w:name="_Toc6972"/>
      <w:bookmarkStart w:id="809" w:name="_Toc472"/>
      <w:r>
        <w:rPr>
          <w:rFonts w:hint="eastAsia" w:ascii="宋体" w:hAnsi="宋体" w:eastAsia="宋体" w:cs="宋体"/>
          <w:b/>
          <w:color w:val="auto"/>
          <w:szCs w:val="21"/>
          <w:highlight w:val="none"/>
        </w:rPr>
        <w:t>评标详细程序</w:t>
      </w:r>
      <w:bookmarkEnd w:id="803"/>
      <w:bookmarkEnd w:id="804"/>
      <w:bookmarkEnd w:id="805"/>
      <w:bookmarkEnd w:id="806"/>
      <w:bookmarkEnd w:id="807"/>
      <w:bookmarkEnd w:id="808"/>
      <w:bookmarkEnd w:id="809"/>
    </w:p>
    <w:p w14:paraId="3868B17C">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A0.总则</w:t>
      </w:r>
    </w:p>
    <w:p w14:paraId="3E78DBDE">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本附件是本章“评标办法”的组成部分，是对本章第3条所规定的评标程序的进一步细化，评标委员会应当按照本附件所规定的详细程序开展并完成评标工作。</w:t>
      </w:r>
    </w:p>
    <w:p w14:paraId="2711A080">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A1.基本程序</w:t>
      </w:r>
    </w:p>
    <w:p w14:paraId="6C52A653">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评标活动将按以下五个步骤进行：</w:t>
      </w:r>
    </w:p>
    <w:p w14:paraId="4D7EC252">
      <w:pPr>
        <w:pageBreakBefore w:val="0"/>
        <w:numPr>
          <w:ilvl w:val="0"/>
          <w:numId w:val="2"/>
        </w:numPr>
        <w:kinsoku/>
        <w:wordWrap w:val="0"/>
        <w:overflowPunct/>
        <w:topLinePunct w:val="0"/>
        <w:bidi w:val="0"/>
        <w:spacing w:line="360" w:lineRule="auto"/>
        <w:ind w:left="0" w:firstLine="420" w:firstLineChars="200"/>
        <w:rPr>
          <w:rFonts w:hint="eastAsia" w:ascii="宋体" w:hAnsi="宋体" w:eastAsia="宋体" w:cs="宋体"/>
          <w:color w:val="auto"/>
          <w:szCs w:val="21"/>
          <w:highlight w:val="none"/>
        </w:rPr>
      </w:pPr>
      <w:bookmarkStart w:id="810" w:name="_Toc25827_WPSOffice_Level1"/>
      <w:r>
        <w:rPr>
          <w:rFonts w:hint="eastAsia" w:ascii="宋体" w:hAnsi="宋体" w:eastAsia="宋体" w:cs="宋体"/>
          <w:color w:val="auto"/>
          <w:szCs w:val="21"/>
          <w:highlight w:val="none"/>
        </w:rPr>
        <w:t>评标准备；</w:t>
      </w:r>
      <w:bookmarkEnd w:id="810"/>
    </w:p>
    <w:p w14:paraId="5A88CFE6">
      <w:pPr>
        <w:pageBreakBefore w:val="0"/>
        <w:numPr>
          <w:ilvl w:val="0"/>
          <w:numId w:val="2"/>
        </w:numPr>
        <w:kinsoku/>
        <w:wordWrap w:val="0"/>
        <w:overflowPunct/>
        <w:topLinePunct w:val="0"/>
        <w:bidi w:val="0"/>
        <w:spacing w:line="360" w:lineRule="auto"/>
        <w:ind w:left="0" w:firstLine="420" w:firstLineChars="200"/>
        <w:rPr>
          <w:rFonts w:hint="eastAsia" w:ascii="宋体" w:hAnsi="宋体" w:eastAsia="宋体" w:cs="宋体"/>
          <w:color w:val="auto"/>
          <w:szCs w:val="21"/>
          <w:highlight w:val="none"/>
        </w:rPr>
      </w:pPr>
      <w:bookmarkStart w:id="811" w:name="_Toc15080_WPSOffice_Level1"/>
      <w:r>
        <w:rPr>
          <w:rFonts w:hint="eastAsia" w:ascii="宋体" w:hAnsi="宋体" w:eastAsia="宋体" w:cs="宋体"/>
          <w:color w:val="auto"/>
          <w:szCs w:val="21"/>
          <w:highlight w:val="none"/>
        </w:rPr>
        <w:t>初步评审；</w:t>
      </w:r>
      <w:bookmarkEnd w:id="811"/>
    </w:p>
    <w:p w14:paraId="0D15C2B7">
      <w:pPr>
        <w:pageBreakBefore w:val="0"/>
        <w:numPr>
          <w:ilvl w:val="0"/>
          <w:numId w:val="2"/>
        </w:numPr>
        <w:kinsoku/>
        <w:wordWrap w:val="0"/>
        <w:overflowPunct/>
        <w:topLinePunct w:val="0"/>
        <w:bidi w:val="0"/>
        <w:spacing w:line="360" w:lineRule="auto"/>
        <w:ind w:left="0" w:firstLine="420" w:firstLineChars="200"/>
        <w:rPr>
          <w:rFonts w:hint="eastAsia" w:ascii="宋体" w:hAnsi="宋体" w:eastAsia="宋体" w:cs="宋体"/>
          <w:color w:val="auto"/>
          <w:szCs w:val="21"/>
          <w:highlight w:val="none"/>
        </w:rPr>
      </w:pPr>
      <w:bookmarkStart w:id="812" w:name="_Toc5571_WPSOffice_Level1"/>
      <w:r>
        <w:rPr>
          <w:rFonts w:hint="eastAsia" w:ascii="宋体" w:hAnsi="宋体" w:eastAsia="宋体" w:cs="宋体"/>
          <w:color w:val="auto"/>
          <w:szCs w:val="21"/>
          <w:highlight w:val="none"/>
        </w:rPr>
        <w:t>详细评审；</w:t>
      </w:r>
      <w:bookmarkEnd w:id="812"/>
    </w:p>
    <w:p w14:paraId="6A73E34A">
      <w:pPr>
        <w:pageBreakBefore w:val="0"/>
        <w:numPr>
          <w:ilvl w:val="0"/>
          <w:numId w:val="2"/>
        </w:numPr>
        <w:kinsoku/>
        <w:wordWrap w:val="0"/>
        <w:overflowPunct/>
        <w:topLinePunct w:val="0"/>
        <w:bidi w:val="0"/>
        <w:spacing w:line="360" w:lineRule="auto"/>
        <w:ind w:left="0" w:firstLine="420" w:firstLineChars="200"/>
        <w:rPr>
          <w:rFonts w:hint="eastAsia" w:ascii="宋体" w:hAnsi="宋体" w:eastAsia="宋体" w:cs="宋体"/>
          <w:color w:val="auto"/>
          <w:szCs w:val="21"/>
          <w:highlight w:val="none"/>
        </w:rPr>
      </w:pPr>
      <w:bookmarkStart w:id="813" w:name="_Toc18464_WPSOffice_Level1"/>
      <w:r>
        <w:rPr>
          <w:rFonts w:hint="eastAsia" w:ascii="宋体" w:hAnsi="宋体" w:eastAsia="宋体" w:cs="宋体"/>
          <w:color w:val="auto"/>
          <w:szCs w:val="21"/>
          <w:highlight w:val="none"/>
        </w:rPr>
        <w:t>澄清、说明或补正；</w:t>
      </w:r>
      <w:bookmarkEnd w:id="813"/>
    </w:p>
    <w:p w14:paraId="2CDCBCF3">
      <w:pPr>
        <w:pageBreakBefore w:val="0"/>
        <w:numPr>
          <w:ilvl w:val="0"/>
          <w:numId w:val="2"/>
        </w:numPr>
        <w:kinsoku/>
        <w:wordWrap w:val="0"/>
        <w:overflowPunct/>
        <w:topLinePunct w:val="0"/>
        <w:bidi w:val="0"/>
        <w:spacing w:line="360" w:lineRule="auto"/>
        <w:ind w:left="0" w:firstLine="420" w:firstLineChars="200"/>
        <w:rPr>
          <w:rFonts w:hint="eastAsia" w:ascii="宋体" w:hAnsi="宋体" w:eastAsia="宋体" w:cs="宋体"/>
          <w:color w:val="auto"/>
          <w:szCs w:val="21"/>
          <w:highlight w:val="none"/>
        </w:rPr>
      </w:pPr>
      <w:bookmarkStart w:id="814" w:name="_Toc6953_WPSOffice_Level1"/>
      <w:r>
        <w:rPr>
          <w:rFonts w:hint="eastAsia" w:ascii="宋体" w:hAnsi="宋体" w:eastAsia="宋体" w:cs="宋体"/>
          <w:color w:val="auto"/>
          <w:szCs w:val="21"/>
          <w:highlight w:val="none"/>
        </w:rPr>
        <w:t>推荐中标候选人及提交评标报告。</w:t>
      </w:r>
      <w:bookmarkEnd w:id="814"/>
    </w:p>
    <w:p w14:paraId="44A5007F">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A2. 评标准备</w:t>
      </w:r>
    </w:p>
    <w:p w14:paraId="54095AFE">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A2.1评标委员会成员签到</w:t>
      </w:r>
    </w:p>
    <w:p w14:paraId="4AB5A2DB">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评标委员会成员到达评标现场时应在签到表上签到以证明其出席。</w:t>
      </w:r>
    </w:p>
    <w:p w14:paraId="1C411FDA">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15" w:name="_Toc2782_WPSOffice_Level1"/>
      <w:r>
        <w:rPr>
          <w:rFonts w:hint="eastAsia" w:ascii="宋体" w:hAnsi="宋体" w:eastAsia="宋体" w:cs="宋体"/>
          <w:b/>
          <w:color w:val="auto"/>
          <w:szCs w:val="21"/>
          <w:highlight w:val="none"/>
        </w:rPr>
        <w:t>A2.2评标委员会的分工</w:t>
      </w:r>
      <w:bookmarkEnd w:id="815"/>
    </w:p>
    <w:p w14:paraId="5D315897">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评标委员会首先推选一名评标委员会主任。评标委员会主任负责评标活动的组织领导工作。评标委员会主任在与其他评标委员会成员协商的基础上，可以将评标委员会划分为技术组和商务组。</w:t>
      </w:r>
    </w:p>
    <w:p w14:paraId="719B8C58">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16" w:name="_Toc19391_WPSOffice_Level1"/>
      <w:r>
        <w:rPr>
          <w:rFonts w:hint="eastAsia" w:ascii="宋体" w:hAnsi="宋体" w:eastAsia="宋体" w:cs="宋体"/>
          <w:b/>
          <w:color w:val="auto"/>
          <w:szCs w:val="21"/>
          <w:highlight w:val="none"/>
        </w:rPr>
        <w:t>A2.3 熟悉文件资料</w:t>
      </w:r>
      <w:bookmarkEnd w:id="816"/>
    </w:p>
    <w:p w14:paraId="04C5EADA">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2.3.1评标委员会主任应组织评标委员会成员认真研究招标文件，了解和熟悉招标目的、招标范围、主要合同条件、质量标准和工期要求等，掌握评标标准和方法，熟悉电子交易平台评标系统的操作手册。未在招标文件中规定的标准和方法不得作为评标的依据。</w:t>
      </w:r>
    </w:p>
    <w:p w14:paraId="55103AB0">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A3. 初步评审</w:t>
      </w:r>
    </w:p>
    <w:p w14:paraId="4767C35A">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A3.1形式评审</w:t>
      </w:r>
    </w:p>
    <w:p w14:paraId="46B5228C">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评标委员会根据评标办法前附表中规定的评审因素和评审标准，对投标人的投标文件进行形式评审，并记录评审结果。</w:t>
      </w:r>
    </w:p>
    <w:p w14:paraId="562CB9E5">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17" w:name="_Toc14796_WPSOffice_Level1"/>
      <w:r>
        <w:rPr>
          <w:rFonts w:hint="eastAsia" w:ascii="宋体" w:hAnsi="宋体" w:eastAsia="宋体" w:cs="宋体"/>
          <w:b/>
          <w:color w:val="auto"/>
          <w:szCs w:val="21"/>
          <w:highlight w:val="none"/>
        </w:rPr>
        <w:t>A3.2资格评审</w:t>
      </w:r>
      <w:bookmarkEnd w:id="817"/>
    </w:p>
    <w:p w14:paraId="72B31F4B">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评标委员会根据评标办法前附表中规定的评审因素和评审标准，对投标人的投标文件进行资格评审，并记录评审结果。</w:t>
      </w:r>
    </w:p>
    <w:p w14:paraId="4E1CB7CB">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18" w:name="_Toc31624_WPSOffice_Level1"/>
      <w:r>
        <w:rPr>
          <w:rFonts w:hint="eastAsia" w:ascii="宋体" w:hAnsi="宋体" w:eastAsia="宋体" w:cs="宋体"/>
          <w:b/>
          <w:color w:val="auto"/>
          <w:szCs w:val="21"/>
          <w:highlight w:val="none"/>
        </w:rPr>
        <w:t>A3.3响应性评审</w:t>
      </w:r>
      <w:bookmarkEnd w:id="818"/>
    </w:p>
    <w:p w14:paraId="24876149">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A3.3.1评审委员会根据评标办法前附表中规定的评审因素和评审标准，对投标人的投标文件进行响应性评审，并记录评审结果。</w:t>
      </w:r>
    </w:p>
    <w:p w14:paraId="36DD5B4B">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19" w:name="_Toc30936_WPSOffice_Level1"/>
      <w:r>
        <w:rPr>
          <w:rFonts w:hint="eastAsia" w:ascii="宋体" w:hAnsi="宋体" w:eastAsia="宋体" w:cs="宋体"/>
          <w:b/>
          <w:color w:val="auto"/>
          <w:szCs w:val="21"/>
          <w:highlight w:val="none"/>
        </w:rPr>
        <w:t>A3.4 判断投标是否为</w:t>
      </w:r>
      <w:bookmarkEnd w:id="819"/>
      <w:r>
        <w:rPr>
          <w:rFonts w:hint="eastAsia" w:ascii="宋体" w:hAnsi="宋体" w:eastAsia="宋体" w:cs="宋体"/>
          <w:b/>
          <w:color w:val="auto"/>
          <w:szCs w:val="21"/>
          <w:highlight w:val="none"/>
        </w:rPr>
        <w:t>否决投标</w:t>
      </w:r>
    </w:p>
    <w:p w14:paraId="031FE91E">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A3.4.1判断投标人的投标是否为否决投标的全部条件，在本章附件B中集中列示。</w:t>
      </w:r>
    </w:p>
    <w:p w14:paraId="6FC035BE">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A3.4.2本章附件B集中列示的否决投标条件不应与第二章“投标人须知”和本章正本部分包括的否决投标条件抵触，如果出现相互矛盾的情况，以第二章“投标人须知”和本章正文部分的规定为准。</w:t>
      </w:r>
    </w:p>
    <w:p w14:paraId="308C65B8">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A3.4.3评标委员会在评标（包括初步评审和详细评审）过程中，依据本章附件B中规定的否决投标条件判断投标人的投标是否为否决投标。</w:t>
      </w:r>
    </w:p>
    <w:p w14:paraId="79C55156">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0" w:name="_Toc18123_WPSOffice_Level1"/>
      <w:r>
        <w:rPr>
          <w:rFonts w:hint="eastAsia" w:ascii="宋体" w:hAnsi="宋体" w:eastAsia="宋体" w:cs="宋体"/>
          <w:b/>
          <w:color w:val="auto"/>
          <w:szCs w:val="21"/>
          <w:highlight w:val="none"/>
        </w:rPr>
        <w:t>A3.5 算术错误修正</w:t>
      </w:r>
      <w:bookmarkEnd w:id="820"/>
    </w:p>
    <w:p w14:paraId="79D3957D">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评标委员会依据本章中规定的相关原则对投标报价中存在的算术错误进行修正，并根据算术错误修正结果计算评标价。</w:t>
      </w:r>
    </w:p>
    <w:p w14:paraId="6443C3BC">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1" w:name="_Toc8956_WPSOffice_Level1"/>
      <w:r>
        <w:rPr>
          <w:rFonts w:hint="eastAsia" w:ascii="宋体" w:hAnsi="宋体" w:eastAsia="宋体" w:cs="宋体"/>
          <w:b/>
          <w:color w:val="auto"/>
          <w:szCs w:val="21"/>
          <w:highlight w:val="none"/>
        </w:rPr>
        <w:t>A3.6 澄清、说明或补充</w:t>
      </w:r>
      <w:bookmarkEnd w:id="821"/>
    </w:p>
    <w:p w14:paraId="7A713A7F">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在初步评审过程中，评标委员会应当就投标文件中不明确的内容要求投标人进行澄清、说明或者补正。投标人对此以书面形式予以澄清、说明或者补正。澄清、说明或补正根据本章第3.3款的规定执行。</w:t>
      </w:r>
    </w:p>
    <w:p w14:paraId="61020C96">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2" w:name="_Toc13627_WPSOffice_Level1"/>
      <w:r>
        <w:rPr>
          <w:rFonts w:hint="eastAsia" w:ascii="宋体" w:hAnsi="宋体" w:eastAsia="宋体" w:cs="宋体"/>
          <w:b/>
          <w:color w:val="auto"/>
          <w:szCs w:val="21"/>
          <w:highlight w:val="none"/>
        </w:rPr>
        <w:t>A4. 详细评审</w:t>
      </w:r>
      <w:bookmarkEnd w:id="822"/>
    </w:p>
    <w:p w14:paraId="5A683E27">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只有通过了初步评审、被判定为合格的投标方可进入详细评审。</w:t>
      </w:r>
    </w:p>
    <w:p w14:paraId="04A77E85">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3" w:name="_Toc24373_WPSOffice_Level1"/>
      <w:r>
        <w:rPr>
          <w:rFonts w:hint="eastAsia" w:ascii="宋体" w:hAnsi="宋体" w:eastAsia="宋体" w:cs="宋体"/>
          <w:b/>
          <w:color w:val="auto"/>
          <w:szCs w:val="21"/>
          <w:highlight w:val="none"/>
        </w:rPr>
        <w:t>A4.1 详细评审的程序</w:t>
      </w:r>
      <w:bookmarkEnd w:id="823"/>
    </w:p>
    <w:p w14:paraId="7EF13B56">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评标委员会按照本章第3.2款中规定的程序进行详细评审。</w:t>
      </w:r>
    </w:p>
    <w:p w14:paraId="6C7C6F1D">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（1）施工组织设计评审和评分；</w:t>
      </w:r>
    </w:p>
    <w:p w14:paraId="3E9A4485">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（2）综合标评审和评分；</w:t>
      </w:r>
    </w:p>
    <w:p w14:paraId="647D96BC">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商务标</w:t>
      </w:r>
      <w:r>
        <w:rPr>
          <w:rFonts w:hint="eastAsia" w:ascii="宋体" w:hAnsi="宋体" w:eastAsia="宋体" w:cs="宋体"/>
          <w:color w:val="auto"/>
          <w:szCs w:val="21"/>
          <w:highlight w:val="none"/>
        </w:rPr>
        <w:t>评审和评分；</w:t>
      </w:r>
    </w:p>
    <w:p w14:paraId="37B742BF">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（4）汇总评分结果。</w:t>
      </w:r>
    </w:p>
    <w:p w14:paraId="63D76622">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A4.</w:t>
      </w:r>
      <w:r>
        <w:rPr>
          <w:rFonts w:hint="eastAsia" w:ascii="宋体" w:hAnsi="宋体" w:eastAsia="宋体" w:cs="宋体"/>
          <w:b/>
          <w:color w:val="auto"/>
          <w:szCs w:val="21"/>
          <w:highlight w:val="none"/>
          <w:lang w:val="en-US" w:eastAsia="zh-CN"/>
        </w:rPr>
        <w:t>2</w:t>
      </w:r>
      <w:r>
        <w:rPr>
          <w:rFonts w:hint="eastAsia" w:ascii="宋体" w:hAnsi="宋体" w:eastAsia="宋体" w:cs="宋体"/>
          <w:b/>
          <w:color w:val="auto"/>
          <w:szCs w:val="21"/>
          <w:highlight w:val="none"/>
        </w:rPr>
        <w:t>澄清、说明或补正</w:t>
      </w:r>
    </w:p>
    <w:p w14:paraId="7DE84493">
      <w:pPr>
        <w:pageBreakBefore w:val="0"/>
        <w:kinsoku/>
        <w:wordWrap w:val="0"/>
        <w:overflowPunct/>
        <w:topLinePunct w:val="0"/>
        <w:bidi w:val="0"/>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在详细评审过程中，评标委员会应当就投标文件中不明确的内容要求投标人进行澄清、说明或者补正。投标人对此以书面形式予以澄清、说明或者补正。澄清、说明或补正根据本章第3.3款的规定执行。</w:t>
      </w:r>
    </w:p>
    <w:p w14:paraId="029C6949">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A4.6汇总评分结果</w:t>
      </w:r>
    </w:p>
    <w:p w14:paraId="0678E7A8">
      <w:pPr>
        <w:pageBreakBefore w:val="0"/>
        <w:kinsoku/>
        <w:wordWrap w:val="0"/>
        <w:overflowPunct/>
        <w:topLinePunct w:val="0"/>
        <w:bidi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A4.6.1评标委员会成员应填写详细评审评分汇总表。</w:t>
      </w:r>
    </w:p>
    <w:p w14:paraId="49FFA03D">
      <w:pPr>
        <w:pageBreakBefore w:val="0"/>
        <w:kinsoku/>
        <w:wordWrap w:val="0"/>
        <w:overflowPunct/>
        <w:topLinePunct w:val="0"/>
        <w:bidi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A4.6.2详细评审工作全部结束后，汇总各个评标委员会成员的详细评审评分结果。</w:t>
      </w:r>
    </w:p>
    <w:p w14:paraId="5C4B703A">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A5.推荐中标候选人</w:t>
      </w:r>
    </w:p>
    <w:p w14:paraId="191C317F">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4" w:name="_Toc16943_WPSOffice_Level1"/>
      <w:r>
        <w:rPr>
          <w:rFonts w:hint="eastAsia" w:ascii="宋体" w:hAnsi="宋体" w:eastAsia="宋体" w:cs="宋体"/>
          <w:b/>
          <w:color w:val="auto"/>
          <w:szCs w:val="21"/>
          <w:highlight w:val="none"/>
        </w:rPr>
        <w:t>A5.1 推荐中标候选人</w:t>
      </w:r>
      <w:bookmarkEnd w:id="824"/>
    </w:p>
    <w:p w14:paraId="75FB9218">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A5.1.1除第二章“投标人须知”前附表授权直接确定中标人外，评标委员会在推荐中标候选人时，应遵照以下原则：</w:t>
      </w:r>
    </w:p>
    <w:p w14:paraId="6D4B0543">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评标委员会对满足招标文件实质性要求的投标文件，</w:t>
      </w:r>
      <w:r>
        <w:rPr>
          <w:rFonts w:hint="eastAsia" w:ascii="宋体" w:hAnsi="宋体" w:eastAsia="宋体" w:cs="宋体"/>
          <w:color w:val="auto"/>
          <w:sz w:val="21"/>
          <w:szCs w:val="21"/>
          <w:highlight w:val="none"/>
        </w:rPr>
        <w:t>按照招标文件规定的评分标准独立进行赋分，并按照最终得分由高到低顺序推荐中标候选人（中标候选人不排序）。最终得分相同时，以投标报价低的优先排序；投标报价也相同的，按照施工组织设计得分高的优先推荐，由评标委员会确定。</w:t>
      </w:r>
    </w:p>
    <w:p w14:paraId="701D8EA5">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推荐中标候选人数量：</w:t>
      </w:r>
    </w:p>
    <w:p w14:paraId="067CC516">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①有效投标人的数量为</w:t>
      </w:r>
      <w:r>
        <w:rPr>
          <w:rFonts w:hint="eastAsia" w:ascii="宋体" w:hAnsi="宋体" w:eastAsia="宋体" w:cs="宋体"/>
          <w:color w:val="auto"/>
          <w:sz w:val="21"/>
          <w:szCs w:val="21"/>
          <w:highlight w:val="none"/>
          <w:lang w:val="en-US" w:eastAsia="zh-CN"/>
        </w:rPr>
        <w:t>N</w:t>
      </w:r>
      <w:r>
        <w:rPr>
          <w:rFonts w:hint="eastAsia" w:ascii="宋体" w:hAnsi="宋体" w:eastAsia="宋体" w:cs="宋体"/>
          <w:color w:val="auto"/>
          <w:sz w:val="21"/>
          <w:szCs w:val="21"/>
          <w:highlight w:val="none"/>
        </w:rPr>
        <w:t xml:space="preserve"> ；</w:t>
      </w:r>
    </w:p>
    <w:p w14:paraId="05F7C76B">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②当</w:t>
      </w:r>
      <w:r>
        <w:rPr>
          <w:rFonts w:hint="eastAsia" w:ascii="宋体" w:hAnsi="宋体" w:eastAsia="宋体" w:cs="宋体"/>
          <w:color w:val="auto"/>
          <w:sz w:val="21"/>
          <w:szCs w:val="21"/>
          <w:highlight w:val="none"/>
          <w:lang w:val="en-US" w:eastAsia="zh-CN"/>
        </w:rPr>
        <w:t>N</w:t>
      </w:r>
      <w:r>
        <w:rPr>
          <w:rFonts w:hint="eastAsia" w:ascii="宋体" w:hAnsi="宋体" w:eastAsia="宋体" w:cs="宋体"/>
          <w:color w:val="auto"/>
          <w:sz w:val="21"/>
          <w:szCs w:val="21"/>
          <w:highlight w:val="none"/>
        </w:rPr>
        <w:t>小于3时，不推荐中标候选人，项目应当重新招标；</w:t>
      </w:r>
    </w:p>
    <w:p w14:paraId="52C29F58">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③当3≤</w:t>
      </w:r>
      <w:r>
        <w:rPr>
          <w:rFonts w:hint="eastAsia" w:ascii="宋体" w:hAnsi="宋体" w:eastAsia="宋体" w:cs="宋体"/>
          <w:color w:val="auto"/>
          <w:sz w:val="21"/>
          <w:szCs w:val="21"/>
          <w:highlight w:val="none"/>
          <w:lang w:val="en-US" w:eastAsia="zh-CN"/>
        </w:rPr>
        <w:t>N</w:t>
      </w:r>
      <w:r>
        <w:rPr>
          <w:rFonts w:hint="eastAsia" w:ascii="宋体" w:hAnsi="宋体" w:eastAsia="宋体" w:cs="宋体"/>
          <w:color w:val="auto"/>
          <w:sz w:val="21"/>
          <w:szCs w:val="21"/>
          <w:highlight w:val="none"/>
        </w:rPr>
        <w:t>≤10时，将有效投标人全部推荐为中标候选人；</w:t>
      </w:r>
    </w:p>
    <w:p w14:paraId="7AA8AA82">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④当</w:t>
      </w:r>
      <w:r>
        <w:rPr>
          <w:rFonts w:hint="eastAsia" w:ascii="宋体" w:hAnsi="宋体" w:eastAsia="宋体" w:cs="宋体"/>
          <w:color w:val="auto"/>
          <w:sz w:val="21"/>
          <w:szCs w:val="21"/>
          <w:highlight w:val="none"/>
          <w:lang w:val="en-US" w:eastAsia="zh-CN"/>
        </w:rPr>
        <w:t>N</w:t>
      </w:r>
      <w:r>
        <w:rPr>
          <w:rFonts w:hint="eastAsia" w:ascii="宋体" w:hAnsi="宋体" w:eastAsia="宋体" w:cs="宋体"/>
          <w:color w:val="auto"/>
          <w:sz w:val="21"/>
          <w:szCs w:val="21"/>
          <w:highlight w:val="none"/>
        </w:rPr>
        <w:t>大于10时，</w:t>
      </w:r>
      <w:r>
        <w:rPr>
          <w:rFonts w:hint="eastAsia" w:ascii="宋体" w:hAnsi="宋体" w:eastAsia="宋体" w:cs="宋体"/>
          <w:color w:val="auto"/>
          <w:sz w:val="21"/>
          <w:szCs w:val="21"/>
          <w:highlight w:val="none"/>
          <w:lang w:val="en-US" w:eastAsia="zh-CN"/>
        </w:rPr>
        <w:t>推荐最终得分前十名的为</w:t>
      </w:r>
      <w:r>
        <w:rPr>
          <w:rFonts w:hint="eastAsia" w:ascii="宋体" w:hAnsi="宋体" w:eastAsia="宋体" w:cs="宋体"/>
          <w:color w:val="auto"/>
          <w:sz w:val="21"/>
          <w:szCs w:val="21"/>
          <w:highlight w:val="none"/>
        </w:rPr>
        <w:t>中标候选人。</w:t>
      </w:r>
    </w:p>
    <w:p w14:paraId="1A8212AD">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A5.1.2投标截止时间前，递交投标文件的投标人数量少于三个或者所有投标被否决的，招标人应当依法重新招标。</w:t>
      </w:r>
    </w:p>
    <w:p w14:paraId="0CDC02F1">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A5.2 </w:t>
      </w:r>
      <w:bookmarkStart w:id="825" w:name="_Toc21273_WPSOffice_Level1"/>
      <w:r>
        <w:rPr>
          <w:rFonts w:hint="eastAsia" w:ascii="宋体" w:hAnsi="宋体" w:eastAsia="宋体" w:cs="宋体"/>
          <w:b/>
          <w:color w:val="auto"/>
          <w:szCs w:val="21"/>
          <w:highlight w:val="none"/>
        </w:rPr>
        <w:t>编制评标报告</w:t>
      </w:r>
      <w:bookmarkEnd w:id="825"/>
    </w:p>
    <w:p w14:paraId="51BE9C5B">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评标委员会根据本章第3.4.2项规定向招标人提交评标报告。评标报告应当由全体评标委员会成员签字（签章）。评标报告应当包括以下内容：</w:t>
      </w:r>
    </w:p>
    <w:p w14:paraId="037D6572">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（1）基本情况和数据表；</w:t>
      </w:r>
    </w:p>
    <w:p w14:paraId="62774696">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（2）评标委员会成员名单；</w:t>
      </w:r>
    </w:p>
    <w:p w14:paraId="5A91E703">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（3）开标记录；</w:t>
      </w:r>
    </w:p>
    <w:p w14:paraId="5FB256E2">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（4）符合要求的投标一览表；</w:t>
      </w:r>
    </w:p>
    <w:p w14:paraId="11F47302">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（5）否决投标情况说明；</w:t>
      </w:r>
    </w:p>
    <w:p w14:paraId="3FCE6062">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（6）评标标准、评标方法或者评标因素一览表；</w:t>
      </w:r>
    </w:p>
    <w:p w14:paraId="62C29A1A">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（7）评分比较一览表；</w:t>
      </w:r>
    </w:p>
    <w:p w14:paraId="69497C85">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（8）经评审的投标人；</w:t>
      </w:r>
    </w:p>
    <w:p w14:paraId="04D8E3B0">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（9）推荐的中标候选人名单；</w:t>
      </w:r>
    </w:p>
    <w:p w14:paraId="0AC5E59C">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（10）澄清、说明、补正事项纪要。</w:t>
      </w:r>
    </w:p>
    <w:p w14:paraId="68659948">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6" w:name="_Toc2684_WPSOffice_Level1"/>
      <w:r>
        <w:rPr>
          <w:rFonts w:hint="eastAsia" w:ascii="宋体" w:hAnsi="宋体" w:eastAsia="宋体" w:cs="宋体"/>
          <w:b/>
          <w:color w:val="auto"/>
          <w:szCs w:val="21"/>
          <w:highlight w:val="none"/>
        </w:rPr>
        <w:t>A6. 特殊情况的处置程序</w:t>
      </w:r>
      <w:bookmarkEnd w:id="826"/>
    </w:p>
    <w:p w14:paraId="536686B3">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A6.1 关于评标活动暂停</w:t>
      </w:r>
    </w:p>
    <w:p w14:paraId="6C029E2A">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A6.2.1评标委员会应当执行连续评标的原则，按评标办法中规定的程序、内容、办法、标准完成全部评标工作。只有发生不可抗力导致评标工作无法继续时，评标活动方可暂停。</w:t>
      </w:r>
    </w:p>
    <w:p w14:paraId="73E359C2">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A6.2.2发生评标暂停情况时，评标委员会应当封存全部投标文件和评标记录，待不可抗力的影响结束且具备继续评标的条件时，由原评标委员会继续评标。</w:t>
      </w:r>
    </w:p>
    <w:p w14:paraId="0232F51E">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7" w:name="_Toc2398_WPSOffice_Level1"/>
      <w:r>
        <w:rPr>
          <w:rFonts w:hint="eastAsia" w:ascii="宋体" w:hAnsi="宋体" w:eastAsia="宋体" w:cs="宋体"/>
          <w:b/>
          <w:color w:val="auto"/>
          <w:szCs w:val="21"/>
          <w:highlight w:val="none"/>
        </w:rPr>
        <w:t>A6.2 关于评标中途更换评委</w:t>
      </w:r>
      <w:bookmarkEnd w:id="827"/>
    </w:p>
    <w:p w14:paraId="5F64BC3B">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A6.2.1除非发生下列情况之一，评标委员会成员不得在评标中途更换；</w:t>
      </w:r>
    </w:p>
    <w:p w14:paraId="007296C1">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（1）因不可抗拒的客观原因，不能到场或需在评标中途退出评标活动。</w:t>
      </w:r>
    </w:p>
    <w:p w14:paraId="1D04E681">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（2）根据法律法规规定，某个或某几个评标委员会成员需要回避。</w:t>
      </w:r>
    </w:p>
    <w:p w14:paraId="0A40AE0D">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A6.2.2退出评标的评标委员会成员，其已完成的评标行为无效。由招标人根据本招标文件规定的评标委员会成员产生方式另行确定代替者进行评标。</w:t>
      </w:r>
    </w:p>
    <w:p w14:paraId="299C78C3">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8" w:name="_Toc13130_WPSOffice_Level1"/>
      <w:r>
        <w:rPr>
          <w:rFonts w:hint="eastAsia" w:ascii="宋体" w:hAnsi="宋体" w:eastAsia="宋体" w:cs="宋体"/>
          <w:b/>
          <w:color w:val="auto"/>
          <w:szCs w:val="21"/>
          <w:highlight w:val="none"/>
        </w:rPr>
        <w:t>A6.3记名投票</w:t>
      </w:r>
      <w:bookmarkEnd w:id="828"/>
    </w:p>
    <w:p w14:paraId="5300ED53">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在任何评标环节中，需评标委员会就某项定性的评审结论做出表决的，由评标委员会全体成员按照少数服从多数的原则，以记名投票方式表决。</w:t>
      </w:r>
    </w:p>
    <w:p w14:paraId="07CC3C70">
      <w:pPr>
        <w:pageBreakBefore w:val="0"/>
        <w:kinsoku/>
        <w:wordWrap w:val="0"/>
        <w:overflowPunct/>
        <w:topLinePunct w:val="0"/>
        <w:bidi w:val="0"/>
        <w:spacing w:line="360" w:lineRule="auto"/>
        <w:ind w:firstLine="422" w:firstLineChars="200"/>
        <w:rPr>
          <w:rFonts w:hint="eastAsia" w:ascii="宋体" w:hAnsi="宋体" w:eastAsia="宋体" w:cs="宋体"/>
          <w:b/>
          <w:color w:val="auto"/>
          <w:szCs w:val="21"/>
          <w:highlight w:val="none"/>
        </w:rPr>
      </w:pPr>
      <w:bookmarkStart w:id="829" w:name="_Toc16572_WPSOffice_Level1"/>
      <w:r>
        <w:rPr>
          <w:rFonts w:hint="eastAsia" w:ascii="宋体" w:hAnsi="宋体" w:eastAsia="宋体" w:cs="宋体"/>
          <w:b/>
          <w:color w:val="auto"/>
          <w:szCs w:val="21"/>
          <w:highlight w:val="none"/>
        </w:rPr>
        <w:t>A7.补充条款</w:t>
      </w:r>
      <w:bookmarkEnd w:id="829"/>
    </w:p>
    <w:p w14:paraId="2A045BF1">
      <w:pPr>
        <w:pageBreakBefore w:val="0"/>
        <w:kinsoku/>
        <w:wordWrap w:val="0"/>
        <w:overflowPunct/>
        <w:topLinePunct w:val="0"/>
        <w:bidi w:val="0"/>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无。</w:t>
      </w:r>
    </w:p>
    <w:p w14:paraId="67B8A202">
      <w:pPr>
        <w:pageBreakBefore w:val="0"/>
        <w:kinsoku/>
        <w:wordWrap w:val="0"/>
        <w:overflowPunct/>
        <w:topLinePunct w:val="0"/>
        <w:bidi w:val="0"/>
        <w:spacing w:line="420" w:lineRule="exact"/>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830" w:name="_Toc23211"/>
      <w:bookmarkStart w:id="831" w:name="_Toc22249"/>
      <w:r>
        <w:rPr>
          <w:rFonts w:hint="eastAsia" w:ascii="宋体" w:hAnsi="宋体" w:eastAsia="宋体" w:cs="宋体"/>
          <w:color w:val="auto"/>
          <w:szCs w:val="21"/>
          <w:highlight w:val="none"/>
        </w:rPr>
        <w:t>附件B：否决投标条件</w:t>
      </w:r>
      <w:bookmarkEnd w:id="830"/>
      <w:bookmarkEnd w:id="831"/>
    </w:p>
    <w:p w14:paraId="617E95F0">
      <w:pPr>
        <w:pageBreakBefore w:val="0"/>
        <w:kinsoku/>
        <w:wordWrap w:val="0"/>
        <w:overflowPunct/>
        <w:topLinePunct w:val="0"/>
        <w:bidi w:val="0"/>
        <w:jc w:val="center"/>
        <w:rPr>
          <w:rFonts w:hint="eastAsia" w:ascii="宋体" w:hAnsi="宋体" w:eastAsia="宋体" w:cs="宋体"/>
          <w:color w:val="auto"/>
          <w:highlight w:val="none"/>
        </w:rPr>
      </w:pPr>
      <w:bookmarkStart w:id="832" w:name="_Toc5990"/>
      <w:bookmarkStart w:id="833" w:name="_Toc20180"/>
      <w:bookmarkStart w:id="834" w:name="_Toc22425"/>
      <w:bookmarkStart w:id="835" w:name="_Toc14527"/>
      <w:bookmarkStart w:id="836" w:name="_Toc14834_WPSOffice_Level1"/>
      <w:bookmarkStart w:id="837" w:name="_Toc23672"/>
      <w:bookmarkStart w:id="838" w:name="_Toc13723"/>
      <w:r>
        <w:rPr>
          <w:rFonts w:hint="eastAsia" w:ascii="宋体" w:hAnsi="宋体" w:eastAsia="宋体" w:cs="宋体"/>
          <w:color w:val="auto"/>
          <w:highlight w:val="none"/>
        </w:rPr>
        <w:t>否决投标条件</w:t>
      </w:r>
      <w:bookmarkEnd w:id="832"/>
      <w:bookmarkEnd w:id="833"/>
      <w:bookmarkEnd w:id="834"/>
      <w:bookmarkEnd w:id="835"/>
      <w:bookmarkEnd w:id="836"/>
      <w:bookmarkEnd w:id="837"/>
      <w:bookmarkEnd w:id="838"/>
    </w:p>
    <w:p w14:paraId="06FB318C">
      <w:pPr>
        <w:pageBreakBefore w:val="0"/>
        <w:kinsoku/>
        <w:wordWrap w:val="0"/>
        <w:overflowPunct/>
        <w:topLinePunct w:val="0"/>
        <w:bidi w:val="0"/>
        <w:spacing w:line="43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B0.总则</w:t>
      </w:r>
    </w:p>
    <w:p w14:paraId="1B919429">
      <w:pPr>
        <w:pageBreakBefore w:val="0"/>
        <w:kinsoku/>
        <w:wordWrap w:val="0"/>
        <w:overflowPunct/>
        <w:topLinePunct w:val="0"/>
        <w:bidi w:val="0"/>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本附件所集中列示的否决投标条件，是本章“评标办法”的组成部分。</w:t>
      </w:r>
    </w:p>
    <w:p w14:paraId="62F3E025">
      <w:pPr>
        <w:pageBreakBefore w:val="0"/>
        <w:kinsoku/>
        <w:wordWrap w:val="0"/>
        <w:overflowPunct/>
        <w:topLinePunct w:val="0"/>
        <w:bidi w:val="0"/>
        <w:spacing w:line="430" w:lineRule="exact"/>
        <w:rPr>
          <w:rFonts w:hint="eastAsia" w:ascii="宋体" w:hAnsi="宋体" w:eastAsia="宋体" w:cs="宋体"/>
          <w:b/>
          <w:color w:val="auto"/>
          <w:szCs w:val="21"/>
          <w:highlight w:val="none"/>
        </w:rPr>
      </w:pPr>
      <w:bookmarkStart w:id="839" w:name="_Toc24609_WPSOffice_Level1"/>
      <w:r>
        <w:rPr>
          <w:rFonts w:hint="eastAsia" w:ascii="宋体" w:hAnsi="宋体" w:eastAsia="宋体" w:cs="宋体"/>
          <w:b/>
          <w:color w:val="auto"/>
          <w:szCs w:val="21"/>
          <w:highlight w:val="none"/>
        </w:rPr>
        <w:t>B1.否决投标条件</w:t>
      </w:r>
      <w:bookmarkEnd w:id="839"/>
    </w:p>
    <w:p w14:paraId="52A80083">
      <w:pPr>
        <w:pageBreakBefore w:val="0"/>
        <w:kinsoku/>
        <w:wordWrap w:val="0"/>
        <w:overflowPunct/>
        <w:topLinePunct w:val="0"/>
        <w:bidi w:val="0"/>
        <w:spacing w:before="104" w:line="200" w:lineRule="auto"/>
        <w:jc w:val="center"/>
        <w:rPr>
          <w:rFonts w:hint="eastAsia" w:ascii="宋体" w:hAnsi="宋体" w:eastAsia="宋体" w:cs="宋体"/>
          <w:color w:val="auto"/>
          <w:sz w:val="34"/>
          <w:szCs w:val="34"/>
          <w:highlight w:val="none"/>
        </w:rPr>
      </w:pPr>
      <w:bookmarkStart w:id="840" w:name="_Toc2352"/>
      <w:r>
        <w:rPr>
          <w:rFonts w:hint="eastAsia" w:ascii="宋体" w:hAnsi="宋体" w:eastAsia="宋体" w:cs="宋体"/>
          <w:b/>
          <w:bCs/>
          <w:color w:val="auto"/>
          <w:spacing w:val="-4"/>
          <w:szCs w:val="21"/>
          <w:highlight w:val="none"/>
        </w:rPr>
        <w:t>否决投标的情形</w:t>
      </w:r>
      <w:bookmarkEnd w:id="840"/>
    </w:p>
    <w:p w14:paraId="11A1D6F5">
      <w:pPr>
        <w:keepNext w:val="0"/>
        <w:keepLines w:val="0"/>
        <w:pageBreakBefore w:val="0"/>
        <w:widowControl w:val="0"/>
        <w:kinsoku/>
        <w:wordWrap w:val="0"/>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投标人或其投标文件有下列情形之一的，其投标作废标处理：</w:t>
      </w:r>
    </w:p>
    <w:p w14:paraId="15957BFE">
      <w:pPr>
        <w:keepNext w:val="0"/>
        <w:keepLines w:val="0"/>
        <w:pageBreakBefore w:val="0"/>
        <w:widowControl w:val="0"/>
        <w:kinsoku/>
        <w:wordWrap w:val="0"/>
        <w:overflowPunct/>
        <w:topLinePunct w:val="0"/>
        <w:autoSpaceDE/>
        <w:autoSpaceDN/>
        <w:bidi w:val="0"/>
        <w:adjustRightInd w:val="0"/>
        <w:snapToGrid w:val="0"/>
        <w:spacing w:line="440" w:lineRule="exact"/>
        <w:ind w:firstLine="525" w:firstLineChars="249"/>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1.1</w:t>
      </w:r>
      <w:r>
        <w:rPr>
          <w:rFonts w:hint="eastAsia" w:ascii="宋体" w:hAnsi="宋体" w:eastAsia="宋体" w:cs="宋体"/>
          <w:color w:val="auto"/>
          <w:szCs w:val="21"/>
          <w:highlight w:val="none"/>
        </w:rPr>
        <w:t xml:space="preserve"> 有第二章“投标人须知”正文部分第1.4.3项规定的任何一种情形的；</w:t>
      </w:r>
    </w:p>
    <w:p w14:paraId="4DC18AB6">
      <w:pPr>
        <w:keepNext w:val="0"/>
        <w:keepLines w:val="0"/>
        <w:pageBreakBefore w:val="0"/>
        <w:widowControl w:val="0"/>
        <w:kinsoku/>
        <w:wordWrap w:val="0"/>
        <w:overflowPunct/>
        <w:topLinePunct w:val="0"/>
        <w:autoSpaceDE/>
        <w:autoSpaceDN/>
        <w:bidi w:val="0"/>
        <w:adjustRightInd w:val="0"/>
        <w:snapToGrid w:val="0"/>
        <w:spacing w:line="440" w:lineRule="exact"/>
        <w:ind w:firstLine="525" w:firstLineChars="249"/>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1.2</w:t>
      </w:r>
      <w:r>
        <w:rPr>
          <w:rFonts w:hint="eastAsia" w:ascii="宋体" w:hAnsi="宋体" w:eastAsia="宋体" w:cs="宋体"/>
          <w:color w:val="auto"/>
          <w:szCs w:val="21"/>
          <w:highlight w:val="none"/>
        </w:rPr>
        <w:t xml:space="preserve"> 有串通投标或弄虚作假（含不实承诺）或有其他违法行为的；</w:t>
      </w:r>
    </w:p>
    <w:p w14:paraId="6E318358">
      <w:pPr>
        <w:keepNext w:val="0"/>
        <w:keepLines w:val="0"/>
        <w:pageBreakBefore w:val="0"/>
        <w:widowControl w:val="0"/>
        <w:kinsoku/>
        <w:wordWrap w:val="0"/>
        <w:overflowPunct/>
        <w:topLinePunct w:val="0"/>
        <w:autoSpaceDE/>
        <w:autoSpaceDN/>
        <w:bidi w:val="0"/>
        <w:adjustRightInd w:val="0"/>
        <w:snapToGrid w:val="0"/>
        <w:spacing w:line="440" w:lineRule="exact"/>
        <w:ind w:firstLine="525" w:firstLineChars="249"/>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1.3</w:t>
      </w:r>
      <w:r>
        <w:rPr>
          <w:rFonts w:hint="eastAsia" w:ascii="宋体" w:hAnsi="宋体" w:eastAsia="宋体" w:cs="宋体"/>
          <w:color w:val="auto"/>
          <w:szCs w:val="21"/>
          <w:highlight w:val="none"/>
        </w:rPr>
        <w:t xml:space="preserve"> 不按评标委员会要求澄清、说明、补正，或其澄清、说明、补正未被评标委员会接受的；</w:t>
      </w:r>
    </w:p>
    <w:p w14:paraId="008312AB">
      <w:pPr>
        <w:keepNext w:val="0"/>
        <w:keepLines w:val="0"/>
        <w:pageBreakBefore w:val="0"/>
        <w:widowControl w:val="0"/>
        <w:kinsoku/>
        <w:wordWrap w:val="0"/>
        <w:overflowPunct/>
        <w:topLinePunct w:val="0"/>
        <w:autoSpaceDE/>
        <w:autoSpaceDN/>
        <w:bidi w:val="0"/>
        <w:adjustRightInd w:val="0"/>
        <w:snapToGrid w:val="0"/>
        <w:spacing w:line="440" w:lineRule="exact"/>
        <w:ind w:firstLine="525" w:firstLineChars="249"/>
        <w:textAlignment w:val="auto"/>
        <w:rPr>
          <w:rFonts w:hint="eastAsia" w:ascii="宋体" w:hAnsi="宋体" w:eastAsia="宋体" w:cs="宋体"/>
          <w:color w:val="auto"/>
          <w:kern w:val="0"/>
          <w:szCs w:val="21"/>
          <w:highlight w:val="none"/>
        </w:rPr>
      </w:pPr>
      <w:r>
        <w:rPr>
          <w:rFonts w:hint="eastAsia" w:ascii="宋体" w:hAnsi="宋体" w:eastAsia="宋体" w:cs="宋体"/>
          <w:b/>
          <w:color w:val="auto"/>
          <w:szCs w:val="21"/>
          <w:highlight w:val="none"/>
        </w:rPr>
        <w:t>1.4</w:t>
      </w:r>
      <w:r>
        <w:rPr>
          <w:rFonts w:hint="eastAsia" w:ascii="宋体" w:hAnsi="宋体" w:eastAsia="宋体" w:cs="宋体"/>
          <w:color w:val="auto"/>
          <w:szCs w:val="21"/>
          <w:highlight w:val="none"/>
        </w:rPr>
        <w:t xml:space="preserve"> 在形式评审、资格评审、响应性评审中，评标委员会认定投标人的投标不符合评标办法前附表中规定的任何一项评审标准的；</w:t>
      </w:r>
    </w:p>
    <w:p w14:paraId="003C9439">
      <w:pPr>
        <w:keepNext w:val="0"/>
        <w:keepLines w:val="0"/>
        <w:pageBreakBefore w:val="0"/>
        <w:widowControl w:val="0"/>
        <w:kinsoku/>
        <w:wordWrap w:val="0"/>
        <w:overflowPunct/>
        <w:topLinePunct w:val="0"/>
        <w:autoSpaceDE/>
        <w:autoSpaceDN/>
        <w:bidi w:val="0"/>
        <w:adjustRightInd w:val="0"/>
        <w:snapToGrid w:val="0"/>
        <w:spacing w:line="440" w:lineRule="exact"/>
        <w:ind w:firstLine="411" w:firstLineChars="195"/>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5</w:t>
      </w:r>
      <w:r>
        <w:rPr>
          <w:rFonts w:hint="eastAsia" w:ascii="宋体" w:hAnsi="宋体" w:eastAsia="宋体" w:cs="宋体"/>
          <w:color w:val="auto"/>
          <w:szCs w:val="21"/>
          <w:highlight w:val="none"/>
        </w:rPr>
        <w:t xml:space="preserve"> 投标报价有算术错误的，评标委员会按以下原则对投标报价进行修正，修正的价格经投标人确认后具有约束力。投标人不接受修正价格的，其投标作无效标处理；</w:t>
      </w:r>
    </w:p>
    <w:p w14:paraId="0F99F968">
      <w:pPr>
        <w:keepNext w:val="0"/>
        <w:keepLines w:val="0"/>
        <w:pageBreakBefore w:val="0"/>
        <w:widowControl w:val="0"/>
        <w:kinsoku/>
        <w:wordWrap w:val="0"/>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（1）投标文件中的大写金额与小写金额不一致的，以大写金额为准；</w:t>
      </w:r>
    </w:p>
    <w:p w14:paraId="06B95C69">
      <w:pPr>
        <w:keepNext w:val="0"/>
        <w:keepLines w:val="0"/>
        <w:pageBreakBefore w:val="0"/>
        <w:widowControl w:val="0"/>
        <w:kinsoku/>
        <w:wordWrap w:val="0"/>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0C209083">
      <w:pPr>
        <w:keepNext w:val="0"/>
        <w:keepLines w:val="0"/>
        <w:pageBreakBefore w:val="0"/>
        <w:widowControl w:val="0"/>
        <w:kinsoku/>
        <w:wordWrap w:val="0"/>
        <w:overflowPunct/>
        <w:topLinePunct w:val="0"/>
        <w:autoSpaceDE/>
        <w:autoSpaceDN/>
        <w:bidi w:val="0"/>
        <w:adjustRightInd w:val="0"/>
        <w:snapToGrid w:val="0"/>
        <w:spacing w:line="440" w:lineRule="exact"/>
        <w:ind w:firstLine="413" w:firstLineChars="196"/>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6</w:t>
      </w:r>
      <w:r>
        <w:rPr>
          <w:rFonts w:hint="eastAsia" w:ascii="宋体" w:hAnsi="宋体" w:eastAsia="宋体" w:cs="宋体"/>
          <w:color w:val="auto"/>
          <w:szCs w:val="21"/>
          <w:highlight w:val="none"/>
        </w:rPr>
        <w:t xml:space="preserve"> 投标报价高于招标控制价或评标委员会认定投标人以低于成本报价竞标的；</w:t>
      </w:r>
    </w:p>
    <w:p w14:paraId="1E5EF3B4">
      <w:pPr>
        <w:keepNext w:val="0"/>
        <w:keepLines w:val="0"/>
        <w:pageBreakBefore w:val="0"/>
        <w:widowControl w:val="0"/>
        <w:kinsoku/>
        <w:wordWrap w:val="0"/>
        <w:overflowPunct/>
        <w:topLinePunct w:val="0"/>
        <w:autoSpaceDE/>
        <w:autoSpaceDN/>
        <w:bidi w:val="0"/>
        <w:adjustRightInd w:val="0"/>
        <w:snapToGrid w:val="0"/>
        <w:spacing w:line="440" w:lineRule="exact"/>
        <w:ind w:firstLine="413" w:firstLineChars="196"/>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7</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投标人提交的投标文件电子版格式不符合第二章“投标人须知前附表”规定的或开标现场无法读取导入的；</w:t>
      </w:r>
    </w:p>
    <w:p w14:paraId="66ECDD85">
      <w:pPr>
        <w:keepNext w:val="0"/>
        <w:keepLines w:val="0"/>
        <w:pageBreakBefore w:val="0"/>
        <w:widowControl w:val="0"/>
        <w:kinsoku/>
        <w:wordWrap w:val="0"/>
        <w:overflowPunct/>
        <w:topLinePunct w:val="0"/>
        <w:autoSpaceDE/>
        <w:autoSpaceDN/>
        <w:bidi w:val="0"/>
        <w:spacing w:line="440" w:lineRule="exact"/>
        <w:ind w:firstLine="422" w:firstLineChars="200"/>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8</w:t>
      </w:r>
      <w:r>
        <w:rPr>
          <w:rFonts w:hint="eastAsia" w:ascii="宋体" w:hAnsi="宋体" w:eastAsia="宋体" w:cs="宋体"/>
          <w:color w:val="auto"/>
          <w:szCs w:val="21"/>
          <w:highlight w:val="none"/>
        </w:rPr>
        <w:t>组成联合体投标的，投标文件未附联合体各方共同投标协议的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如要求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3E826341">
      <w:pPr>
        <w:keepNext w:val="0"/>
        <w:keepLines w:val="0"/>
        <w:pageBreakBefore w:val="0"/>
        <w:widowControl w:val="0"/>
        <w:kinsoku/>
        <w:wordWrap w:val="0"/>
        <w:overflowPunct/>
        <w:topLinePunct w:val="0"/>
        <w:autoSpaceDE/>
        <w:autoSpaceDN/>
        <w:bidi w:val="0"/>
        <w:spacing w:line="440" w:lineRule="exact"/>
        <w:ind w:firstLine="413" w:firstLineChars="196"/>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9</w:t>
      </w:r>
      <w:r>
        <w:rPr>
          <w:rFonts w:hint="eastAsia" w:ascii="宋体" w:hAnsi="宋体" w:eastAsia="宋体" w:cs="宋体"/>
          <w:color w:val="auto"/>
          <w:szCs w:val="21"/>
          <w:highlight w:val="none"/>
        </w:rPr>
        <w:t>同一投标人提交两个及以上不同的企业既往项目人员在岗情况</w:t>
      </w:r>
      <w:r>
        <w:rPr>
          <w:rFonts w:hint="eastAsia" w:ascii="宋体" w:hAnsi="宋体" w:eastAsia="宋体" w:cs="宋体"/>
          <w:color w:val="auto"/>
          <w:szCs w:val="21"/>
          <w:highlight w:val="none"/>
          <w:lang w:val="en-US" w:eastAsia="zh-CN"/>
        </w:rPr>
        <w:t>由招标人或招标代理机构在开标现场通过河南省建筑市场监管公共服务平台查询网页截图作为评标专家评审依据。</w:t>
      </w:r>
      <w:r>
        <w:rPr>
          <w:rFonts w:hint="eastAsia" w:ascii="宋体" w:hAnsi="宋体" w:eastAsia="宋体" w:cs="宋体"/>
          <w:color w:val="auto"/>
          <w:szCs w:val="21"/>
          <w:highlight w:val="none"/>
        </w:rPr>
        <w:t xml:space="preserve">投标文件或者投标报价，但招标文件要求提交备选投标的除外； </w:t>
      </w:r>
    </w:p>
    <w:p w14:paraId="1C0EBF01">
      <w:pPr>
        <w:keepNext w:val="0"/>
        <w:keepLines w:val="0"/>
        <w:pageBreakBefore w:val="0"/>
        <w:widowControl w:val="0"/>
        <w:kinsoku/>
        <w:wordWrap w:val="0"/>
        <w:overflowPunct/>
        <w:topLinePunct w:val="0"/>
        <w:autoSpaceDE/>
        <w:autoSpaceDN/>
        <w:bidi w:val="0"/>
        <w:spacing w:line="440" w:lineRule="exact"/>
        <w:ind w:firstLine="411" w:firstLineChars="196"/>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1.10招标文件规定的其他应认定为无效标的。</w:t>
      </w:r>
    </w:p>
    <w:p w14:paraId="0A9D5C78">
      <w:pPr>
        <w:pageBreakBefore w:val="0"/>
        <w:kinsoku/>
        <w:wordWrap w:val="0"/>
        <w:overflowPunct/>
        <w:topLinePunct w:val="0"/>
        <w:bidi w:val="0"/>
        <w:spacing w:line="43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B2.否决投标说明</w:t>
      </w:r>
    </w:p>
    <w:p w14:paraId="45A53DB4">
      <w:pPr>
        <w:pageBreakBefore w:val="0"/>
        <w:kinsoku/>
        <w:wordWrap w:val="0"/>
        <w:overflowPunct/>
        <w:topLinePunct w:val="0"/>
        <w:bidi w:val="0"/>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B2.1评标委员会应对照招标文件规定的否决投标条件以及投标文件存在的具体问题，对判定为否决投标的投标文件进行否决投标情况说明。</w:t>
      </w:r>
    </w:p>
    <w:p w14:paraId="57D0645A">
      <w:pPr>
        <w:pageBreakBefore w:val="0"/>
        <w:kinsoku/>
        <w:wordWrap w:val="0"/>
        <w:overflowPunct/>
        <w:topLinePunct w:val="0"/>
        <w:bidi w:val="0"/>
        <w:rPr>
          <w:rFonts w:hint="eastAsia" w:ascii="宋体" w:hAnsi="宋体" w:eastAsia="宋体" w:cs="宋体"/>
          <w:color w:val="auto"/>
          <w:szCs w:val="21"/>
          <w:highlight w:val="none"/>
        </w:rPr>
        <w:sectPr>
          <w:headerReference r:id="rId6" w:type="default"/>
          <w:footerReference r:id="rId7" w:type="default"/>
          <w:pgSz w:w="11906" w:h="16838"/>
          <w:pgMar w:top="1417" w:right="1417" w:bottom="1417" w:left="1417" w:header="851" w:footer="851" w:gutter="0"/>
          <w:pgNumType w:fmt="decimal"/>
          <w:cols w:space="720" w:num="1"/>
          <w:rtlGutter w:val="0"/>
          <w:docGrid w:type="lines" w:linePitch="312" w:charSpace="0"/>
        </w:sectPr>
      </w:pPr>
    </w:p>
    <w:p w14:paraId="2ADF1EFA">
      <w:pPr>
        <w:pageBreakBefore w:val="0"/>
        <w:kinsoku/>
        <w:wordWrap w:val="0"/>
        <w:overflowPunct/>
        <w:topLinePunct w:val="0"/>
        <w:autoSpaceDE w:val="0"/>
        <w:autoSpaceDN w:val="0"/>
        <w:bidi w:val="0"/>
        <w:adjustRightInd w:val="0"/>
        <w:spacing w:line="360" w:lineRule="auto"/>
        <w:ind w:right="-34" w:rightChars="-16"/>
        <w:jc w:val="center"/>
        <w:outlineLvl w:val="9"/>
        <w:rPr>
          <w:rFonts w:hint="eastAsia" w:ascii="宋体" w:hAnsi="宋体" w:eastAsia="宋体" w:cs="宋体"/>
          <w:b/>
          <w:color w:val="auto"/>
          <w:kern w:val="0"/>
          <w:sz w:val="36"/>
          <w:highlight w:val="none"/>
          <w:lang w:eastAsia="zh-CN"/>
        </w:rPr>
      </w:pPr>
      <w:bookmarkStart w:id="841" w:name="_Toc13936"/>
      <w:bookmarkStart w:id="842" w:name="_Toc1718"/>
      <w:r>
        <w:rPr>
          <w:rFonts w:hint="eastAsia" w:ascii="宋体" w:hAnsi="宋体" w:eastAsia="宋体" w:cs="宋体"/>
          <w:b/>
          <w:color w:val="auto"/>
          <w:kern w:val="0"/>
          <w:sz w:val="36"/>
          <w:highlight w:val="none"/>
        </w:rPr>
        <w:t>第</w:t>
      </w:r>
      <w:r>
        <w:rPr>
          <w:rFonts w:hint="eastAsia" w:ascii="宋体" w:hAnsi="宋体" w:eastAsia="宋体" w:cs="宋体"/>
          <w:b/>
          <w:color w:val="auto"/>
          <w:kern w:val="0"/>
          <w:sz w:val="36"/>
          <w:highlight w:val="none"/>
          <w:lang w:val="en-US" w:eastAsia="zh-CN"/>
        </w:rPr>
        <w:t>四</w:t>
      </w:r>
      <w:r>
        <w:rPr>
          <w:rFonts w:hint="eastAsia" w:ascii="宋体" w:hAnsi="宋体" w:eastAsia="宋体" w:cs="宋体"/>
          <w:b/>
          <w:color w:val="auto"/>
          <w:kern w:val="0"/>
          <w:sz w:val="36"/>
          <w:highlight w:val="none"/>
        </w:rPr>
        <w:t>章</w:t>
      </w:r>
      <w:r>
        <w:rPr>
          <w:rFonts w:hint="eastAsia" w:ascii="宋体" w:hAnsi="宋体" w:eastAsia="宋体" w:cs="宋体"/>
          <w:b/>
          <w:color w:val="auto"/>
          <w:kern w:val="0"/>
          <w:sz w:val="36"/>
          <w:highlight w:val="none"/>
          <w:lang w:val="en-US" w:eastAsia="zh-CN"/>
        </w:rPr>
        <w:t xml:space="preserve"> 定</w:t>
      </w:r>
      <w:r>
        <w:rPr>
          <w:rFonts w:hint="eastAsia" w:ascii="宋体" w:hAnsi="宋体" w:eastAsia="宋体" w:cs="宋体"/>
          <w:b/>
          <w:color w:val="auto"/>
          <w:kern w:val="0"/>
          <w:sz w:val="36"/>
          <w:highlight w:val="none"/>
        </w:rPr>
        <w:t>标办法</w:t>
      </w:r>
      <w:r>
        <w:rPr>
          <w:rFonts w:hint="eastAsia" w:ascii="宋体" w:hAnsi="宋体" w:eastAsia="宋体" w:cs="宋体"/>
          <w:b/>
          <w:color w:val="auto"/>
          <w:kern w:val="0"/>
          <w:sz w:val="36"/>
          <w:highlight w:val="none"/>
          <w:lang w:eastAsia="zh-CN"/>
        </w:rPr>
        <w:t>（</w:t>
      </w:r>
      <w:r>
        <w:rPr>
          <w:rFonts w:hint="eastAsia" w:ascii="宋体" w:hAnsi="宋体" w:eastAsia="宋体" w:cs="宋体"/>
          <w:b/>
          <w:color w:val="auto"/>
          <w:kern w:val="0"/>
          <w:sz w:val="36"/>
          <w:highlight w:val="none"/>
          <w:lang w:val="en-US" w:eastAsia="zh-CN"/>
        </w:rPr>
        <w:t>核查随机法</w:t>
      </w:r>
      <w:r>
        <w:rPr>
          <w:rFonts w:hint="eastAsia" w:ascii="宋体" w:hAnsi="宋体" w:eastAsia="宋体" w:cs="宋体"/>
          <w:b/>
          <w:color w:val="auto"/>
          <w:kern w:val="0"/>
          <w:sz w:val="36"/>
          <w:highlight w:val="none"/>
          <w:lang w:eastAsia="zh-CN"/>
        </w:rPr>
        <w:t>）</w:t>
      </w:r>
      <w:bookmarkEnd w:id="841"/>
      <w:bookmarkEnd w:id="842"/>
    </w:p>
    <w:p w14:paraId="1E2DC9DD">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32"/>
          <w:highlight w:val="none"/>
          <w:lang w:val="en-US" w:eastAsia="zh-CN"/>
        </w:rPr>
      </w:pPr>
      <w:bookmarkStart w:id="843" w:name="_Toc12050"/>
      <w:bookmarkStart w:id="844" w:name="OLE_LINK49"/>
      <w:bookmarkStart w:id="845" w:name="_Toc16449"/>
      <w:bookmarkStart w:id="846" w:name="_Toc500864470"/>
      <w:bookmarkStart w:id="847" w:name="_Toc5655"/>
      <w:bookmarkStart w:id="848" w:name="_Toc20085"/>
      <w:bookmarkStart w:id="849" w:name="_Toc272772653"/>
      <w:r>
        <w:rPr>
          <w:rFonts w:hint="eastAsia" w:ascii="宋体" w:hAnsi="宋体" w:eastAsia="宋体" w:cs="宋体"/>
          <w:b/>
          <w:bCs/>
          <w:color w:val="auto"/>
          <w:sz w:val="24"/>
          <w:szCs w:val="32"/>
          <w:highlight w:val="none"/>
          <w:lang w:val="en-US" w:eastAsia="zh-CN"/>
        </w:rPr>
        <w:t>一、定标依据</w:t>
      </w:r>
      <w:bookmarkEnd w:id="843"/>
    </w:p>
    <w:p w14:paraId="6A3A4B90">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bookmarkStart w:id="850" w:name="OLE_LINK41"/>
      <w:r>
        <w:rPr>
          <w:rFonts w:hint="eastAsia" w:ascii="宋体" w:hAnsi="宋体" w:eastAsia="宋体" w:cs="宋体"/>
          <w:color w:val="auto"/>
          <w:szCs w:val="21"/>
          <w:highlight w:val="none"/>
          <w:lang w:val="en-US" w:eastAsia="zh-CN"/>
        </w:rPr>
        <w:t>本次定标办法的制定依据下列文件进行：</w:t>
      </w:r>
    </w:p>
    <w:p w14:paraId="195C268F">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1、《中华人民共和国招标投标法》；</w:t>
      </w:r>
    </w:p>
    <w:p w14:paraId="14F16634">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2、《国务院办公厅关于创新完善体制机制推动招标投标市场规范健康发展的意见》(国办发(2024) 21号)</w:t>
      </w:r>
    </w:p>
    <w:p w14:paraId="6EF41C25">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3、《关于持续推进建筑业发展的十二条意见》(建市(2021)23号)；</w:t>
      </w:r>
    </w:p>
    <w:p w14:paraId="302710A8">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4、《河南省住房和城乡建设厅关于房屋建筑和市政基础设施工程实施招标投标“评定分离”的通知》(豫建市〔2025〕146号)； </w:t>
      </w:r>
    </w:p>
    <w:p w14:paraId="73A35E4C">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5、河南省发展和改革委员会关于印发《河南省政府投资工程建设项目招标投标“评定分离”管理办法（试行）》的通知（豫发改公管规〔2025〕559号）；</w:t>
      </w:r>
    </w:p>
    <w:p w14:paraId="11EE0BBE">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6、本项目招标文件；</w:t>
      </w:r>
    </w:p>
    <w:p w14:paraId="63C1865C">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7、本项目评标报告；</w:t>
      </w:r>
    </w:p>
    <w:p w14:paraId="2E5AD88B">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8、招标投标全过程资料；</w:t>
      </w:r>
    </w:p>
    <w:p w14:paraId="44C2C7D2">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9、其他有关法律法规和相关制度。</w:t>
      </w:r>
    </w:p>
    <w:bookmarkEnd w:id="850"/>
    <w:p w14:paraId="7F4CB79D">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32"/>
          <w:highlight w:val="none"/>
          <w:lang w:val="en-US" w:eastAsia="zh-CN"/>
        </w:rPr>
      </w:pPr>
      <w:bookmarkStart w:id="851" w:name="_Toc22184"/>
      <w:r>
        <w:rPr>
          <w:rFonts w:hint="eastAsia" w:ascii="宋体" w:hAnsi="宋体" w:eastAsia="宋体" w:cs="宋体"/>
          <w:b/>
          <w:bCs/>
          <w:color w:val="auto"/>
          <w:sz w:val="24"/>
          <w:szCs w:val="32"/>
          <w:highlight w:val="none"/>
          <w:lang w:val="en-US" w:eastAsia="zh-CN"/>
        </w:rPr>
        <w:t>二、定标原则</w:t>
      </w:r>
      <w:bookmarkEnd w:id="851"/>
    </w:p>
    <w:p w14:paraId="162F94D2">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bookmarkStart w:id="852" w:name="OLE_LINK42"/>
      <w:r>
        <w:rPr>
          <w:rFonts w:hint="eastAsia" w:ascii="宋体" w:hAnsi="宋体" w:eastAsia="宋体" w:cs="宋体"/>
          <w:color w:val="auto"/>
          <w:szCs w:val="21"/>
          <w:highlight w:val="none"/>
          <w:lang w:val="en-US" w:eastAsia="zh-CN"/>
        </w:rPr>
        <w:t>遵循公开透明、择优竞价、科学规范、廉洁高效的原则，通过核查随机法确定中标人。</w:t>
      </w:r>
    </w:p>
    <w:bookmarkEnd w:id="852"/>
    <w:p w14:paraId="32FE9F13">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32"/>
          <w:highlight w:val="none"/>
          <w:lang w:val="en-US" w:eastAsia="zh-CN"/>
        </w:rPr>
      </w:pPr>
      <w:bookmarkStart w:id="853" w:name="_Toc15008"/>
      <w:bookmarkStart w:id="854" w:name="_Toc13488"/>
      <w:bookmarkStart w:id="855" w:name="_Toc12598"/>
      <w:bookmarkStart w:id="856" w:name="_Toc11372"/>
      <w:bookmarkStart w:id="857" w:name="_Toc31048"/>
      <w:r>
        <w:rPr>
          <w:rFonts w:hint="eastAsia" w:ascii="宋体" w:hAnsi="宋体" w:eastAsia="宋体" w:cs="宋体"/>
          <w:b/>
          <w:bCs/>
          <w:color w:val="auto"/>
          <w:sz w:val="24"/>
          <w:szCs w:val="32"/>
          <w:highlight w:val="none"/>
          <w:lang w:val="en-US" w:eastAsia="zh-CN"/>
        </w:rPr>
        <w:t>三、组建定标委员会</w:t>
      </w:r>
      <w:bookmarkEnd w:id="853"/>
      <w:bookmarkEnd w:id="854"/>
      <w:bookmarkEnd w:id="855"/>
      <w:bookmarkEnd w:id="856"/>
    </w:p>
    <w:p w14:paraId="76FB79BB">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招标人组建定标委员会，负责对中标候选人进行核查和组织召开定标会议。定标工作由定标委员会独立完成。</w:t>
      </w:r>
    </w:p>
    <w:p w14:paraId="36572F6E">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委员会成员数量为5人及以上单数，招标人单位成员不得低于成员总数的三分之二。定标委员会组长由招标人确定，原则上由招标人的法定代表人、主要负责人或分管负责人担任，其他成员可由招标人自行选定。</w:t>
      </w:r>
    </w:p>
    <w:p w14:paraId="52367826">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定标委员会成员与中标候选人有利害关系的应当主动申请回避。定标委员会名单在中标结果确定前应当保密。</w:t>
      </w:r>
    </w:p>
    <w:p w14:paraId="774AFC19">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定标委员会应当对定标过程保密，对所提出的定标意见承担个人责任，不得私下与投标人或者其他利害关系人接触。 </w:t>
      </w:r>
    </w:p>
    <w:p w14:paraId="7237E2F9">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有下列情况之一的，不得担任定标委员会成员：</w:t>
      </w:r>
    </w:p>
    <w:p w14:paraId="39ED6FFC">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1.与中标候选人或中标候选人主要负责人有近亲属关系或有经济利益关系的，可能影响定标公正的；</w:t>
      </w:r>
    </w:p>
    <w:p w14:paraId="499AD05A">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2.曾因在招标投标有关活动中从事违法行为而受过行政处罚或刑事处罚的；</w:t>
      </w:r>
    </w:p>
    <w:p w14:paraId="36B37033">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3.中标候选人的在职人员或招标项目代理机构的在职人员。</w:t>
      </w:r>
    </w:p>
    <w:p w14:paraId="09295D31">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四、定标方法</w:t>
      </w:r>
      <w:bookmarkEnd w:id="857"/>
    </w:p>
    <w:p w14:paraId="584DE4C9">
      <w:pPr>
        <w:keepNext w:val="0"/>
        <w:keepLines w:val="0"/>
        <w:pageBreakBefore w:val="0"/>
        <w:widowControl w:val="0"/>
        <w:kinsoku/>
        <w:wordWrap w:val="0"/>
        <w:overflowPunct/>
        <w:topLinePunct w:val="0"/>
        <w:autoSpaceDE w:val="0"/>
        <w:autoSpaceDN w:val="0"/>
        <w:bidi w:val="0"/>
        <w:adjustRightInd w:val="0"/>
        <w:snapToGrid/>
        <w:spacing w:before="157" w:beforeLines="50" w:after="157" w:afterLines="50"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858" w:name="OLE_LINK43"/>
      <w:r>
        <w:rPr>
          <w:rFonts w:hint="eastAsia" w:ascii="宋体" w:hAnsi="宋体" w:eastAsia="宋体" w:cs="宋体"/>
          <w:b/>
          <w:bCs/>
          <w:color w:val="auto"/>
          <w:sz w:val="24"/>
          <w:szCs w:val="24"/>
          <w:highlight w:val="none"/>
          <w:lang w:val="en-US" w:eastAsia="zh-CN"/>
        </w:rPr>
        <w:t>本项目定标方法采用核查随机法进行定标。</w:t>
      </w:r>
    </w:p>
    <w:p w14:paraId="7C32D33D">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ind w:firstLine="482" w:firstLineChars="200"/>
        <w:textAlignment w:val="auto"/>
        <w:outlineLvl w:val="1"/>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核查随机法：定标委员会在通过核查的中标候选人中按照随机选取方式确定中标人。</w:t>
      </w:r>
      <w:bookmarkEnd w:id="858"/>
      <w:bookmarkStart w:id="859" w:name="_Toc28259"/>
    </w:p>
    <w:p w14:paraId="2C05BCEC">
      <w:pPr>
        <w:pageBreakBefore w:val="0"/>
        <w:kinsoku/>
        <w:wordWrap w:val="0"/>
        <w:overflowPunct/>
        <w:topLinePunct w:val="0"/>
        <w:autoSpaceDE w:val="0"/>
        <w:autoSpaceDN w:val="0"/>
        <w:bidi w:val="0"/>
        <w:adjustRightInd w:val="0"/>
        <w:spacing w:line="360" w:lineRule="auto"/>
        <w:ind w:firstLine="482" w:firstLineChars="200"/>
        <w:rPr>
          <w:rFonts w:hint="eastAsia" w:ascii="宋体" w:hAnsi="宋体" w:eastAsia="宋体" w:cs="宋体"/>
          <w:color w:val="auto"/>
          <w:szCs w:val="21"/>
          <w:highlight w:val="none"/>
          <w:lang w:val="en-US" w:eastAsia="zh-CN"/>
        </w:rPr>
      </w:pPr>
      <w:r>
        <w:rPr>
          <w:rFonts w:hint="eastAsia" w:ascii="宋体" w:hAnsi="宋体" w:eastAsia="宋体" w:cs="宋体"/>
          <w:b/>
          <w:bCs/>
          <w:color w:val="auto"/>
          <w:sz w:val="24"/>
          <w:szCs w:val="32"/>
          <w:highlight w:val="none"/>
          <w:lang w:val="en-US" w:eastAsia="zh-CN"/>
        </w:rPr>
        <w:t>定标过程：</w:t>
      </w:r>
      <w:r>
        <w:rPr>
          <w:rFonts w:hint="eastAsia" w:ascii="宋体" w:hAnsi="宋体" w:eastAsia="宋体" w:cs="宋体"/>
          <w:color w:val="auto"/>
          <w:szCs w:val="21"/>
          <w:highlight w:val="none"/>
          <w:lang w:val="en-US" w:eastAsia="zh-CN"/>
        </w:rPr>
        <w:t>招标人在收到评标报告后10日内完成定标工作，定标程序包括核查、定标会议两个阶段。定标会议在</w:t>
      </w:r>
      <w:r>
        <w:rPr>
          <w:rFonts w:hint="eastAsia" w:ascii="宋体" w:hAnsi="宋体" w:eastAsia="宋体" w:cs="宋体"/>
          <w:color w:val="auto"/>
          <w:szCs w:val="21"/>
          <w:highlight w:val="none"/>
          <w:u w:val="single"/>
          <w:lang w:val="en-US" w:eastAsia="zh-CN"/>
        </w:rPr>
        <w:t xml:space="preserve"> 平舆县 </w:t>
      </w:r>
      <w:r>
        <w:rPr>
          <w:rFonts w:hint="eastAsia" w:ascii="宋体" w:hAnsi="宋体" w:eastAsia="宋体" w:cs="宋体"/>
          <w:color w:val="auto"/>
          <w:szCs w:val="21"/>
          <w:highlight w:val="none"/>
          <w:lang w:val="en-US" w:eastAsia="zh-CN"/>
        </w:rPr>
        <w:t>公共资源交易中心进行。若不能按上述期限完成定标工作，将通过</w:t>
      </w:r>
      <w:r>
        <w:rPr>
          <w:rFonts w:hint="eastAsia" w:ascii="宋体" w:hAnsi="宋体" w:eastAsia="宋体" w:cs="宋体"/>
          <w:color w:val="auto"/>
          <w:szCs w:val="21"/>
          <w:highlight w:val="none"/>
          <w:u w:val="single"/>
          <w:lang w:val="en-US" w:eastAsia="zh-CN"/>
        </w:rPr>
        <w:t xml:space="preserve"> 驻马店市 </w:t>
      </w:r>
      <w:r>
        <w:rPr>
          <w:rFonts w:hint="eastAsia" w:ascii="宋体" w:hAnsi="宋体" w:eastAsia="宋体" w:cs="宋体"/>
          <w:color w:val="auto"/>
          <w:szCs w:val="21"/>
          <w:highlight w:val="none"/>
          <w:lang w:val="en-US" w:eastAsia="zh-CN"/>
        </w:rPr>
        <w:t>公共资源交易平台发布延期原因和最终定标时间。最终定标时间不得超过投标有效期。公共资源交易中心应当对定标会议进行音视频记录，并存档备查。</w:t>
      </w:r>
    </w:p>
    <w:p w14:paraId="5288C135">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default"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五、定标核查</w:t>
      </w:r>
      <w:bookmarkEnd w:id="859"/>
    </w:p>
    <w:p w14:paraId="50B8588D">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定标委员会应当首先对中标候选人进行核查，形成核查报告，核查报告在定标会议召开前应当保密。</w:t>
      </w:r>
    </w:p>
    <w:p w14:paraId="3F3E029B">
      <w:pPr>
        <w:pageBreakBefore w:val="0"/>
        <w:kinsoku/>
        <w:wordWrap w:val="0"/>
        <w:overflowPunct/>
        <w:topLinePunct w:val="0"/>
        <w:autoSpaceDE w:val="0"/>
        <w:autoSpaceDN w:val="0"/>
        <w:bidi w:val="0"/>
        <w:adjustRightIn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5.1定标委员会将对中标候选人进行定标核查。核查内容包括：</w:t>
      </w:r>
    </w:p>
    <w:p w14:paraId="726D4A81">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 w:val="21"/>
          <w:szCs w:val="21"/>
          <w:highlight w:val="none"/>
        </w:rPr>
        <w:t>①企业信用信息：被列入失信被执行人、重大税收违法失信主体（查询渠道“信用中国”网站或“中国执行信息公开网”）的投标人，拒绝其参与本项目投标（查询对象包括：企业、法定代表人、项目经理、委托代理人）；②企业行贿查询情况：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年1月1日以来无行贿犯罪记录（核查网站：中国裁判文书网 http://wenshu.court.gov.cn/）</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存在行贿的投标人拒绝其参与本项目投标（查询对象包括：企业、法定代表人、项目经理、委托代理人）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③</w:t>
      </w:r>
      <w:r>
        <w:rPr>
          <w:rFonts w:hint="eastAsia" w:ascii="宋体" w:hAnsi="宋体" w:eastAsia="宋体" w:cs="宋体"/>
          <w:b w:val="0"/>
          <w:bCs w:val="0"/>
          <w:color w:val="auto"/>
          <w:kern w:val="0"/>
          <w:sz w:val="21"/>
          <w:szCs w:val="21"/>
          <w:highlight w:val="none"/>
        </w:rPr>
        <w:t>凡是被列入全国建筑市场监管公共服务平台“黑名单”的，依法拒绝其参与本次投标。查询渠道：“全国建筑市场监管公共服务平台”网站（https://jzsc.mohurd.gov.cn/home）</w:t>
      </w:r>
      <w:r>
        <w:rPr>
          <w:rFonts w:hint="eastAsia" w:ascii="宋体" w:hAnsi="宋体" w:eastAsia="宋体" w:cs="宋体"/>
          <w:color w:val="auto"/>
          <w:sz w:val="21"/>
          <w:szCs w:val="21"/>
          <w:highlight w:val="none"/>
        </w:rPr>
        <w:t>（查询对象包括：企业）；④单位负责人为同一人或者存在控股、管理关系的不同单位，不得参加同一合同项下的招标采购活动（提供加盖单位公章的“国家企业信用信息公示系统”中公示的公司信息、股东或投资人信息截图）</w:t>
      </w:r>
      <w:r>
        <w:rPr>
          <w:rFonts w:hint="eastAsia" w:ascii="宋体" w:hAnsi="宋体" w:eastAsia="宋体" w:cs="宋体"/>
          <w:color w:val="auto"/>
          <w:szCs w:val="21"/>
          <w:highlight w:val="none"/>
        </w:rPr>
        <w:t>；</w:t>
      </w:r>
    </w:p>
    <w:p w14:paraId="0FAD8B88">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中标候选人</w:t>
      </w:r>
      <w:r>
        <w:rPr>
          <w:rFonts w:hint="eastAsia" w:ascii="宋体" w:hAnsi="宋体" w:eastAsia="宋体" w:cs="宋体"/>
          <w:color w:val="auto"/>
          <w:szCs w:val="21"/>
          <w:highlight w:val="none"/>
        </w:rPr>
        <w:t>营业执照、资质证书</w:t>
      </w:r>
      <w:r>
        <w:rPr>
          <w:rFonts w:hint="eastAsia" w:ascii="宋体" w:hAnsi="宋体" w:eastAsia="宋体" w:cs="宋体"/>
          <w:color w:val="auto"/>
          <w:sz w:val="21"/>
          <w:szCs w:val="21"/>
          <w:highlight w:val="none"/>
        </w:rPr>
        <w:t>、安全生产许可证</w:t>
      </w:r>
      <w:r>
        <w:rPr>
          <w:rFonts w:hint="eastAsia" w:ascii="宋体" w:hAnsi="宋体" w:eastAsia="宋体" w:cs="宋体"/>
          <w:color w:val="auto"/>
          <w:szCs w:val="21"/>
          <w:highlight w:val="none"/>
        </w:rPr>
        <w:t xml:space="preserve">； </w:t>
      </w:r>
    </w:p>
    <w:p w14:paraId="67ACD6F8">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）项目经理注册证书及安全生产考核合格证、技术负责人职称证、项目组人员相关从业资格证书；</w:t>
      </w:r>
    </w:p>
    <w:p w14:paraId="01C96306">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）社保证明：项目经理、技术负责人、委托代理人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如有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w:t>
      </w:r>
    </w:p>
    <w:p w14:paraId="00E911A7">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企业实力</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主要包括企业规模、资质等级、拟派团队人员的实力</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近三年财务状况、类似业绩</w:t>
      </w:r>
      <w:r>
        <w:rPr>
          <w:rFonts w:hint="eastAsia" w:ascii="宋体" w:hAnsi="宋体" w:eastAsia="宋体" w:cs="宋体"/>
          <w:color w:val="auto"/>
          <w:szCs w:val="21"/>
          <w:highlight w:val="none"/>
          <w:lang w:val="en-US" w:eastAsia="zh-CN"/>
        </w:rPr>
        <w:t>及履约情况等</w:t>
      </w:r>
      <w:r>
        <w:rPr>
          <w:rFonts w:hint="eastAsia" w:ascii="宋体" w:hAnsi="宋体" w:eastAsia="宋体" w:cs="宋体"/>
          <w:color w:val="auto"/>
          <w:szCs w:val="21"/>
          <w:highlight w:val="none"/>
          <w:lang w:eastAsia="zh-CN"/>
        </w:rPr>
        <w:t>；</w:t>
      </w:r>
    </w:p>
    <w:p w14:paraId="6CC7FFEC">
      <w:pPr>
        <w:pageBreakBefore w:val="0"/>
        <w:kinsoku/>
        <w:wordWrap w:val="0"/>
        <w:overflowPunct/>
        <w:topLinePunct w:val="0"/>
        <w:bidi w:val="0"/>
        <w:spacing w:line="360" w:lineRule="auto"/>
        <w:ind w:firstLine="420" w:firstLineChars="200"/>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en-US" w:eastAsia="zh-CN"/>
        </w:rPr>
        <w:t>6</w:t>
      </w:r>
      <w:r>
        <w:rPr>
          <w:rFonts w:hint="default" w:ascii="宋体" w:hAnsi="宋体" w:eastAsia="宋体" w:cs="宋体"/>
          <w:color w:val="auto"/>
          <w:szCs w:val="21"/>
          <w:highlight w:val="none"/>
          <w:lang w:val="en-US" w:eastAsia="zh-CN"/>
        </w:rPr>
        <w:t>）施工方案</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主要考虑安全控制措施、质量控制措施、绿色节能措施、进度控制措施等，鼓励将行业科技创新应用在工程中</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 xml:space="preserve"> </w:t>
      </w:r>
    </w:p>
    <w:p w14:paraId="6873FDAA">
      <w:pPr>
        <w:pageBreakBefore w:val="0"/>
        <w:kinsoku/>
        <w:wordWrap w:val="0"/>
        <w:overflowPunct/>
        <w:topLinePunct w:val="0"/>
        <w:bidi w:val="0"/>
        <w:spacing w:line="360" w:lineRule="auto"/>
        <w:ind w:firstLine="420" w:firstLineChars="200"/>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 xml:space="preserve">）招标人认为需要核查及核评的其他内容。 </w:t>
      </w:r>
    </w:p>
    <w:p w14:paraId="6F39DC89">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5.2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48F9ADE0">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5.3定标委员会应当严格履行定标环节核查责任，经核查发现中标候选人确有问题的，应当主动向行政监督部门报告，并依规否决相应中标候选人资格，同时向该候选人书面说明。</w:t>
      </w:r>
    </w:p>
    <w:p w14:paraId="12B403AF">
      <w:pPr>
        <w:pageBreakBefore w:val="0"/>
        <w:numPr>
          <w:ilvl w:val="0"/>
          <w:numId w:val="0"/>
        </w:numPr>
        <w:kinsoku/>
        <w:wordWrap w:val="0"/>
        <w:overflowPunct/>
        <w:topLinePunct w:val="0"/>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5.4定标委员会查实有中标候选人存在影响中标结果的违反法律、法规及招标文件相关规定，不符合中标条件的，不得进入定标程序。</w:t>
      </w:r>
    </w:p>
    <w:p w14:paraId="597CE627">
      <w:pPr>
        <w:pageBreakBefore w:val="0"/>
        <w:numPr>
          <w:ilvl w:val="0"/>
          <w:numId w:val="0"/>
        </w:numPr>
        <w:kinsoku/>
        <w:wordWrap w:val="0"/>
        <w:overflowPunct/>
        <w:topLinePunct w:val="0"/>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lang w:val="en-US" w:eastAsia="zh-CN"/>
        </w:rPr>
        <w:t>5.5</w:t>
      </w:r>
      <w:r>
        <w:rPr>
          <w:rFonts w:hint="eastAsia" w:ascii="宋体" w:hAnsi="宋体" w:eastAsia="宋体" w:cs="宋体"/>
          <w:color w:val="auto"/>
          <w:kern w:val="0"/>
          <w:sz w:val="21"/>
          <w:szCs w:val="21"/>
          <w:highlight w:val="none"/>
          <w:lang w:val="en-US" w:eastAsia="zh-CN" w:bidi="ar-SA"/>
        </w:rPr>
        <w:t>经核查后合格的中标候选人即可进入定标程序，如经核查合格的中标候选人数量少于2家（不含2家），招标人应重新招标。</w:t>
      </w:r>
    </w:p>
    <w:p w14:paraId="4EF5D217">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32"/>
          <w:highlight w:val="none"/>
          <w:lang w:eastAsia="zh-CN"/>
        </w:rPr>
      </w:pPr>
      <w:bookmarkStart w:id="860" w:name="_Toc11203"/>
      <w:bookmarkStart w:id="861" w:name="_Toc23939"/>
      <w:r>
        <w:rPr>
          <w:rFonts w:hint="eastAsia" w:ascii="宋体" w:hAnsi="宋体" w:eastAsia="宋体" w:cs="宋体"/>
          <w:b/>
          <w:bCs/>
          <w:color w:val="auto"/>
          <w:sz w:val="24"/>
          <w:szCs w:val="32"/>
          <w:highlight w:val="none"/>
          <w:lang w:val="en-US" w:eastAsia="zh-CN"/>
        </w:rPr>
        <w:t>六</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定标</w:t>
      </w:r>
      <w:bookmarkEnd w:id="860"/>
      <w:bookmarkEnd w:id="861"/>
      <w:r>
        <w:rPr>
          <w:rFonts w:hint="eastAsia" w:ascii="宋体" w:hAnsi="宋体" w:eastAsia="宋体" w:cs="宋体"/>
          <w:b/>
          <w:bCs/>
          <w:color w:val="auto"/>
          <w:sz w:val="24"/>
          <w:szCs w:val="32"/>
          <w:highlight w:val="none"/>
          <w:lang w:val="en-US" w:eastAsia="zh-CN"/>
        </w:rPr>
        <w:t>会议</w:t>
      </w:r>
    </w:p>
    <w:p w14:paraId="3FD5D8ED">
      <w:pPr>
        <w:pStyle w:val="87"/>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通过定标核查的中标候选人进入定标会议，本项目采用核查随机法，定标委员会在通过核查的中标候选人中按照随机选取方式确定中标人。</w:t>
      </w:r>
    </w:p>
    <w:p w14:paraId="524A7B1C">
      <w:pPr>
        <w:pStyle w:val="87"/>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会议在平舆县公共资源交易中心按流程进行，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5E797D95">
      <w:pPr>
        <w:pStyle w:val="87"/>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1、在定标现场放置标注为“1”、“2”的2组自然数代码球.</w:t>
      </w:r>
    </w:p>
    <w:p w14:paraId="6A6C7779">
      <w:pPr>
        <w:pStyle w:val="87"/>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3E929800">
      <w:pPr>
        <w:pStyle w:val="87"/>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第二轮随机确定抽取顺序：在抽取箱放入标有从1到N自然数的乒乓球（N为经评审合格的中标候选人数），由中标候选人抽取代码球（通过核查的中标候选人按照电子投标文件递交的时间先后顺序随机抽取对应的号码球），代码球上的数字对应为相应中标候选人。</w:t>
      </w:r>
    </w:p>
    <w:p w14:paraId="3556425F">
      <w:pPr>
        <w:pStyle w:val="87"/>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4、第三轮随机确定抽球人：在定标委员会成员中以抽签（或抽球）方式随机抽取确定一人作为中标人的抽取人。</w:t>
      </w:r>
    </w:p>
    <w:p w14:paraId="2D6C7087">
      <w:pPr>
        <w:pStyle w:val="87"/>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5、第四轮随机选取中标人：将N个代码球经中标候选人检查确认后放入抽取箱内，由随机抽取的抽取人从中随机抽取1个代码球，抽中代码球对应的中标候选人即为中标人。</w:t>
      </w:r>
    </w:p>
    <w:p w14:paraId="41D38792">
      <w:pPr>
        <w:pStyle w:val="87"/>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6、招标人授权的定标委员会代表将中标候选人对应的代码球和抽取结果进行记录，并由招标人授权的定标委员会和监督部门、公证部门（如邀请）进行签字确认。</w:t>
      </w:r>
    </w:p>
    <w:p w14:paraId="632850B7">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32"/>
          <w:highlight w:val="none"/>
        </w:rPr>
      </w:pPr>
      <w:bookmarkStart w:id="862" w:name="_Toc16424"/>
      <w:bookmarkStart w:id="863" w:name="_Toc23431"/>
      <w:r>
        <w:rPr>
          <w:rFonts w:hint="eastAsia" w:ascii="宋体" w:hAnsi="宋体" w:eastAsia="宋体" w:cs="宋体"/>
          <w:b/>
          <w:bCs/>
          <w:color w:val="auto"/>
          <w:sz w:val="24"/>
          <w:szCs w:val="32"/>
          <w:highlight w:val="none"/>
          <w:lang w:val="en-US" w:eastAsia="zh-CN"/>
        </w:rPr>
        <w:t>七</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定标报告</w:t>
      </w:r>
      <w:bookmarkEnd w:id="862"/>
      <w:bookmarkEnd w:id="863"/>
    </w:p>
    <w:p w14:paraId="7AC771C5">
      <w:pPr>
        <w:pStyle w:val="87"/>
        <w:pageBreakBefore w:val="0"/>
        <w:kinsoku/>
        <w:wordWrap w:val="0"/>
        <w:overflowPunct/>
        <w:topLinePunct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定标委员会应当按照招标文件中明确的定标原则、方法和程序，在中标候选人中确定中标人，并形成书面定标报告，对所出具的定标报告承担责任。</w:t>
      </w:r>
    </w:p>
    <w:p w14:paraId="1D91592B">
      <w:pPr>
        <w:pStyle w:val="87"/>
        <w:pageBreakBefore w:val="0"/>
        <w:kinsoku/>
        <w:wordWrap w:val="0"/>
        <w:overflowPunct/>
        <w:topLinePunct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定标报告应当包括定标时间、定标地点、定标委员会成员名单、定标委员会组长、定标原则、定标方法、定标程序及定标结果等内容。</w:t>
      </w:r>
    </w:p>
    <w:p w14:paraId="58652928">
      <w:pPr>
        <w:pStyle w:val="87"/>
        <w:pageBreakBefore w:val="0"/>
        <w:kinsoku/>
        <w:wordWrap w:val="0"/>
        <w:overflowPunct/>
        <w:topLinePunct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应当在定标工作完成后3日内发布中标结果公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p>
    <w:p w14:paraId="6ACDC9FE">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对中标人以非正当理由放弃中标或被依法依规取消中标资格的，招标人应当向有关行政监督部门报告。</w:t>
      </w:r>
    </w:p>
    <w:p w14:paraId="0B0DDFA4">
      <w:pPr>
        <w:pageBreakBefore w:val="0"/>
        <w:kinsoku/>
        <w:wordWrap w:val="0"/>
        <w:overflowPunct/>
        <w:topLinePunct w:val="0"/>
        <w:autoSpaceDE w:val="0"/>
        <w:autoSpaceDN w:val="0"/>
        <w:bidi w:val="0"/>
        <w:adjustRightInd w:val="0"/>
        <w:spacing w:line="360" w:lineRule="auto"/>
        <w:outlineLvl w:val="1"/>
        <w:rPr>
          <w:rFonts w:hint="default" w:ascii="宋体" w:hAnsi="宋体" w:eastAsia="宋体" w:cs="宋体"/>
          <w:b/>
          <w:bCs/>
          <w:color w:val="auto"/>
          <w:kern w:val="2"/>
          <w:sz w:val="24"/>
          <w:szCs w:val="24"/>
          <w:highlight w:val="none"/>
          <w:lang w:val="en-US" w:eastAsia="zh-CN" w:bidi="ar-SA"/>
        </w:rPr>
      </w:pPr>
      <w:bookmarkStart w:id="864" w:name="_Toc13476"/>
      <w:bookmarkStart w:id="865" w:name="_Toc21598"/>
      <w:bookmarkStart w:id="866" w:name="_Toc31870"/>
      <w:bookmarkStart w:id="867" w:name="_Toc26589"/>
      <w:bookmarkStart w:id="868" w:name="_Toc7555"/>
      <w:bookmarkStart w:id="869" w:name="_Toc31781"/>
      <w:bookmarkStart w:id="870" w:name="_Toc4059"/>
      <w:bookmarkStart w:id="871" w:name="_Toc25866"/>
      <w:bookmarkStart w:id="872" w:name="_Toc17078"/>
      <w:bookmarkStart w:id="873" w:name="_Toc2213"/>
      <w:bookmarkStart w:id="874" w:name="_Toc29649"/>
      <w:bookmarkStart w:id="875" w:name="_Toc26198"/>
      <w:bookmarkStart w:id="876" w:name="_Toc14479"/>
      <w:bookmarkStart w:id="877" w:name="_Toc3195"/>
      <w:bookmarkStart w:id="878" w:name="_Toc25336"/>
      <w:bookmarkStart w:id="879" w:name="_Toc27773"/>
      <w:r>
        <w:rPr>
          <w:rFonts w:hint="eastAsia" w:ascii="宋体" w:hAnsi="宋体" w:eastAsia="宋体" w:cs="宋体"/>
          <w:b/>
          <w:bCs/>
          <w:color w:val="auto"/>
          <w:kern w:val="2"/>
          <w:sz w:val="24"/>
          <w:szCs w:val="24"/>
          <w:highlight w:val="none"/>
          <w:lang w:val="en-US" w:eastAsia="zh-CN" w:bidi="ar-SA"/>
        </w:rPr>
        <w:t>八</w:t>
      </w:r>
      <w:r>
        <w:rPr>
          <w:rFonts w:hint="default" w:ascii="宋体" w:hAnsi="宋体" w:eastAsia="宋体" w:cs="宋体"/>
          <w:b/>
          <w:bCs/>
          <w:color w:val="auto"/>
          <w:kern w:val="2"/>
          <w:sz w:val="24"/>
          <w:szCs w:val="24"/>
          <w:highlight w:val="none"/>
          <w:lang w:val="en-US" w:eastAsia="zh-CN" w:bidi="ar-SA"/>
        </w:rPr>
        <w:t>、重新定标</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05D784CE">
      <w:pPr>
        <w:pageBreakBefore w:val="0"/>
        <w:kinsoku/>
        <w:wordWrap w:val="0"/>
        <w:overflowPunct/>
        <w:topLinePunct w:val="0"/>
        <w:autoSpaceDE w:val="0"/>
        <w:autoSpaceDN w:val="0"/>
        <w:bidi w:val="0"/>
        <w:adjustRightInd w:val="0"/>
        <w:spacing w:line="360" w:lineRule="auto"/>
        <w:ind w:firstLine="420" w:firstLineChars="200"/>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 xml:space="preserve"> </w:t>
      </w:r>
      <w:bookmarkStart w:id="880" w:name="_Toc27588"/>
      <w:r>
        <w:rPr>
          <w:rFonts w:hint="default" w:ascii="宋体" w:hAnsi="宋体" w:eastAsia="宋体" w:cs="宋体"/>
          <w:color w:val="auto"/>
          <w:kern w:val="2"/>
          <w:sz w:val="21"/>
          <w:szCs w:val="21"/>
          <w:highlight w:val="none"/>
          <w:lang w:val="en-US" w:eastAsia="zh-CN" w:bidi="ar-SA"/>
        </w:rPr>
        <w:t>定标后有下列情形之一的，应当重新定标：</w:t>
      </w:r>
      <w:bookmarkEnd w:id="880"/>
    </w:p>
    <w:p w14:paraId="54792E7D">
      <w:pPr>
        <w:pageBreakBefore w:val="0"/>
        <w:kinsoku/>
        <w:wordWrap w:val="0"/>
        <w:overflowPunct/>
        <w:topLinePunct w:val="0"/>
        <w:autoSpaceDE w:val="0"/>
        <w:autoSpaceDN w:val="0"/>
        <w:bidi w:val="0"/>
        <w:adjustRightInd w:val="0"/>
        <w:spacing w:line="360" w:lineRule="auto"/>
        <w:ind w:firstLine="420" w:firstLineChars="200"/>
        <w:rPr>
          <w:rFonts w:hint="default" w:ascii="宋体" w:hAnsi="宋体" w:eastAsia="宋体" w:cs="宋体"/>
          <w:color w:val="auto"/>
          <w:kern w:val="2"/>
          <w:sz w:val="21"/>
          <w:szCs w:val="21"/>
          <w:highlight w:val="none"/>
          <w:lang w:val="en-US" w:eastAsia="zh-CN" w:bidi="ar-SA"/>
        </w:rPr>
      </w:pPr>
      <w:bookmarkStart w:id="881" w:name="_Toc2566"/>
      <w:r>
        <w:rPr>
          <w:rFonts w:hint="default" w:ascii="宋体" w:hAnsi="宋体" w:eastAsia="宋体" w:cs="宋体"/>
          <w:color w:val="auto"/>
          <w:kern w:val="2"/>
          <w:sz w:val="21"/>
          <w:szCs w:val="21"/>
          <w:highlight w:val="none"/>
          <w:lang w:val="en-US" w:eastAsia="zh-CN" w:bidi="ar-SA"/>
        </w:rPr>
        <w:t>（一)定标委员会未按定标办法公正履职的；</w:t>
      </w:r>
      <w:bookmarkEnd w:id="881"/>
    </w:p>
    <w:p w14:paraId="3C9771DF">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bookmarkStart w:id="882" w:name="_Toc25419"/>
      <w:r>
        <w:rPr>
          <w:rFonts w:hint="default" w:ascii="宋体" w:hAnsi="宋体" w:eastAsia="宋体" w:cs="宋体"/>
          <w:color w:val="auto"/>
          <w:kern w:val="2"/>
          <w:sz w:val="21"/>
          <w:szCs w:val="21"/>
          <w:highlight w:val="none"/>
          <w:lang w:val="en-US" w:eastAsia="zh-CN" w:bidi="ar-SA"/>
        </w:rPr>
        <w:t>（二)定标委员会成员与中标候选人有利害关系且未回避</w:t>
      </w:r>
      <w:bookmarkEnd w:id="882"/>
      <w:r>
        <w:rPr>
          <w:rFonts w:hint="eastAsia" w:ascii="宋体" w:hAnsi="宋体" w:eastAsia="宋体" w:cs="宋体"/>
          <w:color w:val="auto"/>
          <w:kern w:val="2"/>
          <w:sz w:val="21"/>
          <w:szCs w:val="21"/>
          <w:highlight w:val="none"/>
          <w:lang w:val="en-US" w:eastAsia="zh-CN" w:bidi="ar-SA"/>
        </w:rPr>
        <w:t>；</w:t>
      </w:r>
    </w:p>
    <w:p w14:paraId="48B11272">
      <w:pPr>
        <w:pageBreakBefore w:val="0"/>
        <w:kinsoku/>
        <w:wordWrap w:val="0"/>
        <w:overflowPunct/>
        <w:topLinePunct w:val="0"/>
        <w:autoSpaceDE w:val="0"/>
        <w:autoSpaceDN w:val="0"/>
        <w:bidi w:val="0"/>
        <w:adjustRightInd w:val="0"/>
        <w:spacing w:line="360" w:lineRule="auto"/>
        <w:ind w:firstLine="420" w:firstLineChars="200"/>
        <w:rPr>
          <w:rFonts w:hint="default" w:ascii="宋体" w:hAnsi="宋体" w:eastAsia="宋体" w:cs="宋体"/>
          <w:color w:val="auto"/>
          <w:kern w:val="2"/>
          <w:sz w:val="21"/>
          <w:szCs w:val="21"/>
          <w:highlight w:val="none"/>
          <w:lang w:val="en-US" w:eastAsia="zh-CN" w:bidi="ar-SA"/>
        </w:rPr>
      </w:pPr>
      <w:bookmarkStart w:id="883" w:name="_Toc15434"/>
      <w:r>
        <w:rPr>
          <w:rFonts w:hint="default" w:ascii="宋体" w:hAnsi="宋体" w:eastAsia="宋体" w:cs="宋体"/>
          <w:color w:val="auto"/>
          <w:kern w:val="2"/>
          <w:sz w:val="21"/>
          <w:szCs w:val="21"/>
          <w:highlight w:val="none"/>
          <w:lang w:val="en-US" w:eastAsia="zh-CN" w:bidi="ar-SA"/>
        </w:rPr>
        <w:t>（三)招标文件规定的其他情形</w:t>
      </w:r>
      <w:bookmarkEnd w:id="883"/>
      <w:r>
        <w:rPr>
          <w:rFonts w:hint="default" w:ascii="宋体" w:hAnsi="宋体" w:eastAsia="宋体" w:cs="宋体"/>
          <w:color w:val="auto"/>
          <w:kern w:val="2"/>
          <w:sz w:val="21"/>
          <w:szCs w:val="21"/>
          <w:highlight w:val="none"/>
          <w:lang w:val="en-US" w:eastAsia="zh-CN" w:bidi="ar-SA"/>
        </w:rPr>
        <w:t>。</w:t>
      </w:r>
    </w:p>
    <w:p w14:paraId="6FEC4E76">
      <w:pPr>
        <w:pageBreakBefore w:val="0"/>
        <w:kinsoku/>
        <w:wordWrap w:val="0"/>
        <w:overflowPunct/>
        <w:topLinePunct w:val="0"/>
        <w:autoSpaceDE w:val="0"/>
        <w:autoSpaceDN w:val="0"/>
        <w:bidi w:val="0"/>
        <w:adjustRightInd w:val="0"/>
        <w:spacing w:line="360" w:lineRule="auto"/>
        <w:ind w:firstLine="420" w:firstLineChars="200"/>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19695A74">
      <w:pPr>
        <w:pageBreakBefore w:val="0"/>
        <w:kinsoku/>
        <w:wordWrap w:val="0"/>
        <w:overflowPunct/>
        <w:topLinePunct w:val="0"/>
        <w:autoSpaceDE w:val="0"/>
        <w:autoSpaceDN w:val="0"/>
        <w:bidi w:val="0"/>
        <w:adjustRightInd w:val="0"/>
        <w:spacing w:line="360" w:lineRule="auto"/>
        <w:outlineLvl w:val="1"/>
        <w:rPr>
          <w:rFonts w:hint="eastAsia" w:ascii="宋体" w:hAnsi="宋体" w:eastAsia="宋体" w:cs="宋体"/>
          <w:b/>
          <w:bCs/>
          <w:color w:val="auto"/>
          <w:kern w:val="2"/>
          <w:sz w:val="24"/>
          <w:szCs w:val="24"/>
          <w:highlight w:val="none"/>
          <w:lang w:val="en-US" w:eastAsia="zh-CN" w:bidi="ar-SA"/>
        </w:rPr>
      </w:pPr>
      <w:bookmarkStart w:id="884" w:name="_Toc27971"/>
      <w:bookmarkStart w:id="885" w:name="_Toc21472"/>
      <w:r>
        <w:rPr>
          <w:rFonts w:hint="eastAsia" w:ascii="宋体" w:hAnsi="宋体" w:eastAsia="宋体" w:cs="宋体"/>
          <w:b/>
          <w:bCs/>
          <w:color w:val="auto"/>
          <w:kern w:val="2"/>
          <w:sz w:val="24"/>
          <w:szCs w:val="24"/>
          <w:highlight w:val="none"/>
          <w:lang w:val="en-US" w:eastAsia="zh-CN" w:bidi="ar-SA"/>
        </w:rPr>
        <w:t>九、定标后结果处置</w:t>
      </w:r>
      <w:bookmarkEnd w:id="884"/>
      <w:bookmarkEnd w:id="885"/>
    </w:p>
    <w:p w14:paraId="7A2B6C08">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（1）确定的中标人经公示后无异议，可以发放《中标通知书》。</w:t>
      </w:r>
    </w:p>
    <w:p w14:paraId="2BCEAD46">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对中标人放弃中标、不可抗力不能履行合同、不按照招标文件要求缴纳履约保证金、不符合投标或中标条件或被查实存在影响中标结果的违法行为等情形，招标人可以在已入围的中标候选人中重新投票确定中标人，也可以重新组织招标。当剩余中标候选人数量少于2家（不含2家）时，招标人应重新招标。</w:t>
      </w:r>
    </w:p>
    <w:p w14:paraId="449B3236">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（3）对中标人以非正当理由放弃中标或被依法依规取消中标的，招标人应当移交有关行政监督部门依法规进行处理。</w:t>
      </w:r>
    </w:p>
    <w:p w14:paraId="3F65AB53">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（4）定标后有下列情形之一的，应当重新定标：</w:t>
      </w:r>
    </w:p>
    <w:p w14:paraId="78C078E5">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(一)定标委员会未按定标办法公正履职的；</w:t>
      </w:r>
    </w:p>
    <w:p w14:paraId="597A3B72">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(二)定标委员会成员与中标候选人有利害关系且未回避的；</w:t>
      </w:r>
    </w:p>
    <w:p w14:paraId="7E2CA370">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(三)招标文件规定的其他情形。</w:t>
      </w:r>
    </w:p>
    <w:p w14:paraId="49D2FD55">
      <w:pPr>
        <w:pageBreakBefore w:val="0"/>
        <w:kinsoku/>
        <w:wordWrap w:val="0"/>
        <w:overflowPunct/>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p>
    <w:bookmarkEnd w:id="844"/>
    <w:p w14:paraId="0CFE07D8">
      <w:pPr>
        <w:pageBreakBefore w:val="0"/>
        <w:kinsoku/>
        <w:wordWrap w:val="0"/>
        <w:overflowPunct/>
        <w:topLinePunct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highlight w:val="none"/>
        </w:rPr>
      </w:pPr>
      <w:r>
        <w:rPr>
          <w:rFonts w:hint="eastAsia" w:ascii="宋体" w:hAnsi="宋体" w:eastAsia="宋体" w:cs="宋体"/>
          <w:b/>
          <w:color w:val="auto"/>
          <w:kern w:val="0"/>
          <w:sz w:val="36"/>
          <w:highlight w:val="none"/>
        </w:rPr>
        <w:br w:type="page"/>
      </w:r>
      <w:bookmarkStart w:id="886" w:name="_Toc5858"/>
      <w:r>
        <w:rPr>
          <w:rFonts w:hint="eastAsia" w:ascii="宋体" w:hAnsi="宋体" w:eastAsia="宋体" w:cs="宋体"/>
          <w:b/>
          <w:color w:val="auto"/>
          <w:kern w:val="0"/>
          <w:sz w:val="36"/>
          <w:highlight w:val="none"/>
        </w:rPr>
        <w:t>第</w:t>
      </w:r>
      <w:r>
        <w:rPr>
          <w:rFonts w:hint="eastAsia" w:ascii="宋体" w:hAnsi="宋体" w:eastAsia="宋体" w:cs="宋体"/>
          <w:b/>
          <w:color w:val="auto"/>
          <w:kern w:val="0"/>
          <w:sz w:val="36"/>
          <w:highlight w:val="none"/>
          <w:lang w:val="en-US" w:eastAsia="zh-CN"/>
        </w:rPr>
        <w:t>五</w:t>
      </w:r>
      <w:r>
        <w:rPr>
          <w:rFonts w:hint="eastAsia" w:ascii="宋体" w:hAnsi="宋体" w:eastAsia="宋体" w:cs="宋体"/>
          <w:b/>
          <w:color w:val="auto"/>
          <w:kern w:val="0"/>
          <w:sz w:val="36"/>
          <w:highlight w:val="none"/>
        </w:rPr>
        <w:t>章 合同条款及格式</w:t>
      </w:r>
      <w:bookmarkEnd w:id="845"/>
      <w:bookmarkEnd w:id="846"/>
      <w:bookmarkEnd w:id="847"/>
      <w:bookmarkEnd w:id="886"/>
    </w:p>
    <w:p w14:paraId="503D1380">
      <w:pPr>
        <w:pageBreakBefore w:val="0"/>
        <w:kinsoku/>
        <w:wordWrap w:val="0"/>
        <w:overflowPunct/>
        <w:topLinePunct w:val="0"/>
        <w:autoSpaceDE w:val="0"/>
        <w:autoSpaceDN w:val="0"/>
        <w:bidi w:val="0"/>
        <w:adjustRightInd w:val="0"/>
        <w:spacing w:line="400" w:lineRule="exact"/>
        <w:ind w:right="-34" w:rightChars="-16" w:firstLine="1440" w:firstLineChars="600"/>
        <w:jc w:val="left"/>
        <w:outlineLvl w:val="9"/>
        <w:rPr>
          <w:rFonts w:hint="eastAsia" w:ascii="宋体" w:hAnsi="宋体" w:eastAsia="宋体" w:cs="宋体"/>
          <w:color w:val="auto"/>
          <w:sz w:val="24"/>
          <w:highlight w:val="none"/>
        </w:rPr>
      </w:pPr>
    </w:p>
    <w:p w14:paraId="56886442">
      <w:pPr>
        <w:pStyle w:val="20"/>
        <w:pageBreakBefore w:val="0"/>
        <w:kinsoku/>
        <w:wordWrap w:val="0"/>
        <w:overflowPunct/>
        <w:topLinePunct w:val="0"/>
        <w:bidi w:val="0"/>
        <w:spacing w:before="5"/>
        <w:ind w:left="63" w:right="63"/>
        <w:rPr>
          <w:b/>
          <w:color w:val="auto"/>
          <w:sz w:val="15"/>
          <w:highlight w:val="none"/>
        </w:rPr>
      </w:pPr>
    </w:p>
    <w:p w14:paraId="6DD1D138">
      <w:pPr>
        <w:pageBreakBefore w:val="0"/>
        <w:kinsoku/>
        <w:wordWrap w:val="0"/>
        <w:overflowPunct/>
        <w:topLinePunct w:val="0"/>
        <w:bidi w:val="0"/>
        <w:ind w:firstLine="2880" w:firstLineChars="900"/>
        <w:jc w:val="left"/>
        <w:outlineLvl w:val="9"/>
        <w:rPr>
          <w:rFonts w:hint="eastAsia" w:ascii="宋体" w:hAnsi="宋体" w:eastAsia="宋体" w:cs="宋体"/>
          <w:bCs/>
          <w:color w:val="auto"/>
          <w:sz w:val="32"/>
          <w:szCs w:val="32"/>
          <w:highlight w:val="none"/>
        </w:rPr>
      </w:pPr>
    </w:p>
    <w:p w14:paraId="64C02E50">
      <w:pPr>
        <w:pageBreakBefore w:val="0"/>
        <w:kinsoku/>
        <w:wordWrap w:val="0"/>
        <w:overflowPunct/>
        <w:topLinePunct w:val="0"/>
        <w:bidi w:val="0"/>
        <w:ind w:firstLine="2880" w:firstLineChars="900"/>
        <w:jc w:val="left"/>
        <w:outlineLvl w:val="9"/>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（GF—2017—0201）</w:t>
      </w:r>
    </w:p>
    <w:p w14:paraId="38970956">
      <w:pPr>
        <w:pageBreakBefore w:val="0"/>
        <w:kinsoku/>
        <w:wordWrap w:val="0"/>
        <w:overflowPunct/>
        <w:topLinePunct w:val="0"/>
        <w:bidi w:val="0"/>
        <w:jc w:val="center"/>
        <w:outlineLvl w:val="9"/>
        <w:rPr>
          <w:rFonts w:hint="eastAsia" w:ascii="宋体" w:hAnsi="宋体" w:eastAsia="宋体" w:cs="宋体"/>
          <w:b/>
          <w:color w:val="auto"/>
          <w:sz w:val="52"/>
          <w:szCs w:val="52"/>
          <w:highlight w:val="none"/>
        </w:rPr>
      </w:pPr>
    </w:p>
    <w:p w14:paraId="6052E971">
      <w:pPr>
        <w:pageBreakBefore w:val="0"/>
        <w:kinsoku/>
        <w:wordWrap w:val="0"/>
        <w:overflowPunct/>
        <w:topLinePunct w:val="0"/>
        <w:bidi w:val="0"/>
        <w:jc w:val="center"/>
        <w:outlineLvl w:val="9"/>
        <w:rPr>
          <w:rFonts w:hint="eastAsia" w:ascii="宋体" w:hAnsi="宋体" w:eastAsia="宋体" w:cs="宋体"/>
          <w:b/>
          <w:color w:val="auto"/>
          <w:sz w:val="52"/>
          <w:szCs w:val="52"/>
          <w:highlight w:val="none"/>
        </w:rPr>
      </w:pPr>
    </w:p>
    <w:p w14:paraId="318504D8">
      <w:pPr>
        <w:pageBreakBefore w:val="0"/>
        <w:kinsoku/>
        <w:wordWrap w:val="0"/>
        <w:overflowPunct/>
        <w:topLinePunct w:val="0"/>
        <w:bidi w:val="0"/>
        <w:jc w:val="center"/>
        <w:outlineLvl w:val="9"/>
        <w:rPr>
          <w:rFonts w:hint="eastAsia" w:ascii="宋体" w:hAnsi="宋体" w:eastAsia="宋体" w:cs="宋体"/>
          <w:b/>
          <w:color w:val="auto"/>
          <w:sz w:val="52"/>
          <w:szCs w:val="52"/>
          <w:highlight w:val="none"/>
        </w:rPr>
      </w:pPr>
    </w:p>
    <w:p w14:paraId="6F2334F2">
      <w:pPr>
        <w:pageBreakBefore w:val="0"/>
        <w:kinsoku/>
        <w:wordWrap w:val="0"/>
        <w:overflowPunct/>
        <w:topLinePunct w:val="0"/>
        <w:bidi w:val="0"/>
        <w:jc w:val="center"/>
        <w:outlineLvl w:val="9"/>
        <w:rPr>
          <w:rFonts w:hint="eastAsia" w:ascii="宋体" w:hAnsi="宋体" w:eastAsia="宋体" w:cs="宋体"/>
          <w:b/>
          <w:color w:val="auto"/>
          <w:sz w:val="52"/>
          <w:szCs w:val="52"/>
          <w:highlight w:val="none"/>
        </w:rPr>
      </w:pPr>
    </w:p>
    <w:p w14:paraId="1294BFD4">
      <w:pPr>
        <w:pageBreakBefore w:val="0"/>
        <w:kinsoku/>
        <w:wordWrap w:val="0"/>
        <w:overflowPunct/>
        <w:topLinePunct w:val="0"/>
        <w:bidi w:val="0"/>
        <w:jc w:val="center"/>
        <w:outlineLvl w:val="9"/>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建设工程施工合同</w:t>
      </w:r>
    </w:p>
    <w:p w14:paraId="1664EA61">
      <w:pPr>
        <w:pageBreakBefore w:val="0"/>
        <w:kinsoku/>
        <w:wordWrap w:val="0"/>
        <w:overflowPunct/>
        <w:topLinePunct w:val="0"/>
        <w:bidi w:val="0"/>
        <w:jc w:val="center"/>
        <w:outlineLvl w:val="9"/>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（示范文本）</w:t>
      </w:r>
    </w:p>
    <w:p w14:paraId="050B2B56">
      <w:pPr>
        <w:pageBreakBefore w:val="0"/>
        <w:kinsoku/>
        <w:wordWrap w:val="0"/>
        <w:overflowPunct/>
        <w:topLinePunct w:val="0"/>
        <w:bidi w:val="0"/>
        <w:jc w:val="center"/>
        <w:outlineLvl w:val="9"/>
        <w:rPr>
          <w:rFonts w:hint="eastAsia" w:ascii="宋体" w:hAnsi="宋体" w:eastAsia="宋体" w:cs="宋体"/>
          <w:b/>
          <w:color w:val="auto"/>
          <w:sz w:val="52"/>
          <w:szCs w:val="52"/>
          <w:highlight w:val="none"/>
        </w:rPr>
      </w:pPr>
    </w:p>
    <w:p w14:paraId="19B9ED8E">
      <w:pPr>
        <w:pageBreakBefore w:val="0"/>
        <w:kinsoku/>
        <w:wordWrap w:val="0"/>
        <w:overflowPunct/>
        <w:topLinePunct w:val="0"/>
        <w:bidi w:val="0"/>
        <w:outlineLvl w:val="9"/>
        <w:rPr>
          <w:rFonts w:hint="eastAsia" w:ascii="宋体" w:hAnsi="宋体" w:eastAsia="宋体" w:cs="宋体"/>
          <w:b/>
          <w:color w:val="auto"/>
          <w:sz w:val="28"/>
          <w:szCs w:val="28"/>
          <w:highlight w:val="none"/>
        </w:rPr>
      </w:pPr>
    </w:p>
    <w:p w14:paraId="778E3397">
      <w:pPr>
        <w:pStyle w:val="23"/>
        <w:pageBreakBefore w:val="0"/>
        <w:kinsoku/>
        <w:wordWrap w:val="0"/>
        <w:overflowPunct/>
        <w:topLinePunct w:val="0"/>
        <w:bidi w:val="0"/>
        <w:rPr>
          <w:rFonts w:hint="eastAsia" w:ascii="宋体" w:hAnsi="宋体" w:eastAsia="宋体" w:cs="宋体"/>
          <w:b/>
          <w:color w:val="auto"/>
          <w:sz w:val="28"/>
          <w:szCs w:val="28"/>
          <w:highlight w:val="none"/>
        </w:rPr>
      </w:pPr>
    </w:p>
    <w:p w14:paraId="69973EC3">
      <w:pPr>
        <w:pStyle w:val="48"/>
        <w:pageBreakBefore w:val="0"/>
        <w:kinsoku/>
        <w:wordWrap w:val="0"/>
        <w:overflowPunct/>
        <w:topLinePunct w:val="0"/>
        <w:bidi w:val="0"/>
        <w:rPr>
          <w:rFonts w:hint="eastAsia" w:ascii="宋体" w:hAnsi="宋体" w:eastAsia="宋体" w:cs="宋体"/>
          <w:b/>
          <w:color w:val="auto"/>
          <w:sz w:val="28"/>
          <w:szCs w:val="28"/>
          <w:highlight w:val="none"/>
        </w:rPr>
      </w:pPr>
    </w:p>
    <w:p w14:paraId="431D9C9C">
      <w:pPr>
        <w:pageBreakBefore w:val="0"/>
        <w:kinsoku/>
        <w:wordWrap w:val="0"/>
        <w:overflowPunct/>
        <w:topLinePunct w:val="0"/>
        <w:bidi w:val="0"/>
        <w:rPr>
          <w:rFonts w:hint="eastAsia" w:ascii="宋体" w:hAnsi="宋体" w:eastAsia="宋体" w:cs="宋体"/>
          <w:b/>
          <w:color w:val="auto"/>
          <w:sz w:val="28"/>
          <w:szCs w:val="28"/>
          <w:highlight w:val="none"/>
        </w:rPr>
      </w:pPr>
    </w:p>
    <w:p w14:paraId="37B190AE">
      <w:pPr>
        <w:pStyle w:val="23"/>
        <w:pageBreakBefore w:val="0"/>
        <w:kinsoku/>
        <w:wordWrap w:val="0"/>
        <w:overflowPunct/>
        <w:topLinePunct w:val="0"/>
        <w:bidi w:val="0"/>
        <w:rPr>
          <w:rFonts w:hint="eastAsia" w:ascii="宋体" w:hAnsi="宋体" w:eastAsia="宋体" w:cs="宋体"/>
          <w:b/>
          <w:color w:val="auto"/>
          <w:sz w:val="28"/>
          <w:szCs w:val="28"/>
          <w:highlight w:val="none"/>
        </w:rPr>
      </w:pPr>
    </w:p>
    <w:p w14:paraId="63E2E7AA">
      <w:pPr>
        <w:pStyle w:val="48"/>
        <w:pageBreakBefore w:val="0"/>
        <w:kinsoku/>
        <w:wordWrap w:val="0"/>
        <w:overflowPunct/>
        <w:topLinePunct w:val="0"/>
        <w:bidi w:val="0"/>
        <w:rPr>
          <w:rFonts w:hint="eastAsia" w:ascii="宋体" w:hAnsi="宋体" w:eastAsia="宋体" w:cs="宋体"/>
          <w:b/>
          <w:color w:val="auto"/>
          <w:sz w:val="28"/>
          <w:szCs w:val="28"/>
          <w:highlight w:val="none"/>
        </w:rPr>
      </w:pPr>
    </w:p>
    <w:p w14:paraId="64D74B66">
      <w:pPr>
        <w:pageBreakBefore w:val="0"/>
        <w:kinsoku/>
        <w:wordWrap w:val="0"/>
        <w:overflowPunct/>
        <w:topLinePunct w:val="0"/>
        <w:bidi w:val="0"/>
        <w:rPr>
          <w:rFonts w:hint="eastAsia" w:ascii="宋体" w:hAnsi="宋体" w:eastAsia="宋体" w:cs="宋体"/>
          <w:b/>
          <w:color w:val="auto"/>
          <w:sz w:val="28"/>
          <w:szCs w:val="28"/>
          <w:highlight w:val="none"/>
        </w:rPr>
      </w:pPr>
    </w:p>
    <w:p w14:paraId="2373D1BF">
      <w:pPr>
        <w:pStyle w:val="23"/>
        <w:pageBreakBefore w:val="0"/>
        <w:kinsoku/>
        <w:wordWrap w:val="0"/>
        <w:overflowPunct/>
        <w:topLinePunct w:val="0"/>
        <w:bidi w:val="0"/>
        <w:rPr>
          <w:rFonts w:hint="eastAsia" w:ascii="宋体" w:hAnsi="宋体" w:eastAsia="宋体" w:cs="宋体"/>
          <w:b/>
          <w:color w:val="auto"/>
          <w:sz w:val="28"/>
          <w:szCs w:val="28"/>
          <w:highlight w:val="none"/>
        </w:rPr>
      </w:pPr>
    </w:p>
    <w:p w14:paraId="45E04B9F">
      <w:pPr>
        <w:pStyle w:val="48"/>
        <w:pageBreakBefore w:val="0"/>
        <w:kinsoku/>
        <w:wordWrap w:val="0"/>
        <w:overflowPunct/>
        <w:topLinePunct w:val="0"/>
        <w:bidi w:val="0"/>
        <w:rPr>
          <w:rFonts w:hint="eastAsia" w:ascii="宋体" w:hAnsi="宋体" w:eastAsia="宋体" w:cs="宋体"/>
          <w:b/>
          <w:color w:val="auto"/>
          <w:sz w:val="28"/>
          <w:szCs w:val="28"/>
          <w:highlight w:val="none"/>
        </w:rPr>
      </w:pPr>
    </w:p>
    <w:p w14:paraId="42A8D03F">
      <w:pPr>
        <w:pageBreakBefore w:val="0"/>
        <w:kinsoku/>
        <w:wordWrap w:val="0"/>
        <w:overflowPunct/>
        <w:topLinePunct w:val="0"/>
        <w:bidi w:val="0"/>
        <w:rPr>
          <w:rFonts w:hint="eastAsia"/>
          <w:color w:val="auto"/>
          <w:highlight w:val="none"/>
        </w:rPr>
      </w:pPr>
    </w:p>
    <w:p w14:paraId="56C189DA">
      <w:pPr>
        <w:pageBreakBefore w:val="0"/>
        <w:kinsoku/>
        <w:wordWrap w:val="0"/>
        <w:overflowPunct/>
        <w:topLinePunct w:val="0"/>
        <w:bidi w:val="0"/>
        <w:outlineLvl w:val="9"/>
        <w:rPr>
          <w:rFonts w:hint="eastAsia" w:ascii="宋体" w:hAnsi="宋体" w:eastAsia="宋体" w:cs="宋体"/>
          <w:b/>
          <w:color w:val="auto"/>
          <w:sz w:val="28"/>
          <w:szCs w:val="28"/>
          <w:highlight w:val="none"/>
        </w:rPr>
      </w:pPr>
    </w:p>
    <w:p w14:paraId="5CE27D34">
      <w:pPr>
        <w:pageBreakBefore w:val="0"/>
        <w:kinsoku/>
        <w:wordWrap w:val="0"/>
        <w:overflowPunct/>
        <w:topLinePunct w:val="0"/>
        <w:bidi w:val="0"/>
        <w:outlineLvl w:val="9"/>
        <w:rPr>
          <w:rFonts w:hint="eastAsia" w:ascii="宋体" w:hAnsi="宋体" w:eastAsia="宋体" w:cs="宋体"/>
          <w:b/>
          <w:color w:val="auto"/>
          <w:sz w:val="28"/>
          <w:szCs w:val="28"/>
          <w:highlight w:val="none"/>
        </w:rPr>
      </w:pPr>
    </w:p>
    <w:p w14:paraId="7B4791A1">
      <w:pPr>
        <w:pageBreakBefore w:val="0"/>
        <w:kinsoku/>
        <w:wordWrap w:val="0"/>
        <w:overflowPunct/>
        <w:topLinePunct w:val="0"/>
        <w:bidi w:val="0"/>
        <w:ind w:right="2719" w:rightChars="1295"/>
        <w:jc w:val="center"/>
        <w:outlineLvl w:val="9"/>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31FBC7A5">
                            <w:pPr>
                              <w:rPr>
                                <w:rFonts w:hint="eastAsia"/>
                                <w:b/>
                                <w:bCs/>
                                <w:sz w:val="32"/>
                              </w:rPr>
                            </w:pPr>
                            <w:r>
                              <w:rPr>
                                <w:rFonts w:hint="eastAsia"/>
                                <w:b/>
                                <w:bCs/>
                                <w:sz w:val="32"/>
                              </w:rPr>
                              <w:t>制定</w:t>
                            </w:r>
                          </w:p>
                        </w:txbxContent>
                      </wps:txbx>
                      <wps:bodyPr wrap="square" upright="1"/>
                    </wps:wsp>
                  </a:graphicData>
                </a:graphic>
              </wp:anchor>
            </w:drawing>
          </mc:Choice>
          <mc:Fallback>
            <w:pict>
              <v:shape id="文本框 2"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HNLXHYAAAACQEAAA8AAAAAAAAAAQAg&#10;AAAAIgAAAGRycy9kb3ducmV2LnhtbFBLAQIUABQAAAAIAIdO4kC/6sDdDgIAABoEAAAOAAAAAAAA&#10;AAEAIAAAACcBAABkcnMvZTJvRG9jLnhtbFBLBQYAAAAABgAGAFkBAACnBQAAAAA=&#10;">
                <v:fill on="f" focussize="0,0"/>
                <v:stroke color="#FFFFFF" joinstyle="miter"/>
                <v:imagedata o:title=""/>
                <o:lock v:ext="edit" aspectratio="f"/>
                <v:textbox>
                  <w:txbxContent>
                    <w:p w14:paraId="31FBC7A5">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32"/>
          <w:szCs w:val="28"/>
          <w:highlight w:val="none"/>
          <w:lang w:val="en-US" w:eastAsia="zh-CN"/>
        </w:rPr>
        <w:t xml:space="preserve">             </w:t>
      </w:r>
      <w:r>
        <w:rPr>
          <w:rFonts w:hint="eastAsia" w:ascii="宋体" w:hAnsi="宋体" w:eastAsia="宋体" w:cs="宋体"/>
          <w:b/>
          <w:color w:val="auto"/>
          <w:sz w:val="32"/>
          <w:szCs w:val="28"/>
          <w:highlight w:val="none"/>
          <w:lang w:eastAsia="zh-CN"/>
        </w:rPr>
        <w:t>住房和城乡建设部</w:t>
      </w:r>
    </w:p>
    <w:p w14:paraId="5678F076">
      <w:pPr>
        <w:pageBreakBefore w:val="0"/>
        <w:kinsoku/>
        <w:wordWrap w:val="0"/>
        <w:overflowPunct/>
        <w:topLinePunct w:val="0"/>
        <w:bidi w:val="0"/>
        <w:ind w:right="2719" w:rightChars="1295" w:firstLine="2750" w:firstLineChars="856"/>
        <w:jc w:val="distribute"/>
        <w:outlineLvl w:val="9"/>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国家工商行政管理总局</w:t>
      </w:r>
    </w:p>
    <w:p w14:paraId="307918D0">
      <w:pPr>
        <w:pStyle w:val="165"/>
        <w:pageBreakBefore w:val="0"/>
        <w:kinsoku/>
        <w:wordWrap w:val="0"/>
        <w:overflowPunct/>
        <w:topLinePunct w:val="0"/>
        <w:bidi w:val="0"/>
        <w:spacing w:before="0" w:after="0" w:line="240" w:lineRule="auto"/>
        <w:jc w:val="center"/>
        <w:outlineLvl w:val="9"/>
        <w:rPr>
          <w:rFonts w:hint="eastAsia" w:ascii="宋体" w:hAnsi="宋体" w:eastAsia="宋体" w:cs="宋体"/>
          <w:color w:val="auto"/>
          <w:highlight w:val="none"/>
          <w:lang w:val="zh-CN"/>
        </w:rPr>
      </w:pPr>
      <w:bookmarkStart w:id="887" w:name="_Toc296503025"/>
      <w:bookmarkStart w:id="888" w:name="_Toc296890982"/>
    </w:p>
    <w:p w14:paraId="2783A209">
      <w:pPr>
        <w:pageBreakBefore w:val="0"/>
        <w:kinsoku/>
        <w:wordWrap w:val="0"/>
        <w:overflowPunct/>
        <w:topLinePunct w:val="0"/>
        <w:autoSpaceDE w:val="0"/>
        <w:autoSpaceDN w:val="0"/>
        <w:bidi w:val="0"/>
        <w:adjustRightInd w:val="0"/>
        <w:spacing w:line="400" w:lineRule="exact"/>
        <w:ind w:right="-34" w:rightChars="-16" w:firstLine="411" w:firstLineChars="196"/>
        <w:jc w:val="center"/>
        <w:outlineLvl w:val="9"/>
        <w:rPr>
          <w:rFonts w:hint="eastAsia" w:ascii="宋体" w:hAnsi="宋体" w:eastAsia="宋体" w:cs="宋体"/>
          <w:b/>
          <w:bCs/>
          <w:color w:val="auto"/>
          <w:sz w:val="32"/>
          <w:szCs w:val="28"/>
          <w:highlight w:val="none"/>
          <w:lang w:val="zh-CN"/>
        </w:rPr>
      </w:pPr>
      <w:bookmarkStart w:id="889" w:name="_Toc499891620"/>
      <w:bookmarkStart w:id="890" w:name="_Toc499892817"/>
      <w:r>
        <w:rPr>
          <w:rFonts w:hint="eastAsia" w:ascii="宋体" w:hAnsi="宋体" w:eastAsia="宋体" w:cs="宋体"/>
          <w:color w:val="auto"/>
          <w:highlight w:val="none"/>
          <w:lang w:val="zh-CN"/>
        </w:rPr>
        <w:br w:type="page"/>
      </w:r>
      <w:bookmarkEnd w:id="887"/>
      <w:bookmarkEnd w:id="888"/>
      <w:bookmarkEnd w:id="889"/>
      <w:bookmarkEnd w:id="890"/>
      <w:bookmarkStart w:id="891" w:name="_Toc26447482"/>
      <w:r>
        <w:rPr>
          <w:rFonts w:hint="eastAsia" w:ascii="宋体" w:hAnsi="宋体" w:eastAsia="宋体" w:cs="宋体"/>
          <w:b/>
          <w:bCs/>
          <w:color w:val="auto"/>
          <w:sz w:val="32"/>
          <w:szCs w:val="28"/>
          <w:highlight w:val="none"/>
          <w:lang w:val="zh-CN"/>
        </w:rPr>
        <w:t>说 明</w:t>
      </w:r>
      <w:bookmarkEnd w:id="891"/>
    </w:p>
    <w:p w14:paraId="09F5642F">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为了指导建设工程施工合同当事人的签约行为，维护合同当事人的合法权益，依据《中华人民共和国民法典》、《中华人民共和国建筑法》、《中华人民共和国招标投标法》以及相关法律法规，</w:t>
      </w:r>
      <w:r>
        <w:rPr>
          <w:rFonts w:hint="eastAsia" w:ascii="宋体" w:hAnsi="宋体" w:eastAsia="宋体" w:cs="宋体"/>
          <w:color w:val="auto"/>
          <w:kern w:val="0"/>
          <w:szCs w:val="21"/>
          <w:highlight w:val="none"/>
          <w:lang w:eastAsia="zh-CN"/>
        </w:rPr>
        <w:t>住房和城乡建设部</w:t>
      </w:r>
      <w:r>
        <w:rPr>
          <w:rFonts w:hint="eastAsia" w:ascii="宋体" w:hAnsi="宋体" w:eastAsia="宋体" w:cs="宋体"/>
          <w:color w:val="auto"/>
          <w:kern w:val="0"/>
          <w:szCs w:val="21"/>
          <w:highlight w:val="none"/>
        </w:rPr>
        <w:t>、国家工商行政管理总局对《建设工程施工合同（示范文本）》（GF-2013-0201）进行了修订，制定了《建设工程施工合同（示范文本）》（GF-2017-0201）（以下简称《示范文本》）。为了便于合同当事人使用《示范文本》，现就有关问题说明如下：</w:t>
      </w:r>
    </w:p>
    <w:p w14:paraId="1AE13F8D">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bookmarkStart w:id="892" w:name="_Toc19427"/>
      <w:bookmarkStart w:id="893" w:name="_Toc22910"/>
      <w:r>
        <w:rPr>
          <w:rFonts w:hint="eastAsia" w:ascii="宋体" w:hAnsi="宋体" w:eastAsia="宋体" w:cs="宋体"/>
          <w:color w:val="auto"/>
          <w:kern w:val="0"/>
          <w:szCs w:val="21"/>
          <w:highlight w:val="none"/>
        </w:rPr>
        <w:t>一、《示范文本》的组成</w:t>
      </w:r>
      <w:bookmarkEnd w:id="892"/>
      <w:bookmarkEnd w:id="893"/>
    </w:p>
    <w:p w14:paraId="3DD8FF73">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《示范文本》由合同协议书、通用合同条款和专用合同条款三部分组成。</w:t>
      </w:r>
    </w:p>
    <w:p w14:paraId="14D4CAE9">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bookmarkStart w:id="894" w:name="_Toc14409"/>
      <w:bookmarkStart w:id="895" w:name="_Toc19422"/>
      <w:r>
        <w:rPr>
          <w:rFonts w:hint="eastAsia" w:ascii="宋体" w:hAnsi="宋体" w:eastAsia="宋体" w:cs="宋体"/>
          <w:color w:val="auto"/>
          <w:kern w:val="0"/>
          <w:szCs w:val="21"/>
          <w:highlight w:val="none"/>
        </w:rPr>
        <w:t>（一）合同协议书</w:t>
      </w:r>
      <w:bookmarkEnd w:id="894"/>
      <w:bookmarkEnd w:id="895"/>
    </w:p>
    <w:p w14:paraId="29CFBF81">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137CD3DE">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bookmarkStart w:id="896" w:name="_Toc6835"/>
      <w:bookmarkStart w:id="897" w:name="_Toc4183"/>
      <w:r>
        <w:rPr>
          <w:rFonts w:hint="eastAsia" w:ascii="宋体" w:hAnsi="宋体" w:eastAsia="宋体" w:cs="宋体"/>
          <w:color w:val="auto"/>
          <w:kern w:val="0"/>
          <w:szCs w:val="21"/>
          <w:highlight w:val="none"/>
        </w:rPr>
        <w:t>（二）通用合同条款</w:t>
      </w:r>
      <w:bookmarkEnd w:id="896"/>
      <w:bookmarkEnd w:id="897"/>
    </w:p>
    <w:p w14:paraId="0BDD2A0C">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4F3C28F7">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23CB94D4">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bookmarkStart w:id="898" w:name="_Toc20959"/>
      <w:bookmarkStart w:id="899" w:name="_Toc22019"/>
      <w:r>
        <w:rPr>
          <w:rFonts w:hint="eastAsia" w:ascii="宋体" w:hAnsi="宋体" w:eastAsia="宋体" w:cs="宋体"/>
          <w:color w:val="auto"/>
          <w:kern w:val="0"/>
          <w:szCs w:val="21"/>
          <w:highlight w:val="none"/>
        </w:rPr>
        <w:t>（三）专用合同条款</w:t>
      </w:r>
      <w:bookmarkEnd w:id="898"/>
      <w:bookmarkEnd w:id="899"/>
    </w:p>
    <w:p w14:paraId="4B1E6C6F">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FAE11AC">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1.专用合同条款的编号应与相应的通用合同条款的编号一致；</w:t>
      </w:r>
    </w:p>
    <w:p w14:paraId="7796B331">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2.合同当事人可以通过对专用合同条款的修改，满足具体建设工程的特殊要求，避免直接修改通用合同条款；</w:t>
      </w:r>
    </w:p>
    <w:p w14:paraId="4C5978AF">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3.在专用合同条款中有横道线的地方，合同当事人可针对相应的通用合同条款进行细化、完善、补充、修改或另行约定；如无细化、完善、补充、修改或另行约定，则填写“无”或划“/”。</w:t>
      </w:r>
    </w:p>
    <w:p w14:paraId="4CC38239">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pPr>
      <w:bookmarkStart w:id="900" w:name="_Toc3036"/>
      <w:bookmarkStart w:id="901" w:name="_Toc8086"/>
      <w:r>
        <w:rPr>
          <w:rFonts w:hint="eastAsia" w:ascii="宋体" w:hAnsi="宋体" w:eastAsia="宋体" w:cs="宋体"/>
          <w:color w:val="auto"/>
          <w:kern w:val="0"/>
          <w:szCs w:val="21"/>
          <w:highlight w:val="none"/>
        </w:rPr>
        <w:t>二、《示范文本》的性质和适用范围</w:t>
      </w:r>
      <w:bookmarkEnd w:id="900"/>
      <w:bookmarkEnd w:id="901"/>
    </w:p>
    <w:p w14:paraId="28726C31">
      <w:pPr>
        <w:pageBreakBefore w:val="0"/>
        <w:kinsoku/>
        <w:wordWrap w:val="0"/>
        <w:overflowPunct/>
        <w:topLinePunct w:val="0"/>
        <w:autoSpaceDE w:val="0"/>
        <w:autoSpaceDN w:val="0"/>
        <w:bidi w:val="0"/>
        <w:adjustRightInd w:val="0"/>
        <w:spacing w:line="400" w:lineRule="exact"/>
        <w:ind w:right="-34" w:rightChars="-16" w:firstLine="411" w:firstLineChars="196"/>
        <w:jc w:val="left"/>
        <w:outlineLvl w:val="9"/>
        <w:rPr>
          <w:rFonts w:hint="eastAsia" w:ascii="宋体" w:hAnsi="宋体" w:eastAsia="宋体" w:cs="宋体"/>
          <w:color w:val="auto"/>
          <w:kern w:val="0"/>
          <w:szCs w:val="21"/>
          <w:highlight w:val="none"/>
        </w:rPr>
        <w:sectPr>
          <w:headerReference r:id="rId9" w:type="first"/>
          <w:footerReference r:id="rId11" w:type="first"/>
          <w:headerReference r:id="rId8" w:type="default"/>
          <w:footerReference r:id="rId10" w:type="default"/>
          <w:pgSz w:w="11905" w:h="16838"/>
          <w:pgMar w:top="1531" w:right="1587" w:bottom="1531" w:left="1587" w:header="1304" w:footer="1134" w:gutter="0"/>
          <w:pgNumType w:fmt="decimal"/>
          <w:cols w:space="720" w:num="1"/>
          <w:titlePg/>
          <w:rtlGutter w:val="0"/>
          <w:docGrid w:linePitch="312" w:charSpace="0"/>
        </w:sectPr>
      </w:pPr>
      <w:r>
        <w:rPr>
          <w:rFonts w:hint="eastAsia" w:ascii="宋体" w:hAnsi="宋体" w:eastAsia="宋体" w:cs="宋体"/>
          <w:color w:val="auto"/>
          <w:kern w:val="0"/>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356F57DE">
      <w:pPr>
        <w:pageBreakBefore w:val="0"/>
        <w:kinsoku/>
        <w:wordWrap w:val="0"/>
        <w:overflowPunct/>
        <w:topLinePunct w:val="0"/>
        <w:bidi w:val="0"/>
        <w:jc w:val="center"/>
        <w:outlineLvl w:val="1"/>
        <w:rPr>
          <w:rFonts w:hint="eastAsia" w:ascii="宋体" w:hAnsi="宋体" w:eastAsia="宋体" w:cs="宋体"/>
          <w:b/>
          <w:bCs/>
          <w:color w:val="auto"/>
          <w:kern w:val="0"/>
          <w:sz w:val="24"/>
          <w:szCs w:val="24"/>
          <w:highlight w:val="none"/>
        </w:rPr>
      </w:pPr>
      <w:bookmarkStart w:id="902" w:name="_Toc25141756"/>
      <w:bookmarkStart w:id="903" w:name="_Toc26447483"/>
      <w:bookmarkStart w:id="904" w:name="_Toc9461"/>
      <w:bookmarkStart w:id="905" w:name="_Toc27631"/>
      <w:r>
        <w:rPr>
          <w:rFonts w:hint="eastAsia" w:ascii="宋体" w:hAnsi="宋体" w:eastAsia="宋体" w:cs="宋体"/>
          <w:b/>
          <w:bCs/>
          <w:color w:val="auto"/>
          <w:sz w:val="24"/>
          <w:szCs w:val="24"/>
          <w:highlight w:val="none"/>
        </w:rPr>
        <w:t>第一部分 合同协议书</w:t>
      </w:r>
      <w:bookmarkEnd w:id="902"/>
      <w:bookmarkEnd w:id="903"/>
      <w:bookmarkEnd w:id="904"/>
      <w:bookmarkEnd w:id="905"/>
    </w:p>
    <w:p w14:paraId="1882A131">
      <w:pPr>
        <w:pageBreakBefore w:val="0"/>
        <w:kinsoku/>
        <w:wordWrap w:val="0"/>
        <w:overflowPunct/>
        <w:topLinePunct w:val="0"/>
        <w:bidi w:val="0"/>
        <w:spacing w:line="360" w:lineRule="auto"/>
        <w:outlineLvl w:val="9"/>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发包人（全称）：</w:t>
      </w:r>
      <w:r>
        <w:rPr>
          <w:rFonts w:hint="eastAsia" w:ascii="宋体" w:hAnsi="宋体" w:eastAsia="宋体" w:cs="宋体"/>
          <w:b/>
          <w:color w:val="auto"/>
          <w:sz w:val="21"/>
          <w:szCs w:val="21"/>
          <w:highlight w:val="none"/>
          <w:u w:val="single"/>
        </w:rPr>
        <w:t>平舆县老王岗乡人民政府</w:t>
      </w:r>
    </w:p>
    <w:p w14:paraId="4E1FA7C0">
      <w:pPr>
        <w:pageBreakBefore w:val="0"/>
        <w:kinsoku/>
        <w:wordWrap w:val="0"/>
        <w:overflowPunct/>
        <w:topLinePunct w:val="0"/>
        <w:bidi w:val="0"/>
        <w:spacing w:line="360" w:lineRule="auto"/>
        <w:outlineLvl w:val="9"/>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承包人（全称）：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p>
    <w:p w14:paraId="35BE96A4">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2025年老王岗乡木材加工厂房建设项目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施工及有关事项协商一致，共同达成如下协议：</w:t>
      </w:r>
    </w:p>
    <w:p w14:paraId="2A6B6EB9">
      <w:pPr>
        <w:pageBreakBefore w:val="0"/>
        <w:kinsoku/>
        <w:wordWrap w:val="0"/>
        <w:overflowPunct/>
        <w:topLinePunct w:val="0"/>
        <w:bidi w:val="0"/>
        <w:outlineLvl w:val="9"/>
        <w:rPr>
          <w:rFonts w:hint="eastAsia" w:ascii="宋体" w:hAnsi="宋体" w:eastAsia="宋体" w:cs="宋体"/>
          <w:bCs/>
          <w:color w:val="auto"/>
          <w:sz w:val="21"/>
          <w:szCs w:val="21"/>
          <w:highlight w:val="none"/>
        </w:rPr>
      </w:pPr>
      <w:bookmarkStart w:id="906" w:name="_Toc8756"/>
      <w:bookmarkStart w:id="907" w:name="_Toc32156"/>
      <w:r>
        <w:rPr>
          <w:rFonts w:hint="eastAsia" w:ascii="宋体" w:hAnsi="宋体" w:eastAsia="宋体" w:cs="宋体"/>
          <w:b/>
          <w:color w:val="auto"/>
          <w:sz w:val="21"/>
          <w:szCs w:val="21"/>
          <w:highlight w:val="none"/>
        </w:rPr>
        <w:t>一、工程概况</w:t>
      </w:r>
      <w:bookmarkEnd w:id="906"/>
      <w:bookmarkEnd w:id="907"/>
    </w:p>
    <w:p w14:paraId="1E0CEE51">
      <w:pPr>
        <w:pageBreakBefore w:val="0"/>
        <w:kinsoku/>
        <w:wordWrap w:val="0"/>
        <w:overflowPunct/>
        <w:topLinePunct w:val="0"/>
        <w:bidi w:val="0"/>
        <w:spacing w:line="360" w:lineRule="auto"/>
        <w:ind w:firstLine="411" w:firstLineChars="196"/>
        <w:outlineLvl w:val="9"/>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eastAsia="zh-CN"/>
        </w:rPr>
        <w:t>2025年老王岗乡木材加工厂房建设项目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99EB47">
      <w:pPr>
        <w:pageBreakBefore w:val="0"/>
        <w:kinsoku/>
        <w:wordWrap w:val="0"/>
        <w:overflowPunct/>
        <w:topLinePunct w:val="0"/>
        <w:bidi w:val="0"/>
        <w:spacing w:line="360" w:lineRule="auto"/>
        <w:ind w:firstLine="411" w:firstLineChars="196"/>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bCs/>
          <w:color w:val="auto"/>
          <w:sz w:val="21"/>
          <w:szCs w:val="21"/>
          <w:highlight w:val="none"/>
          <w:lang w:val="en-US" w:eastAsia="zh-CN"/>
        </w:rPr>
        <w:t xml:space="preserve">   </w:t>
      </w:r>
    </w:p>
    <w:p w14:paraId="69A6B74A">
      <w:pPr>
        <w:pageBreakBefore w:val="0"/>
        <w:kinsoku/>
        <w:wordWrap w:val="0"/>
        <w:overflowPunct/>
        <w:topLinePunct w:val="0"/>
        <w:bidi w:val="0"/>
        <w:spacing w:line="360" w:lineRule="auto"/>
        <w:ind w:firstLine="411" w:firstLineChars="196"/>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p>
    <w:p w14:paraId="6F6674CE">
      <w:pPr>
        <w:pageBreakBefore w:val="0"/>
        <w:kinsoku/>
        <w:wordWrap w:val="0"/>
        <w:overflowPunct/>
        <w:topLinePunct w:val="0"/>
        <w:bidi w:val="0"/>
        <w:spacing w:line="360" w:lineRule="auto"/>
        <w:ind w:firstLine="411" w:firstLineChars="196"/>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lang w:val="en-US" w:eastAsia="zh-CN"/>
        </w:rPr>
        <w:t>财政资金</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44C323AA">
      <w:pPr>
        <w:keepNext w:val="0"/>
        <w:keepLines w:val="0"/>
        <w:pageBreakBefore w:val="0"/>
        <w:widowControl w:val="0"/>
        <w:suppressLineNumbers w:val="0"/>
        <w:suppressAutoHyphens w:val="0"/>
        <w:kinsoku/>
        <w:wordWrap w:val="0"/>
        <w:overflowPunct/>
        <w:topLinePunct w:val="0"/>
        <w:bidi w:val="0"/>
        <w:spacing w:line="360" w:lineRule="auto"/>
        <w:ind w:left="0" w:right="0" w:firstLine="411" w:firstLineChars="196"/>
        <w:rPr>
          <w:rFonts w:hint="eastAsia" w:ascii="宋体" w:hAnsi="宋体" w:eastAsia="宋体" w:cs="宋体"/>
          <w:bCs/>
          <w:color w:val="auto"/>
          <w:kern w:val="2"/>
          <w:sz w:val="21"/>
          <w:szCs w:val="21"/>
          <w:highlight w:val="none"/>
          <w:u w:val="single"/>
          <w:lang w:val="en-US" w:eastAsia="zh-CN" w:bidi="ar-SA"/>
        </w:rPr>
      </w:pPr>
      <w:r>
        <w:rPr>
          <w:rFonts w:hint="eastAsia" w:ascii="宋体" w:hAnsi="宋体" w:eastAsia="宋体" w:cs="宋体"/>
          <w:bCs/>
          <w:color w:val="auto"/>
          <w:sz w:val="21"/>
          <w:szCs w:val="21"/>
          <w:highlight w:val="none"/>
          <w:lang w:bidi="ar-SA"/>
        </w:rPr>
        <w:t>5.工程内容：</w:t>
      </w:r>
      <w:r>
        <w:rPr>
          <w:rFonts w:hint="eastAsia" w:ascii="宋体" w:hAnsi="宋体" w:eastAsia="宋体" w:cs="宋体"/>
          <w:bCs/>
          <w:color w:val="auto"/>
          <w:sz w:val="21"/>
          <w:szCs w:val="21"/>
          <w:highlight w:val="none"/>
          <w:lang w:val="en-US" w:eastAsia="zh-CN" w:bidi="ar-SA"/>
        </w:rPr>
        <w:t xml:space="preserve"> </w:t>
      </w:r>
    </w:p>
    <w:p w14:paraId="6F44100A">
      <w:pPr>
        <w:pageBreakBefore w:val="0"/>
        <w:kinsoku/>
        <w:wordWrap w:val="0"/>
        <w:overflowPunct/>
        <w:topLinePunct w:val="0"/>
        <w:bidi w:val="0"/>
        <w:spacing w:line="360" w:lineRule="auto"/>
        <w:ind w:firstLine="411" w:firstLineChars="196"/>
        <w:rPr>
          <w:rFonts w:hint="eastAsia" w:ascii="宋体" w:hAnsi="宋体" w:eastAsia="宋体" w:cs="宋体"/>
          <w:bCs/>
          <w:color w:val="auto"/>
          <w:sz w:val="21"/>
          <w:szCs w:val="21"/>
          <w:highlight w:val="none"/>
          <w:lang w:bidi="ar-SA"/>
        </w:rPr>
      </w:pPr>
      <w:r>
        <w:rPr>
          <w:rFonts w:hint="eastAsia" w:ascii="宋体" w:hAnsi="宋体" w:eastAsia="宋体" w:cs="宋体"/>
          <w:color w:val="auto"/>
          <w:sz w:val="21"/>
          <w:szCs w:val="21"/>
          <w:highlight w:val="none"/>
          <w:lang w:bidi="ar-SA"/>
        </w:rPr>
        <w:t>群体工程应附《承包人承揽工程项目一览表》（附件1）。</w:t>
      </w:r>
    </w:p>
    <w:p w14:paraId="3A826ED7">
      <w:pPr>
        <w:pageBreakBefore w:val="0"/>
        <w:kinsoku/>
        <w:wordWrap w:val="0"/>
        <w:overflowPunct/>
        <w:topLinePunct w:val="0"/>
        <w:bidi w:val="0"/>
        <w:spacing w:line="360" w:lineRule="auto"/>
        <w:ind w:firstLine="411" w:firstLineChars="196"/>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6.工程承包范围：</w:t>
      </w:r>
    </w:p>
    <w:p w14:paraId="2DD7BEAC">
      <w:pPr>
        <w:pageBreakBefore w:val="0"/>
        <w:kinsoku/>
        <w:wordWrap w:val="0"/>
        <w:overflowPunct/>
        <w:topLinePunct w:val="0"/>
        <w:bidi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u w:val="single"/>
          <w:lang w:bidi="ar-SA"/>
        </w:rPr>
        <w:t>工程量清单及其说明和相关补充文件所对应的相关施工图纸内容所包含的全部工程内容，具体内容详见招标文件和工程量清单及其说明（采取工程量清单方式的招标项目）</w:t>
      </w:r>
    </w:p>
    <w:p w14:paraId="0FF47B76">
      <w:pPr>
        <w:pageBreakBefore w:val="0"/>
        <w:kinsoku/>
        <w:wordWrap w:val="0"/>
        <w:overflowPunct/>
        <w:topLinePunct w:val="0"/>
        <w:bidi w:val="0"/>
        <w:spacing w:line="360" w:lineRule="auto"/>
        <w:ind w:left="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 xml:space="preserve">   </w:t>
      </w:r>
      <w:bookmarkStart w:id="908" w:name="_Toc351203482"/>
      <w:r>
        <w:rPr>
          <w:rFonts w:hint="eastAsia" w:ascii="宋体" w:hAnsi="宋体" w:eastAsia="宋体" w:cs="宋体"/>
          <w:color w:val="auto"/>
          <w:sz w:val="21"/>
          <w:szCs w:val="21"/>
          <w:highlight w:val="none"/>
          <w:lang w:bidi="ar-SA"/>
        </w:rPr>
        <w:t>二、合同工期</w:t>
      </w:r>
      <w:bookmarkEnd w:id="908"/>
    </w:p>
    <w:p w14:paraId="46223533">
      <w:pPr>
        <w:pageBreakBefore w:val="0"/>
        <w:kinsoku/>
        <w:wordWrap w:val="0"/>
        <w:overflowPunct/>
        <w:topLinePunct w:val="0"/>
        <w:bidi w:val="0"/>
        <w:spacing w:line="360" w:lineRule="auto"/>
        <w:ind w:firstLine="459"/>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计划开工日期：</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sz w:val="21"/>
          <w:szCs w:val="21"/>
          <w:highlight w:val="none"/>
          <w:lang w:bidi="ar-SA"/>
        </w:rPr>
        <w:t>年</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sz w:val="21"/>
          <w:szCs w:val="21"/>
          <w:highlight w:val="none"/>
          <w:lang w:bidi="ar-SA"/>
        </w:rPr>
        <w:t>月</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sz w:val="21"/>
          <w:szCs w:val="21"/>
          <w:highlight w:val="none"/>
          <w:lang w:bidi="ar-SA"/>
        </w:rPr>
        <w:t>日。</w:t>
      </w:r>
    </w:p>
    <w:p w14:paraId="074C6143">
      <w:pPr>
        <w:pageBreakBefore w:val="0"/>
        <w:kinsoku/>
        <w:wordWrap w:val="0"/>
        <w:overflowPunct/>
        <w:topLinePunct w:val="0"/>
        <w:bidi w:val="0"/>
        <w:spacing w:line="360" w:lineRule="auto"/>
        <w:ind w:firstLine="459"/>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计划竣工日期：</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sz w:val="21"/>
          <w:szCs w:val="21"/>
          <w:highlight w:val="none"/>
          <w:lang w:bidi="ar-SA"/>
        </w:rPr>
        <w:t>年</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sz w:val="21"/>
          <w:szCs w:val="21"/>
          <w:highlight w:val="none"/>
          <w:lang w:bidi="ar-SA"/>
        </w:rPr>
        <w:t>月</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sz w:val="21"/>
          <w:szCs w:val="21"/>
          <w:highlight w:val="none"/>
          <w:lang w:bidi="ar-SA"/>
        </w:rPr>
        <w:t>日。</w:t>
      </w:r>
    </w:p>
    <w:p w14:paraId="3BD59FD8">
      <w:pPr>
        <w:pageBreakBefore w:val="0"/>
        <w:kinsoku/>
        <w:wordWrap w:val="0"/>
        <w:overflowPunct/>
        <w:topLinePunct w:val="0"/>
        <w:bidi w:val="0"/>
        <w:spacing w:line="360" w:lineRule="auto"/>
        <w:ind w:firstLine="459"/>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工期总日历天数：</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sz w:val="21"/>
          <w:szCs w:val="21"/>
          <w:highlight w:val="none"/>
          <w:lang w:bidi="ar-SA"/>
        </w:rPr>
        <w:t>天。工期总日历天数与根据前述计划开竣工日期计算的工期天数不一致的，以工期总日历天数为准。</w:t>
      </w:r>
    </w:p>
    <w:p w14:paraId="0584257B">
      <w:pPr>
        <w:pStyle w:val="7"/>
        <w:pageBreakBefore w:val="0"/>
        <w:kinsoku/>
        <w:wordWrap w:val="0"/>
        <w:overflowPunct/>
        <w:topLinePunct w:val="0"/>
        <w:bidi w:val="0"/>
        <w:spacing w:before="120" w:after="120" w:line="360" w:lineRule="auto"/>
        <w:rPr>
          <w:rFonts w:hint="eastAsia" w:ascii="宋体" w:hAnsi="宋体" w:eastAsia="宋体" w:cs="宋体"/>
          <w:bCs w:val="0"/>
          <w:color w:val="auto"/>
          <w:sz w:val="21"/>
          <w:szCs w:val="21"/>
          <w:highlight w:val="none"/>
          <w:lang w:bidi="ar-SA"/>
        </w:rPr>
      </w:pPr>
      <w:r>
        <w:rPr>
          <w:rFonts w:hint="eastAsia" w:ascii="宋体" w:hAnsi="宋体" w:eastAsia="宋体" w:cs="宋体"/>
          <w:bCs w:val="0"/>
          <w:color w:val="auto"/>
          <w:sz w:val="21"/>
          <w:szCs w:val="21"/>
          <w:highlight w:val="none"/>
          <w:lang w:bidi="ar-SA"/>
        </w:rPr>
        <w:t xml:space="preserve">    </w:t>
      </w:r>
      <w:bookmarkStart w:id="909" w:name="_Toc351203483"/>
      <w:r>
        <w:rPr>
          <w:rFonts w:hint="eastAsia" w:ascii="宋体" w:hAnsi="宋体" w:eastAsia="宋体" w:cs="宋体"/>
          <w:b w:val="0"/>
          <w:color w:val="auto"/>
          <w:sz w:val="21"/>
          <w:szCs w:val="21"/>
          <w:highlight w:val="none"/>
          <w:lang w:bidi="ar-SA"/>
        </w:rPr>
        <w:t>三、质量标准</w:t>
      </w:r>
      <w:bookmarkEnd w:id="909"/>
    </w:p>
    <w:p w14:paraId="498CFC7F">
      <w:pPr>
        <w:pageBreakBefore w:val="0"/>
        <w:kinsoku/>
        <w:wordWrap w:val="0"/>
        <w:overflowPunct/>
        <w:topLinePunct w:val="0"/>
        <w:bidi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SA"/>
        </w:rPr>
        <w:t>工程质量符合</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bidi="ar-SA"/>
        </w:rPr>
        <w:t></w:t>
      </w:r>
      <w:r>
        <w:rPr>
          <w:rFonts w:hint="eastAsia" w:ascii="宋体" w:hAnsi="宋体" w:eastAsia="宋体" w:cs="宋体"/>
          <w:color w:val="auto"/>
          <w:kern w:val="2"/>
          <w:sz w:val="21"/>
          <w:szCs w:val="21"/>
          <w:highlight w:val="none"/>
          <w:u w:val="single"/>
          <w:lang w:bidi="ar-SA"/>
        </w:rPr>
        <w:t xml:space="preserve"> </w:t>
      </w:r>
      <w:r>
        <w:rPr>
          <w:rFonts w:hint="eastAsia" w:ascii="宋体" w:hAnsi="宋体" w:eastAsia="宋体" w:cs="宋体"/>
          <w:color w:val="auto"/>
          <w:sz w:val="21"/>
          <w:szCs w:val="21"/>
          <w:highlight w:val="none"/>
          <w:lang w:bidi="ar-SA"/>
        </w:rPr>
        <w:t>标准。</w:t>
      </w:r>
    </w:p>
    <w:p w14:paraId="4511460C">
      <w:pPr>
        <w:pStyle w:val="7"/>
        <w:pageBreakBefore w:val="0"/>
        <w:kinsoku/>
        <w:wordWrap w:val="0"/>
        <w:overflowPunct/>
        <w:topLinePunct w:val="0"/>
        <w:bidi w:val="0"/>
        <w:spacing w:before="120" w:after="120" w:line="360" w:lineRule="auto"/>
        <w:rPr>
          <w:rFonts w:hint="eastAsia" w:ascii="宋体" w:hAnsi="宋体" w:eastAsia="宋体" w:cs="宋体"/>
          <w:bCs w:val="0"/>
          <w:color w:val="auto"/>
          <w:sz w:val="21"/>
          <w:szCs w:val="21"/>
          <w:highlight w:val="none"/>
          <w:lang w:bidi="ar-SA"/>
        </w:rPr>
      </w:pPr>
      <w:r>
        <w:rPr>
          <w:rFonts w:hint="eastAsia" w:ascii="宋体" w:hAnsi="宋体" w:eastAsia="宋体" w:cs="宋体"/>
          <w:bCs w:val="0"/>
          <w:color w:val="auto"/>
          <w:sz w:val="21"/>
          <w:szCs w:val="21"/>
          <w:highlight w:val="none"/>
          <w:lang w:bidi="ar-SA"/>
        </w:rPr>
        <w:t xml:space="preserve">   </w:t>
      </w:r>
      <w:r>
        <w:rPr>
          <w:rFonts w:hint="eastAsia" w:ascii="宋体" w:hAnsi="宋体" w:eastAsia="宋体" w:cs="宋体"/>
          <w:b w:val="0"/>
          <w:color w:val="auto"/>
          <w:sz w:val="21"/>
          <w:szCs w:val="21"/>
          <w:highlight w:val="none"/>
          <w:lang w:bidi="ar-SA"/>
        </w:rPr>
        <w:t xml:space="preserve"> </w:t>
      </w:r>
      <w:bookmarkStart w:id="910" w:name="_Toc351203484"/>
      <w:r>
        <w:rPr>
          <w:rFonts w:hint="eastAsia" w:ascii="宋体" w:hAnsi="宋体" w:eastAsia="宋体" w:cs="宋体"/>
          <w:b w:val="0"/>
          <w:color w:val="auto"/>
          <w:sz w:val="21"/>
          <w:szCs w:val="21"/>
          <w:highlight w:val="none"/>
          <w:lang w:bidi="ar-SA"/>
        </w:rPr>
        <w:t>四、签约合同价与合同价格形式</w:t>
      </w:r>
      <w:bookmarkEnd w:id="910"/>
      <w:r>
        <w:rPr>
          <w:rFonts w:hint="eastAsia" w:ascii="宋体" w:hAnsi="宋体" w:eastAsia="宋体" w:cs="宋体"/>
          <w:b w:val="0"/>
          <w:color w:val="auto"/>
          <w:sz w:val="21"/>
          <w:szCs w:val="21"/>
          <w:highlight w:val="none"/>
          <w:lang w:bidi="ar-SA"/>
        </w:rPr>
        <w:tab/>
      </w:r>
    </w:p>
    <w:p w14:paraId="4E9DA9CA">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1.签约合同价为：</w:t>
      </w:r>
    </w:p>
    <w:p w14:paraId="34F89DD9">
      <w:pPr>
        <w:pageBreakBefore w:val="0"/>
        <w:kinsoku/>
        <w:wordWrap w:val="0"/>
        <w:overflowPunct/>
        <w:topLinePunct w:val="0"/>
        <w:bidi w:val="0"/>
        <w:spacing w:line="360" w:lineRule="auto"/>
        <w:ind w:firstLine="525" w:firstLineChars="25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人民币（含税价，大写）</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元)；</w:t>
      </w:r>
    </w:p>
    <w:p w14:paraId="3DF1BBF5">
      <w:pPr>
        <w:pageBreakBefore w:val="0"/>
        <w:kinsoku/>
        <w:wordWrap w:val="0"/>
        <w:overflowPunct/>
        <w:topLinePunct w:val="0"/>
        <w:bidi w:val="0"/>
        <w:spacing w:line="360" w:lineRule="auto"/>
        <w:ind w:firstLine="525" w:firstLineChars="25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人民币（不含税价，大写）</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元)；</w:t>
      </w:r>
    </w:p>
    <w:p w14:paraId="4D8C8B0D">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其中：</w:t>
      </w:r>
    </w:p>
    <w:p w14:paraId="628E4524">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（1）</w:t>
      </w:r>
      <w:r>
        <w:rPr>
          <w:rFonts w:hint="eastAsia" w:ascii="宋体" w:hAnsi="宋体" w:eastAsia="宋体" w:cs="宋体"/>
          <w:color w:val="auto"/>
          <w:sz w:val="21"/>
          <w:szCs w:val="21"/>
          <w:highlight w:val="none"/>
          <w:lang w:eastAsia="zh-CN" w:bidi="ar-SA"/>
        </w:rPr>
        <w:t>安全生产措施费</w:t>
      </w:r>
      <w:r>
        <w:rPr>
          <w:rFonts w:hint="eastAsia" w:ascii="宋体" w:hAnsi="宋体" w:eastAsia="宋体" w:cs="宋体"/>
          <w:color w:val="auto"/>
          <w:sz w:val="21"/>
          <w:szCs w:val="21"/>
          <w:highlight w:val="none"/>
          <w:lang w:bidi="ar-SA"/>
        </w:rPr>
        <w:t>：</w:t>
      </w:r>
    </w:p>
    <w:p w14:paraId="74A04781">
      <w:pPr>
        <w:pageBreakBefore w:val="0"/>
        <w:kinsoku/>
        <w:wordWrap w:val="0"/>
        <w:overflowPunct/>
        <w:topLinePunct w:val="0"/>
        <w:bidi w:val="0"/>
        <w:spacing w:line="360" w:lineRule="auto"/>
        <w:ind w:firstLine="945" w:firstLineChars="45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人民币（不含税价，大写）</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 xml:space="preserve"> (¥</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元)；</w:t>
      </w:r>
    </w:p>
    <w:p w14:paraId="10C3856C">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（2）材料和工程设备暂估价金额：</w:t>
      </w:r>
    </w:p>
    <w:p w14:paraId="65C4A6BC">
      <w:pPr>
        <w:pageBreakBefore w:val="0"/>
        <w:kinsoku/>
        <w:wordWrap w:val="0"/>
        <w:overflowPunct/>
        <w:topLinePunct w:val="0"/>
        <w:bidi w:val="0"/>
        <w:spacing w:line="360" w:lineRule="auto"/>
        <w:ind w:firstLine="945" w:firstLineChars="45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人民币（不含税价，大写）</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 xml:space="preserve"> (¥</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元)；</w:t>
      </w:r>
    </w:p>
    <w:p w14:paraId="389CD1E5">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（3）专业工程暂估价金额：</w:t>
      </w:r>
    </w:p>
    <w:p w14:paraId="769CD8F2">
      <w:pPr>
        <w:pageBreakBefore w:val="0"/>
        <w:kinsoku/>
        <w:wordWrap w:val="0"/>
        <w:overflowPunct/>
        <w:topLinePunct w:val="0"/>
        <w:bidi w:val="0"/>
        <w:spacing w:line="360" w:lineRule="auto"/>
        <w:ind w:firstLine="945" w:firstLineChars="45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人民币（不含税价，大写）</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 xml:space="preserve"> (¥</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元)；</w:t>
      </w:r>
    </w:p>
    <w:p w14:paraId="49B54E3B">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（4）暂列金额：</w:t>
      </w:r>
    </w:p>
    <w:p w14:paraId="28BE7F06">
      <w:pPr>
        <w:pageBreakBefore w:val="0"/>
        <w:kinsoku/>
        <w:wordWrap w:val="0"/>
        <w:overflowPunct/>
        <w:topLinePunct w:val="0"/>
        <w:bidi w:val="0"/>
        <w:spacing w:line="360" w:lineRule="auto"/>
        <w:ind w:firstLine="945" w:firstLineChars="45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人民币（不含税价，大写）</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 xml:space="preserve"> (¥</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元)。</w:t>
      </w:r>
    </w:p>
    <w:p w14:paraId="392B86B2">
      <w:pPr>
        <w:pageBreakBefore w:val="0"/>
        <w:kinsoku/>
        <w:wordWrap w:val="0"/>
        <w:overflowPunct/>
        <w:topLinePunct w:val="0"/>
        <w:bidi w:val="0"/>
        <w:spacing w:line="360" w:lineRule="auto"/>
        <w:ind w:left="0" w:firstLine="420" w:firstLineChars="20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2.合同价格形式：</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原则上按照单价合同填写</w:t>
      </w:r>
    </w:p>
    <w:p w14:paraId="24C7E383">
      <w:pPr>
        <w:pStyle w:val="7"/>
        <w:pageBreakBefore w:val="0"/>
        <w:kinsoku/>
        <w:wordWrap w:val="0"/>
        <w:overflowPunct/>
        <w:topLinePunct w:val="0"/>
        <w:bidi w:val="0"/>
        <w:spacing w:before="120" w:after="120" w:line="360" w:lineRule="auto"/>
        <w:rPr>
          <w:rFonts w:hint="eastAsia" w:ascii="宋体" w:hAnsi="宋体" w:eastAsia="宋体" w:cs="宋体"/>
          <w:b w:val="0"/>
          <w:color w:val="auto"/>
          <w:sz w:val="21"/>
          <w:szCs w:val="21"/>
          <w:highlight w:val="none"/>
          <w:lang w:bidi="ar-SA"/>
        </w:rPr>
      </w:pPr>
      <w:r>
        <w:rPr>
          <w:rFonts w:hint="eastAsia" w:ascii="宋体" w:hAnsi="宋体" w:eastAsia="宋体" w:cs="宋体"/>
          <w:b w:val="0"/>
          <w:bCs w:val="0"/>
          <w:color w:val="auto"/>
          <w:sz w:val="21"/>
          <w:szCs w:val="21"/>
          <w:highlight w:val="none"/>
          <w:lang w:bidi="ar-SA"/>
        </w:rPr>
        <w:t xml:space="preserve">   </w:t>
      </w:r>
      <w:r>
        <w:rPr>
          <w:rFonts w:hint="eastAsia" w:ascii="宋体" w:hAnsi="宋体" w:eastAsia="宋体" w:cs="宋体"/>
          <w:b w:val="0"/>
          <w:color w:val="auto"/>
          <w:sz w:val="21"/>
          <w:szCs w:val="21"/>
          <w:highlight w:val="none"/>
          <w:lang w:bidi="ar-SA"/>
        </w:rPr>
        <w:t xml:space="preserve"> </w:t>
      </w:r>
      <w:bookmarkStart w:id="911" w:name="_Toc351203485"/>
      <w:r>
        <w:rPr>
          <w:rFonts w:hint="eastAsia" w:ascii="宋体" w:hAnsi="宋体" w:eastAsia="宋体" w:cs="宋体"/>
          <w:b w:val="0"/>
          <w:color w:val="auto"/>
          <w:sz w:val="21"/>
          <w:szCs w:val="21"/>
          <w:highlight w:val="none"/>
          <w:lang w:bidi="ar-SA"/>
        </w:rPr>
        <w:t>五、</w:t>
      </w:r>
      <w:bookmarkEnd w:id="911"/>
      <w:r>
        <w:rPr>
          <w:rFonts w:hint="eastAsia" w:ascii="宋体" w:hAnsi="宋体" w:eastAsia="宋体" w:cs="宋体"/>
          <w:b w:val="0"/>
          <w:color w:val="auto"/>
          <w:sz w:val="21"/>
          <w:szCs w:val="21"/>
          <w:highlight w:val="none"/>
          <w:lang w:bidi="ar-SA"/>
        </w:rPr>
        <w:t>项目经理</w:t>
      </w:r>
    </w:p>
    <w:p w14:paraId="538C8619">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承包人项目经理：</w:t>
      </w:r>
      <w:r>
        <w:rPr>
          <w:rFonts w:hint="eastAsia" w:ascii="宋体" w:hAnsi="宋体" w:eastAsia="宋体" w:cs="宋体"/>
          <w:color w:val="auto"/>
          <w:sz w:val="21"/>
          <w:szCs w:val="21"/>
          <w:highlight w:val="none"/>
          <w:u w:val="single"/>
          <w:lang w:bidi="ar-SA"/>
        </w:rPr>
        <w:t>                     </w:t>
      </w:r>
      <w:r>
        <w:rPr>
          <w:rFonts w:hint="eastAsia" w:ascii="宋体" w:hAnsi="宋体" w:eastAsia="宋体" w:cs="宋体"/>
          <w:color w:val="auto"/>
          <w:sz w:val="21"/>
          <w:szCs w:val="21"/>
          <w:highlight w:val="none"/>
          <w:lang w:bidi="ar-SA"/>
        </w:rPr>
        <w:t>。</w:t>
      </w:r>
    </w:p>
    <w:p w14:paraId="3ECFCD5B">
      <w:pPr>
        <w:pStyle w:val="7"/>
        <w:pageBreakBefore w:val="0"/>
        <w:kinsoku/>
        <w:wordWrap w:val="0"/>
        <w:overflowPunct/>
        <w:topLinePunct w:val="0"/>
        <w:bidi w:val="0"/>
        <w:spacing w:before="120" w:after="120" w:line="360" w:lineRule="auto"/>
        <w:rPr>
          <w:rFonts w:hint="eastAsia" w:ascii="宋体" w:hAnsi="宋体" w:eastAsia="宋体" w:cs="宋体"/>
          <w:bCs w:val="0"/>
          <w:color w:val="auto"/>
          <w:sz w:val="21"/>
          <w:szCs w:val="21"/>
          <w:highlight w:val="none"/>
          <w:lang w:bidi="ar-SA"/>
        </w:rPr>
      </w:pPr>
      <w:r>
        <w:rPr>
          <w:rFonts w:hint="eastAsia" w:ascii="宋体" w:hAnsi="宋体" w:eastAsia="宋体" w:cs="宋体"/>
          <w:bCs w:val="0"/>
          <w:color w:val="auto"/>
          <w:sz w:val="21"/>
          <w:szCs w:val="21"/>
          <w:highlight w:val="none"/>
          <w:lang w:bidi="ar-SA"/>
        </w:rPr>
        <w:t xml:space="preserve">   </w:t>
      </w:r>
      <w:r>
        <w:rPr>
          <w:rFonts w:hint="eastAsia" w:ascii="宋体" w:hAnsi="宋体" w:eastAsia="宋体" w:cs="宋体"/>
          <w:b w:val="0"/>
          <w:color w:val="auto"/>
          <w:sz w:val="21"/>
          <w:szCs w:val="21"/>
          <w:highlight w:val="none"/>
          <w:lang w:bidi="ar-SA"/>
        </w:rPr>
        <w:t xml:space="preserve"> </w:t>
      </w:r>
      <w:bookmarkStart w:id="912" w:name="_Toc351203486"/>
      <w:r>
        <w:rPr>
          <w:rFonts w:hint="eastAsia" w:ascii="宋体" w:hAnsi="宋体" w:eastAsia="宋体" w:cs="宋体"/>
          <w:b w:val="0"/>
          <w:color w:val="auto"/>
          <w:sz w:val="21"/>
          <w:szCs w:val="21"/>
          <w:highlight w:val="none"/>
          <w:lang w:bidi="ar-SA"/>
        </w:rPr>
        <w:t>六、合同文件构成</w:t>
      </w:r>
      <w:bookmarkEnd w:id="912"/>
    </w:p>
    <w:p w14:paraId="1EE95EFA">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本协议书与下列文件一起构成合同文件：</w:t>
      </w:r>
    </w:p>
    <w:p w14:paraId="5EE20B1A">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（1）中标通知书（如果有）；</w:t>
      </w:r>
    </w:p>
    <w:p w14:paraId="7AC2E7F6">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 xml:space="preserve">（2）投标函及其附录（如果有）； </w:t>
      </w:r>
    </w:p>
    <w:p w14:paraId="69327872">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（3）专用合同条款及其附件；</w:t>
      </w:r>
    </w:p>
    <w:p w14:paraId="75DB3730">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（4）通用合同条款；</w:t>
      </w:r>
    </w:p>
    <w:p w14:paraId="72E6DE27">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（5）技术标准和要求；</w:t>
      </w:r>
    </w:p>
    <w:p w14:paraId="39B53839">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（6）图纸；</w:t>
      </w:r>
    </w:p>
    <w:p w14:paraId="3198764E">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（7）已标价工程量清单或预算书；</w:t>
      </w:r>
    </w:p>
    <w:p w14:paraId="74B86FA7">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（8）其他合同文件。</w:t>
      </w:r>
    </w:p>
    <w:p w14:paraId="47CEE40A">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在合同订立及履行过程中形成的与合同有关的文件均构成合同文件组成部分。</w:t>
      </w:r>
    </w:p>
    <w:p w14:paraId="138B7836">
      <w:pPr>
        <w:pageBreakBefore w:val="0"/>
        <w:kinsoku/>
        <w:wordWrap w:val="0"/>
        <w:overflowPunct/>
        <w:topLinePunct w:val="0"/>
        <w:autoSpaceDE w:val="0"/>
        <w:autoSpaceDN w:val="0"/>
        <w:bidi w:val="0"/>
        <w:adjustRightInd w:val="0"/>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上述各项合同文件包括合同当事人就该项合同文件所作出的补充和修改，属于同一类内容的文件，应以最新签署的为准。专用合同条款及其附件须经合同当事人签字或盖章。</w:t>
      </w:r>
    </w:p>
    <w:p w14:paraId="14AE09C7">
      <w:pPr>
        <w:pStyle w:val="7"/>
        <w:pageBreakBefore w:val="0"/>
        <w:kinsoku/>
        <w:wordWrap w:val="0"/>
        <w:overflowPunct/>
        <w:topLinePunct w:val="0"/>
        <w:bidi w:val="0"/>
        <w:spacing w:before="120" w:after="120" w:line="360" w:lineRule="auto"/>
        <w:rPr>
          <w:rFonts w:hint="eastAsia" w:ascii="宋体" w:hAnsi="宋体" w:eastAsia="宋体" w:cs="宋体"/>
          <w:b w:val="0"/>
          <w:bCs w:val="0"/>
          <w:color w:val="auto"/>
          <w:sz w:val="21"/>
          <w:szCs w:val="21"/>
          <w:highlight w:val="none"/>
          <w:lang w:bidi="ar-SA"/>
        </w:rPr>
      </w:pPr>
      <w:r>
        <w:rPr>
          <w:rFonts w:hint="eastAsia" w:ascii="宋体" w:hAnsi="宋体" w:eastAsia="宋体" w:cs="宋体"/>
          <w:b w:val="0"/>
          <w:bCs w:val="0"/>
          <w:color w:val="auto"/>
          <w:sz w:val="21"/>
          <w:szCs w:val="21"/>
          <w:highlight w:val="none"/>
          <w:lang w:bidi="ar-SA"/>
        </w:rPr>
        <w:t xml:space="preserve">   </w:t>
      </w:r>
      <w:r>
        <w:rPr>
          <w:rFonts w:hint="eastAsia" w:ascii="宋体" w:hAnsi="宋体" w:eastAsia="宋体" w:cs="宋体"/>
          <w:b w:val="0"/>
          <w:color w:val="auto"/>
          <w:sz w:val="21"/>
          <w:szCs w:val="21"/>
          <w:highlight w:val="none"/>
          <w:lang w:bidi="ar-SA"/>
        </w:rPr>
        <w:t xml:space="preserve"> </w:t>
      </w:r>
      <w:bookmarkStart w:id="913" w:name="_Toc351203487"/>
      <w:r>
        <w:rPr>
          <w:rFonts w:hint="eastAsia" w:ascii="宋体" w:hAnsi="宋体" w:eastAsia="宋体" w:cs="宋体"/>
          <w:b w:val="0"/>
          <w:color w:val="auto"/>
          <w:sz w:val="21"/>
          <w:szCs w:val="21"/>
          <w:highlight w:val="none"/>
          <w:lang w:bidi="ar-SA"/>
        </w:rPr>
        <w:t>七、承诺</w:t>
      </w:r>
      <w:bookmarkEnd w:id="913"/>
    </w:p>
    <w:p w14:paraId="31003410">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1.发包人承诺按照法律规定履行项目审批手续、筹集工程建设资金并按照合同约定的期限和方式支付合同价款。</w:t>
      </w:r>
    </w:p>
    <w:p w14:paraId="64D554E2">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2.承包人承诺按照法律规定及合同约定组织完成工程施工，确保工程质量和安全，不进行转包及违法分包，并在缺陷责任期及保修期内承担相应的工程维修责任。</w:t>
      </w:r>
    </w:p>
    <w:p w14:paraId="478BE196">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3.发包人和承包人通过招投标形式签订合同的，双方理解并承诺不再就同一工程另行签订与合同实质性内容相背离的协议。</w:t>
      </w:r>
    </w:p>
    <w:p w14:paraId="633CAC8D">
      <w:pPr>
        <w:pageBreakBefore w:val="0"/>
        <w:kinsoku/>
        <w:wordWrap w:val="0"/>
        <w:overflowPunct/>
        <w:topLinePunct w:val="0"/>
        <w:bidi w:val="0"/>
        <w:spacing w:line="360" w:lineRule="auto"/>
        <w:rPr>
          <w:rFonts w:hint="eastAsia" w:ascii="宋体" w:hAnsi="宋体" w:eastAsia="宋体" w:cs="宋体"/>
          <w:bCs/>
          <w:color w:val="auto"/>
          <w:sz w:val="21"/>
          <w:szCs w:val="21"/>
          <w:highlight w:val="none"/>
          <w:lang w:bidi="ar-SA"/>
        </w:rPr>
      </w:pPr>
      <w:bookmarkStart w:id="914" w:name="_Toc351203488"/>
      <w:r>
        <w:rPr>
          <w:rFonts w:hint="eastAsia" w:ascii="宋体" w:hAnsi="宋体" w:eastAsia="宋体" w:cs="宋体"/>
          <w:b/>
          <w:color w:val="auto"/>
          <w:sz w:val="21"/>
          <w:szCs w:val="21"/>
          <w:highlight w:val="none"/>
          <w:lang w:bidi="ar-SA"/>
        </w:rPr>
        <w:t xml:space="preserve">    八、词语含义</w:t>
      </w:r>
      <w:bookmarkEnd w:id="914"/>
    </w:p>
    <w:p w14:paraId="10E44452">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本协议书中词语含义与第二部分通用合同条款中赋予的含义相同。</w:t>
      </w:r>
    </w:p>
    <w:p w14:paraId="3D995C36">
      <w:pPr>
        <w:pStyle w:val="7"/>
        <w:pageBreakBefore w:val="0"/>
        <w:kinsoku/>
        <w:wordWrap w:val="0"/>
        <w:overflowPunct/>
        <w:topLinePunct w:val="0"/>
        <w:bidi w:val="0"/>
        <w:spacing w:before="120" w:after="120" w:line="360" w:lineRule="auto"/>
        <w:rPr>
          <w:rFonts w:hint="eastAsia" w:ascii="宋体" w:hAnsi="宋体" w:eastAsia="宋体" w:cs="宋体"/>
          <w:bCs w:val="0"/>
          <w:color w:val="auto"/>
          <w:sz w:val="21"/>
          <w:szCs w:val="21"/>
          <w:highlight w:val="none"/>
          <w:lang w:bidi="ar-SA"/>
        </w:rPr>
      </w:pPr>
      <w:r>
        <w:rPr>
          <w:rFonts w:hint="eastAsia" w:ascii="宋体" w:hAnsi="宋体" w:eastAsia="宋体" w:cs="宋体"/>
          <w:bCs w:val="0"/>
          <w:color w:val="auto"/>
          <w:sz w:val="21"/>
          <w:szCs w:val="21"/>
          <w:highlight w:val="none"/>
          <w:lang w:bidi="ar-SA"/>
        </w:rPr>
        <w:t xml:space="preserve">  </w:t>
      </w:r>
      <w:r>
        <w:rPr>
          <w:rFonts w:hint="eastAsia" w:ascii="宋体" w:hAnsi="宋体" w:eastAsia="宋体" w:cs="宋体"/>
          <w:b w:val="0"/>
          <w:color w:val="auto"/>
          <w:sz w:val="21"/>
          <w:szCs w:val="21"/>
          <w:highlight w:val="none"/>
          <w:lang w:bidi="ar-SA"/>
        </w:rPr>
        <w:t xml:space="preserve">  </w:t>
      </w:r>
      <w:bookmarkStart w:id="915" w:name="_Toc351203489"/>
      <w:r>
        <w:rPr>
          <w:rFonts w:hint="eastAsia" w:ascii="宋体" w:hAnsi="宋体" w:eastAsia="宋体" w:cs="宋体"/>
          <w:b w:val="0"/>
          <w:color w:val="auto"/>
          <w:sz w:val="21"/>
          <w:szCs w:val="21"/>
          <w:highlight w:val="none"/>
          <w:lang w:bidi="ar-SA"/>
        </w:rPr>
        <w:t>九、签订时间</w:t>
      </w:r>
      <w:bookmarkEnd w:id="915"/>
    </w:p>
    <w:p w14:paraId="56F1210D">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本合同于</w:t>
      </w:r>
      <w:r>
        <w:rPr>
          <w:rFonts w:hint="eastAsia" w:ascii="宋体" w:hAnsi="宋体" w:eastAsia="宋体" w:cs="宋体"/>
          <w:bCs/>
          <w:color w:val="auto"/>
          <w:sz w:val="21"/>
          <w:szCs w:val="21"/>
          <w:highlight w:val="none"/>
          <w:u w:val="single"/>
          <w:lang w:bidi="ar-SA"/>
        </w:rPr>
        <w:t xml:space="preserve">         </w:t>
      </w:r>
      <w:r>
        <w:rPr>
          <w:rFonts w:hint="eastAsia" w:ascii="宋体" w:hAnsi="宋体" w:eastAsia="宋体" w:cs="宋体"/>
          <w:bCs/>
          <w:color w:val="auto"/>
          <w:sz w:val="21"/>
          <w:szCs w:val="21"/>
          <w:highlight w:val="none"/>
          <w:lang w:bidi="ar-SA"/>
        </w:rPr>
        <w:t>年</w:t>
      </w:r>
      <w:r>
        <w:rPr>
          <w:rFonts w:hint="eastAsia" w:ascii="宋体" w:hAnsi="宋体" w:eastAsia="宋体" w:cs="宋体"/>
          <w:bCs/>
          <w:color w:val="auto"/>
          <w:sz w:val="21"/>
          <w:szCs w:val="21"/>
          <w:highlight w:val="none"/>
          <w:u w:val="single"/>
          <w:lang w:bidi="ar-SA"/>
        </w:rPr>
        <w:t xml:space="preserve">    </w:t>
      </w:r>
      <w:r>
        <w:rPr>
          <w:rFonts w:hint="eastAsia" w:ascii="宋体" w:hAnsi="宋体" w:eastAsia="宋体" w:cs="宋体"/>
          <w:bCs/>
          <w:color w:val="auto"/>
          <w:sz w:val="21"/>
          <w:szCs w:val="21"/>
          <w:highlight w:val="none"/>
          <w:lang w:bidi="ar-SA"/>
        </w:rPr>
        <w:t>月</w:t>
      </w:r>
      <w:r>
        <w:rPr>
          <w:rFonts w:hint="eastAsia" w:ascii="宋体" w:hAnsi="宋体" w:eastAsia="宋体" w:cs="宋体"/>
          <w:bCs/>
          <w:color w:val="auto"/>
          <w:sz w:val="21"/>
          <w:szCs w:val="21"/>
          <w:highlight w:val="none"/>
          <w:u w:val="single"/>
          <w:lang w:bidi="ar-SA"/>
        </w:rPr>
        <w:t xml:space="preserve">    </w:t>
      </w:r>
      <w:r>
        <w:rPr>
          <w:rFonts w:hint="eastAsia" w:ascii="宋体" w:hAnsi="宋体" w:eastAsia="宋体" w:cs="宋体"/>
          <w:bCs/>
          <w:color w:val="auto"/>
          <w:sz w:val="21"/>
          <w:szCs w:val="21"/>
          <w:highlight w:val="none"/>
          <w:lang w:bidi="ar-SA"/>
        </w:rPr>
        <w:t>日签订。</w:t>
      </w:r>
    </w:p>
    <w:p w14:paraId="3B8FA334">
      <w:pPr>
        <w:pStyle w:val="7"/>
        <w:pageBreakBefore w:val="0"/>
        <w:kinsoku/>
        <w:wordWrap w:val="0"/>
        <w:overflowPunct/>
        <w:topLinePunct w:val="0"/>
        <w:bidi w:val="0"/>
        <w:spacing w:before="120" w:after="120" w:line="360" w:lineRule="auto"/>
        <w:rPr>
          <w:rFonts w:hint="eastAsia" w:ascii="宋体" w:hAnsi="宋体" w:eastAsia="宋体" w:cs="宋体"/>
          <w:bCs w:val="0"/>
          <w:color w:val="auto"/>
          <w:sz w:val="21"/>
          <w:szCs w:val="21"/>
          <w:highlight w:val="none"/>
          <w:lang w:bidi="ar-SA"/>
        </w:rPr>
      </w:pPr>
      <w:r>
        <w:rPr>
          <w:rFonts w:hint="eastAsia" w:ascii="宋体" w:hAnsi="宋体" w:eastAsia="宋体" w:cs="宋体"/>
          <w:bCs w:val="0"/>
          <w:color w:val="auto"/>
          <w:sz w:val="21"/>
          <w:szCs w:val="21"/>
          <w:highlight w:val="none"/>
          <w:lang w:bidi="ar-SA"/>
        </w:rPr>
        <w:t xml:space="preserve">    </w:t>
      </w:r>
      <w:bookmarkStart w:id="916" w:name="_Toc351203490"/>
      <w:r>
        <w:rPr>
          <w:rFonts w:hint="eastAsia" w:ascii="宋体" w:hAnsi="宋体" w:eastAsia="宋体" w:cs="宋体"/>
          <w:b w:val="0"/>
          <w:color w:val="auto"/>
          <w:sz w:val="21"/>
          <w:szCs w:val="21"/>
          <w:highlight w:val="none"/>
          <w:lang w:bidi="ar-SA"/>
        </w:rPr>
        <w:t>十、签订地点</w:t>
      </w:r>
      <w:bookmarkEnd w:id="916"/>
    </w:p>
    <w:p w14:paraId="21B12346">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本合同在</w:t>
      </w:r>
      <w:r>
        <w:rPr>
          <w:rFonts w:hint="eastAsia" w:ascii="宋体" w:hAnsi="宋体" w:eastAsia="宋体" w:cs="宋体"/>
          <w:bCs/>
          <w:color w:val="auto"/>
          <w:sz w:val="21"/>
          <w:szCs w:val="21"/>
          <w:highlight w:val="none"/>
          <w:u w:val="single"/>
          <w:lang w:bidi="ar-SA"/>
        </w:rPr>
        <w:t xml:space="preserve">                                    </w:t>
      </w:r>
      <w:r>
        <w:rPr>
          <w:rFonts w:hint="eastAsia" w:ascii="宋体" w:hAnsi="宋体" w:eastAsia="宋体" w:cs="宋体"/>
          <w:bCs/>
          <w:color w:val="auto"/>
          <w:sz w:val="21"/>
          <w:szCs w:val="21"/>
          <w:highlight w:val="none"/>
          <w:lang w:bidi="ar-SA"/>
        </w:rPr>
        <w:t>签订。</w:t>
      </w:r>
    </w:p>
    <w:p w14:paraId="35F5C3E6">
      <w:pPr>
        <w:pStyle w:val="7"/>
        <w:pageBreakBefore w:val="0"/>
        <w:kinsoku/>
        <w:wordWrap w:val="0"/>
        <w:overflowPunct/>
        <w:topLinePunct w:val="0"/>
        <w:bidi w:val="0"/>
        <w:spacing w:before="120" w:after="120" w:line="360" w:lineRule="auto"/>
        <w:rPr>
          <w:rFonts w:hint="eastAsia" w:ascii="宋体" w:hAnsi="宋体" w:eastAsia="宋体" w:cs="宋体"/>
          <w:bCs w:val="0"/>
          <w:color w:val="auto"/>
          <w:sz w:val="21"/>
          <w:szCs w:val="21"/>
          <w:highlight w:val="none"/>
          <w:lang w:bidi="ar-SA"/>
        </w:rPr>
      </w:pPr>
      <w:r>
        <w:rPr>
          <w:rFonts w:hint="eastAsia" w:ascii="宋体" w:hAnsi="宋体" w:eastAsia="宋体" w:cs="宋体"/>
          <w:bCs w:val="0"/>
          <w:color w:val="auto"/>
          <w:sz w:val="21"/>
          <w:szCs w:val="21"/>
          <w:highlight w:val="none"/>
          <w:lang w:bidi="ar-SA"/>
        </w:rPr>
        <w:t xml:space="preserve">    </w:t>
      </w:r>
      <w:bookmarkStart w:id="917" w:name="_Toc351203491"/>
      <w:r>
        <w:rPr>
          <w:rFonts w:hint="eastAsia" w:ascii="宋体" w:hAnsi="宋体" w:eastAsia="宋体" w:cs="宋体"/>
          <w:b w:val="0"/>
          <w:color w:val="auto"/>
          <w:sz w:val="21"/>
          <w:szCs w:val="21"/>
          <w:highlight w:val="none"/>
          <w:lang w:bidi="ar-SA"/>
        </w:rPr>
        <w:t>十一、补充协议</w:t>
      </w:r>
      <w:bookmarkEnd w:id="917"/>
    </w:p>
    <w:p w14:paraId="4008C1C9">
      <w:pPr>
        <w:pageBreakBefore w:val="0"/>
        <w:kinsoku/>
        <w:wordWrap w:val="0"/>
        <w:overflowPunct/>
        <w:topLinePunct w:val="0"/>
        <w:bidi w:val="0"/>
        <w:spacing w:line="360" w:lineRule="auto"/>
        <w:ind w:firstLine="420" w:firstLineChars="200"/>
        <w:rPr>
          <w:rFonts w:hint="eastAsia" w:ascii="宋体" w:hAnsi="宋体" w:eastAsia="宋体" w:cs="宋体"/>
          <w:b/>
          <w:bCs/>
          <w:color w:val="auto"/>
          <w:sz w:val="21"/>
          <w:szCs w:val="21"/>
          <w:highlight w:val="none"/>
          <w:lang w:bidi="ar-SA"/>
        </w:rPr>
      </w:pPr>
      <w:r>
        <w:rPr>
          <w:rFonts w:hint="eastAsia" w:ascii="宋体" w:hAnsi="宋体" w:eastAsia="宋体" w:cs="宋体"/>
          <w:bCs/>
          <w:color w:val="auto"/>
          <w:sz w:val="21"/>
          <w:szCs w:val="21"/>
          <w:highlight w:val="none"/>
          <w:lang w:bidi="ar-SA"/>
        </w:rPr>
        <w:t>合同未尽事宜，合同当事人另行签订补充协议，补充协议是合同的组成部分。</w:t>
      </w:r>
    </w:p>
    <w:p w14:paraId="0DAC6F18">
      <w:pPr>
        <w:pStyle w:val="7"/>
        <w:pageBreakBefore w:val="0"/>
        <w:kinsoku/>
        <w:wordWrap w:val="0"/>
        <w:overflowPunct/>
        <w:topLinePunct w:val="0"/>
        <w:bidi w:val="0"/>
        <w:spacing w:before="120" w:after="120" w:line="360" w:lineRule="auto"/>
        <w:rPr>
          <w:rFonts w:hint="eastAsia" w:ascii="宋体" w:hAnsi="宋体" w:eastAsia="宋体" w:cs="宋体"/>
          <w:bCs w:val="0"/>
          <w:color w:val="auto"/>
          <w:sz w:val="21"/>
          <w:szCs w:val="21"/>
          <w:highlight w:val="none"/>
          <w:lang w:bidi="ar-SA"/>
        </w:rPr>
      </w:pPr>
      <w:r>
        <w:rPr>
          <w:rFonts w:hint="eastAsia" w:ascii="宋体" w:hAnsi="宋体" w:eastAsia="宋体" w:cs="宋体"/>
          <w:bCs w:val="0"/>
          <w:color w:val="auto"/>
          <w:sz w:val="21"/>
          <w:szCs w:val="21"/>
          <w:highlight w:val="none"/>
          <w:lang w:bidi="ar-SA"/>
        </w:rPr>
        <w:t xml:space="preserve">    </w:t>
      </w:r>
      <w:bookmarkStart w:id="918" w:name="_Toc351203492"/>
      <w:r>
        <w:rPr>
          <w:rFonts w:hint="eastAsia" w:ascii="宋体" w:hAnsi="宋体" w:eastAsia="宋体" w:cs="宋体"/>
          <w:b w:val="0"/>
          <w:color w:val="auto"/>
          <w:sz w:val="21"/>
          <w:szCs w:val="21"/>
          <w:highlight w:val="none"/>
          <w:lang w:bidi="ar-SA"/>
        </w:rPr>
        <w:t>十二、合同生效</w:t>
      </w:r>
      <w:bookmarkEnd w:id="918"/>
    </w:p>
    <w:p w14:paraId="013062BB">
      <w:pPr>
        <w:pageBreakBefore w:val="0"/>
        <w:kinsoku/>
        <w:wordWrap w:val="0"/>
        <w:overflowPunct/>
        <w:topLinePunct w:val="0"/>
        <w:bidi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SA"/>
        </w:rPr>
        <w:t>本合同自</w:t>
      </w:r>
      <w:r>
        <w:rPr>
          <w:rFonts w:hint="eastAsia" w:ascii="宋体" w:hAnsi="宋体" w:eastAsia="宋体" w:cs="宋体"/>
          <w:bCs/>
          <w:color w:val="auto"/>
          <w:sz w:val="21"/>
          <w:szCs w:val="21"/>
          <w:highlight w:val="none"/>
          <w:u w:val="single"/>
          <w:lang w:bidi="ar-SA"/>
        </w:rPr>
        <w:t xml:space="preserve">      </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bidi="ar-SA"/>
        </w:rPr>
        <w:t>生效。</w:t>
      </w:r>
    </w:p>
    <w:p w14:paraId="00AB212C">
      <w:pPr>
        <w:pStyle w:val="7"/>
        <w:pageBreakBefore w:val="0"/>
        <w:kinsoku/>
        <w:wordWrap w:val="0"/>
        <w:overflowPunct/>
        <w:topLinePunct w:val="0"/>
        <w:bidi w:val="0"/>
        <w:spacing w:before="120" w:after="120" w:line="360" w:lineRule="auto"/>
        <w:rPr>
          <w:rFonts w:hint="eastAsia" w:ascii="宋体" w:hAnsi="宋体" w:eastAsia="宋体" w:cs="宋体"/>
          <w:bCs w:val="0"/>
          <w:color w:val="auto"/>
          <w:sz w:val="21"/>
          <w:szCs w:val="21"/>
          <w:highlight w:val="none"/>
          <w:lang w:bidi="ar-SA"/>
        </w:rPr>
      </w:pPr>
      <w:r>
        <w:rPr>
          <w:rFonts w:hint="eastAsia" w:ascii="宋体" w:hAnsi="宋体" w:eastAsia="宋体" w:cs="宋体"/>
          <w:bCs w:val="0"/>
          <w:color w:val="auto"/>
          <w:sz w:val="21"/>
          <w:szCs w:val="21"/>
          <w:highlight w:val="none"/>
          <w:lang w:bidi="ar-SA"/>
        </w:rPr>
        <w:t xml:space="preserve">    </w:t>
      </w:r>
      <w:bookmarkStart w:id="919" w:name="_Toc351203493"/>
      <w:r>
        <w:rPr>
          <w:rFonts w:hint="eastAsia" w:ascii="宋体" w:hAnsi="宋体" w:eastAsia="宋体" w:cs="宋体"/>
          <w:b w:val="0"/>
          <w:color w:val="auto"/>
          <w:sz w:val="21"/>
          <w:szCs w:val="21"/>
          <w:highlight w:val="none"/>
          <w:lang w:bidi="ar-SA"/>
        </w:rPr>
        <w:t>十三、合同份数</w:t>
      </w:r>
      <w:bookmarkEnd w:id="919"/>
    </w:p>
    <w:p w14:paraId="7A3E7FC3">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bidi="ar-SA"/>
        </w:rPr>
        <w:t>本合同一式</w:t>
      </w:r>
      <w:r>
        <w:rPr>
          <w:rFonts w:hint="eastAsia" w:ascii="宋体" w:hAnsi="宋体" w:eastAsia="宋体" w:cs="宋体"/>
          <w:bCs/>
          <w:color w:val="auto"/>
          <w:sz w:val="21"/>
          <w:szCs w:val="21"/>
          <w:highlight w:val="none"/>
          <w:u w:val="single"/>
          <w:lang w:bidi="ar-SA"/>
        </w:rPr>
        <w:t xml:space="preserve">  </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u w:val="single"/>
          <w:lang w:bidi="ar-SA"/>
        </w:rPr>
        <w:t xml:space="preserve"> </w:t>
      </w:r>
      <w:r>
        <w:rPr>
          <w:rFonts w:hint="eastAsia" w:ascii="宋体" w:hAnsi="宋体" w:eastAsia="宋体" w:cs="宋体"/>
          <w:bCs/>
          <w:color w:val="auto"/>
          <w:sz w:val="21"/>
          <w:szCs w:val="21"/>
          <w:highlight w:val="none"/>
          <w:lang w:bidi="ar-SA"/>
        </w:rPr>
        <w:t>份，均具有同等法律效力，发包人执</w:t>
      </w:r>
      <w:r>
        <w:rPr>
          <w:rFonts w:hint="eastAsia" w:ascii="宋体" w:hAnsi="宋体" w:eastAsia="宋体" w:cs="宋体"/>
          <w:bCs/>
          <w:color w:val="auto"/>
          <w:sz w:val="21"/>
          <w:szCs w:val="21"/>
          <w:highlight w:val="none"/>
          <w:u w:val="single"/>
          <w:lang w:bidi="ar-SA"/>
        </w:rPr>
        <w:t xml:space="preserve">     </w:t>
      </w:r>
      <w:r>
        <w:rPr>
          <w:rFonts w:hint="eastAsia" w:ascii="宋体" w:hAnsi="宋体" w:eastAsia="宋体" w:cs="宋体"/>
          <w:bCs/>
          <w:color w:val="auto"/>
          <w:sz w:val="21"/>
          <w:szCs w:val="21"/>
          <w:highlight w:val="none"/>
          <w:lang w:bidi="ar-SA"/>
        </w:rPr>
        <w:t>份，承包人执</w:t>
      </w:r>
      <w:r>
        <w:rPr>
          <w:rFonts w:hint="eastAsia" w:ascii="宋体" w:hAnsi="宋体" w:eastAsia="宋体" w:cs="宋体"/>
          <w:bCs/>
          <w:color w:val="auto"/>
          <w:sz w:val="21"/>
          <w:szCs w:val="21"/>
          <w:highlight w:val="none"/>
          <w:u w:val="single"/>
          <w:lang w:bidi="ar-SA"/>
        </w:rPr>
        <w:t xml:space="preserve">    肆</w:t>
      </w:r>
      <w:r>
        <w:rPr>
          <w:rFonts w:hint="eastAsia" w:ascii="宋体" w:hAnsi="宋体" w:eastAsia="宋体" w:cs="宋体"/>
          <w:bCs/>
          <w:color w:val="auto"/>
          <w:sz w:val="21"/>
          <w:szCs w:val="21"/>
          <w:highlight w:val="none"/>
          <w:lang w:bidi="ar-SA"/>
        </w:rPr>
        <w:t>份。</w:t>
      </w:r>
    </w:p>
    <w:p w14:paraId="1850CB65">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p>
    <w:p w14:paraId="7F44A106">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p>
    <w:p w14:paraId="394F0C44">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p>
    <w:p w14:paraId="689785AC">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发包人：            (公章)             承包人：  (公章)</w:t>
      </w:r>
    </w:p>
    <w:p w14:paraId="42E51CE0">
      <w:pPr>
        <w:pageBreakBefore w:val="0"/>
        <w:kinsoku/>
        <w:wordWrap w:val="0"/>
        <w:overflowPunct/>
        <w:topLinePunct w:val="0"/>
        <w:bidi w:val="0"/>
        <w:spacing w:line="360" w:lineRule="auto"/>
        <w:rPr>
          <w:rFonts w:hint="eastAsia" w:ascii="宋体" w:hAnsi="宋体" w:eastAsia="宋体" w:cs="宋体"/>
          <w:color w:val="auto"/>
          <w:sz w:val="21"/>
          <w:szCs w:val="21"/>
          <w:highlight w:val="none"/>
          <w:u w:val="single"/>
          <w:lang w:bidi="ar-SA"/>
        </w:rPr>
      </w:pPr>
      <w:r>
        <w:rPr>
          <w:rFonts w:hint="eastAsia" w:ascii="宋体" w:hAnsi="宋体" w:eastAsia="宋体" w:cs="宋体"/>
          <w:color w:val="auto"/>
          <w:sz w:val="21"/>
          <w:szCs w:val="21"/>
          <w:highlight w:val="none"/>
          <w:lang w:bidi="ar-SA"/>
        </w:rPr>
        <w:t xml:space="preserve">                                 </w:t>
      </w:r>
    </w:p>
    <w:p w14:paraId="62C4677E">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法定代表人或其委托代理人：  法定代表人或其委托代理人：</w:t>
      </w:r>
    </w:p>
    <w:p w14:paraId="5922358F">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（签字）                    （签字）</w:t>
      </w:r>
    </w:p>
    <w:p w14:paraId="4770023A">
      <w:pPr>
        <w:pageBreakBefore w:val="0"/>
        <w:kinsoku/>
        <w:wordWrap w:val="0"/>
        <w:overflowPunct/>
        <w:topLinePunct w:val="0"/>
        <w:bidi w:val="0"/>
        <w:spacing w:line="360" w:lineRule="auto"/>
        <w:rPr>
          <w:rFonts w:hint="eastAsia" w:ascii="宋体" w:hAnsi="宋体" w:eastAsia="宋体" w:cs="宋体"/>
          <w:color w:val="auto"/>
          <w:sz w:val="21"/>
          <w:szCs w:val="21"/>
          <w:highlight w:val="none"/>
          <w:u w:val="single"/>
          <w:lang w:bidi="ar-SA"/>
        </w:rPr>
      </w:pPr>
    </w:p>
    <w:p w14:paraId="0796F5E5">
      <w:pPr>
        <w:pageBreakBefore w:val="0"/>
        <w:tabs>
          <w:tab w:val="left" w:pos="4410"/>
        </w:tabs>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组织机构代码：</w:t>
      </w:r>
      <w:r>
        <w:rPr>
          <w:rFonts w:hint="eastAsia" w:ascii="宋体" w:hAnsi="宋体" w:eastAsia="宋体" w:cs="宋体"/>
          <w:color w:val="auto"/>
          <w:sz w:val="21"/>
          <w:szCs w:val="21"/>
          <w:highlight w:val="none"/>
          <w:u w:val="single"/>
          <w:lang w:bidi="ar-SA"/>
        </w:rPr>
        <w:t xml:space="preserve">       </w:t>
      </w:r>
      <w:r>
        <w:rPr>
          <w:rFonts w:hint="eastAsia" w:ascii="宋体" w:hAnsi="宋体" w:eastAsia="宋体" w:cs="宋体"/>
          <w:color w:val="auto"/>
          <w:sz w:val="21"/>
          <w:szCs w:val="21"/>
          <w:highlight w:val="none"/>
          <w:lang w:bidi="ar-SA"/>
        </w:rPr>
        <w:t xml:space="preserve">  组织机构代码：</w:t>
      </w:r>
      <w:r>
        <w:rPr>
          <w:rFonts w:hint="eastAsia" w:ascii="宋体" w:hAnsi="宋体" w:eastAsia="宋体" w:cs="宋体"/>
          <w:color w:val="auto"/>
          <w:sz w:val="21"/>
          <w:szCs w:val="21"/>
          <w:highlight w:val="none"/>
          <w:u w:val="single"/>
          <w:lang w:bidi="ar-SA"/>
        </w:rPr>
        <w:t xml:space="preserve">          </w:t>
      </w:r>
      <w:r>
        <w:rPr>
          <w:rFonts w:hint="eastAsia" w:ascii="宋体" w:hAnsi="宋体" w:eastAsia="宋体" w:cs="宋体"/>
          <w:color w:val="auto"/>
          <w:sz w:val="21"/>
          <w:szCs w:val="21"/>
          <w:highlight w:val="none"/>
          <w:lang w:bidi="ar-SA"/>
        </w:rPr>
        <w:t xml:space="preserve"> </w:t>
      </w:r>
    </w:p>
    <w:p w14:paraId="30AA8CCD">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地  址：</w:t>
      </w:r>
      <w:r>
        <w:rPr>
          <w:rFonts w:hint="eastAsia" w:ascii="宋体" w:hAnsi="宋体" w:eastAsia="宋体" w:cs="宋体"/>
          <w:color w:val="auto"/>
          <w:sz w:val="21"/>
          <w:szCs w:val="21"/>
          <w:highlight w:val="none"/>
          <w:u w:val="single"/>
          <w:lang w:bidi="ar-SA"/>
        </w:rPr>
        <w:t xml:space="preserve">     </w:t>
      </w:r>
      <w:r>
        <w:rPr>
          <w:rFonts w:hint="eastAsia" w:ascii="宋体" w:hAnsi="宋体" w:eastAsia="宋体" w:cs="宋体"/>
          <w:color w:val="auto"/>
          <w:sz w:val="21"/>
          <w:szCs w:val="21"/>
          <w:highlight w:val="none"/>
          <w:lang w:bidi="ar-SA"/>
        </w:rPr>
        <w:t xml:space="preserve">    地  址：</w:t>
      </w:r>
      <w:r>
        <w:rPr>
          <w:rFonts w:hint="eastAsia" w:ascii="宋体" w:hAnsi="宋体" w:eastAsia="宋体" w:cs="宋体"/>
          <w:color w:val="auto"/>
          <w:sz w:val="21"/>
          <w:szCs w:val="21"/>
          <w:highlight w:val="none"/>
          <w:u w:val="single"/>
          <w:lang w:bidi="ar-SA"/>
        </w:rPr>
        <w:t xml:space="preserve">        </w:t>
      </w:r>
    </w:p>
    <w:p w14:paraId="620E3E8B">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邮政编码：</w:t>
      </w:r>
      <w:r>
        <w:rPr>
          <w:rFonts w:hint="eastAsia" w:ascii="宋体" w:hAnsi="宋体" w:eastAsia="宋体" w:cs="宋体"/>
          <w:color w:val="auto"/>
          <w:sz w:val="21"/>
          <w:szCs w:val="21"/>
          <w:highlight w:val="none"/>
          <w:u w:val="single"/>
          <w:lang w:bidi="ar-SA"/>
        </w:rPr>
        <w:t xml:space="preserve">      </w:t>
      </w:r>
      <w:r>
        <w:rPr>
          <w:rFonts w:hint="eastAsia" w:ascii="宋体" w:hAnsi="宋体" w:eastAsia="宋体" w:cs="宋体"/>
          <w:color w:val="auto"/>
          <w:sz w:val="21"/>
          <w:szCs w:val="21"/>
          <w:highlight w:val="none"/>
          <w:lang w:bidi="ar-SA"/>
        </w:rPr>
        <w:t xml:space="preserve">  邮政编码：</w:t>
      </w:r>
      <w:r>
        <w:rPr>
          <w:rFonts w:hint="eastAsia" w:ascii="宋体" w:hAnsi="宋体" w:eastAsia="宋体" w:cs="宋体"/>
          <w:color w:val="auto"/>
          <w:sz w:val="21"/>
          <w:szCs w:val="21"/>
          <w:highlight w:val="none"/>
          <w:u w:val="single"/>
          <w:lang w:bidi="ar-SA"/>
        </w:rPr>
        <w:t xml:space="preserve">   </w:t>
      </w:r>
    </w:p>
    <w:p w14:paraId="678A775B">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法定代表人：</w:t>
      </w:r>
      <w:r>
        <w:rPr>
          <w:rFonts w:hint="eastAsia" w:ascii="宋体" w:hAnsi="宋体" w:eastAsia="宋体" w:cs="宋体"/>
          <w:color w:val="auto"/>
          <w:sz w:val="21"/>
          <w:szCs w:val="21"/>
          <w:highlight w:val="none"/>
          <w:u w:val="single"/>
          <w:lang w:bidi="ar-SA"/>
        </w:rPr>
        <w:t xml:space="preserve">           </w:t>
      </w:r>
      <w:r>
        <w:rPr>
          <w:rFonts w:hint="eastAsia" w:ascii="宋体" w:hAnsi="宋体" w:eastAsia="宋体" w:cs="宋体"/>
          <w:color w:val="auto"/>
          <w:sz w:val="21"/>
          <w:szCs w:val="21"/>
          <w:highlight w:val="none"/>
          <w:lang w:bidi="ar-SA"/>
        </w:rPr>
        <w:t xml:space="preserve"> 法定代表人：</w:t>
      </w:r>
      <w:r>
        <w:rPr>
          <w:rFonts w:hint="eastAsia" w:ascii="宋体" w:hAnsi="宋体" w:eastAsia="宋体" w:cs="宋体"/>
          <w:color w:val="auto"/>
          <w:sz w:val="21"/>
          <w:szCs w:val="21"/>
          <w:highlight w:val="none"/>
          <w:u w:val="single"/>
          <w:lang w:bidi="ar-SA"/>
        </w:rPr>
        <w:t xml:space="preserve">             </w:t>
      </w:r>
    </w:p>
    <w:p w14:paraId="2363BBCD">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委托代理人：</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 xml:space="preserve"> 委托代理人：</w:t>
      </w:r>
      <w:r>
        <w:rPr>
          <w:rFonts w:hint="eastAsia" w:ascii="宋体" w:hAnsi="宋体" w:eastAsia="宋体" w:cs="宋体"/>
          <w:color w:val="auto"/>
          <w:sz w:val="21"/>
          <w:szCs w:val="21"/>
          <w:highlight w:val="none"/>
          <w:u w:val="single"/>
          <w:lang w:bidi="ar-SA"/>
        </w:rPr>
        <w:t xml:space="preserve">             </w:t>
      </w:r>
    </w:p>
    <w:p w14:paraId="71CF53DC">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电  话：</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 xml:space="preserve">    电  话：</w:t>
      </w:r>
      <w:r>
        <w:rPr>
          <w:rFonts w:hint="eastAsia" w:ascii="宋体" w:hAnsi="宋体" w:eastAsia="宋体" w:cs="宋体"/>
          <w:color w:val="auto"/>
          <w:sz w:val="21"/>
          <w:szCs w:val="21"/>
          <w:highlight w:val="none"/>
          <w:u w:val="single"/>
          <w:lang w:bidi="ar-SA"/>
        </w:rPr>
        <w:t xml:space="preserve">     </w:t>
      </w:r>
    </w:p>
    <w:p w14:paraId="0BADC8A8">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传  真：</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 xml:space="preserve">    传  真：</w:t>
      </w:r>
      <w:r>
        <w:rPr>
          <w:rFonts w:hint="eastAsia" w:ascii="宋体" w:hAnsi="宋体" w:eastAsia="宋体" w:cs="宋体"/>
          <w:color w:val="auto"/>
          <w:sz w:val="21"/>
          <w:szCs w:val="21"/>
          <w:highlight w:val="none"/>
          <w:u w:val="single"/>
          <w:lang w:bidi="ar-SA"/>
        </w:rPr>
        <w:t xml:space="preserve">     </w:t>
      </w:r>
    </w:p>
    <w:p w14:paraId="6DA18A22">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电子信箱：</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电子信箱：</w:t>
      </w:r>
      <w:r>
        <w:rPr>
          <w:rFonts w:hint="eastAsia" w:ascii="宋体" w:hAnsi="宋体" w:eastAsia="宋体" w:cs="宋体"/>
          <w:color w:val="auto"/>
          <w:sz w:val="21"/>
          <w:szCs w:val="21"/>
          <w:highlight w:val="none"/>
          <w:u w:val="single"/>
          <w:lang w:bidi="ar-SA"/>
        </w:rPr>
        <w:t xml:space="preserve">   </w:t>
      </w:r>
    </w:p>
    <w:p w14:paraId="09226452">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开户银行：</w:t>
      </w:r>
      <w:r>
        <w:rPr>
          <w:rFonts w:hint="eastAsia" w:ascii="宋体" w:hAnsi="宋体" w:eastAsia="宋体" w:cs="宋体"/>
          <w:color w:val="auto"/>
          <w:sz w:val="21"/>
          <w:szCs w:val="21"/>
          <w:highlight w:val="none"/>
          <w:u w:val="single"/>
          <w:lang w:bidi="ar-SA"/>
        </w:rPr>
        <w:t xml:space="preserve">   </w:t>
      </w:r>
      <w:r>
        <w:rPr>
          <w:rFonts w:hint="eastAsia" w:ascii="宋体" w:hAnsi="宋体" w:eastAsia="宋体" w:cs="宋体"/>
          <w:color w:val="auto"/>
          <w:sz w:val="21"/>
          <w:szCs w:val="21"/>
          <w:highlight w:val="none"/>
          <w:lang w:bidi="ar-SA"/>
        </w:rPr>
        <w:t xml:space="preserve">   开户银行：</w:t>
      </w:r>
      <w:r>
        <w:rPr>
          <w:rFonts w:hint="eastAsia" w:ascii="宋体" w:hAnsi="宋体" w:eastAsia="宋体" w:cs="宋体"/>
          <w:color w:val="auto"/>
          <w:sz w:val="21"/>
          <w:szCs w:val="21"/>
          <w:highlight w:val="none"/>
          <w:u w:val="single"/>
          <w:lang w:bidi="ar-SA"/>
        </w:rPr>
        <w:t xml:space="preserve">   </w:t>
      </w:r>
    </w:p>
    <w:p w14:paraId="71CF1AE2">
      <w:pPr>
        <w:pageBreakBefore w:val="0"/>
        <w:kinsoku/>
        <w:wordWrap w:val="0"/>
        <w:overflowPunct/>
        <w:topLinePunct w:val="0"/>
        <w:bidi w:val="0"/>
        <w:spacing w:line="360" w:lineRule="auto"/>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账  号：</w:t>
      </w:r>
      <w:r>
        <w:rPr>
          <w:rFonts w:hint="eastAsia" w:ascii="宋体" w:hAnsi="宋体" w:eastAsia="宋体" w:cs="宋体"/>
          <w:color w:val="auto"/>
          <w:sz w:val="21"/>
          <w:szCs w:val="21"/>
          <w:highlight w:val="none"/>
          <w:u w:val="single"/>
          <w:lang w:bidi="ar-SA"/>
        </w:rPr>
        <w:t xml:space="preserve">       </w:t>
      </w:r>
      <w:r>
        <w:rPr>
          <w:rFonts w:hint="eastAsia" w:ascii="宋体" w:hAnsi="宋体" w:eastAsia="宋体" w:cs="宋体"/>
          <w:color w:val="auto"/>
          <w:sz w:val="21"/>
          <w:szCs w:val="21"/>
          <w:highlight w:val="none"/>
          <w:lang w:bidi="ar-SA"/>
        </w:rPr>
        <w:t xml:space="preserve">   账  号：</w:t>
      </w:r>
      <w:r>
        <w:rPr>
          <w:rFonts w:hint="eastAsia" w:ascii="宋体" w:hAnsi="宋体" w:eastAsia="宋体" w:cs="宋体"/>
          <w:color w:val="auto"/>
          <w:sz w:val="21"/>
          <w:szCs w:val="21"/>
          <w:highlight w:val="none"/>
          <w:u w:val="single"/>
          <w:lang w:bidi="ar-SA"/>
        </w:rPr>
        <w:t xml:space="preserve">     </w:t>
      </w:r>
    </w:p>
    <w:p w14:paraId="1D1BB97B">
      <w:pPr>
        <w:pStyle w:val="42"/>
        <w:pageBreakBefore w:val="0"/>
        <w:kinsoku/>
        <w:wordWrap w:val="0"/>
        <w:overflowPunct/>
        <w:topLinePunct w:val="0"/>
        <w:bidi w:val="0"/>
        <w:jc w:val="center"/>
        <w:rPr>
          <w:rFonts w:hint="eastAsia" w:ascii="宋体" w:hAnsi="宋体" w:eastAsia="宋体" w:cs="宋体"/>
          <w:color w:val="auto"/>
          <w:szCs w:val="44"/>
          <w:highlight w:val="none"/>
        </w:rPr>
      </w:pPr>
      <w:r>
        <w:rPr>
          <w:rFonts w:hint="eastAsia" w:ascii="宋体" w:hAnsi="宋体" w:eastAsia="宋体" w:cs="宋体"/>
          <w:color w:val="auto"/>
          <w:szCs w:val="21"/>
          <w:highlight w:val="none"/>
        </w:rPr>
        <w:br w:type="page"/>
      </w:r>
      <w:bookmarkStart w:id="920" w:name="_Toc351203494"/>
      <w:r>
        <w:rPr>
          <w:rFonts w:hint="eastAsia"/>
          <w:b/>
          <w:bCs/>
          <w:color w:val="auto"/>
          <w:highlight w:val="none"/>
        </w:rPr>
        <w:t>第二部分 通用合同条款</w:t>
      </w:r>
      <w:bookmarkEnd w:id="920"/>
      <w:bookmarkStart w:id="921" w:name="_Toc337558727"/>
    </w:p>
    <w:bookmarkEnd w:id="921"/>
    <w:p w14:paraId="2EF4832A">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bookmarkStart w:id="922" w:name="_Toc351203632"/>
      <w:r>
        <w:rPr>
          <w:rFonts w:hint="eastAsia" w:ascii="宋体" w:hAnsi="宋体" w:eastAsia="宋体" w:cs="宋体"/>
          <w:color w:val="auto"/>
          <w:sz w:val="21"/>
          <w:szCs w:val="21"/>
          <w:highlight w:val="none"/>
        </w:rPr>
        <w:t>详见</w:t>
      </w:r>
      <w:r>
        <w:rPr>
          <w:rFonts w:hint="eastAsia" w:ascii="宋体" w:hAnsi="宋体" w:eastAsia="宋体" w:cs="宋体"/>
          <w:color w:val="auto"/>
          <w:kern w:val="0"/>
          <w:sz w:val="21"/>
          <w:szCs w:val="21"/>
          <w:highlight w:val="none"/>
        </w:rPr>
        <w:t>住房城乡建设部、国家工商行政管理总局发布的</w:t>
      </w:r>
      <w:bookmarkStart w:id="923" w:name="_Toc31043"/>
      <w:r>
        <w:rPr>
          <w:rFonts w:hint="eastAsia" w:ascii="宋体" w:hAnsi="宋体" w:eastAsia="宋体" w:cs="宋体"/>
          <w:color w:val="auto"/>
          <w:kern w:val="0"/>
          <w:sz w:val="21"/>
          <w:szCs w:val="21"/>
          <w:highlight w:val="none"/>
        </w:rPr>
        <w:t>《建设工程施工合同（示范文本）》（GF-2017-0201）通用合同条款部分</w:t>
      </w:r>
    </w:p>
    <w:bookmarkEnd w:id="923"/>
    <w:p w14:paraId="3D0B5489">
      <w:pPr>
        <w:pStyle w:val="6"/>
        <w:pageBreakBefore w:val="0"/>
        <w:kinsoku/>
        <w:wordWrap w:val="0"/>
        <w:overflowPunct/>
        <w:topLinePunct w:val="0"/>
        <w:bidi w:val="0"/>
        <w:jc w:val="center"/>
        <w:rPr>
          <w:rFonts w:hint="eastAsia" w:ascii="宋体" w:hAnsi="宋体" w:eastAsia="宋体" w:cs="宋体"/>
          <w:color w:val="auto"/>
          <w:sz w:val="21"/>
          <w:szCs w:val="21"/>
          <w:highlight w:val="none"/>
        </w:rPr>
      </w:pPr>
    </w:p>
    <w:p w14:paraId="20936ED6">
      <w:pPr>
        <w:pStyle w:val="6"/>
        <w:pageBreakBefore w:val="0"/>
        <w:kinsoku/>
        <w:wordWrap w:val="0"/>
        <w:overflowPunct/>
        <w:topLinePunct w:val="0"/>
        <w:bidi w:val="0"/>
        <w:jc w:val="center"/>
        <w:rPr>
          <w:rFonts w:hint="eastAsia" w:ascii="宋体" w:hAnsi="宋体" w:eastAsia="宋体" w:cs="宋体"/>
          <w:color w:val="auto"/>
          <w:sz w:val="21"/>
          <w:szCs w:val="21"/>
          <w:highlight w:val="none"/>
        </w:rPr>
      </w:pPr>
    </w:p>
    <w:p w14:paraId="239028F1">
      <w:pPr>
        <w:pStyle w:val="6"/>
        <w:pageBreakBefore w:val="0"/>
        <w:kinsoku/>
        <w:wordWrap w:val="0"/>
        <w:overflowPunct/>
        <w:topLinePunct w:val="0"/>
        <w:bidi w:val="0"/>
        <w:jc w:val="center"/>
        <w:rPr>
          <w:rFonts w:hint="eastAsia" w:ascii="宋体" w:hAnsi="宋体" w:eastAsia="宋体" w:cs="宋体"/>
          <w:color w:val="auto"/>
          <w:sz w:val="21"/>
          <w:szCs w:val="21"/>
          <w:highlight w:val="none"/>
        </w:rPr>
      </w:pPr>
    </w:p>
    <w:p w14:paraId="60D4F138">
      <w:pPr>
        <w:pStyle w:val="6"/>
        <w:pageBreakBefore w:val="0"/>
        <w:kinsoku/>
        <w:wordWrap w:val="0"/>
        <w:overflowPunct/>
        <w:topLinePunct w:val="0"/>
        <w:bidi w:val="0"/>
        <w:jc w:val="center"/>
        <w:rPr>
          <w:rFonts w:hint="eastAsia" w:ascii="宋体" w:hAnsi="宋体" w:eastAsia="宋体" w:cs="宋体"/>
          <w:color w:val="auto"/>
          <w:sz w:val="21"/>
          <w:szCs w:val="21"/>
          <w:highlight w:val="none"/>
        </w:rPr>
      </w:pPr>
    </w:p>
    <w:p w14:paraId="5C927152">
      <w:pPr>
        <w:pageBreakBefore w:val="0"/>
        <w:kinsoku/>
        <w:wordWrap w:val="0"/>
        <w:overflowPunct/>
        <w:topLinePunct w:val="0"/>
        <w:bidi w:val="0"/>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4"/>
          <w:szCs w:val="24"/>
          <w:highlight w:val="none"/>
        </w:rPr>
        <w:t>第三部分 专用合同条款</w:t>
      </w:r>
      <w:bookmarkEnd w:id="922"/>
    </w:p>
    <w:p w14:paraId="67C033B5">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924" w:name="_Toc351203633"/>
      <w:bookmarkStart w:id="925" w:name="_Toc351203652"/>
      <w:r>
        <w:rPr>
          <w:rFonts w:hint="eastAsia" w:ascii="宋体" w:hAnsi="宋体" w:eastAsia="宋体" w:cs="宋体"/>
          <w:b w:val="0"/>
          <w:szCs w:val="21"/>
          <w:highlight w:val="none"/>
        </w:rPr>
        <w:t>1</w:t>
      </w:r>
      <w:bookmarkStart w:id="926" w:name="_Toc297120456"/>
      <w:bookmarkStart w:id="927" w:name="_Toc296944495"/>
      <w:bookmarkStart w:id="928" w:name="_Toc296347155"/>
      <w:bookmarkStart w:id="929" w:name="_Toc296346657"/>
      <w:bookmarkStart w:id="930" w:name="_Toc296503156"/>
      <w:bookmarkStart w:id="931" w:name="_Toc292559361"/>
      <w:bookmarkStart w:id="932" w:name="_Toc296891196"/>
      <w:bookmarkStart w:id="933" w:name="_Toc296890984"/>
      <w:bookmarkStart w:id="934" w:name="_Toc292559866"/>
      <w:bookmarkStart w:id="935" w:name="_Toc297048342"/>
      <w:r>
        <w:rPr>
          <w:rFonts w:hint="eastAsia" w:ascii="宋体" w:hAnsi="宋体" w:eastAsia="宋体" w:cs="宋体"/>
          <w:b w:val="0"/>
          <w:szCs w:val="21"/>
          <w:highlight w:val="none"/>
        </w:rPr>
        <w:t>. 一般约定</w:t>
      </w:r>
      <w:bookmarkEnd w:id="924"/>
    </w:p>
    <w:bookmarkEnd w:id="926"/>
    <w:bookmarkEnd w:id="927"/>
    <w:bookmarkEnd w:id="928"/>
    <w:bookmarkEnd w:id="929"/>
    <w:bookmarkEnd w:id="930"/>
    <w:bookmarkEnd w:id="931"/>
    <w:bookmarkEnd w:id="932"/>
    <w:bookmarkEnd w:id="933"/>
    <w:bookmarkEnd w:id="934"/>
    <w:bookmarkEnd w:id="935"/>
    <w:p w14:paraId="5982E0A5">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936" w:name="_Toc499891635"/>
      <w:bookmarkStart w:id="937" w:name="_Toc500864480"/>
      <w:bookmarkStart w:id="938" w:name="_Toc21289"/>
      <w:bookmarkStart w:id="939" w:name="_Toc20816"/>
      <w:bookmarkStart w:id="940" w:name="_Toc27378048"/>
      <w:bookmarkStart w:id="941" w:name="_Toc500865870"/>
      <w:bookmarkStart w:id="942" w:name="_Toc499892826"/>
      <w:bookmarkStart w:id="943" w:name="_Toc106695196"/>
      <w:bookmarkStart w:id="944" w:name="_Toc106695349"/>
      <w:bookmarkStart w:id="945" w:name="_Toc36136587"/>
      <w:r>
        <w:rPr>
          <w:rFonts w:hint="eastAsia" w:ascii="宋体" w:hAnsi="宋体" w:eastAsia="宋体" w:cs="宋体"/>
          <w:szCs w:val="21"/>
          <w:highlight w:val="none"/>
        </w:rPr>
        <w:t>1.1 词语定义</w:t>
      </w:r>
      <w:bookmarkEnd w:id="936"/>
      <w:bookmarkEnd w:id="937"/>
      <w:bookmarkEnd w:id="938"/>
      <w:bookmarkEnd w:id="939"/>
      <w:bookmarkEnd w:id="940"/>
      <w:bookmarkEnd w:id="941"/>
      <w:bookmarkEnd w:id="942"/>
      <w:bookmarkEnd w:id="943"/>
      <w:bookmarkEnd w:id="944"/>
      <w:bookmarkEnd w:id="945"/>
    </w:p>
    <w:p w14:paraId="0F1A651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1.1.1合同</w:t>
      </w:r>
    </w:p>
    <w:p w14:paraId="6F196DF1">
      <w:pPr>
        <w:pageBreakBefore w:val="0"/>
        <w:widowControl w:val="0"/>
        <w:kinsoku/>
        <w:wordWrap/>
        <w:overflowPunct/>
        <w:topLinePunct w:val="0"/>
        <w:bidi w:val="0"/>
        <w:snapToGrid/>
        <w:spacing w:line="450" w:lineRule="exact"/>
        <w:ind w:left="1155" w:hanging="1155" w:hangingChars="55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1.1.1.10其他合同文件包括：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320236C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1.1.2 合同当事人及其他相关方</w:t>
      </w:r>
    </w:p>
    <w:p w14:paraId="3400A0D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1.1.2.4监理人：</w:t>
      </w:r>
    </w:p>
    <w:p w14:paraId="6384810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名    称：</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w:t>
      </w:r>
    </w:p>
    <w:p w14:paraId="772176FA">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资质类别和等级：</w:t>
      </w:r>
      <w:r>
        <w:rPr>
          <w:rFonts w:hint="eastAsia" w:ascii="宋体" w:hAnsi="宋体" w:eastAsia="宋体" w:cs="宋体"/>
          <w:szCs w:val="21"/>
          <w:highlight w:val="none"/>
          <w:u w:val="single"/>
        </w:rPr>
        <w:t>              </w:t>
      </w:r>
      <w:r>
        <w:rPr>
          <w:rFonts w:hint="eastAsia" w:ascii="宋体" w:hAnsi="宋体" w:eastAsia="宋体" w:cs="宋体"/>
          <w:szCs w:val="21"/>
          <w:highlight w:val="none"/>
        </w:rPr>
        <w:t>；</w:t>
      </w:r>
    </w:p>
    <w:p w14:paraId="6911FD57">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联系电话：</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605F9F5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电子信箱：</w:t>
      </w:r>
      <w:r>
        <w:rPr>
          <w:rFonts w:hint="eastAsia" w:ascii="宋体" w:hAnsi="宋体" w:eastAsia="宋体" w:cs="宋体"/>
          <w:szCs w:val="21"/>
          <w:highlight w:val="none"/>
          <w:u w:val="single"/>
        </w:rPr>
        <w:t>           </w:t>
      </w:r>
      <w:r>
        <w:rPr>
          <w:rFonts w:hint="eastAsia" w:ascii="宋体" w:hAnsi="宋体" w:eastAsia="宋体" w:cs="宋体"/>
          <w:szCs w:val="21"/>
          <w:highlight w:val="none"/>
        </w:rPr>
        <w:t>；</w:t>
      </w:r>
    </w:p>
    <w:p w14:paraId="655B70AB">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通信地址：</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4951DF6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1.1.2.5 设计人：</w:t>
      </w:r>
    </w:p>
    <w:p w14:paraId="58C0D3D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名    称：</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w:t>
      </w:r>
    </w:p>
    <w:p w14:paraId="029DA56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资质类别和等级：</w:t>
      </w:r>
      <w:r>
        <w:rPr>
          <w:rFonts w:hint="eastAsia" w:ascii="宋体" w:hAnsi="宋体" w:eastAsia="宋体" w:cs="宋体"/>
          <w:szCs w:val="21"/>
          <w:highlight w:val="none"/>
          <w:u w:val="single"/>
        </w:rPr>
        <w:t>               </w:t>
      </w:r>
      <w:r>
        <w:rPr>
          <w:rFonts w:hint="eastAsia" w:ascii="宋体" w:hAnsi="宋体" w:eastAsia="宋体" w:cs="宋体"/>
          <w:szCs w:val="21"/>
          <w:highlight w:val="none"/>
        </w:rPr>
        <w:t>；</w:t>
      </w:r>
    </w:p>
    <w:p w14:paraId="56A2303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联系电话：</w:t>
      </w:r>
      <w:r>
        <w:rPr>
          <w:rFonts w:hint="eastAsia" w:ascii="宋体" w:hAnsi="宋体" w:eastAsia="宋体" w:cs="宋体"/>
          <w:szCs w:val="21"/>
          <w:highlight w:val="none"/>
          <w:u w:val="single"/>
        </w:rPr>
        <w:t>                 </w:t>
      </w:r>
      <w:r>
        <w:rPr>
          <w:rFonts w:hint="eastAsia" w:ascii="宋体" w:hAnsi="宋体" w:eastAsia="宋体" w:cs="宋体"/>
          <w:szCs w:val="21"/>
          <w:highlight w:val="none"/>
        </w:rPr>
        <w:t>；</w:t>
      </w:r>
    </w:p>
    <w:p w14:paraId="70823D6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电子信箱：</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w:t>
      </w:r>
    </w:p>
    <w:p w14:paraId="07CB0EA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通信地址：</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795C6FA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1.1.3 工程和设备</w:t>
      </w:r>
    </w:p>
    <w:p w14:paraId="1C77437D">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1.1.3.7 作为施工现场组成部分的其他场所包括：</w:t>
      </w:r>
      <w:r>
        <w:rPr>
          <w:rFonts w:hint="eastAsia" w:ascii="宋体" w:hAnsi="宋体" w:eastAsia="宋体" w:cs="宋体"/>
          <w:szCs w:val="21"/>
          <w:highlight w:val="none"/>
          <w:u w:val="single"/>
        </w:rPr>
        <w:t xml:space="preserve">   </w:t>
      </w:r>
      <w:r>
        <w:rPr>
          <w:rFonts w:hint="eastAsia" w:ascii="宋体" w:hAnsi="宋体" w:eastAsia="宋体" w:cs="宋体"/>
          <w:kern w:val="0"/>
          <w:szCs w:val="21"/>
          <w:highlight w:val="none"/>
          <w:u w:val="single"/>
        </w:rPr>
        <w:t>按通用条款执行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2BD0AD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1.1.3.9 永久占地包括：</w:t>
      </w:r>
      <w:r>
        <w:rPr>
          <w:rFonts w:hint="eastAsia" w:ascii="宋体" w:hAnsi="宋体" w:eastAsia="宋体" w:cs="宋体"/>
          <w:szCs w:val="21"/>
          <w:highlight w:val="none"/>
          <w:u w:val="single"/>
        </w:rPr>
        <w:t xml:space="preserve">             /          </w:t>
      </w:r>
      <w:r>
        <w:rPr>
          <w:rFonts w:hint="eastAsia" w:ascii="宋体" w:hAnsi="宋体" w:eastAsia="宋体" w:cs="宋体"/>
          <w:kern w:val="0"/>
          <w:szCs w:val="21"/>
          <w:highlight w:val="none"/>
        </w:rPr>
        <w:t>。</w:t>
      </w:r>
    </w:p>
    <w:p w14:paraId="2EDEB029">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1.1.3.10 临时占地包括：</w:t>
      </w:r>
      <w:r>
        <w:rPr>
          <w:rFonts w:hint="eastAsia" w:ascii="宋体" w:hAnsi="宋体" w:eastAsia="宋体" w:cs="宋体"/>
          <w:kern w:val="0"/>
          <w:szCs w:val="21"/>
          <w:highlight w:val="none"/>
          <w:u w:val="single"/>
        </w:rPr>
        <w:t>为施工工程需要临时占用的公共及他人用地</w:t>
      </w:r>
      <w:r>
        <w:rPr>
          <w:rFonts w:hint="eastAsia" w:ascii="宋体" w:hAnsi="宋体" w:eastAsia="宋体" w:cs="宋体"/>
          <w:kern w:val="0"/>
          <w:szCs w:val="21"/>
          <w:highlight w:val="none"/>
        </w:rPr>
        <w:t>。</w:t>
      </w:r>
    </w:p>
    <w:p w14:paraId="46FB2064">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1.3法律 </w:t>
      </w:r>
    </w:p>
    <w:p w14:paraId="2DFE3B58">
      <w:pPr>
        <w:pageBreakBefore w:val="0"/>
        <w:widowControl w:val="0"/>
        <w:kinsoku/>
        <w:wordWrap/>
        <w:overflowPunct/>
        <w:topLinePunct w:val="0"/>
        <w:autoSpaceDE w:val="0"/>
        <w:autoSpaceDN w:val="0"/>
        <w:bidi w:val="0"/>
        <w:adjustRightInd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适用于合同的其他规范性文件：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A592770">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1.4 标准和规范</w:t>
      </w:r>
    </w:p>
    <w:p w14:paraId="3FF60BB4">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1.4.1适用于工程的标准规范包括：</w:t>
      </w:r>
      <w:r>
        <w:rPr>
          <w:rFonts w:hint="eastAsia" w:ascii="宋体" w:hAnsi="宋体" w:eastAsia="宋体" w:cs="宋体"/>
          <w:szCs w:val="21"/>
          <w:highlight w:val="none"/>
          <w:u w:val="single"/>
        </w:rPr>
        <w:t>国家及、地方及行业与本工程相关的最新的标准规范</w:t>
      </w:r>
      <w:r>
        <w:rPr>
          <w:rFonts w:hint="eastAsia" w:ascii="宋体" w:hAnsi="宋体" w:eastAsia="宋体" w:cs="宋体"/>
          <w:szCs w:val="21"/>
          <w:highlight w:val="none"/>
        </w:rPr>
        <w:t>。</w:t>
      </w:r>
    </w:p>
    <w:p w14:paraId="0EB2A4DC">
      <w:pPr>
        <w:pageBreakBefore w:val="0"/>
        <w:widowControl w:val="0"/>
        <w:kinsoku/>
        <w:wordWrap/>
        <w:overflowPunct/>
        <w:topLinePunct w:val="0"/>
        <w:bidi w:val="0"/>
        <w:snapToGrid/>
        <w:spacing w:line="450" w:lineRule="exact"/>
        <w:textAlignment w:val="auto"/>
        <w:rPr>
          <w:rFonts w:hint="eastAsia" w:ascii="宋体" w:hAnsi="宋体" w:eastAsia="宋体" w:cs="宋体"/>
          <w:kern w:val="0"/>
          <w:szCs w:val="21"/>
          <w:highlight w:val="none"/>
        </w:rPr>
      </w:pPr>
      <w:bookmarkStart w:id="946" w:name="_Toc499891636"/>
      <w:bookmarkStart w:id="947" w:name="_Toc499892827"/>
      <w:r>
        <w:rPr>
          <w:rFonts w:hint="eastAsia" w:ascii="宋体" w:hAnsi="宋体" w:eastAsia="宋体" w:cs="宋体"/>
          <w:kern w:val="0"/>
          <w:szCs w:val="21"/>
          <w:highlight w:val="none"/>
        </w:rPr>
        <w:t>1.4.2 发包人提供国外标准、规范的名称：</w:t>
      </w:r>
      <w:bookmarkEnd w:id="946"/>
      <w:bookmarkEnd w:id="947"/>
      <w:r>
        <w:rPr>
          <w:rFonts w:hint="eastAsia" w:ascii="宋体" w:hAnsi="宋体" w:eastAsia="宋体" w:cs="宋体"/>
          <w:kern w:val="0"/>
          <w:szCs w:val="21"/>
          <w:highlight w:val="none"/>
          <w:u w:val="single"/>
        </w:rPr>
        <w:t xml:space="preserve">   无            </w:t>
      </w:r>
      <w:r>
        <w:rPr>
          <w:rFonts w:hint="eastAsia" w:ascii="宋体" w:hAnsi="宋体" w:eastAsia="宋体" w:cs="宋体"/>
          <w:kern w:val="0"/>
          <w:szCs w:val="21"/>
          <w:highlight w:val="none"/>
        </w:rPr>
        <w:t>；</w:t>
      </w:r>
    </w:p>
    <w:p w14:paraId="7C5943BA">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发包人提供国外标准、规范的份数：</w:t>
      </w:r>
      <w:r>
        <w:rPr>
          <w:rFonts w:hint="eastAsia" w:ascii="宋体" w:hAnsi="宋体" w:eastAsia="宋体" w:cs="宋体"/>
          <w:kern w:val="0"/>
          <w:szCs w:val="21"/>
          <w:highlight w:val="none"/>
          <w:u w:val="single"/>
        </w:rPr>
        <w:t xml:space="preserve">     无            </w:t>
      </w:r>
      <w:r>
        <w:rPr>
          <w:rFonts w:hint="eastAsia" w:ascii="宋体" w:hAnsi="宋体" w:eastAsia="宋体" w:cs="宋体"/>
          <w:kern w:val="0"/>
          <w:szCs w:val="21"/>
          <w:highlight w:val="none"/>
        </w:rPr>
        <w:t>；</w:t>
      </w:r>
    </w:p>
    <w:p w14:paraId="65B3EB2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发包人提供国外标准、规范的名称：</w:t>
      </w:r>
      <w:r>
        <w:rPr>
          <w:rFonts w:hint="eastAsia" w:ascii="宋体" w:hAnsi="宋体" w:eastAsia="宋体" w:cs="宋体"/>
          <w:kern w:val="0"/>
          <w:szCs w:val="21"/>
          <w:highlight w:val="none"/>
          <w:u w:val="single"/>
        </w:rPr>
        <w:t xml:space="preserve">     无            </w:t>
      </w:r>
      <w:r>
        <w:rPr>
          <w:rFonts w:hint="eastAsia" w:ascii="宋体" w:hAnsi="宋体" w:eastAsia="宋体" w:cs="宋体"/>
          <w:kern w:val="0"/>
          <w:szCs w:val="21"/>
          <w:highlight w:val="none"/>
        </w:rPr>
        <w:t>。</w:t>
      </w:r>
    </w:p>
    <w:p w14:paraId="0175C1D8">
      <w:pPr>
        <w:pageBreakBefore w:val="0"/>
        <w:widowControl w:val="0"/>
        <w:kinsoku/>
        <w:wordWrap/>
        <w:overflowPunct/>
        <w:topLinePunct w:val="0"/>
        <w:bidi w:val="0"/>
        <w:snapToGrid/>
        <w:spacing w:line="450" w:lineRule="exact"/>
        <w:ind w:left="596" w:leftChars="284"/>
        <w:textAlignment w:val="auto"/>
        <w:rPr>
          <w:rFonts w:hint="eastAsia" w:ascii="宋体" w:hAnsi="宋体" w:eastAsia="宋体" w:cs="宋体"/>
          <w:szCs w:val="21"/>
          <w:highlight w:val="none"/>
        </w:rPr>
      </w:pPr>
      <w:r>
        <w:rPr>
          <w:rFonts w:hint="eastAsia" w:ascii="宋体" w:hAnsi="宋体" w:eastAsia="宋体" w:cs="宋体"/>
          <w:szCs w:val="21"/>
          <w:highlight w:val="none"/>
        </w:rPr>
        <w:t>1.4.3发包人对工程的技术标准和功能要求的特殊要求：</w:t>
      </w:r>
      <w:r>
        <w:rPr>
          <w:rFonts w:hint="eastAsia" w:ascii="宋体" w:hAnsi="宋体" w:eastAsia="宋体" w:cs="宋体"/>
          <w:szCs w:val="21"/>
          <w:highlight w:val="none"/>
          <w:u w:val="single"/>
        </w:rPr>
        <w:t></w:t>
      </w:r>
      <w:r>
        <w:rPr>
          <w:rFonts w:hint="eastAsia" w:ascii="宋体" w:hAnsi="宋体" w:eastAsia="宋体" w:cs="宋体"/>
          <w:kern w:val="0"/>
          <w:szCs w:val="21"/>
          <w:highlight w:val="none"/>
          <w:u w:val="single"/>
        </w:rPr>
        <w:t>以设计文件为准</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34A2A37D">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948" w:name="_Toc36136588"/>
      <w:bookmarkStart w:id="949" w:name="_Toc499891637"/>
      <w:bookmarkStart w:id="950" w:name="_Toc500864481"/>
      <w:bookmarkStart w:id="951" w:name="_Toc27378049"/>
      <w:bookmarkStart w:id="952" w:name="_Toc500865871"/>
      <w:bookmarkStart w:id="953" w:name="_Toc106695350"/>
      <w:bookmarkStart w:id="954" w:name="_Toc16121"/>
      <w:bookmarkStart w:id="955" w:name="_Toc499892828"/>
      <w:bookmarkStart w:id="956" w:name="_Toc106695197"/>
      <w:bookmarkStart w:id="957" w:name="_Toc10916"/>
      <w:r>
        <w:rPr>
          <w:rFonts w:hint="eastAsia" w:ascii="宋体" w:hAnsi="宋体" w:eastAsia="宋体" w:cs="宋体"/>
          <w:szCs w:val="21"/>
          <w:highlight w:val="none"/>
        </w:rPr>
        <w:t>1.5 合同文件的优先顺序</w:t>
      </w:r>
      <w:bookmarkEnd w:id="948"/>
      <w:bookmarkEnd w:id="949"/>
      <w:bookmarkEnd w:id="950"/>
      <w:bookmarkEnd w:id="951"/>
      <w:bookmarkEnd w:id="952"/>
      <w:bookmarkEnd w:id="953"/>
      <w:bookmarkEnd w:id="954"/>
      <w:bookmarkEnd w:id="955"/>
      <w:bookmarkEnd w:id="956"/>
      <w:bookmarkEnd w:id="957"/>
    </w:p>
    <w:p w14:paraId="29F0610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合同文件组成及优先顺序为：</w:t>
      </w:r>
      <w:r>
        <w:rPr>
          <w:rFonts w:hint="eastAsia" w:ascii="宋体" w:hAnsi="宋体" w:eastAsia="宋体" w:cs="宋体"/>
          <w:szCs w:val="21"/>
          <w:highlight w:val="none"/>
          <w:u w:val="single"/>
        </w:rPr>
        <w:t>1、施工合同协议书；2、中标通知书；3、投标书及其附件；</w:t>
      </w:r>
    </w:p>
    <w:p w14:paraId="127BD4E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u w:val="single"/>
        </w:rPr>
        <w:t>4、施工合同专用条款；5、施工合同通过条款；6、标准、规范及有关技术文件；7、图纸；8、工程量清单；9、工程报价单或预算书；10、双方有关工程的洽商、变更等书面协议或文件视为施工合同的组成部分。</w:t>
      </w:r>
    </w:p>
    <w:p w14:paraId="209C1164">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958" w:name="_Toc13521"/>
      <w:bookmarkStart w:id="959" w:name="_Toc500864482"/>
      <w:bookmarkStart w:id="960" w:name="_Toc106695351"/>
      <w:bookmarkStart w:id="961" w:name="_Toc20896"/>
      <w:bookmarkStart w:id="962" w:name="_Toc36136589"/>
      <w:bookmarkStart w:id="963" w:name="_Toc27378050"/>
      <w:bookmarkStart w:id="964" w:name="_Toc500865872"/>
      <w:bookmarkStart w:id="965" w:name="_Toc499891638"/>
      <w:bookmarkStart w:id="966" w:name="_Toc106695198"/>
      <w:bookmarkStart w:id="967" w:name="_Toc499892829"/>
      <w:r>
        <w:rPr>
          <w:rFonts w:hint="eastAsia" w:ascii="宋体" w:hAnsi="宋体" w:eastAsia="宋体" w:cs="宋体"/>
          <w:szCs w:val="21"/>
          <w:highlight w:val="none"/>
        </w:rPr>
        <w:t>1.6 图纸和承包人文件</w:t>
      </w:r>
      <w:bookmarkEnd w:id="958"/>
      <w:bookmarkEnd w:id="959"/>
      <w:bookmarkEnd w:id="960"/>
      <w:bookmarkEnd w:id="961"/>
      <w:bookmarkEnd w:id="962"/>
      <w:bookmarkEnd w:id="963"/>
      <w:bookmarkEnd w:id="964"/>
      <w:bookmarkEnd w:id="965"/>
      <w:bookmarkEnd w:id="966"/>
      <w:bookmarkEnd w:id="967"/>
      <w:r>
        <w:rPr>
          <w:rFonts w:hint="eastAsia" w:ascii="宋体" w:hAnsi="宋体" w:eastAsia="宋体" w:cs="宋体"/>
          <w:szCs w:val="21"/>
          <w:highlight w:val="none"/>
        </w:rPr>
        <w:tab/>
      </w:r>
    </w:p>
    <w:p w14:paraId="10373640">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1.6.1 图纸的提供</w:t>
      </w:r>
    </w:p>
    <w:p w14:paraId="5DBC705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发包人向承包人提供图纸的期限：</w:t>
      </w:r>
      <w:r>
        <w:rPr>
          <w:rFonts w:hint="eastAsia" w:ascii="宋体" w:hAnsi="宋体" w:eastAsia="宋体" w:cs="宋体"/>
          <w:szCs w:val="21"/>
          <w:highlight w:val="none"/>
          <w:u w:val="single"/>
        </w:rPr>
        <w:t></w:t>
      </w:r>
      <w:r>
        <w:rPr>
          <w:rFonts w:hint="eastAsia" w:ascii="宋体" w:hAnsi="宋体" w:eastAsia="宋体" w:cs="宋体"/>
          <w:kern w:val="0"/>
          <w:szCs w:val="21"/>
          <w:highlight w:val="none"/>
          <w:u w:val="single"/>
        </w:rPr>
        <w:t>签定合同后7天内</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ADAE70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发包人向承包人提供图纸的数量：</w:t>
      </w:r>
      <w:r>
        <w:rPr>
          <w:rFonts w:hint="eastAsia" w:ascii="宋体" w:hAnsi="宋体" w:eastAsia="宋体" w:cs="宋体"/>
          <w:szCs w:val="21"/>
          <w:highlight w:val="none"/>
          <w:u w:val="single"/>
        </w:rPr>
        <w:t>  双方约定协商</w:t>
      </w:r>
      <w:r>
        <w:rPr>
          <w:rFonts w:hint="eastAsia" w:ascii="宋体" w:hAnsi="宋体" w:eastAsia="宋体" w:cs="宋体"/>
          <w:szCs w:val="21"/>
          <w:highlight w:val="none"/>
        </w:rPr>
        <w:t>；</w:t>
      </w:r>
    </w:p>
    <w:p w14:paraId="4668E9FA">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发包人向承包人提供图纸的内容：</w:t>
      </w:r>
      <w:r>
        <w:rPr>
          <w:rFonts w:hint="eastAsia" w:ascii="宋体" w:hAnsi="宋体" w:eastAsia="宋体" w:cs="宋体"/>
          <w:szCs w:val="21"/>
          <w:highlight w:val="none"/>
          <w:u w:val="single"/>
        </w:rPr>
        <w:t></w:t>
      </w:r>
      <w:r>
        <w:rPr>
          <w:rFonts w:hint="eastAsia" w:ascii="宋体" w:hAnsi="宋体" w:eastAsia="宋体" w:cs="宋体"/>
          <w:kern w:val="0"/>
          <w:szCs w:val="21"/>
          <w:highlight w:val="none"/>
          <w:u w:val="single"/>
        </w:rPr>
        <w:t>全套工程施工图纸</w:t>
      </w:r>
      <w:r>
        <w:rPr>
          <w:rFonts w:hint="eastAsia" w:ascii="宋体" w:hAnsi="宋体" w:eastAsia="宋体" w:cs="宋体"/>
          <w:szCs w:val="21"/>
          <w:highlight w:val="none"/>
          <w:u w:val="single"/>
        </w:rPr>
        <w:t> </w:t>
      </w:r>
      <w:r>
        <w:rPr>
          <w:rFonts w:hint="eastAsia" w:ascii="宋体" w:hAnsi="宋体" w:eastAsia="宋体" w:cs="宋体"/>
          <w:szCs w:val="21"/>
          <w:highlight w:val="none"/>
        </w:rPr>
        <w:t>。</w:t>
      </w:r>
    </w:p>
    <w:p w14:paraId="5D02B40B">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1.6.4 承包人文件</w:t>
      </w:r>
    </w:p>
    <w:p w14:paraId="50A98814">
      <w:pPr>
        <w:pageBreakBefore w:val="0"/>
        <w:widowControl w:val="0"/>
        <w:kinsoku/>
        <w:wordWrap/>
        <w:overflowPunct/>
        <w:topLinePunct w:val="0"/>
        <w:bidi w:val="0"/>
        <w:snapToGrid/>
        <w:spacing w:line="450" w:lineRule="exact"/>
        <w:ind w:left="596" w:leftChars="284"/>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需要由承包人提供的文件，包括：</w:t>
      </w:r>
      <w:r>
        <w:rPr>
          <w:rFonts w:hint="eastAsia" w:ascii="宋体" w:hAnsi="宋体" w:eastAsia="宋体" w:cs="宋体"/>
          <w:szCs w:val="21"/>
          <w:highlight w:val="none"/>
          <w:u w:val="single"/>
        </w:rPr>
        <w:t>企业营业执照、资质证书、安全生产许可证及按投标文件承诺拟派往本工程项目部管理人员的资格及岗位证书等；开工前7日提供施工总进度计划，当月25日报下月计划及当月完成情况</w:t>
      </w:r>
      <w:r>
        <w:rPr>
          <w:rFonts w:hint="eastAsia" w:ascii="宋体" w:hAnsi="宋体" w:eastAsia="宋体" w:cs="宋体"/>
          <w:szCs w:val="21"/>
          <w:highlight w:val="none"/>
        </w:rPr>
        <w:t>；</w:t>
      </w:r>
    </w:p>
    <w:p w14:paraId="74C9791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承包人提供的文件的期限为：</w:t>
      </w:r>
      <w:r>
        <w:rPr>
          <w:rFonts w:hint="eastAsia" w:ascii="宋体" w:hAnsi="宋体" w:eastAsia="宋体" w:cs="宋体"/>
          <w:szCs w:val="21"/>
          <w:highlight w:val="none"/>
          <w:u w:val="single"/>
        </w:rPr>
        <w:t>双方约定协商</w:t>
      </w:r>
      <w:r>
        <w:rPr>
          <w:rFonts w:hint="eastAsia" w:ascii="宋体" w:hAnsi="宋体" w:eastAsia="宋体" w:cs="宋体"/>
          <w:szCs w:val="21"/>
          <w:highlight w:val="none"/>
        </w:rPr>
        <w:t>；</w:t>
      </w:r>
    </w:p>
    <w:p w14:paraId="1B8E80A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承包人提供的文件的数量为：</w:t>
      </w:r>
      <w:r>
        <w:rPr>
          <w:rFonts w:hint="eastAsia" w:ascii="宋体" w:hAnsi="宋体" w:eastAsia="宋体" w:cs="宋体"/>
          <w:szCs w:val="21"/>
          <w:highlight w:val="none"/>
          <w:u w:val="single"/>
        </w:rPr>
        <w:t>双方约定协商      </w:t>
      </w:r>
      <w:r>
        <w:rPr>
          <w:rFonts w:hint="eastAsia" w:ascii="宋体" w:hAnsi="宋体" w:eastAsia="宋体" w:cs="宋体"/>
          <w:szCs w:val="21"/>
          <w:highlight w:val="none"/>
        </w:rPr>
        <w:t>；</w:t>
      </w:r>
    </w:p>
    <w:p w14:paraId="1151AB1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承包人提供的文件的形式为：</w:t>
      </w:r>
      <w:r>
        <w:rPr>
          <w:rFonts w:hint="eastAsia" w:ascii="宋体" w:hAnsi="宋体" w:eastAsia="宋体" w:cs="宋体"/>
          <w:szCs w:val="21"/>
          <w:highlight w:val="none"/>
          <w:u w:val="single"/>
        </w:rPr>
        <w:t> 双方约定协商 </w:t>
      </w:r>
      <w:r>
        <w:rPr>
          <w:rFonts w:hint="eastAsia" w:ascii="宋体" w:hAnsi="宋体" w:eastAsia="宋体" w:cs="宋体"/>
          <w:szCs w:val="21"/>
          <w:highlight w:val="none"/>
        </w:rPr>
        <w:t>；</w:t>
      </w:r>
    </w:p>
    <w:p w14:paraId="2915D600">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发包人审批承包人文件的期限：</w:t>
      </w:r>
      <w:r>
        <w:rPr>
          <w:rFonts w:hint="eastAsia" w:ascii="宋体" w:hAnsi="宋体" w:eastAsia="宋体" w:cs="宋体"/>
          <w:szCs w:val="21"/>
          <w:highlight w:val="none"/>
          <w:u w:val="single"/>
        </w:rPr>
        <w:t> 双方约定协商</w:t>
      </w:r>
      <w:r>
        <w:rPr>
          <w:rFonts w:hint="eastAsia" w:ascii="宋体" w:hAnsi="宋体" w:eastAsia="宋体" w:cs="宋体"/>
          <w:szCs w:val="21"/>
          <w:highlight w:val="none"/>
        </w:rPr>
        <w:t>。</w:t>
      </w:r>
    </w:p>
    <w:p w14:paraId="118FE0D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1.6.5 现场图纸准备</w:t>
      </w:r>
    </w:p>
    <w:p w14:paraId="49DEB70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关于现场图纸准备的约定：</w:t>
      </w:r>
      <w:r>
        <w:rPr>
          <w:rFonts w:hint="eastAsia" w:ascii="宋体" w:hAnsi="宋体" w:eastAsia="宋体" w:cs="宋体"/>
          <w:kern w:val="0"/>
          <w:szCs w:val="21"/>
          <w:highlight w:val="none"/>
          <w:u w:val="single"/>
        </w:rPr>
        <w:t>施工现场保留一套完整图纸供发包人、监理人及有关人员使用</w:t>
      </w:r>
      <w:r>
        <w:rPr>
          <w:rFonts w:hint="eastAsia" w:ascii="宋体" w:hAnsi="宋体" w:eastAsia="宋体" w:cs="宋体"/>
          <w:szCs w:val="21"/>
          <w:highlight w:val="none"/>
        </w:rPr>
        <w:t>。</w:t>
      </w:r>
    </w:p>
    <w:p w14:paraId="15F7D692">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968" w:name="_Toc500865873"/>
      <w:bookmarkStart w:id="969" w:name="_Toc500864483"/>
      <w:bookmarkStart w:id="970" w:name="_Toc499891639"/>
      <w:bookmarkStart w:id="971" w:name="_Toc36136590"/>
      <w:bookmarkStart w:id="972" w:name="_Toc17176"/>
      <w:bookmarkStart w:id="973" w:name="_Toc106695199"/>
      <w:bookmarkStart w:id="974" w:name="_Toc499892830"/>
      <w:bookmarkStart w:id="975" w:name="_Toc27378051"/>
      <w:bookmarkStart w:id="976" w:name="_Toc106695352"/>
      <w:bookmarkStart w:id="977" w:name="_Toc4925"/>
      <w:r>
        <w:rPr>
          <w:rFonts w:hint="eastAsia" w:ascii="宋体" w:hAnsi="宋体" w:eastAsia="宋体" w:cs="宋体"/>
          <w:szCs w:val="21"/>
          <w:highlight w:val="none"/>
        </w:rPr>
        <w:t>1.7 联络</w:t>
      </w:r>
      <w:bookmarkEnd w:id="968"/>
      <w:bookmarkEnd w:id="969"/>
      <w:bookmarkEnd w:id="970"/>
      <w:bookmarkEnd w:id="971"/>
      <w:bookmarkEnd w:id="972"/>
      <w:bookmarkEnd w:id="973"/>
      <w:bookmarkEnd w:id="974"/>
      <w:bookmarkEnd w:id="975"/>
      <w:bookmarkEnd w:id="976"/>
      <w:bookmarkEnd w:id="977"/>
    </w:p>
    <w:p w14:paraId="2F08632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1.7.1发包人和承包人应当在</w:t>
      </w:r>
      <w:r>
        <w:rPr>
          <w:rFonts w:hint="eastAsia" w:ascii="宋体" w:hAnsi="宋体" w:eastAsia="宋体" w:cs="宋体"/>
          <w:szCs w:val="21"/>
          <w:highlight w:val="none"/>
          <w:u w:val="single"/>
        </w:rPr>
        <w:t xml:space="preserve">  7  </w:t>
      </w:r>
      <w:r>
        <w:rPr>
          <w:rFonts w:hint="eastAsia" w:ascii="宋体" w:hAnsi="宋体" w:eastAsia="宋体" w:cs="宋体"/>
          <w:kern w:val="0"/>
          <w:szCs w:val="21"/>
          <w:highlight w:val="none"/>
        </w:rPr>
        <w:t>天内将与合同有关的通知、批准、证明、证书、指示、指令、要求、请求、同意、意见、确定和决定等书面函件送达对方当事人。</w:t>
      </w:r>
    </w:p>
    <w:p w14:paraId="0F0FD99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1.7.2 发包人接收文件的地点：</w:t>
      </w:r>
      <w:r>
        <w:rPr>
          <w:rFonts w:hint="eastAsia" w:ascii="宋体" w:hAnsi="宋体" w:eastAsia="宋体" w:cs="宋体"/>
          <w:szCs w:val="21"/>
          <w:highlight w:val="none"/>
          <w:u w:val="single"/>
        </w:rPr>
        <w:t></w:t>
      </w:r>
      <w:r>
        <w:rPr>
          <w:rFonts w:hint="eastAsia" w:ascii="宋体" w:hAnsi="宋体" w:eastAsia="宋体" w:cs="宋体"/>
          <w:kern w:val="0"/>
          <w:szCs w:val="21"/>
          <w:highlight w:val="none"/>
          <w:u w:val="single"/>
        </w:rPr>
        <w:t>发包人指定的工程项目办公室</w:t>
      </w:r>
      <w:r>
        <w:rPr>
          <w:rFonts w:hint="eastAsia" w:ascii="宋体" w:hAnsi="宋体" w:eastAsia="宋体" w:cs="宋体"/>
          <w:szCs w:val="21"/>
          <w:highlight w:val="none"/>
          <w:u w:val="single"/>
        </w:rPr>
        <w:t></w:t>
      </w:r>
      <w:r>
        <w:rPr>
          <w:rFonts w:hint="eastAsia" w:ascii="宋体" w:hAnsi="宋体" w:eastAsia="宋体" w:cs="宋体"/>
          <w:kern w:val="0"/>
          <w:szCs w:val="21"/>
          <w:highlight w:val="none"/>
        </w:rPr>
        <w:t>；</w:t>
      </w:r>
    </w:p>
    <w:p w14:paraId="24D2FC6A">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发包人指定的接收人为：</w:t>
      </w:r>
      <w:r>
        <w:rPr>
          <w:rFonts w:hint="eastAsia" w:ascii="宋体" w:hAnsi="宋体" w:eastAsia="宋体" w:cs="宋体"/>
          <w:szCs w:val="21"/>
          <w:highlight w:val="none"/>
          <w:u w:val="single"/>
        </w:rPr>
        <w:t>发包人代表        </w:t>
      </w:r>
      <w:r>
        <w:rPr>
          <w:rFonts w:hint="eastAsia" w:ascii="宋体" w:hAnsi="宋体" w:eastAsia="宋体" w:cs="宋体"/>
          <w:kern w:val="0"/>
          <w:szCs w:val="21"/>
          <w:highlight w:val="none"/>
        </w:rPr>
        <w:t>。</w:t>
      </w:r>
    </w:p>
    <w:p w14:paraId="0039D5A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承包人接收文件的地点：</w:t>
      </w:r>
      <w:r>
        <w:rPr>
          <w:rFonts w:hint="eastAsia" w:ascii="宋体" w:hAnsi="宋体" w:eastAsia="宋体" w:cs="宋体"/>
          <w:szCs w:val="21"/>
          <w:highlight w:val="none"/>
          <w:u w:val="single"/>
        </w:rPr>
        <w:t> </w:t>
      </w:r>
      <w:r>
        <w:rPr>
          <w:rFonts w:hint="eastAsia" w:ascii="宋体" w:hAnsi="宋体" w:eastAsia="宋体" w:cs="宋体"/>
          <w:kern w:val="0"/>
          <w:szCs w:val="21"/>
          <w:highlight w:val="none"/>
          <w:u w:val="single"/>
        </w:rPr>
        <w:t>工程现场承包人项目部</w:t>
      </w:r>
      <w:r>
        <w:rPr>
          <w:rFonts w:hint="eastAsia" w:ascii="宋体" w:hAnsi="宋体" w:eastAsia="宋体" w:cs="宋体"/>
          <w:szCs w:val="21"/>
          <w:highlight w:val="none"/>
          <w:u w:val="single"/>
        </w:rPr>
        <w:t xml:space="preserve">    </w:t>
      </w:r>
      <w:r>
        <w:rPr>
          <w:rFonts w:hint="eastAsia" w:ascii="宋体" w:hAnsi="宋体" w:eastAsia="宋体" w:cs="宋体"/>
          <w:kern w:val="0"/>
          <w:szCs w:val="21"/>
          <w:highlight w:val="none"/>
        </w:rPr>
        <w:t>；</w:t>
      </w:r>
    </w:p>
    <w:p w14:paraId="6554FA9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承包人指定的接收人为：</w:t>
      </w:r>
      <w:r>
        <w:rPr>
          <w:rFonts w:hint="eastAsia" w:ascii="宋体" w:hAnsi="宋体" w:eastAsia="宋体" w:cs="宋体"/>
          <w:szCs w:val="21"/>
          <w:highlight w:val="none"/>
          <w:u w:val="single"/>
        </w:rPr>
        <w:t> 项目经理       </w:t>
      </w:r>
      <w:r>
        <w:rPr>
          <w:rFonts w:hint="eastAsia" w:ascii="宋体" w:hAnsi="宋体" w:eastAsia="宋体" w:cs="宋体"/>
          <w:kern w:val="0"/>
          <w:szCs w:val="21"/>
          <w:highlight w:val="none"/>
        </w:rPr>
        <w:t>。</w:t>
      </w:r>
    </w:p>
    <w:p w14:paraId="3194526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监理人接收文件的地点：</w:t>
      </w:r>
      <w:r>
        <w:rPr>
          <w:rFonts w:hint="eastAsia" w:ascii="宋体" w:hAnsi="宋体" w:eastAsia="宋体" w:cs="宋体"/>
          <w:szCs w:val="21"/>
          <w:highlight w:val="none"/>
          <w:u w:val="single"/>
        </w:rPr>
        <w:t></w:t>
      </w:r>
      <w:r>
        <w:rPr>
          <w:rFonts w:hint="eastAsia" w:ascii="宋体" w:hAnsi="宋体" w:eastAsia="宋体" w:cs="宋体"/>
          <w:kern w:val="0"/>
          <w:szCs w:val="21"/>
          <w:highlight w:val="none"/>
          <w:u w:val="single"/>
        </w:rPr>
        <w:t>工程现场监理人项目部</w:t>
      </w:r>
      <w:r>
        <w:rPr>
          <w:rFonts w:hint="eastAsia" w:ascii="宋体" w:hAnsi="宋体" w:eastAsia="宋体" w:cs="宋体"/>
          <w:szCs w:val="21"/>
          <w:highlight w:val="none"/>
          <w:u w:val="single"/>
        </w:rPr>
        <w:t xml:space="preserve">     </w:t>
      </w:r>
      <w:r>
        <w:rPr>
          <w:rFonts w:hint="eastAsia" w:ascii="宋体" w:hAnsi="宋体" w:eastAsia="宋体" w:cs="宋体"/>
          <w:kern w:val="0"/>
          <w:szCs w:val="21"/>
          <w:highlight w:val="none"/>
        </w:rPr>
        <w:t>；</w:t>
      </w:r>
    </w:p>
    <w:p w14:paraId="1A5B2DD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监理人指定的接收人为：</w:t>
      </w:r>
      <w:r>
        <w:rPr>
          <w:rFonts w:hint="eastAsia" w:ascii="宋体" w:hAnsi="宋体" w:eastAsia="宋体" w:cs="宋体"/>
          <w:szCs w:val="21"/>
          <w:highlight w:val="none"/>
          <w:u w:val="single"/>
        </w:rPr>
        <w:t>总监理工程师       </w:t>
      </w:r>
      <w:r>
        <w:rPr>
          <w:rFonts w:hint="eastAsia" w:ascii="宋体" w:hAnsi="宋体" w:eastAsia="宋体" w:cs="宋体"/>
          <w:kern w:val="0"/>
          <w:szCs w:val="21"/>
          <w:highlight w:val="none"/>
        </w:rPr>
        <w:t>。</w:t>
      </w:r>
    </w:p>
    <w:p w14:paraId="635F7933">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978" w:name="_Toc106695200"/>
      <w:bookmarkStart w:id="979" w:name="_Toc12121"/>
      <w:bookmarkStart w:id="980" w:name="_Toc720"/>
      <w:bookmarkStart w:id="981" w:name="_Toc500864484"/>
      <w:bookmarkStart w:id="982" w:name="_Toc106695353"/>
      <w:bookmarkStart w:id="983" w:name="_Toc27378052"/>
      <w:bookmarkStart w:id="984" w:name="_Toc499892831"/>
      <w:bookmarkStart w:id="985" w:name="_Toc36136591"/>
      <w:bookmarkStart w:id="986" w:name="_Toc499891640"/>
      <w:bookmarkStart w:id="987" w:name="_Toc500865874"/>
      <w:r>
        <w:rPr>
          <w:rFonts w:hint="eastAsia" w:ascii="宋体" w:hAnsi="宋体" w:eastAsia="宋体" w:cs="宋体"/>
          <w:szCs w:val="21"/>
          <w:highlight w:val="none"/>
        </w:rPr>
        <w:t>1.10 交通运输</w:t>
      </w:r>
      <w:bookmarkEnd w:id="978"/>
      <w:bookmarkEnd w:id="979"/>
      <w:bookmarkEnd w:id="980"/>
      <w:bookmarkEnd w:id="981"/>
      <w:bookmarkEnd w:id="982"/>
      <w:bookmarkEnd w:id="983"/>
      <w:bookmarkEnd w:id="984"/>
      <w:bookmarkEnd w:id="985"/>
      <w:bookmarkEnd w:id="986"/>
      <w:bookmarkEnd w:id="987"/>
    </w:p>
    <w:p w14:paraId="63FFFEE4">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988" w:name="_Toc500864485"/>
      <w:bookmarkStart w:id="989" w:name="_Toc499892832"/>
      <w:bookmarkStart w:id="990" w:name="_Toc29569"/>
      <w:bookmarkStart w:id="991" w:name="_Toc3268"/>
      <w:bookmarkStart w:id="992" w:name="_Toc500865875"/>
      <w:bookmarkStart w:id="993" w:name="_Toc106695201"/>
      <w:bookmarkStart w:id="994" w:name="_Toc499891641"/>
      <w:bookmarkStart w:id="995" w:name="_Toc106695354"/>
      <w:bookmarkStart w:id="996" w:name="_Toc27378053"/>
      <w:bookmarkStart w:id="997" w:name="_Toc36136592"/>
      <w:r>
        <w:rPr>
          <w:rFonts w:hint="eastAsia" w:ascii="宋体" w:hAnsi="宋体" w:eastAsia="宋体" w:cs="宋体"/>
          <w:szCs w:val="21"/>
          <w:highlight w:val="none"/>
        </w:rPr>
        <w:t>1</w:t>
      </w:r>
      <w:bookmarkStart w:id="998" w:name="_Toc300934943"/>
      <w:bookmarkStart w:id="999" w:name="_Toc312677986"/>
      <w:bookmarkStart w:id="1000" w:name="_Toc304295521"/>
      <w:bookmarkStart w:id="1001" w:name="_Toc303539100"/>
      <w:bookmarkStart w:id="1002" w:name="_Toc318581155"/>
      <w:r>
        <w:rPr>
          <w:rFonts w:hint="eastAsia" w:ascii="宋体" w:hAnsi="宋体" w:eastAsia="宋体" w:cs="宋体"/>
          <w:szCs w:val="21"/>
          <w:highlight w:val="none"/>
        </w:rPr>
        <w:t>.10.1 出入现场的权利</w:t>
      </w:r>
      <w:bookmarkEnd w:id="988"/>
      <w:bookmarkEnd w:id="989"/>
      <w:bookmarkEnd w:id="990"/>
      <w:bookmarkEnd w:id="991"/>
      <w:bookmarkEnd w:id="992"/>
      <w:bookmarkEnd w:id="993"/>
      <w:bookmarkEnd w:id="994"/>
      <w:bookmarkEnd w:id="995"/>
      <w:bookmarkEnd w:id="996"/>
      <w:bookmarkEnd w:id="997"/>
    </w:p>
    <w:p w14:paraId="183EAF42">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关于出入现场的权利的约定：</w:t>
      </w:r>
      <w:r>
        <w:rPr>
          <w:rFonts w:hint="eastAsia" w:ascii="宋体" w:hAnsi="宋体" w:eastAsia="宋体" w:cs="宋体"/>
          <w:szCs w:val="21"/>
          <w:highlight w:val="none"/>
          <w:u w:val="single"/>
        </w:rPr>
        <w:t> </w:t>
      </w:r>
      <w:r>
        <w:rPr>
          <w:rFonts w:hint="eastAsia" w:ascii="宋体" w:hAnsi="宋体" w:eastAsia="宋体" w:cs="宋体"/>
          <w:kern w:val="0"/>
          <w:szCs w:val="21"/>
          <w:highlight w:val="none"/>
          <w:u w:val="single"/>
        </w:rPr>
        <w:t>执行通用条款</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998"/>
    <w:bookmarkEnd w:id="999"/>
    <w:bookmarkEnd w:id="1000"/>
    <w:bookmarkEnd w:id="1001"/>
    <w:bookmarkEnd w:id="1002"/>
    <w:p w14:paraId="604CB8D9">
      <w:pPr>
        <w:pageBreakBefore w:val="0"/>
        <w:widowControl w:val="0"/>
        <w:kinsoku/>
        <w:wordWrap/>
        <w:overflowPunct/>
        <w:topLinePunct w:val="0"/>
        <w:bidi w:val="0"/>
        <w:snapToGrid/>
        <w:spacing w:line="450" w:lineRule="exact"/>
        <w:ind w:firstLine="420" w:firstLineChars="200"/>
        <w:jc w:val="left"/>
        <w:textAlignment w:val="auto"/>
        <w:outlineLvl w:val="0"/>
        <w:rPr>
          <w:rFonts w:hint="eastAsia" w:ascii="宋体" w:hAnsi="宋体" w:eastAsia="宋体" w:cs="宋体"/>
          <w:szCs w:val="21"/>
          <w:highlight w:val="none"/>
        </w:rPr>
      </w:pPr>
      <w:bookmarkStart w:id="1003" w:name="_Toc500864486"/>
      <w:bookmarkStart w:id="1004" w:name="_Toc500865876"/>
      <w:bookmarkStart w:id="1005" w:name="_Toc36136593"/>
      <w:bookmarkStart w:id="1006" w:name="_Toc8554"/>
      <w:bookmarkStart w:id="1007" w:name="_Toc106695202"/>
      <w:bookmarkStart w:id="1008" w:name="_Toc865"/>
      <w:bookmarkStart w:id="1009" w:name="_Toc27378054"/>
      <w:bookmarkStart w:id="1010" w:name="_Toc499891642"/>
      <w:bookmarkStart w:id="1011" w:name="_Toc106695355"/>
      <w:bookmarkStart w:id="1012" w:name="_Toc499892833"/>
      <w:r>
        <w:rPr>
          <w:rFonts w:hint="eastAsia" w:ascii="宋体" w:hAnsi="宋体" w:eastAsia="宋体" w:cs="宋体"/>
          <w:szCs w:val="21"/>
          <w:highlight w:val="none"/>
        </w:rPr>
        <w:t>1</w:t>
      </w:r>
      <w:bookmarkStart w:id="1013" w:name="_Toc312677987"/>
      <w:bookmarkStart w:id="1014" w:name="_Toc303539101"/>
      <w:bookmarkStart w:id="1015" w:name="_Toc304295522"/>
      <w:bookmarkStart w:id="1016" w:name="_Toc318581156"/>
      <w:bookmarkStart w:id="1017" w:name="_Toc300934944"/>
      <w:r>
        <w:rPr>
          <w:rFonts w:hint="eastAsia" w:ascii="宋体" w:hAnsi="宋体" w:eastAsia="宋体" w:cs="宋体"/>
          <w:szCs w:val="21"/>
          <w:highlight w:val="none"/>
        </w:rPr>
        <w:t>.10.3 场内交通</w:t>
      </w:r>
      <w:bookmarkEnd w:id="1003"/>
      <w:bookmarkEnd w:id="1004"/>
      <w:bookmarkEnd w:id="1005"/>
      <w:bookmarkEnd w:id="1006"/>
      <w:bookmarkEnd w:id="1007"/>
      <w:bookmarkEnd w:id="1008"/>
      <w:bookmarkEnd w:id="1009"/>
      <w:bookmarkEnd w:id="1010"/>
      <w:bookmarkEnd w:id="1011"/>
      <w:bookmarkEnd w:id="1012"/>
    </w:p>
    <w:p w14:paraId="7389C3E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关于场外交通和场内交通的边界的约定：</w:t>
      </w:r>
      <w:r>
        <w:rPr>
          <w:rFonts w:hint="eastAsia" w:ascii="宋体" w:hAnsi="宋体" w:eastAsia="宋体" w:cs="宋体"/>
          <w:szCs w:val="21"/>
          <w:highlight w:val="none"/>
          <w:u w:val="single"/>
        </w:rPr>
        <w:t>双方约定协商   </w:t>
      </w:r>
      <w:r>
        <w:rPr>
          <w:rFonts w:hint="eastAsia" w:ascii="宋体" w:hAnsi="宋体" w:eastAsia="宋体" w:cs="宋体"/>
          <w:szCs w:val="21"/>
          <w:highlight w:val="none"/>
        </w:rPr>
        <w:t>。</w:t>
      </w:r>
    </w:p>
    <w:p w14:paraId="070862AC">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关于发包人向承包人免费提供满足工程施工需要的场内道路和交通设施的约定：</w:t>
      </w:r>
      <w:r>
        <w:rPr>
          <w:rFonts w:hint="eastAsia" w:ascii="宋体" w:hAnsi="宋体" w:eastAsia="宋体" w:cs="宋体"/>
          <w:szCs w:val="21"/>
          <w:highlight w:val="none"/>
          <w:u w:val="single"/>
        </w:rPr>
        <w:t xml:space="preserve">双方约定协商 </w:t>
      </w:r>
      <w:r>
        <w:rPr>
          <w:rFonts w:hint="eastAsia" w:ascii="宋体" w:hAnsi="宋体" w:eastAsia="宋体" w:cs="宋体"/>
          <w:szCs w:val="21"/>
          <w:highlight w:val="none"/>
        </w:rPr>
        <w:t>。</w:t>
      </w:r>
      <w:bookmarkEnd w:id="1013"/>
      <w:bookmarkEnd w:id="1014"/>
      <w:bookmarkEnd w:id="1015"/>
      <w:bookmarkEnd w:id="1016"/>
      <w:bookmarkEnd w:id="1017"/>
      <w:r>
        <w:rPr>
          <w:rFonts w:hint="eastAsia" w:ascii="宋体" w:hAnsi="宋体" w:eastAsia="宋体" w:cs="宋体"/>
          <w:szCs w:val="21"/>
          <w:highlight w:val="none"/>
        </w:rPr>
        <w:t xml:space="preserve">  </w:t>
      </w:r>
      <w:bookmarkStart w:id="1018" w:name="_Toc318581157"/>
    </w:p>
    <w:p w14:paraId="322F5819">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1.10.4超大件和超重件的运输</w:t>
      </w:r>
    </w:p>
    <w:p w14:paraId="0873401A">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运输超大件或超重件所需的道路和桥梁临时加固改造费用和其他有关费用由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承担。</w:t>
      </w:r>
    </w:p>
    <w:bookmarkEnd w:id="1018"/>
    <w:p w14:paraId="0F6F4CCA">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019" w:name="_Toc500864487"/>
      <w:bookmarkStart w:id="1020" w:name="_Toc3420"/>
      <w:bookmarkStart w:id="1021" w:name="_Toc25208"/>
      <w:bookmarkStart w:id="1022" w:name="_Toc106695203"/>
      <w:bookmarkStart w:id="1023" w:name="_Toc500865877"/>
      <w:bookmarkStart w:id="1024" w:name="_Toc106695356"/>
      <w:bookmarkStart w:id="1025" w:name="_Toc27378055"/>
      <w:bookmarkStart w:id="1026" w:name="_Toc499892834"/>
      <w:bookmarkStart w:id="1027" w:name="_Toc36136594"/>
      <w:bookmarkStart w:id="1028" w:name="_Toc499891643"/>
      <w:r>
        <w:rPr>
          <w:rFonts w:hint="eastAsia" w:ascii="宋体" w:hAnsi="宋体" w:eastAsia="宋体" w:cs="宋体"/>
          <w:szCs w:val="21"/>
          <w:highlight w:val="none"/>
        </w:rPr>
        <w:t>1.11 知识产权</w:t>
      </w:r>
      <w:bookmarkEnd w:id="1019"/>
      <w:bookmarkEnd w:id="1020"/>
      <w:bookmarkEnd w:id="1021"/>
      <w:bookmarkEnd w:id="1022"/>
      <w:bookmarkEnd w:id="1023"/>
      <w:bookmarkEnd w:id="1024"/>
      <w:bookmarkEnd w:id="1025"/>
      <w:bookmarkEnd w:id="1026"/>
      <w:bookmarkEnd w:id="1027"/>
      <w:bookmarkEnd w:id="1028"/>
    </w:p>
    <w:p w14:paraId="2ACE1620">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68535A4D">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关于发包人提供的上述文件的使用限制的要求：</w:t>
      </w:r>
      <w:r>
        <w:rPr>
          <w:rFonts w:hint="eastAsia" w:ascii="宋体" w:hAnsi="宋体" w:eastAsia="宋体" w:cs="宋体"/>
          <w:szCs w:val="21"/>
          <w:highlight w:val="none"/>
          <w:u w:val="single"/>
        </w:rPr>
        <w:t xml:space="preserve">双方约定协商  </w:t>
      </w:r>
      <w:r>
        <w:rPr>
          <w:rFonts w:hint="eastAsia" w:ascii="宋体" w:hAnsi="宋体" w:eastAsia="宋体" w:cs="宋体"/>
          <w:szCs w:val="21"/>
          <w:highlight w:val="none"/>
        </w:rPr>
        <w:t>。</w:t>
      </w:r>
    </w:p>
    <w:p w14:paraId="26F62DDE">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bookmarkStart w:id="1029" w:name="_Toc499892835"/>
      <w:bookmarkStart w:id="1030" w:name="_Toc499891644"/>
      <w:r>
        <w:rPr>
          <w:rFonts w:hint="eastAsia" w:ascii="宋体" w:hAnsi="宋体" w:eastAsia="宋体" w:cs="宋体"/>
          <w:szCs w:val="21"/>
          <w:highlight w:val="none"/>
        </w:rPr>
        <w:t>1.11.2 关于承包人为实施工程所编制文件的著作权的归属：</w:t>
      </w:r>
      <w:bookmarkEnd w:id="1029"/>
      <w:bookmarkEnd w:id="1030"/>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6534BA99">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关于承包人提供的上述文件的使用限制的要求：</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514535B8">
      <w:pPr>
        <w:pageBreakBefore w:val="0"/>
        <w:widowControl w:val="0"/>
        <w:kinsoku/>
        <w:wordWrap/>
        <w:overflowPunct/>
        <w:topLinePunct w:val="0"/>
        <w:bidi w:val="0"/>
        <w:snapToGrid/>
        <w:spacing w:line="450" w:lineRule="exact"/>
        <w:textAlignment w:val="auto"/>
        <w:outlineLvl w:val="0"/>
        <w:rPr>
          <w:rFonts w:hint="eastAsia" w:ascii="宋体" w:hAnsi="宋体" w:eastAsia="宋体" w:cs="宋体"/>
          <w:kern w:val="0"/>
          <w:szCs w:val="21"/>
          <w:highlight w:val="none"/>
        </w:rPr>
      </w:pPr>
      <w:bookmarkStart w:id="1031" w:name="_Toc106695357"/>
      <w:bookmarkStart w:id="1032" w:name="_Toc106695204"/>
      <w:bookmarkStart w:id="1033" w:name="_Toc499891645"/>
      <w:bookmarkStart w:id="1034" w:name="_Toc27378056"/>
      <w:bookmarkStart w:id="1035" w:name="_Toc36136595"/>
      <w:bookmarkStart w:id="1036" w:name="_Toc25669"/>
      <w:bookmarkStart w:id="1037" w:name="_Toc20799"/>
      <w:bookmarkStart w:id="1038" w:name="_Toc500865878"/>
      <w:bookmarkStart w:id="1039" w:name="_Toc500864488"/>
      <w:bookmarkStart w:id="1040" w:name="_Toc499892836"/>
      <w:r>
        <w:rPr>
          <w:rFonts w:hint="eastAsia" w:ascii="宋体" w:hAnsi="宋体" w:eastAsia="宋体" w:cs="宋体"/>
          <w:szCs w:val="21"/>
          <w:highlight w:val="none"/>
        </w:rPr>
        <w:t>1.11.4 承包人在施工过程中所采用的专利、专有技术、技术秘密的使用费的承担方式：</w:t>
      </w:r>
      <w:r>
        <w:rPr>
          <w:rFonts w:hint="eastAsia" w:ascii="宋体" w:hAnsi="宋体" w:eastAsia="宋体" w:cs="宋体"/>
          <w:szCs w:val="21"/>
          <w:highlight w:val="none"/>
          <w:u w:val="single"/>
        </w:rPr>
        <w:t xml:space="preserve">   </w:t>
      </w:r>
      <w:r>
        <w:rPr>
          <w:rFonts w:hint="eastAsia" w:ascii="宋体" w:hAnsi="宋体" w:eastAsia="宋体" w:cs="宋体"/>
          <w:kern w:val="0"/>
          <w:szCs w:val="21"/>
          <w:highlight w:val="none"/>
        </w:rPr>
        <w:t>。</w:t>
      </w:r>
      <w:bookmarkEnd w:id="1031"/>
      <w:bookmarkEnd w:id="1032"/>
      <w:bookmarkEnd w:id="1033"/>
      <w:bookmarkEnd w:id="1034"/>
      <w:bookmarkEnd w:id="1035"/>
      <w:bookmarkEnd w:id="1036"/>
      <w:bookmarkEnd w:id="1037"/>
      <w:bookmarkEnd w:id="1038"/>
      <w:bookmarkEnd w:id="1039"/>
      <w:bookmarkEnd w:id="1040"/>
    </w:p>
    <w:p w14:paraId="1B02802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1.13工程量清单错误的修正</w:t>
      </w:r>
    </w:p>
    <w:p w14:paraId="3CA71CE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出现工程量清单错误时，是否调整合同价格：</w:t>
      </w:r>
      <w:r>
        <w:rPr>
          <w:rFonts w:hint="eastAsia" w:ascii="宋体" w:hAnsi="宋体" w:eastAsia="宋体" w:cs="宋体"/>
          <w:szCs w:val="21"/>
          <w:highlight w:val="none"/>
          <w:u w:val="single"/>
        </w:rPr>
        <w:t xml:space="preserve"> 调整 </w:t>
      </w:r>
      <w:r>
        <w:rPr>
          <w:rFonts w:hint="eastAsia" w:ascii="宋体" w:hAnsi="宋体" w:eastAsia="宋体" w:cs="宋体"/>
          <w:kern w:val="0"/>
          <w:szCs w:val="21"/>
          <w:highlight w:val="none"/>
        </w:rPr>
        <w:t>。</w:t>
      </w:r>
    </w:p>
    <w:p w14:paraId="3C863F6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允许调整合同价格的工程量偏差范围：</w:t>
      </w:r>
      <w:r>
        <w:rPr>
          <w:rFonts w:hint="eastAsia" w:ascii="宋体" w:hAnsi="宋体" w:eastAsia="宋体" w:cs="宋体"/>
          <w:szCs w:val="21"/>
          <w:highlight w:val="none"/>
          <w:u w:val="single"/>
        </w:rPr>
        <w:t>双方根据施工图纸确认的分部分项工程量（不含施工过程中的设计变更、现场签证等引起的工程量变化）与招标文件工程量清单中的相应工程量差异据实调整。</w:t>
      </w:r>
    </w:p>
    <w:p w14:paraId="28F154FE">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041" w:name="_Toc351203634"/>
      <w:r>
        <w:rPr>
          <w:rFonts w:hint="eastAsia" w:ascii="宋体" w:hAnsi="宋体" w:eastAsia="宋体" w:cs="宋体"/>
          <w:b w:val="0"/>
          <w:szCs w:val="21"/>
          <w:highlight w:val="none"/>
        </w:rPr>
        <w:t>2</w:t>
      </w:r>
      <w:bookmarkStart w:id="1042" w:name="_Toc296944496"/>
      <w:bookmarkStart w:id="1043" w:name="_Toc297120457"/>
      <w:bookmarkStart w:id="1044" w:name="_Toc292559867"/>
      <w:bookmarkStart w:id="1045" w:name="_Toc297048343"/>
      <w:bookmarkStart w:id="1046" w:name="_Toc296891197"/>
      <w:bookmarkStart w:id="1047" w:name="_Toc296347156"/>
      <w:bookmarkStart w:id="1048" w:name="_Toc296503157"/>
      <w:bookmarkStart w:id="1049" w:name="_Toc292559362"/>
      <w:bookmarkStart w:id="1050" w:name="_Toc296346658"/>
      <w:bookmarkStart w:id="1051" w:name="_Toc296890985"/>
      <w:r>
        <w:rPr>
          <w:rFonts w:hint="eastAsia" w:ascii="宋体" w:hAnsi="宋体" w:eastAsia="宋体" w:cs="宋体"/>
          <w:b w:val="0"/>
          <w:szCs w:val="21"/>
          <w:highlight w:val="none"/>
        </w:rPr>
        <w:t>. 发包人</w:t>
      </w:r>
      <w:bookmarkEnd w:id="1041"/>
    </w:p>
    <w:bookmarkEnd w:id="1042"/>
    <w:bookmarkEnd w:id="1043"/>
    <w:bookmarkEnd w:id="1044"/>
    <w:bookmarkEnd w:id="1045"/>
    <w:bookmarkEnd w:id="1046"/>
    <w:bookmarkEnd w:id="1047"/>
    <w:bookmarkEnd w:id="1048"/>
    <w:bookmarkEnd w:id="1049"/>
    <w:bookmarkEnd w:id="1050"/>
    <w:bookmarkEnd w:id="1051"/>
    <w:p w14:paraId="28AAA00F">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052" w:name="_Toc106695358"/>
      <w:bookmarkStart w:id="1053" w:name="_Toc499891646"/>
      <w:bookmarkStart w:id="1054" w:name="_Toc27378057"/>
      <w:bookmarkStart w:id="1055" w:name="_Toc500865879"/>
      <w:bookmarkStart w:id="1056" w:name="_Toc8771"/>
      <w:bookmarkStart w:id="1057" w:name="_Toc499892837"/>
      <w:bookmarkStart w:id="1058" w:name="_Toc36136596"/>
      <w:bookmarkStart w:id="1059" w:name="_Toc500864489"/>
      <w:bookmarkStart w:id="1060" w:name="_Toc106695205"/>
      <w:bookmarkStart w:id="1061" w:name="_Toc23533"/>
      <w:r>
        <w:rPr>
          <w:rFonts w:hint="eastAsia" w:ascii="宋体" w:hAnsi="宋体" w:eastAsia="宋体" w:cs="宋体"/>
          <w:szCs w:val="21"/>
          <w:highlight w:val="none"/>
        </w:rPr>
        <w:t>2.2 发包人代表</w:t>
      </w:r>
      <w:bookmarkEnd w:id="1052"/>
      <w:bookmarkEnd w:id="1053"/>
      <w:bookmarkEnd w:id="1054"/>
      <w:bookmarkEnd w:id="1055"/>
      <w:bookmarkEnd w:id="1056"/>
      <w:bookmarkEnd w:id="1057"/>
      <w:bookmarkEnd w:id="1058"/>
      <w:bookmarkEnd w:id="1059"/>
      <w:bookmarkEnd w:id="1060"/>
      <w:bookmarkEnd w:id="1061"/>
    </w:p>
    <w:p w14:paraId="39F6CFEF">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发包人代表：</w:t>
      </w:r>
    </w:p>
    <w:p w14:paraId="4581A0E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姓    名：</w:t>
      </w:r>
      <w:r>
        <w:rPr>
          <w:rFonts w:hint="eastAsia" w:ascii="宋体" w:hAnsi="宋体" w:eastAsia="宋体" w:cs="宋体"/>
          <w:szCs w:val="21"/>
          <w:highlight w:val="none"/>
          <w:u w:val="single"/>
        </w:rPr>
        <w:t>     </w:t>
      </w:r>
      <w:r>
        <w:rPr>
          <w:rFonts w:hint="eastAsia" w:ascii="宋体" w:hAnsi="宋体" w:eastAsia="宋体" w:cs="宋体"/>
          <w:szCs w:val="21"/>
          <w:highlight w:val="none"/>
        </w:rPr>
        <w:t>；</w:t>
      </w:r>
    </w:p>
    <w:p w14:paraId="1D23D13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身份证号：</w:t>
      </w:r>
      <w:r>
        <w:rPr>
          <w:rFonts w:hint="eastAsia" w:ascii="宋体" w:hAnsi="宋体" w:eastAsia="宋体" w:cs="宋体"/>
          <w:szCs w:val="21"/>
          <w:highlight w:val="none"/>
          <w:u w:val="single"/>
        </w:rPr>
        <w:t>      </w:t>
      </w:r>
      <w:r>
        <w:rPr>
          <w:rFonts w:hint="eastAsia" w:ascii="宋体" w:hAnsi="宋体" w:eastAsia="宋体" w:cs="宋体"/>
          <w:szCs w:val="21"/>
          <w:highlight w:val="none"/>
        </w:rPr>
        <w:t>；</w:t>
      </w:r>
    </w:p>
    <w:p w14:paraId="338341C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职    务：</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37A73F4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联系电话：</w:t>
      </w:r>
      <w:r>
        <w:rPr>
          <w:rFonts w:hint="eastAsia" w:ascii="宋体" w:hAnsi="宋体" w:eastAsia="宋体" w:cs="宋体"/>
          <w:szCs w:val="21"/>
          <w:highlight w:val="none"/>
          <w:u w:val="single"/>
        </w:rPr>
        <w:t>     </w:t>
      </w:r>
      <w:r>
        <w:rPr>
          <w:rFonts w:hint="eastAsia" w:ascii="宋体" w:hAnsi="宋体" w:eastAsia="宋体" w:cs="宋体"/>
          <w:szCs w:val="21"/>
          <w:highlight w:val="none"/>
        </w:rPr>
        <w:t>；</w:t>
      </w:r>
    </w:p>
    <w:p w14:paraId="1E490CFF">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电子信箱：</w:t>
      </w:r>
      <w:r>
        <w:rPr>
          <w:rFonts w:hint="eastAsia" w:ascii="宋体" w:hAnsi="宋体" w:eastAsia="宋体" w:cs="宋体"/>
          <w:szCs w:val="21"/>
          <w:highlight w:val="none"/>
          <w:u w:val="single"/>
        </w:rPr>
        <w:t>     </w:t>
      </w:r>
      <w:r>
        <w:rPr>
          <w:rFonts w:hint="eastAsia" w:ascii="宋体" w:hAnsi="宋体" w:eastAsia="宋体" w:cs="宋体"/>
          <w:szCs w:val="21"/>
          <w:highlight w:val="none"/>
        </w:rPr>
        <w:t>；</w:t>
      </w:r>
    </w:p>
    <w:p w14:paraId="0DE1E73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通信地址：</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534EA76A">
      <w:pPr>
        <w:pageBreakBefore w:val="0"/>
        <w:widowControl w:val="0"/>
        <w:kinsoku/>
        <w:wordWrap/>
        <w:overflowPunct/>
        <w:topLinePunct w:val="0"/>
        <w:bidi w:val="0"/>
        <w:snapToGrid/>
        <w:spacing w:line="450" w:lineRule="exact"/>
        <w:textAlignment w:val="auto"/>
        <w:rPr>
          <w:rFonts w:hint="eastAsia" w:ascii="宋体" w:hAnsi="宋体" w:eastAsia="宋体" w:cs="宋体"/>
          <w:b/>
          <w:szCs w:val="21"/>
          <w:highlight w:val="none"/>
        </w:rPr>
      </w:pPr>
      <w:r>
        <w:rPr>
          <w:rFonts w:hint="eastAsia" w:ascii="宋体" w:hAnsi="宋体" w:eastAsia="宋体" w:cs="宋体"/>
          <w:szCs w:val="21"/>
          <w:highlight w:val="none"/>
        </w:rPr>
        <w:t>发包人对发包人代表的授权范围如下：</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25D696FD">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062" w:name="_Toc499892838"/>
      <w:bookmarkStart w:id="1063" w:name="_Toc32162"/>
      <w:bookmarkStart w:id="1064" w:name="_Toc499891647"/>
      <w:bookmarkStart w:id="1065" w:name="_Toc106695206"/>
      <w:bookmarkStart w:id="1066" w:name="_Toc500864490"/>
      <w:bookmarkStart w:id="1067" w:name="_Toc500865880"/>
      <w:bookmarkStart w:id="1068" w:name="_Toc106695359"/>
      <w:bookmarkStart w:id="1069" w:name="_Toc36136597"/>
      <w:bookmarkStart w:id="1070" w:name="_Toc12031"/>
      <w:bookmarkStart w:id="1071" w:name="_Toc27378058"/>
      <w:r>
        <w:rPr>
          <w:rFonts w:hint="eastAsia" w:ascii="宋体" w:hAnsi="宋体" w:eastAsia="宋体" w:cs="宋体"/>
          <w:szCs w:val="21"/>
          <w:highlight w:val="none"/>
        </w:rPr>
        <w:t>2.4 施工现场、施工条件和基础资料的提供</w:t>
      </w:r>
      <w:bookmarkEnd w:id="1062"/>
      <w:bookmarkEnd w:id="1063"/>
      <w:bookmarkEnd w:id="1064"/>
      <w:bookmarkEnd w:id="1065"/>
      <w:bookmarkEnd w:id="1066"/>
      <w:bookmarkEnd w:id="1067"/>
      <w:bookmarkEnd w:id="1068"/>
      <w:bookmarkEnd w:id="1069"/>
      <w:bookmarkEnd w:id="1070"/>
      <w:bookmarkEnd w:id="1071"/>
    </w:p>
    <w:p w14:paraId="3F7215AB">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2.4.1 提供施工现场</w:t>
      </w:r>
    </w:p>
    <w:p w14:paraId="67814FB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关于发包人移交施工现场的期限要求：</w:t>
      </w:r>
      <w:r>
        <w:rPr>
          <w:rFonts w:hint="eastAsia" w:ascii="宋体" w:hAnsi="宋体" w:eastAsia="宋体" w:cs="宋体"/>
          <w:szCs w:val="21"/>
          <w:highlight w:val="none"/>
          <w:u w:val="single"/>
        </w:rPr>
        <w:t xml:space="preserve">双方约定协商     </w:t>
      </w:r>
      <w:r>
        <w:rPr>
          <w:rFonts w:hint="eastAsia" w:ascii="宋体" w:hAnsi="宋体" w:eastAsia="宋体" w:cs="宋体"/>
          <w:szCs w:val="21"/>
          <w:highlight w:val="none"/>
        </w:rPr>
        <w:t>。</w:t>
      </w:r>
    </w:p>
    <w:p w14:paraId="160A46DD">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2.4.2 提供施工条件</w:t>
      </w:r>
    </w:p>
    <w:p w14:paraId="1025A60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关于发包人应负责提供施工所需要的条件，包括：</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57AD2EC">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072" w:name="_Toc500864491"/>
      <w:bookmarkStart w:id="1073" w:name="_Toc106695360"/>
      <w:bookmarkStart w:id="1074" w:name="_Toc500865881"/>
      <w:bookmarkStart w:id="1075" w:name="_Toc106695207"/>
      <w:bookmarkStart w:id="1076" w:name="_Toc499891648"/>
      <w:bookmarkStart w:id="1077" w:name="_Toc27378059"/>
      <w:bookmarkStart w:id="1078" w:name="_Toc499892839"/>
      <w:bookmarkStart w:id="1079" w:name="_Toc14875"/>
      <w:bookmarkStart w:id="1080" w:name="_Toc36136598"/>
      <w:bookmarkStart w:id="1081" w:name="_Toc19697"/>
      <w:r>
        <w:rPr>
          <w:rFonts w:hint="eastAsia" w:ascii="宋体" w:hAnsi="宋体" w:eastAsia="宋体" w:cs="宋体"/>
          <w:szCs w:val="21"/>
          <w:highlight w:val="none"/>
        </w:rPr>
        <w:t>2.5 资金来源证明及支付担保</w:t>
      </w:r>
      <w:bookmarkEnd w:id="1072"/>
      <w:bookmarkEnd w:id="1073"/>
      <w:bookmarkEnd w:id="1074"/>
      <w:bookmarkEnd w:id="1075"/>
      <w:bookmarkEnd w:id="1076"/>
      <w:bookmarkEnd w:id="1077"/>
      <w:bookmarkEnd w:id="1078"/>
      <w:bookmarkEnd w:id="1079"/>
      <w:bookmarkEnd w:id="1080"/>
      <w:bookmarkEnd w:id="1081"/>
    </w:p>
    <w:p w14:paraId="7B5F0F4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发包人提供资金来源证明的期限要求：</w:t>
      </w:r>
      <w:r>
        <w:rPr>
          <w:rFonts w:hint="eastAsia" w:ascii="宋体" w:hAnsi="宋体" w:eastAsia="宋体" w:cs="宋体"/>
          <w:szCs w:val="21"/>
          <w:highlight w:val="none"/>
          <w:u w:val="single"/>
        </w:rPr>
        <w:t xml:space="preserve">双方约定协商       </w:t>
      </w:r>
      <w:r>
        <w:rPr>
          <w:rFonts w:hint="eastAsia" w:ascii="宋体" w:hAnsi="宋体" w:eastAsia="宋体" w:cs="宋体"/>
          <w:szCs w:val="21"/>
          <w:highlight w:val="none"/>
        </w:rPr>
        <w:t>。</w:t>
      </w:r>
    </w:p>
    <w:p w14:paraId="18FB5F7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发包人是否提供支付担保：</w:t>
      </w:r>
      <w:r>
        <w:rPr>
          <w:rFonts w:hint="eastAsia" w:ascii="宋体" w:hAnsi="宋体" w:eastAsia="宋体" w:cs="宋体"/>
          <w:szCs w:val="21"/>
          <w:highlight w:val="none"/>
          <w:u w:val="single"/>
        </w:rPr>
        <w:t xml:space="preserve">双方约定协商                 </w:t>
      </w:r>
      <w:r>
        <w:rPr>
          <w:rFonts w:hint="eastAsia" w:ascii="宋体" w:hAnsi="宋体" w:eastAsia="宋体" w:cs="宋体"/>
          <w:szCs w:val="21"/>
          <w:highlight w:val="none"/>
        </w:rPr>
        <w:t>。</w:t>
      </w:r>
    </w:p>
    <w:p w14:paraId="12568AE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发包人提供支付担保的形式：</w:t>
      </w:r>
      <w:r>
        <w:rPr>
          <w:rFonts w:hint="eastAsia" w:ascii="宋体" w:hAnsi="宋体" w:eastAsia="宋体" w:cs="宋体"/>
          <w:szCs w:val="21"/>
          <w:highlight w:val="none"/>
          <w:u w:val="single"/>
        </w:rPr>
        <w:t> 双方约定协商            </w:t>
      </w:r>
      <w:r>
        <w:rPr>
          <w:rFonts w:hint="eastAsia" w:ascii="宋体" w:hAnsi="宋体" w:eastAsia="宋体" w:cs="宋体"/>
          <w:szCs w:val="21"/>
          <w:highlight w:val="none"/>
        </w:rPr>
        <w:t>。</w:t>
      </w:r>
    </w:p>
    <w:p w14:paraId="5CBDF40B">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082" w:name="_Toc351203635"/>
      <w:r>
        <w:rPr>
          <w:rFonts w:hint="eastAsia" w:ascii="宋体" w:hAnsi="宋体" w:eastAsia="宋体" w:cs="宋体"/>
          <w:b w:val="0"/>
          <w:szCs w:val="21"/>
          <w:highlight w:val="none"/>
        </w:rPr>
        <w:t>3</w:t>
      </w:r>
      <w:bookmarkStart w:id="1083" w:name="_Toc296891198"/>
      <w:bookmarkStart w:id="1084" w:name="_Toc296503158"/>
      <w:bookmarkStart w:id="1085" w:name="_Toc297048344"/>
      <w:bookmarkStart w:id="1086" w:name="_Toc296346659"/>
      <w:bookmarkStart w:id="1087" w:name="_Toc296890986"/>
      <w:bookmarkStart w:id="1088" w:name="_Toc297120458"/>
      <w:bookmarkStart w:id="1089" w:name="_Toc296347157"/>
      <w:bookmarkStart w:id="1090" w:name="_Toc296944497"/>
      <w:bookmarkStart w:id="1091" w:name="_Toc292559868"/>
      <w:bookmarkStart w:id="1092" w:name="_Toc292559363"/>
      <w:r>
        <w:rPr>
          <w:rFonts w:hint="eastAsia" w:ascii="宋体" w:hAnsi="宋体" w:eastAsia="宋体" w:cs="宋体"/>
          <w:b w:val="0"/>
          <w:szCs w:val="21"/>
          <w:highlight w:val="none"/>
        </w:rPr>
        <w:t>. 承包人</w:t>
      </w:r>
      <w:bookmarkEnd w:id="1082"/>
    </w:p>
    <w:bookmarkEnd w:id="1083"/>
    <w:bookmarkEnd w:id="1084"/>
    <w:bookmarkEnd w:id="1085"/>
    <w:bookmarkEnd w:id="1086"/>
    <w:bookmarkEnd w:id="1087"/>
    <w:bookmarkEnd w:id="1088"/>
    <w:bookmarkEnd w:id="1089"/>
    <w:bookmarkEnd w:id="1090"/>
    <w:bookmarkEnd w:id="1091"/>
    <w:bookmarkEnd w:id="1092"/>
    <w:p w14:paraId="3254EFCF">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3.1 承包人的一般义务</w:t>
      </w:r>
    </w:p>
    <w:p w14:paraId="104BAD6D">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（9）</w:t>
      </w:r>
      <w:r>
        <w:rPr>
          <w:rFonts w:hint="eastAsia" w:ascii="宋体" w:hAnsi="宋体" w:eastAsia="宋体" w:cs="宋体"/>
          <w:szCs w:val="21"/>
          <w:highlight w:val="none"/>
        </w:rPr>
        <w:t>承包人提交的竣工资料的内容：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042274DA">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承包人需要提交的竣工资料套数：</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217455B9">
      <w:pPr>
        <w:pageBreakBefore w:val="0"/>
        <w:widowControl w:val="0"/>
        <w:kinsoku/>
        <w:wordWrap/>
        <w:overflowPunct/>
        <w:topLinePunct w:val="0"/>
        <w:bidi w:val="0"/>
        <w:snapToGrid/>
        <w:spacing w:line="450" w:lineRule="exact"/>
        <w:ind w:left="638" w:leftChars="304"/>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承包人提交的竣工资料的费用承担：</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448EAA9">
      <w:pPr>
        <w:pageBreakBefore w:val="0"/>
        <w:widowControl w:val="0"/>
        <w:kinsoku/>
        <w:wordWrap/>
        <w:overflowPunct/>
        <w:topLinePunct w:val="0"/>
        <w:bidi w:val="0"/>
        <w:snapToGrid/>
        <w:spacing w:line="450" w:lineRule="exact"/>
        <w:ind w:left="638" w:leftChars="304"/>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承包人提交的竣工资料移交时间：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592892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承包人提交的竣工资料形式要求：</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6F03FA4">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（10）承包人应履行的其他义务：</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5617E18">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3.2 项目经理</w:t>
      </w:r>
    </w:p>
    <w:p w14:paraId="38208A2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 xml:space="preserve">3.2.1 </w:t>
      </w:r>
      <w:r>
        <w:rPr>
          <w:rFonts w:hint="eastAsia" w:ascii="宋体" w:hAnsi="宋体" w:eastAsia="宋体" w:cs="宋体"/>
          <w:szCs w:val="21"/>
          <w:highlight w:val="none"/>
        </w:rPr>
        <w:t>项目经理：</w:t>
      </w:r>
    </w:p>
    <w:p w14:paraId="0AAF105B">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姓    名：</w:t>
      </w:r>
      <w:r>
        <w:rPr>
          <w:rFonts w:hint="eastAsia" w:ascii="宋体" w:hAnsi="宋体" w:eastAsia="宋体" w:cs="宋体"/>
          <w:szCs w:val="21"/>
          <w:highlight w:val="none"/>
          <w:u w:val="single"/>
        </w:rPr>
        <w:t>         </w:t>
      </w:r>
      <w:r>
        <w:rPr>
          <w:rFonts w:hint="eastAsia" w:ascii="宋体" w:hAnsi="宋体" w:eastAsia="宋体" w:cs="宋体"/>
          <w:szCs w:val="21"/>
          <w:highlight w:val="none"/>
        </w:rPr>
        <w:t>；</w:t>
      </w:r>
    </w:p>
    <w:p w14:paraId="464B398A">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身份证号：</w:t>
      </w:r>
      <w:r>
        <w:rPr>
          <w:rFonts w:hint="eastAsia" w:ascii="宋体" w:hAnsi="宋体" w:eastAsia="宋体" w:cs="宋体"/>
          <w:szCs w:val="21"/>
          <w:highlight w:val="none"/>
          <w:u w:val="single"/>
        </w:rPr>
        <w:t>         </w:t>
      </w:r>
      <w:r>
        <w:rPr>
          <w:rFonts w:hint="eastAsia" w:ascii="宋体" w:hAnsi="宋体" w:eastAsia="宋体" w:cs="宋体"/>
          <w:szCs w:val="21"/>
          <w:highlight w:val="none"/>
        </w:rPr>
        <w:t>；</w:t>
      </w:r>
    </w:p>
    <w:p w14:paraId="2491B88F">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建造师执业资格等级：</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453BF2D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建造师注册证书号：</w:t>
      </w:r>
      <w:r>
        <w:rPr>
          <w:rFonts w:hint="eastAsia" w:ascii="宋体" w:hAnsi="宋体" w:eastAsia="宋体" w:cs="宋体"/>
          <w:szCs w:val="21"/>
          <w:highlight w:val="none"/>
          <w:u w:val="single"/>
        </w:rPr>
        <w:t> </w:t>
      </w:r>
      <w:r>
        <w:rPr>
          <w:rFonts w:hint="eastAsia" w:ascii="宋体" w:hAnsi="宋体" w:eastAsia="宋体" w:cs="宋体"/>
          <w:szCs w:val="21"/>
          <w:highlight w:val="none"/>
        </w:rPr>
        <w:t>；</w:t>
      </w:r>
    </w:p>
    <w:p w14:paraId="28C9A574">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建造师执业印章号：</w:t>
      </w:r>
      <w:r>
        <w:rPr>
          <w:rFonts w:hint="eastAsia" w:ascii="宋体" w:hAnsi="宋体" w:eastAsia="宋体" w:cs="宋体"/>
          <w:szCs w:val="21"/>
          <w:highlight w:val="none"/>
          <w:u w:val="single"/>
        </w:rPr>
        <w:t> </w:t>
      </w:r>
      <w:r>
        <w:rPr>
          <w:rFonts w:hint="eastAsia" w:ascii="宋体" w:hAnsi="宋体" w:eastAsia="宋体" w:cs="宋体"/>
          <w:szCs w:val="21"/>
          <w:highlight w:val="none"/>
        </w:rPr>
        <w:t>；</w:t>
      </w:r>
    </w:p>
    <w:p w14:paraId="625C2F48">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安全生产考核合格证书号：</w:t>
      </w:r>
      <w:r>
        <w:rPr>
          <w:rFonts w:hint="eastAsia" w:ascii="宋体" w:hAnsi="宋体" w:eastAsia="宋体" w:cs="宋体"/>
          <w:szCs w:val="21"/>
          <w:highlight w:val="none"/>
          <w:u w:val="single"/>
        </w:rPr>
        <w:t> </w:t>
      </w:r>
      <w:r>
        <w:rPr>
          <w:rFonts w:hint="eastAsia" w:ascii="宋体" w:hAnsi="宋体" w:eastAsia="宋体" w:cs="宋体"/>
          <w:szCs w:val="21"/>
          <w:highlight w:val="none"/>
        </w:rPr>
        <w:t>；</w:t>
      </w:r>
    </w:p>
    <w:p w14:paraId="6F5A9B0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联系电话：</w:t>
      </w:r>
      <w:r>
        <w:rPr>
          <w:rFonts w:hint="eastAsia" w:ascii="宋体" w:hAnsi="宋体" w:eastAsia="宋体" w:cs="宋体"/>
          <w:szCs w:val="21"/>
          <w:highlight w:val="none"/>
          <w:u w:val="single"/>
        </w:rPr>
        <w:t>         </w:t>
      </w:r>
      <w:r>
        <w:rPr>
          <w:rFonts w:hint="eastAsia" w:ascii="宋体" w:hAnsi="宋体" w:eastAsia="宋体" w:cs="宋体"/>
          <w:szCs w:val="21"/>
          <w:highlight w:val="none"/>
        </w:rPr>
        <w:t>；</w:t>
      </w:r>
    </w:p>
    <w:p w14:paraId="4A2F485F">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电子信箱：</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11C5F17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通信地址：</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732E6F1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承包人对项目经理的授权范围如下：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7F663D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关于项目经理每月在施工现场的时间要求：</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2472529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承包人未提交劳动合同，以及没有为项目经理缴纳社会保险证明的违约责任：</w:t>
      </w:r>
      <w:r>
        <w:rPr>
          <w:rFonts w:hint="eastAsia" w:ascii="宋体" w:hAnsi="宋体" w:eastAsia="宋体" w:cs="宋体"/>
          <w:szCs w:val="21"/>
          <w:highlight w:val="none"/>
          <w:u w:val="single"/>
        </w:rPr>
        <w:t xml:space="preserve"> 双方约定协商</w:t>
      </w:r>
      <w:r>
        <w:rPr>
          <w:rFonts w:hint="eastAsia" w:ascii="宋体" w:hAnsi="宋体" w:eastAsia="宋体" w:cs="宋体"/>
          <w:szCs w:val="21"/>
          <w:highlight w:val="none"/>
        </w:rPr>
        <w:t>。</w:t>
      </w:r>
    </w:p>
    <w:p w14:paraId="43CE3067">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u w:val="single"/>
        </w:rPr>
      </w:pPr>
      <w:r>
        <w:rPr>
          <w:rFonts w:hint="eastAsia" w:ascii="宋体" w:hAnsi="宋体" w:eastAsia="宋体" w:cs="宋体"/>
          <w:kern w:val="0"/>
          <w:szCs w:val="21"/>
          <w:highlight w:val="none"/>
        </w:rPr>
        <w:t>项目经理未经批准，擅自离开施工现场的违约责任：</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0742D260">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3.2.3 承包人擅自更换项目经理的违约责任：</w:t>
      </w:r>
      <w:r>
        <w:rPr>
          <w:rFonts w:hint="eastAsia" w:ascii="宋体" w:hAnsi="宋体" w:eastAsia="宋体" w:cs="宋体"/>
          <w:szCs w:val="21"/>
          <w:highlight w:val="none"/>
          <w:u w:val="single"/>
        </w:rPr>
        <w:t xml:space="preserve">     双方约定协商  </w:t>
      </w:r>
      <w:r>
        <w:rPr>
          <w:rFonts w:hint="eastAsia" w:ascii="宋体" w:hAnsi="宋体" w:eastAsia="宋体" w:cs="宋体"/>
          <w:szCs w:val="21"/>
          <w:highlight w:val="none"/>
        </w:rPr>
        <w:t>。</w:t>
      </w:r>
    </w:p>
    <w:p w14:paraId="64D9CA0C">
      <w:pPr>
        <w:pageBreakBefore w:val="0"/>
        <w:widowControl w:val="0"/>
        <w:kinsoku/>
        <w:wordWrap/>
        <w:overflowPunct/>
        <w:topLinePunct w:val="0"/>
        <w:bidi w:val="0"/>
        <w:snapToGrid/>
        <w:spacing w:line="450" w:lineRule="exact"/>
        <w:textAlignment w:val="auto"/>
        <w:outlineLvl w:val="0"/>
        <w:rPr>
          <w:rFonts w:hint="eastAsia" w:ascii="宋体" w:hAnsi="宋体" w:eastAsia="宋体" w:cs="宋体"/>
          <w:szCs w:val="21"/>
          <w:highlight w:val="none"/>
        </w:rPr>
      </w:pPr>
      <w:r>
        <w:rPr>
          <w:rFonts w:hint="eastAsia" w:ascii="宋体" w:hAnsi="宋体" w:eastAsia="宋体" w:cs="宋体"/>
          <w:szCs w:val="21"/>
          <w:highlight w:val="none"/>
        </w:rPr>
        <w:t xml:space="preserve">    </w:t>
      </w:r>
      <w:bookmarkStart w:id="1093" w:name="_Toc499892840"/>
      <w:bookmarkStart w:id="1094" w:name="_Toc5292"/>
      <w:bookmarkStart w:id="1095" w:name="_Toc106695361"/>
      <w:bookmarkStart w:id="1096" w:name="_Toc106695208"/>
      <w:bookmarkStart w:id="1097" w:name="_Toc13440"/>
      <w:bookmarkStart w:id="1098" w:name="_Toc36136599"/>
      <w:bookmarkStart w:id="1099" w:name="_Toc499891649"/>
      <w:bookmarkStart w:id="1100" w:name="_Toc500864492"/>
      <w:bookmarkStart w:id="1101" w:name="_Toc27378060"/>
      <w:bookmarkStart w:id="1102" w:name="_Toc500865882"/>
      <w:r>
        <w:rPr>
          <w:rFonts w:hint="eastAsia" w:ascii="宋体" w:hAnsi="宋体" w:eastAsia="宋体" w:cs="宋体"/>
          <w:szCs w:val="21"/>
          <w:highlight w:val="none"/>
        </w:rPr>
        <w:t>3.2.4 承包人无正当理由拒绝更换项目经理的违约责任：</w:t>
      </w:r>
      <w:r>
        <w:rPr>
          <w:rFonts w:hint="eastAsia" w:ascii="宋体" w:hAnsi="宋体" w:eastAsia="宋体" w:cs="宋体"/>
          <w:szCs w:val="21"/>
          <w:highlight w:val="none"/>
          <w:u w:val="single"/>
        </w:rPr>
        <w:t xml:space="preserve"> 双方约定协商</w:t>
      </w:r>
      <w:r>
        <w:rPr>
          <w:rFonts w:hint="eastAsia" w:ascii="宋体" w:hAnsi="宋体" w:eastAsia="宋体" w:cs="宋体"/>
          <w:szCs w:val="21"/>
          <w:highlight w:val="none"/>
        </w:rPr>
        <w:t>。</w:t>
      </w:r>
      <w:bookmarkEnd w:id="1093"/>
      <w:bookmarkEnd w:id="1094"/>
      <w:bookmarkEnd w:id="1095"/>
      <w:bookmarkEnd w:id="1096"/>
      <w:bookmarkEnd w:id="1097"/>
      <w:bookmarkEnd w:id="1098"/>
      <w:bookmarkEnd w:id="1099"/>
      <w:bookmarkEnd w:id="1100"/>
      <w:bookmarkEnd w:id="1101"/>
      <w:bookmarkEnd w:id="1102"/>
    </w:p>
    <w:p w14:paraId="68EAB4DA">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3.3 承包人人员</w:t>
      </w:r>
    </w:p>
    <w:p w14:paraId="5F6E54C0">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3.3.1 承包人提交项目管理机构及施工现场管理人员安排报告的期限：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0130A4C4">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3.3.3 承包人无正当理由拒绝撤换主要施工管理人员的违约责任：</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58C73907">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3.3.4 承包人主要施工管理人员离开施工现场的批准要求：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5296E4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3.3.5承包人擅自更换主要施工管理人员的违约责任：</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9B90C3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承包人主要施工管理人员擅自离开施工现场的违约责任：</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E879AEF">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w:t>
      </w:r>
      <w:bookmarkStart w:id="1103" w:name="_Toc292559364"/>
      <w:bookmarkStart w:id="1104" w:name="_Toc296503159"/>
      <w:bookmarkStart w:id="1105" w:name="_Toc297123492"/>
      <w:bookmarkStart w:id="1106" w:name="_Toc296346660"/>
      <w:bookmarkStart w:id="1107" w:name="_Toc297216151"/>
      <w:bookmarkStart w:id="1108" w:name="_Toc296891199"/>
      <w:bookmarkStart w:id="1109" w:name="_Toc300934945"/>
      <w:bookmarkStart w:id="1110" w:name="_Toc292559869"/>
      <w:bookmarkStart w:id="1111" w:name="_Toc296890987"/>
      <w:bookmarkStart w:id="1112" w:name="_Toc296347158"/>
      <w:bookmarkStart w:id="1113" w:name="_Toc297120459"/>
      <w:bookmarkStart w:id="1114" w:name="_Toc303539102"/>
      <w:bookmarkStart w:id="1115" w:name="_Toc296944498"/>
      <w:bookmarkStart w:id="1116" w:name="_Toc304295523"/>
      <w:bookmarkStart w:id="1117" w:name="_Toc297048345"/>
      <w:bookmarkStart w:id="1118" w:name="_Toc312677988"/>
      <w:r>
        <w:rPr>
          <w:rFonts w:hint="eastAsia" w:ascii="宋体" w:hAnsi="宋体" w:eastAsia="宋体" w:cs="宋体"/>
          <w:szCs w:val="21"/>
          <w:highlight w:val="none"/>
        </w:rPr>
        <w:t>.5 分包</w:t>
      </w:r>
    </w:p>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p w14:paraId="3280730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w:t>
      </w:r>
      <w:bookmarkStart w:id="1119" w:name="_Toc296890988"/>
      <w:bookmarkStart w:id="1120" w:name="_Toc297216152"/>
      <w:bookmarkStart w:id="1121" w:name="_Toc296503160"/>
      <w:bookmarkStart w:id="1122" w:name="_Toc300934946"/>
      <w:bookmarkStart w:id="1123" w:name="_Toc303539103"/>
      <w:bookmarkStart w:id="1124" w:name="_Toc297123493"/>
      <w:bookmarkStart w:id="1125" w:name="_Toc292559870"/>
      <w:bookmarkStart w:id="1126" w:name="_Toc296891200"/>
      <w:bookmarkStart w:id="1127" w:name="_Toc296944499"/>
      <w:bookmarkStart w:id="1128" w:name="_Toc296346661"/>
      <w:bookmarkStart w:id="1129" w:name="_Toc304295524"/>
      <w:bookmarkStart w:id="1130" w:name="_Toc297048346"/>
      <w:bookmarkStart w:id="1131" w:name="_Toc296347159"/>
      <w:bookmarkStart w:id="1132" w:name="_Toc297120460"/>
      <w:bookmarkStart w:id="1133" w:name="_Toc292559365"/>
      <w:bookmarkStart w:id="1134" w:name="_Toc318581158"/>
      <w:bookmarkStart w:id="1135" w:name="_Toc312677989"/>
      <w:r>
        <w:rPr>
          <w:rFonts w:hint="eastAsia" w:ascii="宋体" w:hAnsi="宋体" w:eastAsia="宋体" w:cs="宋体"/>
          <w:szCs w:val="21"/>
          <w:highlight w:val="none"/>
        </w:rPr>
        <w:t>.5.1 分包的一般约定</w:t>
      </w:r>
    </w:p>
    <w:p w14:paraId="158A0C4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禁止分包的工程包括：</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8E82A15">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主体结构、关键性工作的范围：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Start w:id="1136" w:name="_Toc304295525"/>
      <w:bookmarkStart w:id="1137" w:name="_Toc296944500"/>
      <w:bookmarkStart w:id="1138" w:name="_Toc296891201"/>
      <w:bookmarkStart w:id="1139" w:name="_Toc300934947"/>
      <w:bookmarkStart w:id="1140" w:name="_Toc296346662"/>
      <w:bookmarkStart w:id="1141" w:name="_Toc296503161"/>
      <w:bookmarkStart w:id="1142" w:name="_Toc297048347"/>
      <w:bookmarkStart w:id="1143" w:name="_Toc296890989"/>
      <w:bookmarkStart w:id="1144" w:name="_Toc303539104"/>
      <w:bookmarkStart w:id="1145" w:name="_Toc297216153"/>
      <w:bookmarkStart w:id="1146" w:name="_Toc297120461"/>
      <w:bookmarkStart w:id="1147" w:name="_Toc297123494"/>
      <w:bookmarkStart w:id="1148" w:name="_Toc296347160"/>
    </w:p>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14:paraId="11D915A2">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    3</w:t>
      </w:r>
      <w:bookmarkStart w:id="1149" w:name="_Toc318581159"/>
      <w:bookmarkStart w:id="1150" w:name="_Toc312677990"/>
      <w:r>
        <w:rPr>
          <w:rFonts w:hint="eastAsia" w:ascii="宋体" w:hAnsi="宋体" w:eastAsia="宋体" w:cs="宋体"/>
          <w:szCs w:val="21"/>
          <w:highlight w:val="none"/>
        </w:rPr>
        <w:t>.5.2分包的确定</w:t>
      </w:r>
    </w:p>
    <w:p w14:paraId="0E6AFDAB">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允许分包的专业工程包括：</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062878B">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其他关于分包的约定：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00D1C24">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3.5.4 分包合同价款</w:t>
      </w:r>
    </w:p>
    <w:p w14:paraId="01963C60">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关于分包合同价款支付的约定：</w:t>
      </w:r>
      <w:r>
        <w:rPr>
          <w:rFonts w:hint="eastAsia" w:ascii="宋体" w:hAnsi="宋体" w:eastAsia="宋体" w:cs="宋体"/>
          <w:szCs w:val="21"/>
          <w:highlight w:val="none"/>
          <w:u w:val="single"/>
        </w:rPr>
        <w:t xml:space="preserve">双方约定协商       </w:t>
      </w:r>
      <w:r>
        <w:rPr>
          <w:rFonts w:hint="eastAsia" w:ascii="宋体" w:hAnsi="宋体" w:eastAsia="宋体" w:cs="宋体"/>
          <w:szCs w:val="21"/>
          <w:highlight w:val="none"/>
        </w:rPr>
        <w:t>。</w:t>
      </w:r>
    </w:p>
    <w:bookmarkEnd w:id="1149"/>
    <w:bookmarkEnd w:id="1150"/>
    <w:p w14:paraId="2C550E4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3.6 工程照管与成品、半成品保护</w:t>
      </w:r>
    </w:p>
    <w:p w14:paraId="08B6D9E7">
      <w:pPr>
        <w:pageBreakBefore w:val="0"/>
        <w:widowControl w:val="0"/>
        <w:kinsoku/>
        <w:wordWrap/>
        <w:overflowPunct/>
        <w:topLinePunct w:val="0"/>
        <w:autoSpaceDE w:val="0"/>
        <w:autoSpaceDN w:val="0"/>
        <w:bidi w:val="0"/>
        <w:adjustRightInd w:val="0"/>
        <w:snapToGrid/>
        <w:spacing w:line="450" w:lineRule="exact"/>
        <w:ind w:right="-34" w:rightChars="-16" w:firstLine="210" w:firstLineChars="1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承包人负责照管工程及工程相关的材料、工程设备的起始时间：</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双方约定协商</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7EDF8A20">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3.7 履约担保</w:t>
      </w:r>
    </w:p>
    <w:p w14:paraId="5B693DAD">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承包人是否提供履约担保：</w:t>
      </w:r>
      <w:r>
        <w:rPr>
          <w:rFonts w:hint="eastAsia" w:ascii="宋体" w:hAnsi="宋体" w:eastAsia="宋体" w:cs="宋体"/>
          <w:szCs w:val="21"/>
          <w:highlight w:val="none"/>
          <w:u w:val="single"/>
          <w:lang w:val="en-US" w:eastAsia="zh-CN"/>
        </w:rPr>
        <w:t>否</w:t>
      </w:r>
      <w:r>
        <w:rPr>
          <w:rFonts w:hint="eastAsia" w:ascii="宋体" w:hAnsi="宋体" w:eastAsia="宋体" w:cs="宋体"/>
          <w:szCs w:val="21"/>
          <w:highlight w:val="none"/>
        </w:rPr>
        <w:t>。</w:t>
      </w:r>
    </w:p>
    <w:p w14:paraId="6B360FC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承包人提供履约担保的形式、金额：</w:t>
      </w:r>
      <w:r>
        <w:rPr>
          <w:rFonts w:hint="eastAsia" w:ascii="宋体" w:hAnsi="宋体" w:eastAsia="宋体" w:cs="宋体"/>
          <w:szCs w:val="21"/>
          <w:highlight w:val="none"/>
          <w:u w:val="single"/>
          <w:lang w:val="en-US" w:eastAsia="zh-CN"/>
        </w:rPr>
        <w:t>/</w:t>
      </w:r>
      <w:r>
        <w:rPr>
          <w:rFonts w:hint="eastAsia" w:ascii="宋体" w:hAnsi="宋体" w:eastAsia="宋体" w:cs="宋体"/>
          <w:szCs w:val="21"/>
          <w:highlight w:val="none"/>
          <w:u w:val="single"/>
        </w:rPr>
        <w:t>。</w:t>
      </w:r>
    </w:p>
    <w:p w14:paraId="3BBD25AC">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151" w:name="_Toc351203636"/>
      <w:r>
        <w:rPr>
          <w:rFonts w:hint="eastAsia" w:ascii="宋体" w:hAnsi="宋体" w:eastAsia="宋体" w:cs="宋体"/>
          <w:b w:val="0"/>
          <w:szCs w:val="21"/>
          <w:highlight w:val="none"/>
        </w:rPr>
        <w:t>4</w:t>
      </w:r>
      <w:bookmarkStart w:id="1152" w:name="_Toc296346663"/>
      <w:bookmarkStart w:id="1153" w:name="_Toc296503162"/>
      <w:bookmarkStart w:id="1154" w:name="_Toc297048348"/>
      <w:bookmarkStart w:id="1155" w:name="_Toc296891202"/>
      <w:bookmarkStart w:id="1156" w:name="_Toc292559871"/>
      <w:bookmarkStart w:id="1157" w:name="_Toc296890990"/>
      <w:bookmarkStart w:id="1158" w:name="_Toc296944501"/>
      <w:bookmarkStart w:id="1159" w:name="_Toc267251413"/>
      <w:bookmarkStart w:id="1160" w:name="_Toc292559366"/>
      <w:bookmarkStart w:id="1161" w:name="_Toc296347161"/>
      <w:bookmarkStart w:id="1162" w:name="_Toc297120462"/>
      <w:r>
        <w:rPr>
          <w:rFonts w:hint="eastAsia" w:ascii="宋体" w:hAnsi="宋体" w:eastAsia="宋体" w:cs="宋体"/>
          <w:b w:val="0"/>
          <w:szCs w:val="21"/>
          <w:highlight w:val="none"/>
        </w:rPr>
        <w:t>. 监</w:t>
      </w:r>
      <w:bookmarkEnd w:id="1152"/>
      <w:bookmarkEnd w:id="1153"/>
      <w:bookmarkEnd w:id="1154"/>
      <w:bookmarkEnd w:id="1155"/>
      <w:bookmarkEnd w:id="1156"/>
      <w:bookmarkEnd w:id="1157"/>
      <w:bookmarkEnd w:id="1158"/>
      <w:bookmarkEnd w:id="1159"/>
      <w:bookmarkEnd w:id="1160"/>
      <w:bookmarkEnd w:id="1161"/>
      <w:bookmarkEnd w:id="1162"/>
      <w:r>
        <w:rPr>
          <w:rFonts w:hint="eastAsia" w:ascii="宋体" w:hAnsi="宋体" w:eastAsia="宋体" w:cs="宋体"/>
          <w:b w:val="0"/>
          <w:szCs w:val="21"/>
          <w:highlight w:val="none"/>
        </w:rPr>
        <w:t>理人</w:t>
      </w:r>
      <w:bookmarkEnd w:id="1151"/>
    </w:p>
    <w:p w14:paraId="0A3E2DB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4.1监理人的一般规定</w:t>
      </w:r>
    </w:p>
    <w:p w14:paraId="0CFE49BC">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关于监理人的监理内容：</w:t>
      </w:r>
      <w:r>
        <w:rPr>
          <w:rFonts w:hint="eastAsia" w:ascii="宋体" w:hAnsi="宋体" w:eastAsia="宋体" w:cs="宋体"/>
          <w:szCs w:val="21"/>
          <w:highlight w:val="none"/>
          <w:u w:val="single"/>
        </w:rPr>
        <w:t xml:space="preserve">  按国家及地方规定、监理合同约定执行 </w:t>
      </w:r>
      <w:r>
        <w:rPr>
          <w:rFonts w:hint="eastAsia" w:ascii="宋体" w:hAnsi="宋体" w:eastAsia="宋体" w:cs="宋体"/>
          <w:szCs w:val="21"/>
          <w:highlight w:val="none"/>
        </w:rPr>
        <w:t>。</w:t>
      </w:r>
    </w:p>
    <w:p w14:paraId="50AFC65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关于监理人的监理权限：</w:t>
      </w:r>
      <w:r>
        <w:rPr>
          <w:rFonts w:hint="eastAsia" w:ascii="宋体" w:hAnsi="宋体" w:eastAsia="宋体" w:cs="宋体"/>
          <w:szCs w:val="21"/>
          <w:highlight w:val="none"/>
          <w:u w:val="single"/>
        </w:rPr>
        <w:t xml:space="preserve">   按国家及地方规定、监理合同约定执行  </w:t>
      </w:r>
      <w:r>
        <w:rPr>
          <w:rFonts w:hint="eastAsia" w:ascii="宋体" w:hAnsi="宋体" w:eastAsia="宋体" w:cs="宋体"/>
          <w:szCs w:val="21"/>
          <w:highlight w:val="none"/>
        </w:rPr>
        <w:t xml:space="preserve">。 </w:t>
      </w:r>
    </w:p>
    <w:p w14:paraId="18B86D55">
      <w:pPr>
        <w:pageBreakBefore w:val="0"/>
        <w:widowControl w:val="0"/>
        <w:kinsoku/>
        <w:wordWrap/>
        <w:overflowPunct/>
        <w:topLinePunct w:val="0"/>
        <w:bidi w:val="0"/>
        <w:snapToGrid/>
        <w:spacing w:line="45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关于监理人在施工现场的办公场所、生活场所的提供和费用承担的约定：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2B7FE81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4.2 监理人员</w:t>
      </w:r>
    </w:p>
    <w:p w14:paraId="4E1B81E0">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总监理工程师：</w:t>
      </w:r>
    </w:p>
    <w:p w14:paraId="601A59E7">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姓    名：</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325688A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职    务：</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72675F10">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监理工程师执业资格证书号：</w:t>
      </w:r>
      <w:r>
        <w:rPr>
          <w:rFonts w:hint="eastAsia" w:ascii="宋体" w:hAnsi="宋体" w:eastAsia="宋体" w:cs="宋体"/>
          <w:szCs w:val="21"/>
          <w:highlight w:val="none"/>
          <w:u w:val="single"/>
        </w:rPr>
        <w:t> </w:t>
      </w:r>
      <w:r>
        <w:rPr>
          <w:rFonts w:hint="eastAsia" w:ascii="宋体" w:hAnsi="宋体" w:eastAsia="宋体" w:cs="宋体"/>
          <w:szCs w:val="21"/>
          <w:highlight w:val="none"/>
        </w:rPr>
        <w:t>；</w:t>
      </w:r>
    </w:p>
    <w:p w14:paraId="007E4569">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联系电话：</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612EB2F8">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电子信箱：</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664C61F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通信地址：</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67631778">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关于监理人的其他约定：</w:t>
      </w:r>
      <w:r>
        <w:rPr>
          <w:rFonts w:hint="eastAsia" w:ascii="宋体" w:hAnsi="宋体" w:eastAsia="宋体" w:cs="宋体"/>
          <w:szCs w:val="21"/>
          <w:highlight w:val="none"/>
          <w:u w:val="single"/>
        </w:rPr>
        <w:t>   </w:t>
      </w:r>
      <w:r>
        <w:rPr>
          <w:rFonts w:hint="eastAsia" w:ascii="宋体" w:hAnsi="宋体" w:eastAsia="宋体" w:cs="宋体"/>
          <w:szCs w:val="21"/>
          <w:highlight w:val="none"/>
        </w:rPr>
        <w:t>。</w:t>
      </w:r>
    </w:p>
    <w:p w14:paraId="28513C0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4.4 商定或确定</w:t>
      </w:r>
    </w:p>
    <w:p w14:paraId="5E6DACCB">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bookmarkStart w:id="1163" w:name="_Toc267251418"/>
      <w:r>
        <w:rPr>
          <w:rFonts w:hint="eastAsia" w:ascii="宋体" w:hAnsi="宋体" w:eastAsia="宋体" w:cs="宋体"/>
          <w:szCs w:val="21"/>
          <w:highlight w:val="none"/>
        </w:rPr>
        <w:t>在发包人和承包人不能通过协商达成一致意见时，发包人授权监理人对以下事项进行确定：</w:t>
      </w:r>
    </w:p>
    <w:p w14:paraId="379AA550">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064CD5C">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11ACC3B">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1F642E6">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164" w:name="_Toc351203637"/>
      <w:r>
        <w:rPr>
          <w:rFonts w:hint="eastAsia" w:ascii="宋体" w:hAnsi="宋体" w:eastAsia="宋体" w:cs="宋体"/>
          <w:b w:val="0"/>
          <w:szCs w:val="21"/>
          <w:highlight w:val="none"/>
        </w:rPr>
        <w:t>5</w:t>
      </w:r>
      <w:bookmarkEnd w:id="1163"/>
      <w:bookmarkStart w:id="1165" w:name="_Toc296346664"/>
      <w:bookmarkStart w:id="1166" w:name="_Toc296944502"/>
      <w:bookmarkStart w:id="1167" w:name="_Toc297048349"/>
      <w:bookmarkStart w:id="1168" w:name="_Toc296347162"/>
      <w:bookmarkStart w:id="1169" w:name="_Toc297120463"/>
      <w:bookmarkStart w:id="1170" w:name="_Toc292559367"/>
      <w:bookmarkStart w:id="1171" w:name="_Toc296503163"/>
      <w:bookmarkStart w:id="1172" w:name="_Toc292559872"/>
      <w:bookmarkStart w:id="1173" w:name="_Toc296890991"/>
      <w:bookmarkStart w:id="1174" w:name="_Toc296891203"/>
      <w:r>
        <w:rPr>
          <w:rFonts w:hint="eastAsia" w:ascii="宋体" w:hAnsi="宋体" w:eastAsia="宋体" w:cs="宋体"/>
          <w:b w:val="0"/>
          <w:szCs w:val="21"/>
          <w:highlight w:val="none"/>
        </w:rPr>
        <w:t>. 工程质量</w:t>
      </w:r>
      <w:bookmarkEnd w:id="1164"/>
    </w:p>
    <w:p w14:paraId="4754E20F">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175" w:name="_Toc499892841"/>
      <w:bookmarkStart w:id="1176" w:name="_Toc499891650"/>
      <w:bookmarkStart w:id="1177" w:name="_Toc36136600"/>
      <w:bookmarkStart w:id="1178" w:name="_Toc106695209"/>
      <w:bookmarkStart w:id="1179" w:name="_Toc106695362"/>
      <w:bookmarkStart w:id="1180" w:name="_Toc500864493"/>
      <w:bookmarkStart w:id="1181" w:name="_Toc14358"/>
      <w:bookmarkStart w:id="1182" w:name="_Toc20152"/>
      <w:bookmarkStart w:id="1183" w:name="_Toc500865883"/>
      <w:bookmarkStart w:id="1184" w:name="_Toc27378061"/>
      <w:r>
        <w:rPr>
          <w:rFonts w:hint="eastAsia" w:ascii="宋体" w:hAnsi="宋体" w:eastAsia="宋体" w:cs="宋体"/>
          <w:szCs w:val="21"/>
          <w:highlight w:val="none"/>
        </w:rPr>
        <w:t>5.1 质量要求</w:t>
      </w:r>
      <w:bookmarkEnd w:id="1175"/>
      <w:bookmarkEnd w:id="1176"/>
      <w:bookmarkEnd w:id="1177"/>
      <w:bookmarkEnd w:id="1178"/>
      <w:bookmarkEnd w:id="1179"/>
      <w:bookmarkEnd w:id="1180"/>
      <w:bookmarkEnd w:id="1181"/>
      <w:bookmarkEnd w:id="1182"/>
      <w:bookmarkEnd w:id="1183"/>
      <w:bookmarkEnd w:id="1184"/>
    </w:p>
    <w:p w14:paraId="092D3B1F">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w:t>
      </w:r>
      <w:bookmarkStart w:id="1185" w:name="_Toc300934949"/>
      <w:bookmarkStart w:id="1186" w:name="_Toc297216155"/>
      <w:bookmarkStart w:id="1187" w:name="_Toc318581164"/>
      <w:bookmarkStart w:id="1188" w:name="_Toc304295527"/>
      <w:bookmarkStart w:id="1189" w:name="_Toc303539106"/>
      <w:bookmarkStart w:id="1190" w:name="_Toc297123496"/>
      <w:bookmarkStart w:id="1191" w:name="_Toc312677997"/>
      <w:r>
        <w:rPr>
          <w:rFonts w:hint="eastAsia" w:ascii="宋体" w:hAnsi="宋体" w:eastAsia="宋体" w:cs="宋体"/>
          <w:szCs w:val="21"/>
          <w:highlight w:val="none"/>
        </w:rPr>
        <w:t>.1.1 特殊质量标准和要求：</w:t>
      </w:r>
      <w:r>
        <w:rPr>
          <w:rFonts w:hint="eastAsia" w:ascii="宋体" w:hAnsi="宋体" w:eastAsia="宋体" w:cs="宋体"/>
          <w:szCs w:val="21"/>
          <w:highlight w:val="none"/>
          <w:u w:val="single"/>
        </w:rPr>
        <w:t xml:space="preserve">   </w:t>
      </w:r>
      <w:r>
        <w:rPr>
          <w:rFonts w:hint="eastAsia" w:ascii="宋体" w:hAnsi="宋体" w:eastAsia="宋体" w:cs="宋体"/>
          <w:kern w:val="0"/>
          <w:szCs w:val="21"/>
          <w:highlight w:val="none"/>
          <w:u w:val="single"/>
        </w:rPr>
        <w:t>合格工程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25406E0">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关于工程奖项的约定：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7C3FE33C">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192" w:name="_Toc5713"/>
      <w:bookmarkStart w:id="1193" w:name="_Toc499892842"/>
      <w:bookmarkStart w:id="1194" w:name="_Toc106695210"/>
      <w:bookmarkStart w:id="1195" w:name="_Toc500865884"/>
      <w:bookmarkStart w:id="1196" w:name="_Toc499891651"/>
      <w:bookmarkStart w:id="1197" w:name="_Toc36136601"/>
      <w:bookmarkStart w:id="1198" w:name="_Toc500864494"/>
      <w:bookmarkStart w:id="1199" w:name="_Toc17204"/>
      <w:bookmarkStart w:id="1200" w:name="_Toc106695363"/>
      <w:bookmarkStart w:id="1201" w:name="_Toc27378062"/>
      <w:r>
        <w:rPr>
          <w:rFonts w:hint="eastAsia" w:ascii="宋体" w:hAnsi="宋体" w:eastAsia="宋体" w:cs="宋体"/>
          <w:szCs w:val="21"/>
          <w:highlight w:val="none"/>
        </w:rPr>
        <w:t>5.3 隐蔽工程检查</w:t>
      </w:r>
      <w:bookmarkEnd w:id="1192"/>
      <w:bookmarkEnd w:id="1193"/>
      <w:bookmarkEnd w:id="1194"/>
      <w:bookmarkEnd w:id="1195"/>
      <w:bookmarkEnd w:id="1196"/>
      <w:bookmarkEnd w:id="1197"/>
      <w:bookmarkEnd w:id="1198"/>
      <w:bookmarkEnd w:id="1199"/>
      <w:bookmarkEnd w:id="1200"/>
      <w:bookmarkEnd w:id="1201"/>
    </w:p>
    <w:p w14:paraId="4B2F6BE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5.3.2承包人提前通知监理人隐蔽工程检查的期限的约定：</w:t>
      </w:r>
      <w:r>
        <w:rPr>
          <w:rFonts w:hint="eastAsia" w:ascii="宋体" w:hAnsi="宋体" w:eastAsia="宋体" w:cs="宋体"/>
          <w:szCs w:val="21"/>
          <w:highlight w:val="none"/>
          <w:u w:val="single"/>
        </w:rPr>
        <w:t xml:space="preserve"> 承包人在自检确定隐蔽条件后48小时书面通知监理人检查，通知中要明确隐蔽检查的内容、时间、地点，并附自检记录和必要的检查资料。隐蔽工程和中间验收的验收结果，必须经发包人书面确认，发包人未书面确认的，不能视为认可验收记录，承包人也不得进行隐蔽或者继续施工 。</w:t>
      </w:r>
    </w:p>
    <w:p w14:paraId="3CF9BF4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监理人不能按时进行检查时，应提前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小时提交书面延期要求。</w:t>
      </w:r>
    </w:p>
    <w:p w14:paraId="2A222C9D">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小时。</w:t>
      </w:r>
    </w:p>
    <w:p w14:paraId="218413D1">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202" w:name="_Toc351203638"/>
      <w:r>
        <w:rPr>
          <w:rFonts w:hint="eastAsia" w:ascii="宋体" w:hAnsi="宋体" w:eastAsia="宋体" w:cs="宋体"/>
          <w:b w:val="0"/>
          <w:szCs w:val="21"/>
          <w:highlight w:val="none"/>
        </w:rPr>
        <w:t>6. 安全文明施工与环境保护</w:t>
      </w:r>
      <w:bookmarkEnd w:id="1202"/>
    </w:p>
    <w:p w14:paraId="0096C50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6.1安全文明施工</w:t>
      </w:r>
    </w:p>
    <w:p w14:paraId="5B2C4FFA">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6.1.1 项目安全生产的达标目标及相应事项的约定：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5D4B4BE1">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6.1.4 关于治安保卫的特别约定：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6811681C">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关于编制施工场地治安管理计划的约定：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17040A1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6.1.5 文明施工</w:t>
      </w:r>
    </w:p>
    <w:p w14:paraId="3BE1E3D8">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合同当事人对文明施工的要求：</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068F65E2">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6.1.6 关于安全文明施工费支付比例和支付期限的约定：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bookmarkEnd w:id="1185"/>
    <w:bookmarkEnd w:id="1186"/>
    <w:bookmarkEnd w:id="1187"/>
    <w:bookmarkEnd w:id="1188"/>
    <w:bookmarkEnd w:id="1189"/>
    <w:bookmarkEnd w:id="1190"/>
    <w:bookmarkEnd w:id="1191"/>
    <w:p w14:paraId="3C36A120">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203" w:name="_Toc351203639"/>
      <w:r>
        <w:rPr>
          <w:rFonts w:hint="eastAsia" w:ascii="宋体" w:hAnsi="宋体" w:eastAsia="宋体" w:cs="宋体"/>
          <w:b w:val="0"/>
          <w:szCs w:val="21"/>
          <w:highlight w:val="none"/>
        </w:rPr>
        <w:t>7. 工期和进度</w:t>
      </w:r>
      <w:bookmarkEnd w:id="1203"/>
    </w:p>
    <w:p w14:paraId="4A365543">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7.1 施工组织设计</w:t>
      </w:r>
    </w:p>
    <w:p w14:paraId="2E2B795E">
      <w:pPr>
        <w:pageBreakBefore w:val="0"/>
        <w:widowControl w:val="0"/>
        <w:kinsoku/>
        <w:wordWrap/>
        <w:overflowPunct/>
        <w:topLinePunct w:val="0"/>
        <w:autoSpaceDE w:val="0"/>
        <w:autoSpaceDN w:val="0"/>
        <w:bidi w:val="0"/>
        <w:adjustRightInd w:val="0"/>
        <w:snapToGrid/>
        <w:spacing w:line="450" w:lineRule="exact"/>
        <w:jc w:val="left"/>
        <w:textAlignment w:val="auto"/>
        <w:rPr>
          <w:rFonts w:hint="eastAsia" w:ascii="宋体" w:hAnsi="宋体" w:eastAsia="宋体" w:cs="宋体"/>
          <w:kern w:val="0"/>
          <w:szCs w:val="21"/>
          <w:highlight w:val="none"/>
        </w:rPr>
      </w:pPr>
      <w:r>
        <w:rPr>
          <w:rFonts w:hint="eastAsia" w:ascii="宋体" w:hAnsi="宋体" w:eastAsia="宋体" w:cs="宋体"/>
          <w:szCs w:val="21"/>
          <w:highlight w:val="none"/>
        </w:rPr>
        <w:t>7.1.1 合</w:t>
      </w:r>
      <w:r>
        <w:rPr>
          <w:rFonts w:hint="eastAsia" w:ascii="宋体" w:hAnsi="宋体" w:eastAsia="宋体" w:cs="宋体"/>
          <w:kern w:val="0"/>
          <w:szCs w:val="21"/>
          <w:highlight w:val="none"/>
        </w:rPr>
        <w:t>同当事人约定的施工组织设计应包括的其他内容：</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4FD88D67">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szCs w:val="21"/>
          <w:highlight w:val="none"/>
        </w:rPr>
        <w:t xml:space="preserve">7.1.2 </w:t>
      </w:r>
      <w:r>
        <w:rPr>
          <w:rFonts w:hint="eastAsia" w:ascii="宋体" w:hAnsi="宋体" w:eastAsia="宋体" w:cs="宋体"/>
          <w:kern w:val="0"/>
          <w:szCs w:val="21"/>
          <w:highlight w:val="none"/>
        </w:rPr>
        <w:t>施工组织设计的提交和修改</w:t>
      </w:r>
    </w:p>
    <w:p w14:paraId="6F7DCC2E">
      <w:pPr>
        <w:pageBreakBefore w:val="0"/>
        <w:widowControl w:val="0"/>
        <w:kinsoku/>
        <w:wordWrap/>
        <w:overflowPunct/>
        <w:topLinePunct w:val="0"/>
        <w:autoSpaceDE w:val="0"/>
        <w:autoSpaceDN w:val="0"/>
        <w:bidi w:val="0"/>
        <w:adjustRightInd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承包人提交详细施工组织设计的期限的约定：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4057FCE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发包人和监理人在收到详细的施工组织设计后确认或提出修改意见的期限：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48AAE54">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w:t>
      </w:r>
      <w:bookmarkStart w:id="1204" w:name="_Toc297123514"/>
      <w:bookmarkStart w:id="1205" w:name="_Toc312678005"/>
      <w:bookmarkStart w:id="1206" w:name="_Toc300934966"/>
      <w:bookmarkStart w:id="1207" w:name="_Toc304295541"/>
      <w:bookmarkStart w:id="1208" w:name="_Toc297216173"/>
      <w:bookmarkStart w:id="1209" w:name="_Toc312677479"/>
      <w:bookmarkStart w:id="1210" w:name="_Toc303539123"/>
      <w:r>
        <w:rPr>
          <w:rFonts w:hint="eastAsia" w:ascii="宋体" w:hAnsi="宋体" w:eastAsia="宋体" w:cs="宋体"/>
          <w:szCs w:val="21"/>
          <w:highlight w:val="none"/>
        </w:rPr>
        <w:t>.2 施工进度计划</w:t>
      </w:r>
    </w:p>
    <w:p w14:paraId="5FE72E54">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7.2.2 施工进度计划的修订</w:t>
      </w:r>
    </w:p>
    <w:p w14:paraId="71A2862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发包人和监理人在收到修订的施工进度计划后确认或提出修改意见的期限：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0CA0C292">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7.3 开工</w:t>
      </w:r>
    </w:p>
    <w:p w14:paraId="5BD33EC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7.3.1 开工准备</w:t>
      </w:r>
    </w:p>
    <w:p w14:paraId="4E18D7C3">
      <w:pPr>
        <w:pageBreakBefore w:val="0"/>
        <w:widowControl w:val="0"/>
        <w:kinsoku/>
        <w:wordWrap/>
        <w:overflowPunct/>
        <w:topLinePunct w:val="0"/>
        <w:bidi w:val="0"/>
        <w:snapToGrid/>
        <w:spacing w:line="450" w:lineRule="exact"/>
        <w:ind w:firstLine="645"/>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关于承包人提交</w:t>
      </w:r>
      <w:r>
        <w:rPr>
          <w:rFonts w:hint="eastAsia" w:ascii="宋体" w:hAnsi="宋体" w:eastAsia="宋体" w:cs="宋体"/>
          <w:kern w:val="0"/>
          <w:szCs w:val="21"/>
          <w:highlight w:val="none"/>
        </w:rPr>
        <w:t>工程开工报审表的期限：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1895108">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关于发包人应完成的其他开工准备工作及期限：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DBA9574">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关于承包人应完成的其他开工准备工作及期限：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DCEC45C">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7.3.2开工通知</w:t>
      </w:r>
    </w:p>
    <w:p w14:paraId="2045695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因发包人原因造成监理人未能在计划开工日期之日起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天内发出开工通知的，承包人有权提出价格调整要求，或者解除合同。</w:t>
      </w:r>
    </w:p>
    <w:bookmarkEnd w:id="1204"/>
    <w:bookmarkEnd w:id="1205"/>
    <w:bookmarkEnd w:id="1206"/>
    <w:bookmarkEnd w:id="1207"/>
    <w:bookmarkEnd w:id="1208"/>
    <w:bookmarkEnd w:id="1209"/>
    <w:bookmarkEnd w:id="1210"/>
    <w:p w14:paraId="1C04B93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7.4 测量放线</w:t>
      </w:r>
    </w:p>
    <w:p w14:paraId="55AF626D">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7.4.1发包人通过监理人向承包人提供测量基准点、基准线和水准点及其书面资料的期限：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w:t>
      </w:r>
    </w:p>
    <w:p w14:paraId="4FA8B9D7">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w:t>
      </w:r>
      <w:bookmarkStart w:id="1211" w:name="_Toc312678010"/>
      <w:bookmarkStart w:id="1212" w:name="_Toc297123516"/>
      <w:bookmarkStart w:id="1213" w:name="_Toc312677484"/>
      <w:bookmarkStart w:id="1214" w:name="_Toc300934968"/>
      <w:bookmarkStart w:id="1215" w:name="_Toc304295546"/>
      <w:bookmarkStart w:id="1216" w:name="_Toc303539125"/>
      <w:bookmarkStart w:id="1217" w:name="_Toc297216175"/>
      <w:r>
        <w:rPr>
          <w:rFonts w:hint="eastAsia" w:ascii="宋体" w:hAnsi="宋体" w:eastAsia="宋体" w:cs="宋体"/>
          <w:szCs w:val="21"/>
          <w:highlight w:val="none"/>
        </w:rPr>
        <w:t>.5 工期延误</w:t>
      </w:r>
    </w:p>
    <w:bookmarkEnd w:id="1211"/>
    <w:bookmarkEnd w:id="1212"/>
    <w:bookmarkEnd w:id="1213"/>
    <w:bookmarkEnd w:id="1214"/>
    <w:bookmarkEnd w:id="1215"/>
    <w:bookmarkEnd w:id="1216"/>
    <w:bookmarkEnd w:id="1217"/>
    <w:p w14:paraId="5CE5AD2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7.5.1 因发包人原因导致工期延误</w:t>
      </w:r>
    </w:p>
    <w:p w14:paraId="723E063F">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（7）因发包人原因导致工期延误的其他情形：</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2B4A75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w:t>
      </w:r>
      <w:bookmarkStart w:id="1218" w:name="_Toc312677486"/>
      <w:bookmarkStart w:id="1219" w:name="_Toc318581169"/>
      <w:bookmarkStart w:id="1220" w:name="_Toc312678012"/>
      <w:bookmarkStart w:id="1221" w:name="_Toc300934970"/>
      <w:bookmarkStart w:id="1222" w:name="_Toc297123518"/>
      <w:bookmarkStart w:id="1223" w:name="_Toc304295548"/>
      <w:bookmarkStart w:id="1224" w:name="_Toc303539127"/>
      <w:bookmarkStart w:id="1225" w:name="_Toc297216177"/>
      <w:r>
        <w:rPr>
          <w:rFonts w:hint="eastAsia" w:ascii="宋体" w:hAnsi="宋体" w:eastAsia="宋体" w:cs="宋体"/>
          <w:szCs w:val="21"/>
          <w:highlight w:val="none"/>
        </w:rPr>
        <w:t>.5.2 因承包人原因导致工期延误</w:t>
      </w:r>
    </w:p>
    <w:bookmarkEnd w:id="1218"/>
    <w:bookmarkEnd w:id="1219"/>
    <w:bookmarkEnd w:id="1220"/>
    <w:p w14:paraId="6F6F7E9C">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因</w:t>
      </w:r>
      <w:bookmarkStart w:id="1226" w:name="_Toc312677487"/>
      <w:bookmarkStart w:id="1227" w:name="_Toc312678013"/>
      <w:bookmarkStart w:id="1228" w:name="_Toc318581170"/>
      <w:r>
        <w:rPr>
          <w:rFonts w:hint="eastAsia" w:ascii="宋体" w:hAnsi="宋体" w:eastAsia="宋体" w:cs="宋体"/>
          <w:szCs w:val="21"/>
          <w:highlight w:val="none"/>
        </w:rPr>
        <w:t>承包人原因造成工期延误，逾期竣工违约金的计算方法为：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bookmarkEnd w:id="1221"/>
      <w:bookmarkEnd w:id="1222"/>
      <w:bookmarkEnd w:id="1223"/>
      <w:bookmarkEnd w:id="1224"/>
      <w:bookmarkEnd w:id="1225"/>
      <w:bookmarkEnd w:id="1226"/>
      <w:bookmarkEnd w:id="1227"/>
    </w:p>
    <w:bookmarkEnd w:id="1228"/>
    <w:p w14:paraId="78ADA959">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因承包人原因造成工期延误，逾</w:t>
      </w:r>
      <w:bookmarkStart w:id="1229" w:name="_Toc312678014"/>
      <w:bookmarkStart w:id="1230" w:name="_Toc318581171"/>
      <w:r>
        <w:rPr>
          <w:rFonts w:hint="eastAsia" w:ascii="宋体" w:hAnsi="宋体" w:eastAsia="宋体" w:cs="宋体"/>
          <w:szCs w:val="21"/>
          <w:highlight w:val="none"/>
        </w:rPr>
        <w:t>期竣工违约金的上限：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1229"/>
    <w:bookmarkEnd w:id="1230"/>
    <w:p w14:paraId="4E045A72">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w:t>
      </w:r>
      <w:bookmarkStart w:id="1231" w:name="_Toc297216178"/>
      <w:bookmarkStart w:id="1232" w:name="_Toc300934971"/>
      <w:bookmarkStart w:id="1233" w:name="_Toc303539128"/>
      <w:bookmarkStart w:id="1234" w:name="_Toc297123519"/>
      <w:bookmarkStart w:id="1235" w:name="_Toc312678015"/>
      <w:bookmarkStart w:id="1236" w:name="_Toc304295549"/>
      <w:r>
        <w:rPr>
          <w:rFonts w:hint="eastAsia" w:ascii="宋体" w:hAnsi="宋体" w:eastAsia="宋体" w:cs="宋体"/>
          <w:szCs w:val="21"/>
          <w:highlight w:val="none"/>
        </w:rPr>
        <w:t>.6 不</w:t>
      </w:r>
      <w:bookmarkEnd w:id="1231"/>
      <w:bookmarkEnd w:id="1232"/>
      <w:bookmarkEnd w:id="1233"/>
      <w:bookmarkEnd w:id="1234"/>
      <w:bookmarkEnd w:id="1235"/>
      <w:bookmarkEnd w:id="1236"/>
      <w:r>
        <w:rPr>
          <w:rFonts w:hint="eastAsia" w:ascii="宋体" w:hAnsi="宋体" w:eastAsia="宋体" w:cs="宋体"/>
          <w:szCs w:val="21"/>
          <w:highlight w:val="none"/>
        </w:rPr>
        <w:t>利物质条件</w:t>
      </w:r>
    </w:p>
    <w:p w14:paraId="70429321">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bookmarkStart w:id="1237" w:name="_Toc304295550"/>
      <w:bookmarkStart w:id="1238" w:name="_Toc318581172"/>
      <w:bookmarkStart w:id="1239" w:name="_Toc303539129"/>
      <w:bookmarkStart w:id="1240" w:name="_Toc297123520"/>
      <w:bookmarkStart w:id="1241" w:name="_Toc297216179"/>
      <w:bookmarkStart w:id="1242" w:name="_Toc312678016"/>
      <w:bookmarkStart w:id="1243" w:name="_Toc300934972"/>
      <w:r>
        <w:rPr>
          <w:rFonts w:hint="eastAsia" w:ascii="宋体" w:hAnsi="宋体" w:eastAsia="宋体" w:cs="宋体"/>
          <w:szCs w:val="21"/>
          <w:highlight w:val="none"/>
        </w:rPr>
        <w:t>不利物质条件的其他情形和有关约定：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bookmarkEnd w:id="1237"/>
    <w:bookmarkEnd w:id="1238"/>
    <w:bookmarkEnd w:id="1239"/>
    <w:bookmarkEnd w:id="1240"/>
    <w:bookmarkEnd w:id="1241"/>
    <w:bookmarkEnd w:id="1242"/>
    <w:bookmarkEnd w:id="1243"/>
    <w:p w14:paraId="785A4FEA">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w:t>
      </w:r>
      <w:bookmarkStart w:id="1244" w:name="_Toc300934973"/>
      <w:bookmarkStart w:id="1245" w:name="_Toc312678017"/>
      <w:bookmarkStart w:id="1246" w:name="_Toc297216180"/>
      <w:bookmarkStart w:id="1247" w:name="_Toc303539130"/>
      <w:bookmarkStart w:id="1248" w:name="_Toc304295551"/>
      <w:bookmarkStart w:id="1249" w:name="_Toc297123521"/>
      <w:r>
        <w:rPr>
          <w:rFonts w:hint="eastAsia" w:ascii="宋体" w:hAnsi="宋体" w:eastAsia="宋体" w:cs="宋体"/>
          <w:szCs w:val="21"/>
          <w:highlight w:val="none"/>
        </w:rPr>
        <w:t>.7异常恶劣的气候条件</w:t>
      </w:r>
    </w:p>
    <w:bookmarkEnd w:id="1244"/>
    <w:bookmarkEnd w:id="1245"/>
    <w:bookmarkEnd w:id="1246"/>
    <w:bookmarkEnd w:id="1247"/>
    <w:bookmarkEnd w:id="1248"/>
    <w:bookmarkEnd w:id="1249"/>
    <w:p w14:paraId="15170314">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发包人和承包人同意以下情形视为异常恶劣的气候条件：</w:t>
      </w:r>
    </w:p>
    <w:p w14:paraId="11BE235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E2204C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1D41E0A">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6B51B56">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250" w:name="_Toc106695211"/>
      <w:bookmarkStart w:id="1251" w:name="_Toc499891652"/>
      <w:bookmarkStart w:id="1252" w:name="_Toc27378063"/>
      <w:bookmarkStart w:id="1253" w:name="_Toc106695364"/>
      <w:bookmarkStart w:id="1254" w:name="_Toc21932"/>
      <w:bookmarkStart w:id="1255" w:name="_Toc499892843"/>
      <w:bookmarkStart w:id="1256" w:name="_Toc500864495"/>
      <w:bookmarkStart w:id="1257" w:name="_Toc8702"/>
      <w:bookmarkStart w:id="1258" w:name="_Toc500865885"/>
      <w:bookmarkStart w:id="1259" w:name="_Toc36136602"/>
      <w:r>
        <w:rPr>
          <w:rFonts w:hint="eastAsia" w:ascii="宋体" w:hAnsi="宋体" w:eastAsia="宋体" w:cs="宋体"/>
          <w:szCs w:val="21"/>
          <w:highlight w:val="none"/>
        </w:rPr>
        <w:t>7.9 提前竣工的奖励</w:t>
      </w:r>
      <w:bookmarkEnd w:id="1250"/>
      <w:bookmarkEnd w:id="1251"/>
      <w:bookmarkEnd w:id="1252"/>
      <w:bookmarkEnd w:id="1253"/>
      <w:bookmarkEnd w:id="1254"/>
      <w:bookmarkEnd w:id="1255"/>
      <w:bookmarkEnd w:id="1256"/>
      <w:bookmarkEnd w:id="1257"/>
      <w:bookmarkEnd w:id="1258"/>
      <w:bookmarkEnd w:id="1259"/>
    </w:p>
    <w:p w14:paraId="0D57A143">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7.9.2提前竣工的奖励：</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431662FC">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260" w:name="_Toc351203640"/>
      <w:r>
        <w:rPr>
          <w:rFonts w:hint="eastAsia" w:ascii="宋体" w:hAnsi="宋体" w:eastAsia="宋体" w:cs="宋体"/>
          <w:b w:val="0"/>
          <w:szCs w:val="21"/>
          <w:highlight w:val="none"/>
        </w:rPr>
        <w:t>8. 材料与设备</w:t>
      </w:r>
      <w:bookmarkEnd w:id="1260"/>
    </w:p>
    <w:bookmarkEnd w:id="1165"/>
    <w:bookmarkEnd w:id="1166"/>
    <w:bookmarkEnd w:id="1167"/>
    <w:bookmarkEnd w:id="1168"/>
    <w:bookmarkEnd w:id="1169"/>
    <w:bookmarkEnd w:id="1170"/>
    <w:bookmarkEnd w:id="1171"/>
    <w:bookmarkEnd w:id="1172"/>
    <w:bookmarkEnd w:id="1173"/>
    <w:bookmarkEnd w:id="1174"/>
    <w:p w14:paraId="7E7A657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8</w:t>
      </w:r>
      <w:bookmarkStart w:id="1261" w:name="_Toc280868654"/>
      <w:bookmarkStart w:id="1262" w:name="_Toc297123527"/>
      <w:bookmarkStart w:id="1263" w:name="_Toc296346668"/>
      <w:bookmarkStart w:id="1264" w:name="_Toc297216186"/>
      <w:bookmarkStart w:id="1265" w:name="_Toc296891207"/>
      <w:bookmarkStart w:id="1266" w:name="_Toc296944506"/>
      <w:bookmarkStart w:id="1267" w:name="_Toc292559877"/>
      <w:bookmarkStart w:id="1268" w:name="_Toc296347166"/>
      <w:bookmarkStart w:id="1269" w:name="_Toc312678019"/>
      <w:bookmarkStart w:id="1270" w:name="_Toc312677493"/>
      <w:bookmarkStart w:id="1271" w:name="_Toc296503167"/>
      <w:bookmarkStart w:id="1272" w:name="_Toc296890995"/>
      <w:bookmarkStart w:id="1273" w:name="_Toc297048353"/>
      <w:bookmarkStart w:id="1274" w:name="_Toc304295556"/>
      <w:bookmarkStart w:id="1275" w:name="_Toc300934979"/>
      <w:bookmarkStart w:id="1276" w:name="_Toc292559372"/>
      <w:bookmarkStart w:id="1277" w:name="_Toc303539136"/>
      <w:bookmarkStart w:id="1278" w:name="_Toc297120467"/>
      <w:bookmarkStart w:id="1279" w:name="_Toc267251424"/>
      <w:bookmarkStart w:id="1280" w:name="_Toc280868655"/>
      <w:bookmarkStart w:id="1281" w:name="_Toc280868656"/>
      <w:r>
        <w:rPr>
          <w:rFonts w:hint="eastAsia" w:ascii="宋体" w:hAnsi="宋体" w:eastAsia="宋体" w:cs="宋体"/>
          <w:szCs w:val="21"/>
          <w:highlight w:val="none"/>
        </w:rPr>
        <w:t>.4材料与工程设备的保管与使用</w:t>
      </w:r>
    </w:p>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p w14:paraId="467A908F">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8</w:t>
      </w:r>
      <w:bookmarkStart w:id="1282" w:name="_Toc292559373"/>
      <w:bookmarkStart w:id="1283" w:name="_Toc292559878"/>
      <w:bookmarkStart w:id="1284" w:name="_Toc312678020"/>
      <w:bookmarkStart w:id="1285" w:name="_Toc303539137"/>
      <w:bookmarkStart w:id="1286" w:name="_Toc296346669"/>
      <w:bookmarkStart w:id="1287" w:name="_Toc296891208"/>
      <w:bookmarkStart w:id="1288" w:name="_Toc296347167"/>
      <w:bookmarkStart w:id="1289" w:name="_Toc297216187"/>
      <w:bookmarkStart w:id="1290" w:name="_Toc304295557"/>
      <w:bookmarkStart w:id="1291" w:name="_Toc297123528"/>
      <w:bookmarkStart w:id="1292" w:name="_Toc300934980"/>
      <w:bookmarkStart w:id="1293" w:name="_Toc312677494"/>
      <w:bookmarkStart w:id="1294" w:name="_Toc297120468"/>
      <w:bookmarkStart w:id="1295" w:name="_Toc296503168"/>
      <w:bookmarkStart w:id="1296" w:name="_Toc296890996"/>
      <w:bookmarkStart w:id="1297" w:name="_Toc296944507"/>
      <w:bookmarkStart w:id="1298" w:name="_Toc318581173"/>
      <w:bookmarkStart w:id="1299" w:name="_Toc297048354"/>
      <w:r>
        <w:rPr>
          <w:rFonts w:hint="eastAsia" w:ascii="宋体" w:hAnsi="宋体" w:eastAsia="宋体" w:cs="宋体"/>
          <w:szCs w:val="21"/>
          <w:highlight w:val="none"/>
        </w:rPr>
        <w:t>.4.1发包人供应的材料设备的保管费用的承担：</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bookmarkEnd w:id="1282"/>
      <w:bookmarkEnd w:id="1283"/>
    </w:p>
    <w:p w14:paraId="373CA056">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300" w:name="_Toc500865886"/>
      <w:bookmarkStart w:id="1301" w:name="_Toc106695365"/>
      <w:bookmarkStart w:id="1302" w:name="_Toc106695212"/>
      <w:bookmarkStart w:id="1303" w:name="_Toc19580"/>
      <w:bookmarkStart w:id="1304" w:name="_Toc499892844"/>
      <w:bookmarkStart w:id="1305" w:name="_Toc36136603"/>
      <w:bookmarkStart w:id="1306" w:name="_Toc499891653"/>
      <w:bookmarkStart w:id="1307" w:name="_Toc500864496"/>
      <w:bookmarkStart w:id="1308" w:name="_Toc25207"/>
      <w:bookmarkStart w:id="1309" w:name="_Toc27378064"/>
      <w:r>
        <w:rPr>
          <w:rFonts w:hint="eastAsia" w:ascii="宋体" w:hAnsi="宋体" w:eastAsia="宋体" w:cs="宋体"/>
          <w:szCs w:val="21"/>
          <w:highlight w:val="none"/>
        </w:rPr>
        <w:t>8.6 样品</w:t>
      </w:r>
      <w:bookmarkEnd w:id="1300"/>
      <w:bookmarkEnd w:id="1301"/>
      <w:bookmarkEnd w:id="1302"/>
      <w:bookmarkEnd w:id="1303"/>
      <w:bookmarkEnd w:id="1304"/>
      <w:bookmarkEnd w:id="1305"/>
      <w:bookmarkEnd w:id="1306"/>
      <w:bookmarkEnd w:id="1307"/>
      <w:bookmarkEnd w:id="1308"/>
      <w:bookmarkEnd w:id="1309"/>
    </w:p>
    <w:p w14:paraId="07BB4BDE">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8.6.1</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样品的报送与封存</w:t>
      </w:r>
    </w:p>
    <w:p w14:paraId="524F46FA">
      <w:pPr>
        <w:pageBreakBefore w:val="0"/>
        <w:widowControl w:val="0"/>
        <w:kinsoku/>
        <w:wordWrap/>
        <w:overflowPunct/>
        <w:topLinePunct w:val="0"/>
        <w:autoSpaceDE w:val="0"/>
        <w:autoSpaceDN w:val="0"/>
        <w:bidi w:val="0"/>
        <w:adjustRightInd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需要承包人报送样品的材料或工程设备，样品的种类、名称、规格、数量要求：</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6852C691">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310" w:name="_Toc499891654"/>
      <w:bookmarkStart w:id="1311" w:name="_Toc499892845"/>
      <w:bookmarkStart w:id="1312" w:name="_Toc106695213"/>
      <w:bookmarkStart w:id="1313" w:name="_Toc106695366"/>
      <w:bookmarkStart w:id="1314" w:name="_Toc17824"/>
      <w:bookmarkStart w:id="1315" w:name="_Toc500865887"/>
      <w:bookmarkStart w:id="1316" w:name="_Toc500864497"/>
      <w:bookmarkStart w:id="1317" w:name="_Toc27378065"/>
      <w:bookmarkStart w:id="1318" w:name="_Toc36136604"/>
      <w:r>
        <w:rPr>
          <w:rFonts w:hint="eastAsia" w:ascii="宋体" w:hAnsi="宋体" w:eastAsia="宋体" w:cs="宋体"/>
          <w:szCs w:val="21"/>
          <w:highlight w:val="none"/>
        </w:rPr>
        <w:t>8.8 施工设备和临时设施</w:t>
      </w:r>
      <w:bookmarkEnd w:id="1310"/>
      <w:bookmarkEnd w:id="1311"/>
      <w:bookmarkEnd w:id="1312"/>
      <w:bookmarkEnd w:id="1313"/>
      <w:bookmarkEnd w:id="1314"/>
      <w:bookmarkEnd w:id="1315"/>
      <w:bookmarkEnd w:id="1316"/>
      <w:bookmarkEnd w:id="1317"/>
      <w:bookmarkEnd w:id="1318"/>
    </w:p>
    <w:p w14:paraId="78A09452">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8.8.1 承包人提供的施工设备和临时设施</w:t>
      </w:r>
    </w:p>
    <w:p w14:paraId="52FA3266">
      <w:pPr>
        <w:pageBreakBefore w:val="0"/>
        <w:widowControl w:val="0"/>
        <w:kinsoku/>
        <w:wordWrap/>
        <w:overflowPunct/>
        <w:topLinePunct w:val="0"/>
        <w:autoSpaceDE w:val="0"/>
        <w:autoSpaceDN w:val="0"/>
        <w:bidi w:val="0"/>
        <w:adjustRightInd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关于修建临时设施费用承担的约定：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14:paraId="76579849">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319" w:name="_Toc351203641"/>
      <w:r>
        <w:rPr>
          <w:rFonts w:hint="eastAsia" w:ascii="宋体" w:hAnsi="宋体" w:eastAsia="宋体" w:cs="宋体"/>
          <w:b w:val="0"/>
          <w:szCs w:val="21"/>
          <w:highlight w:val="none"/>
        </w:rPr>
        <w:t>9</w:t>
      </w:r>
      <w:bookmarkEnd w:id="1279"/>
      <w:bookmarkEnd w:id="1280"/>
      <w:bookmarkEnd w:id="1281"/>
      <w:bookmarkStart w:id="1320" w:name="_Toc304295559"/>
      <w:bookmarkStart w:id="1321" w:name="_Toc300934982"/>
      <w:bookmarkStart w:id="1322" w:name="_Toc297123533"/>
      <w:bookmarkStart w:id="1323" w:name="_Toc312678021"/>
      <w:bookmarkStart w:id="1324" w:name="_Toc312677495"/>
      <w:bookmarkStart w:id="1325" w:name="_Toc303539139"/>
      <w:bookmarkStart w:id="1326" w:name="_Toc297216192"/>
      <w:bookmarkStart w:id="1327" w:name="_Toc296347172"/>
      <w:bookmarkStart w:id="1328" w:name="_Toc296346674"/>
      <w:bookmarkStart w:id="1329" w:name="_Toc267251427"/>
      <w:bookmarkStart w:id="1330" w:name="_Toc296944512"/>
      <w:bookmarkStart w:id="1331" w:name="_Toc292559883"/>
      <w:bookmarkStart w:id="1332" w:name="_Toc296891001"/>
      <w:bookmarkStart w:id="1333" w:name="_Toc297120473"/>
      <w:bookmarkStart w:id="1334" w:name="_Toc292559378"/>
      <w:bookmarkStart w:id="1335" w:name="_Toc296503173"/>
      <w:bookmarkStart w:id="1336" w:name="_Toc296891213"/>
      <w:bookmarkStart w:id="1337" w:name="_Toc267251428"/>
      <w:bookmarkStart w:id="1338" w:name="_Toc297048359"/>
      <w:r>
        <w:rPr>
          <w:rFonts w:hint="eastAsia" w:ascii="宋体" w:hAnsi="宋体" w:eastAsia="宋体" w:cs="宋体"/>
          <w:b w:val="0"/>
          <w:szCs w:val="21"/>
          <w:highlight w:val="none"/>
        </w:rPr>
        <w:t>. 试验与检验</w:t>
      </w:r>
      <w:bookmarkEnd w:id="1319"/>
    </w:p>
    <w:bookmarkEnd w:id="1320"/>
    <w:bookmarkEnd w:id="1321"/>
    <w:bookmarkEnd w:id="1322"/>
    <w:bookmarkEnd w:id="1323"/>
    <w:bookmarkEnd w:id="1324"/>
    <w:bookmarkEnd w:id="1325"/>
    <w:bookmarkEnd w:id="1326"/>
    <w:p w14:paraId="4967DF48">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9</w:t>
      </w:r>
      <w:bookmarkStart w:id="1339" w:name="_Toc297123534"/>
      <w:bookmarkStart w:id="1340" w:name="_Toc297216193"/>
      <w:bookmarkStart w:id="1341" w:name="_Toc312677496"/>
      <w:bookmarkStart w:id="1342" w:name="_Toc312678022"/>
      <w:bookmarkStart w:id="1343" w:name="_Toc300934983"/>
      <w:bookmarkStart w:id="1344" w:name="_Toc304295560"/>
      <w:bookmarkStart w:id="1345" w:name="_Toc303539140"/>
      <w:r>
        <w:rPr>
          <w:rFonts w:hint="eastAsia" w:ascii="宋体" w:hAnsi="宋体" w:eastAsia="宋体" w:cs="宋体"/>
          <w:szCs w:val="21"/>
          <w:highlight w:val="none"/>
        </w:rPr>
        <w:t>.1试验设备与试验人员</w:t>
      </w:r>
    </w:p>
    <w:bookmarkEnd w:id="1339"/>
    <w:bookmarkEnd w:id="1340"/>
    <w:bookmarkEnd w:id="1341"/>
    <w:bookmarkEnd w:id="1342"/>
    <w:bookmarkEnd w:id="1343"/>
    <w:bookmarkEnd w:id="1344"/>
    <w:bookmarkEnd w:id="1345"/>
    <w:p w14:paraId="14D53A6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9</w:t>
      </w:r>
      <w:bookmarkStart w:id="1346" w:name="_Toc297216194"/>
      <w:bookmarkStart w:id="1347" w:name="_Toc304295561"/>
      <w:bookmarkStart w:id="1348" w:name="_Toc312678023"/>
      <w:bookmarkStart w:id="1349" w:name="_Toc297123535"/>
      <w:bookmarkStart w:id="1350" w:name="_Toc312677497"/>
      <w:bookmarkStart w:id="1351" w:name="_Toc303539141"/>
      <w:bookmarkStart w:id="1352" w:name="_Toc300934984"/>
      <w:bookmarkStart w:id="1353" w:name="_Toc318581174"/>
      <w:r>
        <w:rPr>
          <w:rFonts w:hint="eastAsia" w:ascii="宋体" w:hAnsi="宋体" w:eastAsia="宋体" w:cs="宋体"/>
          <w:szCs w:val="21"/>
          <w:highlight w:val="none"/>
        </w:rPr>
        <w:t>.1.2 试验设备</w:t>
      </w:r>
    </w:p>
    <w:p w14:paraId="62A993B5">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施工现场需要配置的试验场所：</w:t>
      </w:r>
      <w:bookmarkEnd w:id="1346"/>
      <w:bookmarkEnd w:id="1347"/>
      <w:bookmarkEnd w:id="1348"/>
      <w:bookmarkEnd w:id="1349"/>
      <w:bookmarkEnd w:id="1350"/>
      <w:bookmarkEnd w:id="1351"/>
      <w:bookmarkEnd w:id="1352"/>
      <w:bookmarkStart w:id="1354" w:name="_Toc304295562"/>
      <w:bookmarkStart w:id="1355" w:name="_Toc312678024"/>
      <w:bookmarkStart w:id="1356" w:name="_Toc297123536"/>
      <w:bookmarkStart w:id="1357" w:name="_Toc297216195"/>
      <w:bookmarkStart w:id="1358" w:name="_Toc303539142"/>
      <w:bookmarkStart w:id="1359" w:name="_Toc300934985"/>
      <w:bookmarkStart w:id="1360" w:name="_Toc312677498"/>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18DB8D25">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施工现场需要配备的试验设备：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5B8E39E">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施工现场需要具备的其他试验条件：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88A537A">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361" w:name="_Toc26302"/>
      <w:bookmarkStart w:id="1362" w:name="_Toc27378066"/>
      <w:bookmarkStart w:id="1363" w:name="_Toc499891655"/>
      <w:bookmarkStart w:id="1364" w:name="_Toc36136605"/>
      <w:bookmarkStart w:id="1365" w:name="_Toc106695367"/>
      <w:bookmarkStart w:id="1366" w:name="_Toc3278"/>
      <w:bookmarkStart w:id="1367" w:name="_Toc106695214"/>
      <w:bookmarkStart w:id="1368" w:name="_Toc500864498"/>
      <w:bookmarkStart w:id="1369" w:name="_Toc499892846"/>
      <w:bookmarkStart w:id="1370" w:name="_Toc500865888"/>
      <w:r>
        <w:rPr>
          <w:rFonts w:hint="eastAsia" w:ascii="宋体" w:hAnsi="宋体" w:eastAsia="宋体" w:cs="宋体"/>
          <w:szCs w:val="21"/>
          <w:highlight w:val="none"/>
        </w:rPr>
        <w:t>9.4 现场工艺试验</w:t>
      </w:r>
      <w:bookmarkEnd w:id="1361"/>
      <w:bookmarkEnd w:id="1362"/>
      <w:bookmarkEnd w:id="1363"/>
      <w:bookmarkEnd w:id="1364"/>
      <w:bookmarkEnd w:id="1365"/>
      <w:bookmarkEnd w:id="1366"/>
      <w:bookmarkEnd w:id="1367"/>
      <w:bookmarkEnd w:id="1368"/>
      <w:bookmarkEnd w:id="1369"/>
      <w:bookmarkEnd w:id="1370"/>
      <w:r>
        <w:rPr>
          <w:rFonts w:hint="eastAsia" w:ascii="宋体" w:hAnsi="宋体" w:eastAsia="宋体" w:cs="宋体"/>
          <w:szCs w:val="21"/>
          <w:highlight w:val="none"/>
        </w:rPr>
        <w:t xml:space="preserve"> </w:t>
      </w:r>
    </w:p>
    <w:p w14:paraId="63C25C48">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现场工艺试验的有关约定：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bookmarkEnd w:id="1353"/>
    <w:bookmarkEnd w:id="1354"/>
    <w:bookmarkEnd w:id="1355"/>
    <w:bookmarkEnd w:id="1356"/>
    <w:bookmarkEnd w:id="1357"/>
    <w:bookmarkEnd w:id="1358"/>
    <w:bookmarkEnd w:id="1359"/>
    <w:bookmarkEnd w:id="1360"/>
    <w:p w14:paraId="3A63A3BB">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371" w:name="_Toc351203642"/>
      <w:r>
        <w:rPr>
          <w:rFonts w:hint="eastAsia" w:ascii="宋体" w:hAnsi="宋体" w:eastAsia="宋体" w:cs="宋体"/>
          <w:b w:val="0"/>
          <w:szCs w:val="21"/>
          <w:highlight w:val="none"/>
        </w:rPr>
        <w:t>1</w:t>
      </w:r>
      <w:bookmarkEnd w:id="1327"/>
      <w:bookmarkEnd w:id="1328"/>
      <w:bookmarkEnd w:id="1329"/>
      <w:bookmarkEnd w:id="1330"/>
      <w:bookmarkEnd w:id="1331"/>
      <w:bookmarkEnd w:id="1332"/>
      <w:bookmarkEnd w:id="1333"/>
      <w:bookmarkEnd w:id="1334"/>
      <w:bookmarkEnd w:id="1335"/>
      <w:bookmarkEnd w:id="1336"/>
      <w:bookmarkEnd w:id="1337"/>
      <w:bookmarkEnd w:id="1338"/>
      <w:bookmarkStart w:id="1372" w:name="_Toc303539146"/>
      <w:bookmarkStart w:id="1373" w:name="_Toc296347192"/>
      <w:bookmarkStart w:id="1374" w:name="_Toc297123540"/>
      <w:bookmarkStart w:id="1375" w:name="_Toc296891233"/>
      <w:bookmarkStart w:id="1376" w:name="_Toc296944532"/>
      <w:bookmarkStart w:id="1377" w:name="_Toc296891021"/>
      <w:bookmarkStart w:id="1378" w:name="_Toc297120493"/>
      <w:bookmarkStart w:id="1379" w:name="_Toc296346694"/>
      <w:bookmarkStart w:id="1380" w:name="_Toc292559903"/>
      <w:bookmarkStart w:id="1381" w:name="_Toc297216199"/>
      <w:bookmarkStart w:id="1382" w:name="_Toc297048379"/>
      <w:bookmarkStart w:id="1383" w:name="_Toc304295566"/>
      <w:bookmarkStart w:id="1384" w:name="_Toc300934989"/>
      <w:bookmarkStart w:id="1385" w:name="_Toc292559398"/>
      <w:bookmarkStart w:id="1386" w:name="_Toc296503193"/>
      <w:bookmarkStart w:id="1387" w:name="_Toc312677499"/>
      <w:bookmarkStart w:id="1388" w:name="_Toc312678025"/>
      <w:bookmarkStart w:id="1389" w:name="_Toc267251437"/>
      <w:bookmarkStart w:id="1390" w:name="_Toc267251440"/>
      <w:bookmarkStart w:id="1391" w:name="_Toc267251433"/>
      <w:bookmarkStart w:id="1392" w:name="_Toc267251435"/>
      <w:bookmarkStart w:id="1393" w:name="_Toc267251441"/>
      <w:bookmarkStart w:id="1394" w:name="_Toc267251439"/>
      <w:bookmarkStart w:id="1395" w:name="_Toc267251442"/>
      <w:r>
        <w:rPr>
          <w:rFonts w:hint="eastAsia" w:ascii="宋体" w:hAnsi="宋体" w:eastAsia="宋体" w:cs="宋体"/>
          <w:b w:val="0"/>
          <w:szCs w:val="21"/>
          <w:highlight w:val="none"/>
        </w:rPr>
        <w:t>0. 变更</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p>
    <w:bookmarkEnd w:id="1387"/>
    <w:bookmarkEnd w:id="1388"/>
    <w:p w14:paraId="0A4FF94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w:t>
      </w:r>
      <w:bookmarkStart w:id="1396" w:name="_Toc296503194"/>
      <w:bookmarkStart w:id="1397" w:name="_Toc296944533"/>
      <w:bookmarkStart w:id="1398" w:name="_Toc296347193"/>
      <w:bookmarkStart w:id="1399" w:name="_Toc303539147"/>
      <w:bookmarkStart w:id="1400" w:name="_Toc296346695"/>
      <w:bookmarkStart w:id="1401" w:name="_Toc296891022"/>
      <w:bookmarkStart w:id="1402" w:name="_Toc296891234"/>
      <w:bookmarkStart w:id="1403" w:name="_Toc297216200"/>
      <w:bookmarkStart w:id="1404" w:name="_Toc312678026"/>
      <w:bookmarkStart w:id="1405" w:name="_Toc297048380"/>
      <w:bookmarkStart w:id="1406" w:name="_Toc292559904"/>
      <w:bookmarkStart w:id="1407" w:name="_Toc292559399"/>
      <w:bookmarkStart w:id="1408" w:name="_Toc304295567"/>
      <w:bookmarkStart w:id="1409" w:name="_Toc312677500"/>
      <w:bookmarkStart w:id="1410" w:name="_Toc297120494"/>
      <w:bookmarkStart w:id="1411" w:name="_Toc300934990"/>
      <w:bookmarkStart w:id="1412" w:name="_Toc297123541"/>
      <w:r>
        <w:rPr>
          <w:rFonts w:hint="eastAsia" w:ascii="宋体" w:hAnsi="宋体" w:eastAsia="宋体" w:cs="宋体"/>
          <w:szCs w:val="21"/>
          <w:highlight w:val="none"/>
        </w:rPr>
        <w:t>0.1变更的范围</w:t>
      </w:r>
    </w:p>
    <w:p w14:paraId="08E9185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关于变更的范围的约定：</w:t>
      </w:r>
      <w:r>
        <w:rPr>
          <w:rFonts w:hint="eastAsia" w:ascii="宋体" w:hAnsi="宋体" w:eastAsia="宋体" w:cs="宋体"/>
          <w:szCs w:val="21"/>
          <w:highlight w:val="none"/>
          <w:u w:val="single"/>
        </w:rPr>
        <w:t xml:space="preserve">工程发生变更时，工程量依据变更图纸、资料及现场签证资料，工程量并入结算工程量中，设计变更及现场签证应经监理单位审核、发包人确认方才有效。承包人在依 照变更调整施工，并在变更事项发生十四个工作日内，将调整增减工程量以工程签证单的形式报送监理人和发包人，监理人及发包人在收到合格资料后十四日内对变更事项及工程量进行核实、计算， 存在问题的返回承包人修改，达成一致的返回承包人，最终变更造价在工程竣工决算时以建设单位委托的审核机构认定为准另行结算。属于变更减少的结算，承包人必须以工程签证单的形式报送监理人和发包人，否则以监理人和发包人核减结算为准，不再与承包人核对。发包人在收到变更工程价款报告之日起十四个工作日内未予以确认时，不能视为变更工程价款报告已被确认，承包人可敦促发包人尽快确认。 </w:t>
      </w:r>
    </w:p>
    <w:p w14:paraId="2C7A1BED">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413" w:name="_Toc499891656"/>
      <w:bookmarkStart w:id="1414" w:name="_Toc500865889"/>
      <w:bookmarkStart w:id="1415" w:name="_Toc2594"/>
      <w:bookmarkStart w:id="1416" w:name="_Toc499892847"/>
      <w:bookmarkStart w:id="1417" w:name="_Toc36136606"/>
      <w:bookmarkStart w:id="1418" w:name="_Toc106695215"/>
      <w:bookmarkStart w:id="1419" w:name="_Toc27378067"/>
      <w:bookmarkStart w:id="1420" w:name="_Toc500864499"/>
      <w:bookmarkStart w:id="1421" w:name="_Toc106695368"/>
      <w:bookmarkStart w:id="1422" w:name="_Toc27560"/>
      <w:r>
        <w:rPr>
          <w:rFonts w:hint="eastAsia" w:ascii="宋体" w:hAnsi="宋体" w:eastAsia="宋体" w:cs="宋体"/>
          <w:szCs w:val="21"/>
          <w:highlight w:val="none"/>
        </w:rPr>
        <w:t>10.4 变更估价</w:t>
      </w:r>
      <w:bookmarkEnd w:id="1413"/>
      <w:bookmarkEnd w:id="1414"/>
      <w:bookmarkEnd w:id="1415"/>
      <w:bookmarkEnd w:id="1416"/>
      <w:bookmarkEnd w:id="1417"/>
      <w:bookmarkEnd w:id="1418"/>
      <w:bookmarkEnd w:id="1419"/>
      <w:bookmarkEnd w:id="1420"/>
      <w:bookmarkEnd w:id="1421"/>
      <w:bookmarkEnd w:id="1422"/>
    </w:p>
    <w:p w14:paraId="732A28F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10.4.1 变更估价原则</w:t>
      </w:r>
    </w:p>
    <w:p w14:paraId="5539A88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关于变更估价的约定:  1.如果合同工程量清单中有相应综合单价，但因发包人要求出现材料变更的，则在原综合单价基础上只调整材差，且调差部分除税金外不计取其他费用；如果合同工程量清单中没有相应综合单价时，应遵循以下的规定：</w:t>
      </w:r>
    </w:p>
    <w:p w14:paraId="7084CDF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u w:val="single"/>
        </w:rPr>
        <w:t>1）已标价工程量清单中有适用于变更工程项目的，应采用该项目的单价；</w:t>
      </w:r>
    </w:p>
    <w:p w14:paraId="4BA5B14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2）已标价工程量清单中没有适用但有类似于变更工程项目的，可在合理范围内参照类似项目的单价； </w:t>
      </w:r>
    </w:p>
    <w:p w14:paraId="3E34E5D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u w:val="single"/>
        </w:rPr>
        <w:t>3 ）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w:t>
      </w:r>
    </w:p>
    <w:p w14:paraId="6D34995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 4）已标价工程量清单中没有适用也没有类似于变更工程项目的，工程造价管理机构发布的信息价格缺价的，应由承包人根据变更工程资料、计量规则、计价办法和通过市场调查等取得有合法依据的市场价格提出变更工程项目的单价，并应报发包人确认后调整。</w:t>
      </w:r>
    </w:p>
    <w:p w14:paraId="4D524A9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u w:val="single"/>
        </w:rPr>
        <w:t>5）合同工程量清单中项目特征描述与施工图不一致时，以图纸为准；若主材料描述与施工图不一样，仅对清单项目主材料进行调价，综合单价中的其它价格不调整，以投标报价时清单综合单价分析表中的费用为准。</w:t>
      </w:r>
    </w:p>
    <w:p w14:paraId="1CCAB30C">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上述单价确定办法也适用于本项目现场签证、分部分项工程量清单漏项等。</w:t>
      </w:r>
    </w:p>
    <w:p w14:paraId="0E7CAC1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2.设计变更及现场签证应经监理人审核、发包人确认方才生效。工程发生变更时，工程量依据变更图纸、资料及现场签证资料，并入结算工程量中。承包人应在变更事项发生十四个工作日内， 将工程量签证单报送给监理和发包人，监理和发包人在收到资料后十四日内对变更事项及工程量进 行核实、计算，存在问题返回承包人修改，达成一致的返回承包人。属于变更减少的结算，承包人必须以工 程签证单的形式报送监理人和发包人，否则以监理人和发包人核减结算为准，不再与承包人核对。 </w:t>
      </w:r>
    </w:p>
    <w:p w14:paraId="1E24A8C6">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发包人在收到变更工程价款报告之日起十四个工作日内未予以确认时，视为变更工程价款报告已被确认，承包人可敦促发包人尽快确认。  </w:t>
      </w:r>
    </w:p>
    <w:p w14:paraId="04D06CE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w:t>
      </w:r>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Start w:id="1423" w:name="_Toc297123544"/>
      <w:bookmarkStart w:id="1424" w:name="_Toc296944536"/>
      <w:bookmarkStart w:id="1425" w:name="_Toc296891025"/>
      <w:bookmarkStart w:id="1426" w:name="_Toc297216203"/>
      <w:bookmarkStart w:id="1427" w:name="_Toc292559402"/>
      <w:bookmarkStart w:id="1428" w:name="_Toc292559907"/>
      <w:bookmarkStart w:id="1429" w:name="_Toc303539150"/>
      <w:bookmarkStart w:id="1430" w:name="_Toc296347196"/>
      <w:bookmarkStart w:id="1431" w:name="_Toc297048383"/>
      <w:bookmarkStart w:id="1432" w:name="_Toc297120497"/>
      <w:bookmarkStart w:id="1433" w:name="_Toc296891237"/>
      <w:bookmarkStart w:id="1434" w:name="_Toc296503197"/>
      <w:bookmarkStart w:id="1435" w:name="_Toc300934993"/>
      <w:bookmarkStart w:id="1436" w:name="_Toc296346698"/>
      <w:bookmarkStart w:id="1437" w:name="_Toc312678029"/>
      <w:bookmarkStart w:id="1438" w:name="_Toc312677503"/>
      <w:bookmarkStart w:id="1439" w:name="_Toc304295570"/>
      <w:r>
        <w:rPr>
          <w:rFonts w:hint="eastAsia" w:ascii="宋体" w:hAnsi="宋体" w:eastAsia="宋体" w:cs="宋体"/>
          <w:szCs w:val="21"/>
          <w:highlight w:val="none"/>
        </w:rPr>
        <w:t>0.5承</w:t>
      </w:r>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Start w:id="1440" w:name="_Toc296346704"/>
      <w:bookmarkStart w:id="1441" w:name="_Toc300934994"/>
      <w:bookmarkStart w:id="1442" w:name="_Toc296891031"/>
      <w:bookmarkStart w:id="1443" w:name="_Toc296944542"/>
      <w:bookmarkStart w:id="1444" w:name="_Toc303539151"/>
      <w:bookmarkStart w:id="1445" w:name="_Toc296891243"/>
      <w:bookmarkStart w:id="1446" w:name="_Toc297123545"/>
      <w:bookmarkStart w:id="1447" w:name="_Toc297048389"/>
      <w:bookmarkStart w:id="1448" w:name="_Toc296347202"/>
      <w:bookmarkStart w:id="1449" w:name="_Toc292559408"/>
      <w:bookmarkStart w:id="1450" w:name="_Toc297216204"/>
      <w:bookmarkStart w:id="1451" w:name="_Toc292559913"/>
      <w:bookmarkStart w:id="1452" w:name="_Toc296503203"/>
      <w:bookmarkStart w:id="1453" w:name="_Toc297120503"/>
      <w:r>
        <w:rPr>
          <w:rFonts w:hint="eastAsia" w:ascii="宋体" w:hAnsi="宋体" w:eastAsia="宋体" w:cs="宋体"/>
          <w:szCs w:val="21"/>
          <w:highlight w:val="none"/>
        </w:rPr>
        <w:t>包人的合理化建议</w:t>
      </w:r>
    </w:p>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p w14:paraId="4D2D78BD">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监理人审查承包人合理化建议的期限：</w:t>
      </w:r>
      <w:r>
        <w:rPr>
          <w:rFonts w:hint="eastAsia" w:ascii="宋体" w:hAnsi="宋体" w:eastAsia="宋体" w:cs="宋体"/>
          <w:szCs w:val="21"/>
          <w:highlight w:val="none"/>
          <w:u w:val="single"/>
        </w:rPr>
        <w:t xml:space="preserve">     </w:t>
      </w:r>
      <w:r>
        <w:rPr>
          <w:rFonts w:hint="eastAsia" w:ascii="宋体" w:hAnsi="宋体" w:eastAsia="宋体" w:cs="宋体"/>
          <w:kern w:val="0"/>
          <w:szCs w:val="21"/>
          <w:highlight w:val="none"/>
          <w:u w:val="single"/>
        </w:rPr>
        <w:t>执行通用条款</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5A7C76D">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发包人审批承包人合理化建议的期限：</w:t>
      </w:r>
      <w:r>
        <w:rPr>
          <w:rFonts w:hint="eastAsia" w:ascii="宋体" w:hAnsi="宋体" w:eastAsia="宋体" w:cs="宋体"/>
          <w:szCs w:val="21"/>
          <w:highlight w:val="none"/>
          <w:u w:val="single"/>
        </w:rPr>
        <w:t xml:space="preserve">      </w:t>
      </w:r>
      <w:r>
        <w:rPr>
          <w:rFonts w:hint="eastAsia" w:ascii="宋体" w:hAnsi="宋体" w:eastAsia="宋体" w:cs="宋体"/>
          <w:kern w:val="0"/>
          <w:szCs w:val="21"/>
          <w:highlight w:val="none"/>
          <w:u w:val="single"/>
        </w:rPr>
        <w:t>执行通用条款</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5B705A4">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承</w:t>
      </w:r>
      <w:bookmarkStart w:id="1454" w:name="_Toc292559409"/>
      <w:bookmarkStart w:id="1455" w:name="_Toc296891244"/>
      <w:bookmarkStart w:id="1456" w:name="_Toc296346705"/>
      <w:bookmarkStart w:id="1457" w:name="_Toc296944543"/>
      <w:bookmarkStart w:id="1458" w:name="_Toc303539152"/>
      <w:bookmarkStart w:id="1459" w:name="_Toc296347203"/>
      <w:bookmarkStart w:id="1460" w:name="_Toc318581175"/>
      <w:bookmarkStart w:id="1461" w:name="_Toc300934995"/>
      <w:bookmarkStart w:id="1462" w:name="_Toc312677504"/>
      <w:bookmarkStart w:id="1463" w:name="_Toc292559914"/>
      <w:bookmarkStart w:id="1464" w:name="_Toc297216205"/>
      <w:bookmarkStart w:id="1465" w:name="_Toc297048390"/>
      <w:bookmarkStart w:id="1466" w:name="_Toc312678030"/>
      <w:bookmarkStart w:id="1467" w:name="_Toc297123546"/>
      <w:bookmarkStart w:id="1468" w:name="_Toc304295571"/>
      <w:bookmarkStart w:id="1469" w:name="_Toc296503204"/>
      <w:bookmarkStart w:id="1470" w:name="_Toc297120504"/>
      <w:bookmarkStart w:id="1471" w:name="_Toc296891032"/>
      <w:r>
        <w:rPr>
          <w:rFonts w:hint="eastAsia" w:ascii="宋体" w:hAnsi="宋体" w:eastAsia="宋体" w:cs="宋体"/>
          <w:szCs w:val="21"/>
          <w:highlight w:val="none"/>
        </w:rPr>
        <w:t>包人提出的合理化建议降低了合同价格或者提高了工程经济效益的奖励的方法和金额为：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p w14:paraId="029EC601">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472" w:name="_Toc106695216"/>
      <w:bookmarkStart w:id="1473" w:name="_Toc500864500"/>
      <w:bookmarkStart w:id="1474" w:name="_Toc500865890"/>
      <w:bookmarkStart w:id="1475" w:name="_Toc106695369"/>
      <w:bookmarkStart w:id="1476" w:name="_Toc499891657"/>
      <w:bookmarkStart w:id="1477" w:name="_Toc6520"/>
      <w:bookmarkStart w:id="1478" w:name="_Toc499892848"/>
      <w:bookmarkStart w:id="1479" w:name="_Toc3062"/>
      <w:bookmarkStart w:id="1480" w:name="_Toc36136607"/>
      <w:bookmarkStart w:id="1481" w:name="_Toc27378068"/>
      <w:r>
        <w:rPr>
          <w:rFonts w:hint="eastAsia" w:ascii="宋体" w:hAnsi="宋体" w:eastAsia="宋体" w:cs="宋体"/>
          <w:szCs w:val="21"/>
          <w:highlight w:val="none"/>
        </w:rPr>
        <w:t>1</w:t>
      </w:r>
      <w:bookmarkStart w:id="1482" w:name="_Toc292559909"/>
      <w:bookmarkStart w:id="1483" w:name="_Toc296346700"/>
      <w:bookmarkStart w:id="1484" w:name="_Toc296503199"/>
      <w:bookmarkStart w:id="1485" w:name="_Toc297216207"/>
      <w:bookmarkStart w:id="1486" w:name="_Toc297120499"/>
      <w:bookmarkStart w:id="1487" w:name="_Toc296891027"/>
      <w:bookmarkStart w:id="1488" w:name="_Toc312677507"/>
      <w:bookmarkStart w:id="1489" w:name="_Toc304295574"/>
      <w:bookmarkStart w:id="1490" w:name="_Toc296944538"/>
      <w:bookmarkStart w:id="1491" w:name="_Toc303539154"/>
      <w:bookmarkStart w:id="1492" w:name="_Toc312678033"/>
      <w:bookmarkStart w:id="1493" w:name="_Toc296891239"/>
      <w:bookmarkStart w:id="1494" w:name="_Toc296347198"/>
      <w:bookmarkStart w:id="1495" w:name="_Toc297048385"/>
      <w:bookmarkStart w:id="1496" w:name="_Toc292559404"/>
      <w:bookmarkStart w:id="1497" w:name="_Toc300934997"/>
      <w:bookmarkStart w:id="1498" w:name="_Toc297123548"/>
      <w:r>
        <w:rPr>
          <w:rFonts w:hint="eastAsia" w:ascii="宋体" w:hAnsi="宋体" w:eastAsia="宋体" w:cs="宋体"/>
          <w:szCs w:val="21"/>
          <w:highlight w:val="none"/>
        </w:rPr>
        <w:t>0.7 暂估价</w:t>
      </w:r>
      <w:bookmarkEnd w:id="1472"/>
      <w:bookmarkEnd w:id="1473"/>
      <w:bookmarkEnd w:id="1474"/>
      <w:bookmarkEnd w:id="1475"/>
      <w:bookmarkEnd w:id="1476"/>
      <w:bookmarkEnd w:id="1477"/>
      <w:bookmarkEnd w:id="1478"/>
      <w:bookmarkEnd w:id="1479"/>
      <w:bookmarkEnd w:id="1480"/>
      <w:bookmarkEnd w:id="1481"/>
    </w:p>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p w14:paraId="51C21049">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暂</w:t>
      </w:r>
      <w:bookmarkStart w:id="1499" w:name="_Toc312678034"/>
      <w:bookmarkStart w:id="1500" w:name="_Toc312677508"/>
      <w:bookmarkStart w:id="1501" w:name="_Toc318581176"/>
      <w:r>
        <w:rPr>
          <w:rFonts w:hint="eastAsia" w:ascii="宋体" w:hAnsi="宋体" w:eastAsia="宋体" w:cs="宋体"/>
          <w:kern w:val="0"/>
          <w:szCs w:val="21"/>
          <w:highlight w:val="none"/>
        </w:rPr>
        <w:t>估价材料和工程设备的明细详见附件11：《</w:t>
      </w:r>
      <w:r>
        <w:rPr>
          <w:rFonts w:hint="eastAsia" w:ascii="宋体" w:hAnsi="宋体" w:eastAsia="宋体" w:cs="宋体"/>
          <w:szCs w:val="21"/>
          <w:highlight w:val="none"/>
        </w:rPr>
        <w:t>暂估价一览表》</w:t>
      </w:r>
      <w:r>
        <w:rPr>
          <w:rFonts w:hint="eastAsia" w:ascii="宋体" w:hAnsi="宋体" w:eastAsia="宋体" w:cs="宋体"/>
          <w:kern w:val="0"/>
          <w:szCs w:val="21"/>
          <w:highlight w:val="none"/>
        </w:rPr>
        <w:t>。</w:t>
      </w:r>
    </w:p>
    <w:bookmarkEnd w:id="1499"/>
    <w:bookmarkEnd w:id="1500"/>
    <w:bookmarkEnd w:id="1501"/>
    <w:p w14:paraId="3986787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w:t>
      </w:r>
      <w:bookmarkStart w:id="1502" w:name="_Toc312677509"/>
      <w:bookmarkStart w:id="1503" w:name="_Toc312678035"/>
      <w:bookmarkStart w:id="1504" w:name="_Toc318581177"/>
      <w:r>
        <w:rPr>
          <w:rFonts w:hint="eastAsia" w:ascii="宋体" w:hAnsi="宋体" w:eastAsia="宋体" w:cs="宋体"/>
          <w:szCs w:val="21"/>
          <w:highlight w:val="none"/>
        </w:rPr>
        <w:t>0.7.1 依法必须招标的暂估价项目</w:t>
      </w:r>
    </w:p>
    <w:bookmarkEnd w:id="1502"/>
    <w:bookmarkEnd w:id="1503"/>
    <w:bookmarkEnd w:id="1504"/>
    <w:p w14:paraId="008DA3FA">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对于依法必须招标的暂估价项目的确认和批准采取第</w:t>
      </w:r>
      <w:r>
        <w:rPr>
          <w:rFonts w:hint="eastAsia" w:ascii="宋体" w:hAnsi="宋体" w:eastAsia="宋体" w:cs="宋体"/>
          <w:szCs w:val="21"/>
          <w:highlight w:val="none"/>
          <w:u w:val="single"/>
        </w:rPr>
        <w:t xml:space="preserve">   1   </w:t>
      </w:r>
      <w:r>
        <w:rPr>
          <w:rFonts w:hint="eastAsia" w:ascii="宋体" w:hAnsi="宋体" w:eastAsia="宋体" w:cs="宋体"/>
          <w:szCs w:val="21"/>
          <w:highlight w:val="none"/>
        </w:rPr>
        <w:t>种方式确定。</w:t>
      </w:r>
    </w:p>
    <w:p w14:paraId="2D8AC1B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第1种方式：对于依法必须招标的暂估价项目，由承包人招标，对该暂估价项目的确认和批准按照以下约定执行：</w:t>
      </w:r>
    </w:p>
    <w:p w14:paraId="4BF5230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692B739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08E73AF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0DE26B6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工程部分暂定价的材料设备以及暂估价的专业分包工程，在工程施工过程中，相应的材料设备和专业分包工程应有承包人与发包人人商定，并必须由发包人认可，工程竣工结算时，以发包人认定的材料设备价格等进行结算。</w:t>
      </w:r>
    </w:p>
    <w:p w14:paraId="4991393C">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10.7.2 不属于依法必须招标的暂估价项目</w:t>
      </w:r>
    </w:p>
    <w:p w14:paraId="1C4DFE7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对于不属于依法必须招标的暂估价项目的确认和批准采取第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种方式确定。</w:t>
      </w:r>
    </w:p>
    <w:p w14:paraId="5A060E6B">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szCs w:val="21"/>
          <w:highlight w:val="none"/>
        </w:rPr>
        <w:t>第3种方式：</w:t>
      </w:r>
      <w:r>
        <w:rPr>
          <w:rFonts w:hint="eastAsia" w:ascii="宋体" w:hAnsi="宋体" w:eastAsia="宋体" w:cs="宋体"/>
          <w:kern w:val="0"/>
          <w:szCs w:val="21"/>
          <w:highlight w:val="none"/>
        </w:rPr>
        <w:t>承包人直接实施的暂估价项目</w:t>
      </w:r>
    </w:p>
    <w:p w14:paraId="08991A21">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承包人直接实施的暂估价项目的约定：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6C4922C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10.8 暂列金额</w:t>
      </w:r>
    </w:p>
    <w:p w14:paraId="70C59A15">
      <w:pPr>
        <w:pageBreakBefore w:val="0"/>
        <w:widowControl w:val="0"/>
        <w:kinsoku/>
        <w:wordWrap/>
        <w:overflowPunct/>
        <w:topLinePunct w:val="0"/>
        <w:autoSpaceDE w:val="0"/>
        <w:autoSpaceDN w:val="0"/>
        <w:bidi w:val="0"/>
        <w:adjustRightInd w:val="0"/>
        <w:snapToGrid/>
        <w:spacing w:line="450" w:lineRule="exact"/>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合同当事人关于暂列金额使用的约定：</w:t>
      </w:r>
      <w:r>
        <w:rPr>
          <w:rFonts w:hint="eastAsia" w:ascii="宋体" w:hAnsi="宋体" w:eastAsia="宋体" w:cs="宋体"/>
          <w:szCs w:val="21"/>
          <w:highlight w:val="none"/>
          <w:u w:val="single"/>
        </w:rPr>
        <w:t xml:space="preserve">      双方约定协商                  </w:t>
      </w:r>
      <w:r>
        <w:rPr>
          <w:rFonts w:hint="eastAsia" w:ascii="宋体" w:hAnsi="宋体" w:eastAsia="宋体" w:cs="宋体"/>
          <w:kern w:val="0"/>
          <w:szCs w:val="21"/>
          <w:highlight w:val="none"/>
        </w:rPr>
        <w:t>。</w:t>
      </w:r>
    </w:p>
    <w:p w14:paraId="03DE10CE">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505" w:name="_Toc351203643"/>
      <w:r>
        <w:rPr>
          <w:rFonts w:hint="eastAsia" w:ascii="宋体" w:hAnsi="宋体" w:eastAsia="宋体" w:cs="宋体"/>
          <w:b w:val="0"/>
          <w:szCs w:val="21"/>
          <w:highlight w:val="none"/>
        </w:rPr>
        <w:t>11. 价格调整</w:t>
      </w:r>
      <w:bookmarkEnd w:id="1505"/>
    </w:p>
    <w:p w14:paraId="25F9C84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bookmarkStart w:id="1506" w:name="_Toc296347200"/>
      <w:bookmarkStart w:id="1507" w:name="_Toc296891029"/>
      <w:bookmarkStart w:id="1508" w:name="_Toc296503201"/>
      <w:bookmarkStart w:id="1509" w:name="_Toc300935000"/>
      <w:bookmarkStart w:id="1510" w:name="_Toc297123550"/>
      <w:bookmarkStart w:id="1511" w:name="_Toc292559911"/>
      <w:bookmarkStart w:id="1512" w:name="_Toc303539157"/>
      <w:bookmarkStart w:id="1513" w:name="_Toc312678039"/>
      <w:bookmarkStart w:id="1514" w:name="_Toc297120501"/>
      <w:bookmarkStart w:id="1515" w:name="_Toc297048387"/>
      <w:bookmarkStart w:id="1516" w:name="_Toc297216209"/>
      <w:bookmarkStart w:id="1517" w:name="_Toc296346702"/>
      <w:bookmarkStart w:id="1518" w:name="_Toc292559406"/>
      <w:bookmarkStart w:id="1519" w:name="_Toc296891241"/>
      <w:bookmarkStart w:id="1520" w:name="_Toc304295577"/>
      <w:bookmarkStart w:id="1521" w:name="_Toc296944540"/>
      <w:r>
        <w:rPr>
          <w:rFonts w:hint="eastAsia" w:ascii="宋体" w:hAnsi="宋体" w:eastAsia="宋体" w:cs="宋体"/>
          <w:szCs w:val="21"/>
          <w:highlight w:val="none"/>
        </w:rPr>
        <w:t>11.1 市场价格波动引起的调整</w:t>
      </w:r>
    </w:p>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p w14:paraId="672AFB7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市场价格波动是否调整合同价格的约定：</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w:t>
      </w:r>
    </w:p>
    <w:p w14:paraId="5E35958A">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因市场价格波动调整合同价格，采用以下第</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种方式对合同价格进行调整：</w:t>
      </w:r>
    </w:p>
    <w:p w14:paraId="0562763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第1种方式：采用价格指数进行价格调整。</w:t>
      </w:r>
    </w:p>
    <w:p w14:paraId="259FDC0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关于各可调因子、定值和变值权重，以及基本价格指数及其来源的约定：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 xml:space="preserve">；  </w:t>
      </w:r>
    </w:p>
    <w:p w14:paraId="74DA24B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第2种方式：采用造价信息进行价格调整。</w:t>
      </w:r>
    </w:p>
    <w:p w14:paraId="656596F4">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（2）关于基准价格的约定：</w:t>
      </w:r>
      <w:r>
        <w:rPr>
          <w:rFonts w:hint="eastAsia" w:ascii="宋体" w:hAnsi="宋体" w:eastAsia="宋体" w:cs="宋体"/>
          <w:szCs w:val="21"/>
          <w:highlight w:val="none"/>
          <w:u w:val="single"/>
        </w:rPr>
        <w:t>双方约定协商</w:t>
      </w:r>
      <w:r>
        <w:rPr>
          <w:rFonts w:hint="eastAsia" w:ascii="宋体" w:hAnsi="宋体" w:eastAsia="宋体" w:cs="宋体"/>
          <w:szCs w:val="21"/>
          <w:highlight w:val="none"/>
        </w:rPr>
        <w:t>。</w:t>
      </w:r>
    </w:p>
    <w:p w14:paraId="73A60563">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%时，或材料单价跌幅以已标价工程量清单或预算书中载明材料单价为基础超过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%时，其超过部分据实调整。</w:t>
      </w:r>
    </w:p>
    <w:p w14:paraId="4D2A55E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%时，材料单价涨幅以已标价工程量清单或预算书中载明材料单价为基础超过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%时，其超过部分据实调整。</w:t>
      </w:r>
    </w:p>
    <w:p w14:paraId="3ACF3084">
      <w:pPr>
        <w:pageBreakBefore w:val="0"/>
        <w:widowControl w:val="0"/>
        <w:kinsoku/>
        <w:wordWrap/>
        <w:overflowPunct/>
        <w:topLinePunct w:val="0"/>
        <w:bidi w:val="0"/>
        <w:snapToGrid/>
        <w:spacing w:line="450" w:lineRule="exact"/>
        <w:ind w:firstLine="645"/>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%时，其超过部分据实调整。</w:t>
      </w:r>
    </w:p>
    <w:p w14:paraId="5DAAF6CF">
      <w:pPr>
        <w:pageBreakBefore w:val="0"/>
        <w:widowControl w:val="0"/>
        <w:kinsoku/>
        <w:wordWrap/>
        <w:overflowPunct/>
        <w:topLinePunct w:val="0"/>
        <w:bidi w:val="0"/>
        <w:snapToGrid/>
        <w:spacing w:line="450" w:lineRule="exact"/>
        <w:ind w:firstLine="630" w:firstLineChars="3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第3种方式：其他价格调整方式：</w:t>
      </w:r>
      <w:r>
        <w:rPr>
          <w:rFonts w:hint="eastAsia" w:ascii="宋体" w:hAnsi="宋体" w:eastAsia="宋体" w:cs="宋体"/>
          <w:szCs w:val="21"/>
          <w:highlight w:val="none"/>
          <w:u w:val="single"/>
        </w:rPr>
        <w:t>以该工程招标控制价中的材料价格作为基准价，合同履行期间材料价格涨跌幅部分采用驻马店市基本建设标准定额站发布的信息价或其他方式确定的价格据实作增减调整。</w:t>
      </w:r>
    </w:p>
    <w:bookmarkEnd w:id="1389"/>
    <w:bookmarkEnd w:id="1390"/>
    <w:bookmarkEnd w:id="1391"/>
    <w:bookmarkEnd w:id="1392"/>
    <w:bookmarkEnd w:id="1393"/>
    <w:bookmarkEnd w:id="1394"/>
    <w:p w14:paraId="7B33BC09">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522" w:name="_Toc296347204"/>
      <w:bookmarkStart w:id="1523" w:name="_Toc296503205"/>
      <w:bookmarkStart w:id="1524" w:name="_Toc296891033"/>
      <w:bookmarkStart w:id="1525" w:name="_Toc292559915"/>
      <w:bookmarkStart w:id="1526" w:name="_Toc297048391"/>
      <w:bookmarkStart w:id="1527" w:name="_Toc296944544"/>
      <w:bookmarkStart w:id="1528" w:name="_Toc297120505"/>
      <w:bookmarkStart w:id="1529" w:name="_Toc296891245"/>
      <w:bookmarkStart w:id="1530" w:name="_Toc292559410"/>
      <w:bookmarkStart w:id="1531" w:name="_Toc296346706"/>
      <w:bookmarkStart w:id="1532" w:name="_Toc351203644"/>
      <w:bookmarkStart w:id="1533" w:name="_Toc304295579"/>
      <w:bookmarkStart w:id="1534" w:name="_Toc312678040"/>
      <w:bookmarkStart w:id="1535" w:name="_Toc297216211"/>
      <w:bookmarkStart w:id="1536" w:name="_Toc297123552"/>
      <w:bookmarkStart w:id="1537" w:name="_Toc300935002"/>
      <w:bookmarkStart w:id="1538" w:name="_Toc303539159"/>
      <w:r>
        <w:rPr>
          <w:rFonts w:hint="eastAsia" w:ascii="宋体" w:hAnsi="宋体" w:eastAsia="宋体" w:cs="宋体"/>
          <w:b w:val="0"/>
          <w:szCs w:val="21"/>
          <w:highlight w:val="none"/>
        </w:rPr>
        <w:t xml:space="preserve">12. </w:t>
      </w:r>
      <w:bookmarkEnd w:id="1522"/>
      <w:bookmarkEnd w:id="1523"/>
      <w:bookmarkEnd w:id="1524"/>
      <w:bookmarkEnd w:id="1525"/>
      <w:bookmarkEnd w:id="1526"/>
      <w:bookmarkEnd w:id="1527"/>
      <w:bookmarkEnd w:id="1528"/>
      <w:bookmarkEnd w:id="1529"/>
      <w:bookmarkEnd w:id="1530"/>
      <w:bookmarkEnd w:id="1531"/>
      <w:r>
        <w:rPr>
          <w:rFonts w:hint="eastAsia" w:ascii="宋体" w:hAnsi="宋体" w:eastAsia="宋体" w:cs="宋体"/>
          <w:b w:val="0"/>
          <w:szCs w:val="21"/>
          <w:highlight w:val="none"/>
        </w:rPr>
        <w:t>合同价格、计量与支付</w:t>
      </w:r>
      <w:bookmarkEnd w:id="1532"/>
    </w:p>
    <w:bookmarkEnd w:id="1533"/>
    <w:bookmarkEnd w:id="1534"/>
    <w:bookmarkEnd w:id="1535"/>
    <w:bookmarkEnd w:id="1536"/>
    <w:bookmarkEnd w:id="1537"/>
    <w:bookmarkEnd w:id="1538"/>
    <w:p w14:paraId="5A37D0D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bookmarkStart w:id="1539" w:name="_Toc292559411"/>
      <w:bookmarkStart w:id="1540" w:name="_Toc267251461"/>
      <w:bookmarkStart w:id="1541" w:name="_Toc292559916"/>
      <w:bookmarkStart w:id="1542" w:name="_Toc296503206"/>
      <w:bookmarkStart w:id="1543" w:name="_Toc297048392"/>
      <w:bookmarkStart w:id="1544" w:name="_Toc296891246"/>
      <w:bookmarkStart w:id="1545" w:name="_Toc296891034"/>
      <w:bookmarkStart w:id="1546" w:name="_Toc296346707"/>
      <w:bookmarkStart w:id="1547" w:name="_Toc296347205"/>
      <w:bookmarkStart w:id="1548" w:name="_Toc297120506"/>
      <w:bookmarkStart w:id="1549" w:name="_Toc296944545"/>
      <w:bookmarkStart w:id="1550" w:name="_Toc297216212"/>
      <w:bookmarkStart w:id="1551" w:name="_Toc304295580"/>
      <w:bookmarkStart w:id="1552" w:name="_Toc297123553"/>
      <w:bookmarkStart w:id="1553" w:name="_Toc300935003"/>
      <w:bookmarkStart w:id="1554" w:name="_Toc312678041"/>
      <w:bookmarkStart w:id="1555" w:name="_Toc303539160"/>
      <w:r>
        <w:rPr>
          <w:rFonts w:hint="eastAsia" w:ascii="宋体" w:hAnsi="宋体" w:eastAsia="宋体" w:cs="宋体"/>
          <w:szCs w:val="21"/>
          <w:highlight w:val="none"/>
        </w:rPr>
        <w:t>12.1 合</w:t>
      </w:r>
      <w:bookmarkEnd w:id="1539"/>
      <w:bookmarkEnd w:id="1540"/>
      <w:bookmarkEnd w:id="1541"/>
      <w:r>
        <w:rPr>
          <w:rFonts w:hint="eastAsia" w:ascii="宋体" w:hAnsi="宋体" w:eastAsia="宋体" w:cs="宋体"/>
          <w:szCs w:val="21"/>
          <w:highlight w:val="none"/>
        </w:rPr>
        <w:t>同价</w:t>
      </w:r>
      <w:bookmarkEnd w:id="1542"/>
      <w:bookmarkEnd w:id="1543"/>
      <w:bookmarkEnd w:id="1544"/>
      <w:bookmarkEnd w:id="1545"/>
      <w:bookmarkEnd w:id="1546"/>
      <w:bookmarkEnd w:id="1547"/>
      <w:bookmarkEnd w:id="1548"/>
      <w:bookmarkEnd w:id="1549"/>
      <w:r>
        <w:rPr>
          <w:rFonts w:hint="eastAsia" w:ascii="宋体" w:hAnsi="宋体" w:eastAsia="宋体" w:cs="宋体"/>
          <w:szCs w:val="21"/>
          <w:highlight w:val="none"/>
        </w:rPr>
        <w:t>格形式</w:t>
      </w:r>
    </w:p>
    <w:bookmarkEnd w:id="1550"/>
    <w:bookmarkEnd w:id="1551"/>
    <w:bookmarkEnd w:id="1552"/>
    <w:bookmarkEnd w:id="1553"/>
    <w:bookmarkEnd w:id="1554"/>
    <w:bookmarkEnd w:id="1555"/>
    <w:p w14:paraId="3C1493C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1、单价合同。</w:t>
      </w:r>
    </w:p>
    <w:p w14:paraId="6C2F8D91">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综合单价包含的风险范围：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F8B9A48">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风险费用的计算方法：</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DA57B3B">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风险范围以外合同价格的调整方法：</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8E7057D">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2、总价合同。</w:t>
      </w:r>
    </w:p>
    <w:p w14:paraId="22144BB3">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总价包含的风险范围：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3FB1A16">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风险费用的计算方法：</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A789BC9">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风险范围以外合同价格的调整方法：</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645E807B">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3、其他价格方式：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677DF98B">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bookmarkStart w:id="1556" w:name="_Toc304295581"/>
      <w:bookmarkStart w:id="1557" w:name="_Toc297216213"/>
      <w:bookmarkStart w:id="1558" w:name="_Toc297123554"/>
      <w:bookmarkStart w:id="1559" w:name="_Toc303539161"/>
      <w:bookmarkStart w:id="1560" w:name="_Toc312678042"/>
      <w:bookmarkStart w:id="1561" w:name="_Toc300935004"/>
      <w:bookmarkStart w:id="1562" w:name="_Toc292559412"/>
      <w:bookmarkStart w:id="1563" w:name="_Toc296944546"/>
      <w:bookmarkStart w:id="1564" w:name="_Toc296891247"/>
      <w:bookmarkStart w:id="1565" w:name="_Toc292559917"/>
      <w:bookmarkStart w:id="1566" w:name="_Toc296346708"/>
      <w:bookmarkStart w:id="1567" w:name="_Toc296503207"/>
      <w:bookmarkStart w:id="1568" w:name="_Toc297048393"/>
      <w:bookmarkStart w:id="1569" w:name="_Toc296347206"/>
      <w:bookmarkStart w:id="1570" w:name="_Toc296891035"/>
      <w:bookmarkStart w:id="1571" w:name="_Toc297120507"/>
      <w:r>
        <w:rPr>
          <w:rFonts w:hint="eastAsia" w:ascii="宋体" w:hAnsi="宋体" w:eastAsia="宋体" w:cs="宋体"/>
          <w:szCs w:val="21"/>
          <w:highlight w:val="none"/>
        </w:rPr>
        <w:t>12.2 预付款</w:t>
      </w:r>
    </w:p>
    <w:bookmarkEnd w:id="1556"/>
    <w:bookmarkEnd w:id="1557"/>
    <w:bookmarkEnd w:id="1558"/>
    <w:bookmarkEnd w:id="1559"/>
    <w:bookmarkEnd w:id="1560"/>
    <w:bookmarkEnd w:id="1561"/>
    <w:p w14:paraId="449F066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12.2.1 预付款的支付</w:t>
      </w:r>
    </w:p>
    <w:p w14:paraId="3C0791A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预付款支付比例或金额：</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7345276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预付款支付期限：</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7939FC03">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预付款扣回的方式：</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022AB59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12.2.2 预付款担保</w:t>
      </w:r>
    </w:p>
    <w:p w14:paraId="1AECA6C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承包人提交预付款担保的期限：</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7CCAFFC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预付款担保的形式为：</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bookmarkEnd w:id="1562"/>
    <w:bookmarkEnd w:id="1563"/>
    <w:bookmarkEnd w:id="1564"/>
    <w:bookmarkEnd w:id="1565"/>
    <w:bookmarkEnd w:id="1566"/>
    <w:bookmarkEnd w:id="1567"/>
    <w:bookmarkEnd w:id="1568"/>
    <w:bookmarkEnd w:id="1569"/>
    <w:bookmarkEnd w:id="1570"/>
    <w:bookmarkEnd w:id="1571"/>
    <w:p w14:paraId="1C4100D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12.3 计量</w:t>
      </w:r>
    </w:p>
    <w:p w14:paraId="5D8BF34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12.3.1 计量原则</w:t>
      </w:r>
    </w:p>
    <w:p w14:paraId="4BF0FBC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工程量计算规则：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符合最新颁布的国家级行业标准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64D7FF53">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12.3.2 计量周期</w:t>
      </w:r>
    </w:p>
    <w:p w14:paraId="230A6C6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关于计量周期的约定：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5C20B24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12.3.3 单价合同的计量</w:t>
      </w:r>
    </w:p>
    <w:p w14:paraId="5453BC8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关于单价合同计量的约定：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0A850B0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12.3.4 总价合同的计量</w:t>
      </w:r>
    </w:p>
    <w:p w14:paraId="2F30211C">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关于总价合同计量的约定：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5C43110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12.3.5总价合同采用支付分解表计量支付的，是否适用第</w:t>
      </w:r>
      <w:r>
        <w:rPr>
          <w:rFonts w:hint="eastAsia" w:ascii="宋体" w:hAnsi="宋体" w:eastAsia="宋体" w:cs="宋体"/>
          <w:kern w:val="0"/>
          <w:szCs w:val="21"/>
          <w:highlight w:val="none"/>
        </w:rPr>
        <w:t xml:space="preserve">12.3.4 </w:t>
      </w:r>
      <w:r>
        <w:rPr>
          <w:rFonts w:hint="eastAsia" w:ascii="宋体" w:hAnsi="宋体" w:eastAsia="宋体" w:cs="宋体"/>
          <w:szCs w:val="21"/>
          <w:highlight w:val="none"/>
        </w:rPr>
        <w:t>项</w:t>
      </w:r>
      <w:r>
        <w:rPr>
          <w:rFonts w:hint="eastAsia" w:ascii="宋体" w:hAnsi="宋体" w:eastAsia="宋体" w:cs="宋体"/>
          <w:kern w:val="0"/>
          <w:szCs w:val="21"/>
          <w:highlight w:val="none"/>
        </w:rPr>
        <w:t>〔总价合同的计量〕</w:t>
      </w:r>
      <w:r>
        <w:rPr>
          <w:rFonts w:hint="eastAsia" w:ascii="宋体" w:hAnsi="宋体" w:eastAsia="宋体" w:cs="宋体"/>
          <w:szCs w:val="21"/>
          <w:highlight w:val="none"/>
        </w:rPr>
        <w:t>约定进行计量：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18B5B9B">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12.3.6 其他价格形式合同的计量</w:t>
      </w:r>
    </w:p>
    <w:p w14:paraId="0E4A0D52">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其他价格形式的计量方式和程序：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456C83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12.4 工程进度款支付</w:t>
      </w:r>
    </w:p>
    <w:p w14:paraId="375C009C">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bookmarkStart w:id="1572" w:name="_Toc297123556"/>
      <w:bookmarkStart w:id="1573" w:name="_Toc296891251"/>
      <w:bookmarkStart w:id="1574" w:name="_Toc296891039"/>
      <w:bookmarkStart w:id="1575" w:name="_Toc297048397"/>
      <w:bookmarkStart w:id="1576" w:name="_Toc292559416"/>
      <w:bookmarkStart w:id="1577" w:name="_Toc296944550"/>
      <w:bookmarkStart w:id="1578" w:name="_Toc303539163"/>
      <w:bookmarkStart w:id="1579" w:name="_Toc297216215"/>
      <w:bookmarkStart w:id="1580" w:name="_Toc296347210"/>
      <w:bookmarkStart w:id="1581" w:name="_Toc300935006"/>
      <w:bookmarkStart w:id="1582" w:name="_Toc296503211"/>
      <w:bookmarkStart w:id="1583" w:name="_Toc292559921"/>
      <w:bookmarkStart w:id="1584" w:name="_Toc296346712"/>
      <w:bookmarkStart w:id="1585" w:name="_Toc297120511"/>
      <w:r>
        <w:rPr>
          <w:rFonts w:hint="eastAsia" w:ascii="宋体" w:hAnsi="宋体" w:eastAsia="宋体" w:cs="宋体"/>
          <w:szCs w:val="21"/>
          <w:highlight w:val="none"/>
        </w:rPr>
        <w:t>12.4.1 付款周期</w:t>
      </w:r>
    </w:p>
    <w:p w14:paraId="7641F4D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关于付款周期的约定：</w:t>
      </w:r>
      <w:r>
        <w:rPr>
          <w:rFonts w:hint="eastAsia" w:ascii="宋体" w:hAnsi="宋体" w:eastAsia="宋体" w:cs="宋体"/>
          <w:szCs w:val="21"/>
          <w:highlight w:val="none"/>
          <w:u w:val="single"/>
        </w:rPr>
        <w:t xml:space="preserve"> 双方约定协商以实际签订合同为准</w:t>
      </w:r>
      <w:r>
        <w:rPr>
          <w:rFonts w:hint="eastAsia" w:ascii="宋体" w:hAnsi="宋体" w:eastAsia="宋体" w:cs="宋体"/>
          <w:szCs w:val="21"/>
          <w:highlight w:val="none"/>
        </w:rPr>
        <w:t xml:space="preserve">。  </w:t>
      </w:r>
    </w:p>
    <w:p w14:paraId="1FEFDBA4">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12.4.2 进度付款申请单的编制</w:t>
      </w:r>
    </w:p>
    <w:p w14:paraId="42EC8BD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关于进度付款申请单编制的约定：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按发包人要求的格式编制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D89F359">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w:t>
      </w:r>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r>
        <w:rPr>
          <w:rFonts w:hint="eastAsia" w:ascii="宋体" w:hAnsi="宋体" w:eastAsia="宋体" w:cs="宋体"/>
          <w:szCs w:val="21"/>
          <w:highlight w:val="none"/>
        </w:rPr>
        <w:t>2.4.3 进度付款申请单的提交</w:t>
      </w:r>
    </w:p>
    <w:p w14:paraId="2467B70D">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（1）单价合同进度付款申请单提交的约定：</w:t>
      </w:r>
      <w:r>
        <w:rPr>
          <w:rFonts w:hint="eastAsia" w:ascii="宋体" w:hAnsi="宋体" w:eastAsia="宋体" w:cs="宋体"/>
          <w:szCs w:val="21"/>
          <w:highlight w:val="none"/>
          <w:u w:val="single"/>
        </w:rPr>
        <w:t xml:space="preserve">  双方协商约定  </w:t>
      </w:r>
      <w:r>
        <w:rPr>
          <w:rFonts w:hint="eastAsia" w:ascii="宋体" w:hAnsi="宋体" w:eastAsia="宋体" w:cs="宋体"/>
          <w:szCs w:val="21"/>
          <w:highlight w:val="none"/>
        </w:rPr>
        <w:t>。</w:t>
      </w:r>
    </w:p>
    <w:p w14:paraId="2EB1AE8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（2）总价合同进度付款申请单提交的约定：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应附相关证明材料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E7D7F1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（3）其他价格形式合同进度付款申请单提交的约定：</w:t>
      </w:r>
      <w:r>
        <w:rPr>
          <w:rFonts w:hint="eastAsia" w:ascii="宋体" w:hAnsi="宋体" w:eastAsia="宋体" w:cs="宋体"/>
          <w:szCs w:val="21"/>
          <w:highlight w:val="none"/>
          <w:u w:val="single"/>
        </w:rPr>
        <w:t xml:space="preserve"> 双方协商约定 </w:t>
      </w:r>
      <w:r>
        <w:rPr>
          <w:rFonts w:hint="eastAsia" w:ascii="宋体" w:hAnsi="宋体" w:eastAsia="宋体" w:cs="宋体"/>
          <w:szCs w:val="21"/>
          <w:highlight w:val="none"/>
        </w:rPr>
        <w:t>。</w:t>
      </w:r>
    </w:p>
    <w:p w14:paraId="2304D909">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12.4.4 进度款审核和支付</w:t>
      </w:r>
    </w:p>
    <w:p w14:paraId="416CFF7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（1）监理人审查并报送发包人的期限：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6558028">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发包人完成审批并签发进度款支付证书的期限：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89DC82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（2）发包人支付进度款的期限：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036D9C65">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发包人逾期支付进度款的违约金的计算方式：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73A6AAB">
      <w:pPr>
        <w:pageBreakBefore w:val="0"/>
        <w:widowControl w:val="0"/>
        <w:kinsoku/>
        <w:wordWrap/>
        <w:overflowPunct/>
        <w:topLinePunct w:val="0"/>
        <w:bidi w:val="0"/>
        <w:snapToGrid/>
        <w:spacing w:line="450" w:lineRule="exact"/>
        <w:ind w:firstLine="525" w:firstLineChars="25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12.4.6 支付分解表的编制</w:t>
      </w:r>
    </w:p>
    <w:p w14:paraId="1EEECF93">
      <w:pPr>
        <w:pageBreakBefore w:val="0"/>
        <w:widowControl w:val="0"/>
        <w:kinsoku/>
        <w:wordWrap/>
        <w:overflowPunct/>
        <w:topLinePunct w:val="0"/>
        <w:bidi w:val="0"/>
        <w:snapToGrid/>
        <w:spacing w:line="450" w:lineRule="exact"/>
        <w:ind w:left="4200" w:hanging="4200" w:hangingChars="20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2、总价合同支付分解表的编制与审批：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0793C73">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3、单价合同的总价项目支付分解表的编制与审批：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1395"/>
    <w:p w14:paraId="46F6BA61">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586" w:name="_Toc351203645"/>
      <w:bookmarkStart w:id="1587" w:name="_Toc296891259"/>
      <w:bookmarkStart w:id="1588" w:name="_Toc296347218"/>
      <w:bookmarkStart w:id="1589" w:name="_Toc297120519"/>
      <w:bookmarkStart w:id="1590" w:name="_Toc292559424"/>
      <w:bookmarkStart w:id="1591" w:name="_Toc297216223"/>
      <w:bookmarkStart w:id="1592" w:name="_Toc297048405"/>
      <w:bookmarkStart w:id="1593" w:name="_Toc296346720"/>
      <w:bookmarkStart w:id="1594" w:name="_Toc296891047"/>
      <w:bookmarkStart w:id="1595" w:name="_Toc304295593"/>
      <w:bookmarkStart w:id="1596" w:name="_Toc292559929"/>
      <w:bookmarkStart w:id="1597" w:name="_Toc296503219"/>
      <w:bookmarkStart w:id="1598" w:name="_Toc312678053"/>
      <w:bookmarkStart w:id="1599" w:name="_Toc303539172"/>
      <w:bookmarkStart w:id="1600" w:name="_Toc296944558"/>
      <w:bookmarkStart w:id="1601" w:name="_Toc300935015"/>
      <w:bookmarkStart w:id="1602" w:name="_Toc297123564"/>
      <w:r>
        <w:rPr>
          <w:rFonts w:hint="eastAsia" w:ascii="宋体" w:hAnsi="宋体" w:eastAsia="宋体" w:cs="宋体"/>
          <w:b w:val="0"/>
          <w:szCs w:val="21"/>
          <w:highlight w:val="none"/>
        </w:rPr>
        <w:t>13. 验收和工程试车</w:t>
      </w:r>
      <w:bookmarkEnd w:id="1586"/>
    </w:p>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p w14:paraId="20D2F3D6">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13.1 分部分项工程验收</w:t>
      </w:r>
    </w:p>
    <w:p w14:paraId="18F7465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13.1.2监理人不能按时进行验收时，应提前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小时提交书面延期要求。</w:t>
      </w:r>
    </w:p>
    <w:p w14:paraId="6510FFFB">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b/>
          <w:szCs w:val="21"/>
          <w:highlight w:val="none"/>
        </w:rPr>
      </w:pPr>
      <w:r>
        <w:rPr>
          <w:rFonts w:hint="eastAsia" w:ascii="宋体" w:hAnsi="宋体" w:eastAsia="宋体" w:cs="宋体"/>
          <w:szCs w:val="21"/>
          <w:highlight w:val="none"/>
        </w:rPr>
        <w:t>关于延期最长不得超过：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小时。</w:t>
      </w:r>
    </w:p>
    <w:p w14:paraId="2D251C0F">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bookmarkStart w:id="1603" w:name="_Toc312678056"/>
      <w:bookmarkStart w:id="1604" w:name="_Toc292559933"/>
      <w:bookmarkStart w:id="1605" w:name="_Toc296503223"/>
      <w:bookmarkStart w:id="1606" w:name="_Toc300935016"/>
      <w:bookmarkStart w:id="1607" w:name="_Toc296944562"/>
      <w:bookmarkStart w:id="1608" w:name="_Toc292559428"/>
      <w:bookmarkStart w:id="1609" w:name="_Toc297123565"/>
      <w:bookmarkStart w:id="1610" w:name="_Toc296891051"/>
      <w:bookmarkStart w:id="1611" w:name="_Toc297048409"/>
      <w:bookmarkStart w:id="1612" w:name="_Toc297120523"/>
      <w:bookmarkStart w:id="1613" w:name="_Toc304295596"/>
      <w:bookmarkStart w:id="1614" w:name="_Toc296891263"/>
      <w:bookmarkStart w:id="1615" w:name="_Toc303539173"/>
      <w:bookmarkStart w:id="1616" w:name="_Toc297216224"/>
      <w:bookmarkStart w:id="1617" w:name="_Toc296346724"/>
      <w:bookmarkStart w:id="1618" w:name="_Toc296347222"/>
      <w:bookmarkStart w:id="1619" w:name="_Toc267251474"/>
      <w:bookmarkStart w:id="1620" w:name="_Toc267251472"/>
      <w:bookmarkStart w:id="1621" w:name="_Toc267251471"/>
      <w:bookmarkStart w:id="1622" w:name="_Toc267251473"/>
      <w:bookmarkStart w:id="1623" w:name="_Toc267251475"/>
      <w:bookmarkStart w:id="1624" w:name="_Toc267251470"/>
      <w:bookmarkStart w:id="1625" w:name="_Toc267251476"/>
      <w:r>
        <w:rPr>
          <w:rFonts w:hint="eastAsia" w:ascii="宋体" w:hAnsi="宋体" w:eastAsia="宋体" w:cs="宋体"/>
          <w:szCs w:val="21"/>
          <w:highlight w:val="none"/>
        </w:rPr>
        <w:t>13.2 竣工验收</w:t>
      </w:r>
    </w:p>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p w14:paraId="0FA37E1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bookmarkStart w:id="1626" w:name="_Toc280868704"/>
      <w:bookmarkStart w:id="1627" w:name="_Toc280868705"/>
      <w:bookmarkStart w:id="1628" w:name="_Toc280868706"/>
      <w:bookmarkStart w:id="1629" w:name="_Toc280868707"/>
      <w:bookmarkStart w:id="1630" w:name="_Toc280868708"/>
      <w:bookmarkStart w:id="1631" w:name="_Toc280868709"/>
      <w:r>
        <w:rPr>
          <w:rFonts w:hint="eastAsia" w:ascii="宋体" w:hAnsi="宋体" w:eastAsia="宋体" w:cs="宋体"/>
          <w:szCs w:val="21"/>
          <w:highlight w:val="none"/>
        </w:rPr>
        <w:t>13.2.2竣工验收程序</w:t>
      </w:r>
    </w:p>
    <w:bookmarkEnd w:id="1626"/>
    <w:p w14:paraId="69D66730">
      <w:pPr>
        <w:pageBreakBefore w:val="0"/>
        <w:widowControl w:val="0"/>
        <w:kinsoku/>
        <w:wordWrap/>
        <w:overflowPunct/>
        <w:topLinePunct w:val="0"/>
        <w:bidi w:val="0"/>
        <w:snapToGrid/>
        <w:spacing w:line="450" w:lineRule="exact"/>
        <w:ind w:left="4200" w:hanging="4200" w:hangingChars="2000"/>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关于竣工验收程序的约定：</w:t>
      </w:r>
      <w:r>
        <w:rPr>
          <w:rFonts w:hint="eastAsia" w:ascii="宋体" w:hAnsi="宋体" w:eastAsia="宋体" w:cs="宋体"/>
          <w:szCs w:val="21"/>
          <w:highlight w:val="none"/>
          <w:u w:val="single"/>
        </w:rPr>
        <w:t xml:space="preserve">   双方协商约定   </w:t>
      </w:r>
      <w:r>
        <w:rPr>
          <w:rFonts w:hint="eastAsia" w:ascii="宋体" w:hAnsi="宋体" w:eastAsia="宋体" w:cs="宋体"/>
          <w:szCs w:val="21"/>
          <w:highlight w:val="none"/>
        </w:rPr>
        <w:t>。</w:t>
      </w:r>
    </w:p>
    <w:p w14:paraId="2E4D0589">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发包人不按照本项约定组织竣工验收、颁发工程接收证书的违约金的计算方法：</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1627"/>
    <w:p w14:paraId="559DE9C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13.2.5移交、接收全部与部分工程</w:t>
      </w:r>
    </w:p>
    <w:bookmarkEnd w:id="1628"/>
    <w:p w14:paraId="241E80B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承包人向发包人移交工程的期限：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FED7F2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kern w:val="0"/>
          <w:szCs w:val="21"/>
          <w:highlight w:val="none"/>
        </w:rPr>
        <w:t>发包人未按本合同约定接收全部或部分工程的，违约金的计算方法为：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1629"/>
    <w:p w14:paraId="3B8D10E4">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承包人未按时移交工程的，违约金的计算方法为：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88D0871">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13.3 工程试车</w:t>
      </w:r>
    </w:p>
    <w:bookmarkEnd w:id="1630"/>
    <w:p w14:paraId="62A48D4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13.3.1 试车程序</w:t>
      </w:r>
    </w:p>
    <w:p w14:paraId="4DDE78B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工程试车内容：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A0DF06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（1）单机无负荷试车费用由</w:t>
      </w:r>
      <w:r>
        <w:rPr>
          <w:rFonts w:hint="eastAsia" w:ascii="宋体" w:hAnsi="宋体" w:eastAsia="宋体" w:cs="宋体"/>
          <w:szCs w:val="21"/>
          <w:highlight w:val="none"/>
          <w:u w:val="single"/>
        </w:rPr>
        <w:t xml:space="preserve">                     </w:t>
      </w:r>
      <w:r>
        <w:rPr>
          <w:rFonts w:hint="eastAsia" w:ascii="宋体" w:hAnsi="宋体" w:eastAsia="宋体" w:cs="宋体"/>
          <w:kern w:val="0"/>
          <w:szCs w:val="21"/>
          <w:highlight w:val="none"/>
        </w:rPr>
        <w:t>承担；</w:t>
      </w:r>
    </w:p>
    <w:p w14:paraId="01F3F62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（2）无负荷联动试车费用由</w:t>
      </w:r>
      <w:r>
        <w:rPr>
          <w:rFonts w:hint="eastAsia" w:ascii="宋体" w:hAnsi="宋体" w:eastAsia="宋体" w:cs="宋体"/>
          <w:szCs w:val="21"/>
          <w:highlight w:val="none"/>
          <w:u w:val="single"/>
        </w:rPr>
        <w:t xml:space="preserve">                     </w:t>
      </w:r>
      <w:r>
        <w:rPr>
          <w:rFonts w:hint="eastAsia" w:ascii="宋体" w:hAnsi="宋体" w:eastAsia="宋体" w:cs="宋体"/>
          <w:kern w:val="0"/>
          <w:szCs w:val="21"/>
          <w:highlight w:val="none"/>
        </w:rPr>
        <w:t>承担。</w:t>
      </w:r>
    </w:p>
    <w:p w14:paraId="3E1320B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13.3.3 投料试车</w:t>
      </w:r>
    </w:p>
    <w:p w14:paraId="68E73ABC">
      <w:pPr>
        <w:pageBreakBefore w:val="0"/>
        <w:widowControl w:val="0"/>
        <w:kinsoku/>
        <w:wordWrap/>
        <w:overflowPunct/>
        <w:topLinePunct w:val="0"/>
        <w:bidi w:val="0"/>
        <w:snapToGrid/>
        <w:spacing w:line="450" w:lineRule="exact"/>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关于投料试车相关事项的约定：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12B74E78">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632" w:name="_Toc2525"/>
      <w:bookmarkStart w:id="1633" w:name="_Toc27378069"/>
      <w:bookmarkStart w:id="1634" w:name="_Toc5552"/>
      <w:bookmarkStart w:id="1635" w:name="_Toc499892849"/>
      <w:bookmarkStart w:id="1636" w:name="_Toc36136608"/>
      <w:bookmarkStart w:id="1637" w:name="_Toc500864501"/>
      <w:bookmarkStart w:id="1638" w:name="_Toc500865891"/>
      <w:bookmarkStart w:id="1639" w:name="_Toc106695217"/>
      <w:bookmarkStart w:id="1640" w:name="_Toc106695370"/>
      <w:bookmarkStart w:id="1641" w:name="_Toc499891658"/>
      <w:r>
        <w:rPr>
          <w:rFonts w:hint="eastAsia" w:ascii="宋体" w:hAnsi="宋体" w:eastAsia="宋体" w:cs="宋体"/>
          <w:szCs w:val="21"/>
          <w:highlight w:val="none"/>
        </w:rPr>
        <w:t>13.6 竣工退场</w:t>
      </w:r>
      <w:bookmarkEnd w:id="1632"/>
      <w:bookmarkEnd w:id="1633"/>
      <w:bookmarkEnd w:id="1634"/>
      <w:bookmarkEnd w:id="1635"/>
      <w:bookmarkEnd w:id="1636"/>
      <w:bookmarkEnd w:id="1637"/>
      <w:bookmarkEnd w:id="1638"/>
      <w:bookmarkEnd w:id="1639"/>
      <w:bookmarkEnd w:id="1640"/>
      <w:bookmarkEnd w:id="1641"/>
    </w:p>
    <w:p w14:paraId="3F792F6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13.6.1 竣工退场</w:t>
      </w:r>
    </w:p>
    <w:p w14:paraId="1EE879FB">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承包人完成竣工退场的期限：</w:t>
      </w:r>
      <w:r>
        <w:rPr>
          <w:rFonts w:hint="eastAsia" w:ascii="宋体" w:hAnsi="宋体" w:eastAsia="宋体" w:cs="宋体"/>
          <w:szCs w:val="21"/>
          <w:highlight w:val="none"/>
          <w:u w:val="single"/>
        </w:rPr>
        <w:t xml:space="preserve">       双方约定协商    </w:t>
      </w:r>
      <w:r>
        <w:rPr>
          <w:rFonts w:hint="eastAsia" w:ascii="宋体" w:hAnsi="宋体" w:eastAsia="宋体" w:cs="宋体"/>
          <w:kern w:val="0"/>
          <w:szCs w:val="21"/>
          <w:highlight w:val="none"/>
        </w:rPr>
        <w:t>。</w:t>
      </w:r>
    </w:p>
    <w:p w14:paraId="6BEFB7BD">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642" w:name="_Toc351203646"/>
      <w:r>
        <w:rPr>
          <w:rFonts w:hint="eastAsia" w:ascii="宋体" w:hAnsi="宋体" w:eastAsia="宋体" w:cs="宋体"/>
          <w:b w:val="0"/>
          <w:szCs w:val="21"/>
          <w:highlight w:val="none"/>
        </w:rPr>
        <w:t>14. 竣工结算</w:t>
      </w:r>
      <w:bookmarkEnd w:id="1642"/>
    </w:p>
    <w:p w14:paraId="2E6A3A38">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14.1 竣工结算申请</w:t>
      </w:r>
    </w:p>
    <w:p w14:paraId="231570BA">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承包人提交竣工结算申请单的期限：</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57E09242">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竣工结算申请单应包括的内容：</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36F20E75">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643" w:name="_Toc36136609"/>
      <w:bookmarkStart w:id="1644" w:name="_Toc500864502"/>
      <w:bookmarkStart w:id="1645" w:name="_Toc499891659"/>
      <w:bookmarkStart w:id="1646" w:name="_Toc27378070"/>
      <w:bookmarkStart w:id="1647" w:name="_Toc499892850"/>
      <w:bookmarkStart w:id="1648" w:name="_Toc106695218"/>
      <w:bookmarkStart w:id="1649" w:name="_Toc8652"/>
      <w:bookmarkStart w:id="1650" w:name="_Toc106695371"/>
      <w:bookmarkStart w:id="1651" w:name="_Toc500865892"/>
      <w:bookmarkStart w:id="1652" w:name="_Toc28644"/>
      <w:r>
        <w:rPr>
          <w:rFonts w:hint="eastAsia" w:ascii="宋体" w:hAnsi="宋体" w:eastAsia="宋体" w:cs="宋体"/>
          <w:szCs w:val="21"/>
          <w:highlight w:val="none"/>
        </w:rPr>
        <w:t>14.2 竣工结算审核</w:t>
      </w:r>
      <w:bookmarkEnd w:id="1643"/>
      <w:bookmarkEnd w:id="1644"/>
      <w:bookmarkEnd w:id="1645"/>
      <w:bookmarkEnd w:id="1646"/>
      <w:bookmarkEnd w:id="1647"/>
      <w:bookmarkEnd w:id="1648"/>
      <w:bookmarkEnd w:id="1649"/>
      <w:bookmarkEnd w:id="1650"/>
      <w:bookmarkEnd w:id="1651"/>
      <w:bookmarkEnd w:id="1652"/>
    </w:p>
    <w:p w14:paraId="476A888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发包人审批竣工付款申请单的期限：</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1809B5EB">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发包人完成竣工付款的期限：</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5F0E4E10">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关于竣工付款证书异议部分复核的方式和程序：</w:t>
      </w:r>
      <w:r>
        <w:rPr>
          <w:rFonts w:hint="eastAsia" w:ascii="宋体" w:hAnsi="宋体" w:eastAsia="宋体" w:cs="宋体"/>
          <w:szCs w:val="21"/>
          <w:highlight w:val="none"/>
          <w:u w:val="single"/>
        </w:rPr>
        <w:t xml:space="preserve">双方约定协商   </w:t>
      </w:r>
      <w:r>
        <w:rPr>
          <w:rFonts w:hint="eastAsia" w:ascii="宋体" w:hAnsi="宋体" w:eastAsia="宋体" w:cs="宋体"/>
          <w:szCs w:val="21"/>
          <w:highlight w:val="none"/>
        </w:rPr>
        <w:t>。</w:t>
      </w:r>
    </w:p>
    <w:p w14:paraId="72DC8A0F">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14.4 最终结清</w:t>
      </w:r>
    </w:p>
    <w:p w14:paraId="532AB41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14.4.1 最终结清申请单</w:t>
      </w:r>
    </w:p>
    <w:p w14:paraId="7E10343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承包人提交最终结清申请单的份数：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67ADED03">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承包人提交最终结算申请单的期限：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558A9FE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14.4.2 最终结清证书和支付</w:t>
      </w:r>
    </w:p>
    <w:p w14:paraId="5E88251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（1）发包人完成最终结清申请单的审批并颁发最终结清证书的期限：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51142B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（2）发包人完成支付的期限：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1619"/>
    <w:bookmarkEnd w:id="1620"/>
    <w:bookmarkEnd w:id="1621"/>
    <w:bookmarkEnd w:id="1622"/>
    <w:bookmarkEnd w:id="1623"/>
    <w:bookmarkEnd w:id="1624"/>
    <w:bookmarkEnd w:id="1625"/>
    <w:bookmarkEnd w:id="1631"/>
    <w:p w14:paraId="2F2E29EF">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653" w:name="_Toc351203647"/>
      <w:bookmarkStart w:id="1654" w:name="_Toc267251483"/>
      <w:bookmarkStart w:id="1655" w:name="_Toc267251484"/>
      <w:bookmarkStart w:id="1656" w:name="_Toc267251482"/>
      <w:bookmarkStart w:id="1657" w:name="_Toc267251485"/>
      <w:bookmarkStart w:id="1658" w:name="_Toc267251490"/>
      <w:bookmarkStart w:id="1659" w:name="_Toc267251488"/>
      <w:bookmarkStart w:id="1660" w:name="_Toc267251486"/>
      <w:bookmarkStart w:id="1661" w:name="_Toc267251489"/>
      <w:bookmarkStart w:id="1662" w:name="_Toc267251492"/>
      <w:bookmarkStart w:id="1663" w:name="_Toc267251499"/>
      <w:bookmarkStart w:id="1664" w:name="_Toc267251497"/>
      <w:bookmarkStart w:id="1665" w:name="_Toc267251502"/>
      <w:bookmarkStart w:id="1666" w:name="_Toc267251494"/>
      <w:bookmarkStart w:id="1667" w:name="_Toc267251503"/>
      <w:bookmarkStart w:id="1668" w:name="_Toc267251491"/>
      <w:bookmarkStart w:id="1669" w:name="_Toc267251493"/>
      <w:bookmarkStart w:id="1670" w:name="_Toc267251496"/>
      <w:bookmarkStart w:id="1671" w:name="_Toc267251495"/>
      <w:bookmarkStart w:id="1672" w:name="_Toc267251498"/>
      <w:bookmarkStart w:id="1673" w:name="_Toc267251501"/>
      <w:bookmarkStart w:id="1674" w:name="_Toc267251506"/>
      <w:bookmarkStart w:id="1675" w:name="_Toc267251504"/>
      <w:bookmarkStart w:id="1676" w:name="_Toc267251507"/>
      <w:bookmarkStart w:id="1677" w:name="_Toc267251508"/>
      <w:bookmarkStart w:id="1678" w:name="_Toc267251513"/>
      <w:bookmarkStart w:id="1679" w:name="_Toc267251514"/>
      <w:bookmarkStart w:id="1680" w:name="_Toc267251515"/>
      <w:bookmarkStart w:id="1681" w:name="_Toc267251509"/>
      <w:bookmarkStart w:id="1682" w:name="_Toc267251510"/>
      <w:bookmarkStart w:id="1683" w:name="_Toc267251511"/>
      <w:r>
        <w:rPr>
          <w:rFonts w:hint="eastAsia" w:ascii="宋体" w:hAnsi="宋体" w:eastAsia="宋体" w:cs="宋体"/>
          <w:b w:val="0"/>
          <w:szCs w:val="21"/>
          <w:highlight w:val="none"/>
        </w:rPr>
        <w:t>15. 缺陷责任期与保修</w:t>
      </w:r>
      <w:bookmarkEnd w:id="1653"/>
    </w:p>
    <w:p w14:paraId="6CA529B2">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15.2缺陷责任期</w:t>
      </w:r>
      <w:bookmarkEnd w:id="1654"/>
    </w:p>
    <w:p w14:paraId="05519CF5">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缺陷责任期的具体期限：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A2AB215">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684" w:name="_Toc106695219"/>
      <w:bookmarkStart w:id="1685" w:name="_Toc36136610"/>
      <w:bookmarkStart w:id="1686" w:name="_Toc27378071"/>
      <w:bookmarkStart w:id="1687" w:name="_Toc500865893"/>
      <w:bookmarkStart w:id="1688" w:name="_Toc499891660"/>
      <w:bookmarkStart w:id="1689" w:name="_Toc500864503"/>
      <w:bookmarkStart w:id="1690" w:name="_Toc106695372"/>
      <w:bookmarkStart w:id="1691" w:name="_Toc499892851"/>
      <w:bookmarkStart w:id="1692" w:name="_Toc27147"/>
      <w:r>
        <w:rPr>
          <w:rFonts w:hint="eastAsia" w:ascii="宋体" w:hAnsi="宋体" w:eastAsia="宋体" w:cs="宋体"/>
          <w:szCs w:val="21"/>
          <w:highlight w:val="none"/>
        </w:rPr>
        <w:t>15.3 质量保证金</w:t>
      </w:r>
      <w:bookmarkEnd w:id="1684"/>
      <w:bookmarkEnd w:id="1685"/>
      <w:bookmarkEnd w:id="1686"/>
      <w:bookmarkEnd w:id="1687"/>
      <w:bookmarkEnd w:id="1688"/>
      <w:bookmarkEnd w:id="1689"/>
      <w:bookmarkEnd w:id="1690"/>
      <w:bookmarkEnd w:id="1691"/>
      <w:bookmarkEnd w:id="1692"/>
    </w:p>
    <w:p w14:paraId="4058FA6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关于是否扣留质量保证金的约定：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。在工程项目竣工前，承包人按专用合同条款第3.7条提供履约担保的，发包人不得同时预留工程质量保证金。</w:t>
      </w:r>
    </w:p>
    <w:p w14:paraId="18D4FB2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p>
    <w:p w14:paraId="535A1F4C">
      <w:pPr>
        <w:pageBreakBefore w:val="0"/>
        <w:widowControl w:val="0"/>
        <w:kinsoku/>
        <w:wordWrap/>
        <w:overflowPunct/>
        <w:topLinePunct w:val="0"/>
        <w:bidi w:val="0"/>
        <w:snapToGrid/>
        <w:spacing w:line="450" w:lineRule="exact"/>
        <w:ind w:firstLine="420" w:firstLineChars="200"/>
        <w:jc w:val="left"/>
        <w:textAlignment w:val="auto"/>
        <w:outlineLvl w:val="0"/>
        <w:rPr>
          <w:rFonts w:hint="eastAsia" w:ascii="宋体" w:hAnsi="宋体" w:eastAsia="宋体" w:cs="宋体"/>
          <w:szCs w:val="21"/>
          <w:highlight w:val="none"/>
        </w:rPr>
      </w:pPr>
      <w:bookmarkStart w:id="1693" w:name="_Toc21649"/>
      <w:bookmarkStart w:id="1694" w:name="_Toc499891661"/>
      <w:bookmarkStart w:id="1695" w:name="_Toc27378072"/>
      <w:bookmarkStart w:id="1696" w:name="_Toc106695373"/>
      <w:bookmarkStart w:id="1697" w:name="_Toc500865894"/>
      <w:bookmarkStart w:id="1698" w:name="_Toc106695220"/>
      <w:bookmarkStart w:id="1699" w:name="_Toc36136611"/>
      <w:bookmarkStart w:id="1700" w:name="_Toc499892852"/>
      <w:bookmarkStart w:id="1701" w:name="_Toc500864504"/>
      <w:bookmarkStart w:id="1702" w:name="_Toc10363"/>
      <w:r>
        <w:rPr>
          <w:rFonts w:hint="eastAsia" w:ascii="宋体" w:hAnsi="宋体" w:eastAsia="宋体" w:cs="宋体"/>
          <w:szCs w:val="21"/>
          <w:highlight w:val="none"/>
        </w:rPr>
        <w:t>15.3.1 承包人提供质量保证金的方式</w:t>
      </w:r>
      <w:bookmarkEnd w:id="1693"/>
      <w:bookmarkEnd w:id="1694"/>
      <w:bookmarkEnd w:id="1695"/>
      <w:bookmarkEnd w:id="1696"/>
      <w:bookmarkEnd w:id="1697"/>
      <w:bookmarkEnd w:id="1698"/>
      <w:bookmarkEnd w:id="1699"/>
      <w:bookmarkEnd w:id="1700"/>
      <w:bookmarkEnd w:id="1701"/>
      <w:bookmarkEnd w:id="1702"/>
    </w:p>
    <w:p w14:paraId="06612F0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质量保证金采用以下第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种方式：</w:t>
      </w:r>
    </w:p>
    <w:p w14:paraId="01CECD05">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（1）质量保证金保函，保证金额为：</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 xml:space="preserve">； </w:t>
      </w:r>
    </w:p>
    <w:p w14:paraId="3DFA1B10">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w:t>
      </w:r>
      <w:r>
        <w:rPr>
          <w:rFonts w:hint="eastAsia" w:ascii="宋体" w:hAnsi="宋体" w:eastAsia="宋体" w:cs="宋体"/>
          <w:kern w:val="0"/>
          <w:szCs w:val="21"/>
          <w:highlight w:val="none"/>
          <w:u w:val="single"/>
        </w:rPr>
        <w:t xml:space="preserve">  3    </w:t>
      </w:r>
      <w:r>
        <w:rPr>
          <w:rFonts w:hint="eastAsia" w:ascii="宋体" w:hAnsi="宋体" w:eastAsia="宋体" w:cs="宋体"/>
          <w:kern w:val="0"/>
          <w:szCs w:val="21"/>
          <w:highlight w:val="none"/>
        </w:rPr>
        <w:t>%的工程款；</w:t>
      </w:r>
    </w:p>
    <w:p w14:paraId="780D4069">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（3）其他方式:</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双方约定协商 </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2425F3DE">
      <w:pPr>
        <w:pageBreakBefore w:val="0"/>
        <w:widowControl w:val="0"/>
        <w:kinsoku/>
        <w:wordWrap/>
        <w:overflowPunct/>
        <w:topLinePunct w:val="0"/>
        <w:bidi w:val="0"/>
        <w:snapToGrid/>
        <w:spacing w:line="450" w:lineRule="exact"/>
        <w:ind w:firstLine="420" w:firstLineChars="200"/>
        <w:jc w:val="left"/>
        <w:textAlignment w:val="auto"/>
        <w:outlineLvl w:val="0"/>
        <w:rPr>
          <w:rFonts w:hint="eastAsia" w:ascii="宋体" w:hAnsi="宋体" w:eastAsia="宋体" w:cs="宋体"/>
          <w:szCs w:val="21"/>
          <w:highlight w:val="none"/>
        </w:rPr>
      </w:pPr>
      <w:bookmarkStart w:id="1703" w:name="_Toc36136612"/>
      <w:bookmarkStart w:id="1704" w:name="_Toc27378073"/>
      <w:bookmarkStart w:id="1705" w:name="_Toc500864505"/>
      <w:bookmarkStart w:id="1706" w:name="_Toc106695221"/>
      <w:bookmarkStart w:id="1707" w:name="_Toc12537"/>
      <w:bookmarkStart w:id="1708" w:name="_Toc499891662"/>
      <w:bookmarkStart w:id="1709" w:name="_Toc32362"/>
      <w:bookmarkStart w:id="1710" w:name="_Toc106695374"/>
      <w:bookmarkStart w:id="1711" w:name="_Toc499892853"/>
      <w:bookmarkStart w:id="1712" w:name="_Toc500865895"/>
      <w:r>
        <w:rPr>
          <w:rFonts w:hint="eastAsia" w:ascii="宋体" w:hAnsi="宋体" w:eastAsia="宋体" w:cs="宋体"/>
          <w:szCs w:val="21"/>
          <w:highlight w:val="none"/>
        </w:rPr>
        <w:t>15.3.2 质量保证金的扣留</w:t>
      </w:r>
      <w:bookmarkEnd w:id="1703"/>
      <w:bookmarkEnd w:id="1704"/>
      <w:bookmarkEnd w:id="1705"/>
      <w:bookmarkEnd w:id="1706"/>
      <w:bookmarkEnd w:id="1707"/>
      <w:bookmarkEnd w:id="1708"/>
      <w:bookmarkEnd w:id="1709"/>
      <w:bookmarkEnd w:id="1710"/>
      <w:bookmarkEnd w:id="1711"/>
      <w:bookmarkEnd w:id="1712"/>
      <w:r>
        <w:rPr>
          <w:rFonts w:hint="eastAsia" w:ascii="宋体" w:hAnsi="宋体" w:eastAsia="宋体" w:cs="宋体"/>
          <w:szCs w:val="21"/>
          <w:highlight w:val="none"/>
        </w:rPr>
        <w:t xml:space="preserve"> </w:t>
      </w:r>
    </w:p>
    <w:p w14:paraId="5AD04AC3">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种方式：</w:t>
      </w:r>
    </w:p>
    <w:p w14:paraId="7C0251AC">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（1）在支付工程进度款时逐次扣留，在此情形下，质量保证金的计算基数不包括预付款的支付、扣回以及价格调整的金额；</w:t>
      </w:r>
    </w:p>
    <w:p w14:paraId="6A3F8E43">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outlineLvl w:val="0"/>
        <w:rPr>
          <w:rFonts w:hint="eastAsia" w:ascii="宋体" w:hAnsi="宋体" w:eastAsia="宋体" w:cs="宋体"/>
          <w:kern w:val="0"/>
          <w:szCs w:val="21"/>
          <w:highlight w:val="none"/>
        </w:rPr>
      </w:pPr>
      <w:bookmarkStart w:id="1713" w:name="_Toc500864506"/>
      <w:bookmarkStart w:id="1714" w:name="_Toc106695375"/>
      <w:bookmarkStart w:id="1715" w:name="_Toc4870"/>
      <w:bookmarkStart w:id="1716" w:name="_Toc36136613"/>
      <w:bookmarkStart w:id="1717" w:name="_Toc499892854"/>
      <w:bookmarkStart w:id="1718" w:name="_Toc500865896"/>
      <w:bookmarkStart w:id="1719" w:name="_Toc499891663"/>
      <w:bookmarkStart w:id="1720" w:name="_Toc1175"/>
      <w:bookmarkStart w:id="1721" w:name="_Toc27378074"/>
      <w:bookmarkStart w:id="1722" w:name="_Toc106695222"/>
      <w:r>
        <w:rPr>
          <w:rFonts w:hint="eastAsia" w:ascii="宋体" w:hAnsi="宋体" w:eastAsia="宋体" w:cs="宋体"/>
          <w:kern w:val="0"/>
          <w:szCs w:val="21"/>
          <w:highlight w:val="none"/>
        </w:rPr>
        <w:t>（2）工程竣工结算时一次性扣留质量保证金；</w:t>
      </w:r>
      <w:bookmarkEnd w:id="1713"/>
      <w:bookmarkEnd w:id="1714"/>
      <w:bookmarkEnd w:id="1715"/>
      <w:bookmarkEnd w:id="1716"/>
      <w:bookmarkEnd w:id="1717"/>
      <w:bookmarkEnd w:id="1718"/>
      <w:bookmarkEnd w:id="1719"/>
      <w:bookmarkEnd w:id="1720"/>
      <w:bookmarkEnd w:id="1721"/>
      <w:bookmarkEnd w:id="1722"/>
    </w:p>
    <w:p w14:paraId="6D787121">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（3）其他扣留方式:</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双方约定协商 </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43F796F1">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关于质量保证金的补充约定：</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双方约定协商 </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bookmarkEnd w:id="1655"/>
    <w:bookmarkEnd w:id="1656"/>
    <w:p w14:paraId="4ACDBDC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15.4保修</w:t>
      </w:r>
    </w:p>
    <w:bookmarkEnd w:id="1657"/>
    <w:p w14:paraId="091F67AC">
      <w:pPr>
        <w:pageBreakBefore w:val="0"/>
        <w:widowControl w:val="0"/>
        <w:kinsoku/>
        <w:wordWrap/>
        <w:overflowPunct/>
        <w:topLinePunct w:val="0"/>
        <w:bidi w:val="0"/>
        <w:snapToGrid/>
        <w:spacing w:line="450" w:lineRule="exact"/>
        <w:ind w:firstLine="409" w:firstLineChars="195"/>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15.4.1 保修责任</w:t>
      </w:r>
    </w:p>
    <w:p w14:paraId="50027749">
      <w:pPr>
        <w:pageBreakBefore w:val="0"/>
        <w:widowControl w:val="0"/>
        <w:kinsoku/>
        <w:wordWrap/>
        <w:overflowPunct/>
        <w:topLinePunct w:val="0"/>
        <w:bidi w:val="0"/>
        <w:snapToGrid/>
        <w:spacing w:line="450" w:lineRule="exact"/>
        <w:jc w:val="left"/>
        <w:textAlignment w:val="auto"/>
        <w:rPr>
          <w:rFonts w:hint="eastAsia" w:ascii="宋体" w:hAnsi="宋体" w:eastAsia="宋体" w:cs="宋体"/>
          <w:kern w:val="0"/>
          <w:szCs w:val="21"/>
          <w:highlight w:val="none"/>
        </w:rPr>
      </w:pPr>
      <w:r>
        <w:rPr>
          <w:rFonts w:hint="eastAsia" w:ascii="宋体" w:hAnsi="宋体" w:eastAsia="宋体" w:cs="宋体"/>
          <w:szCs w:val="21"/>
          <w:highlight w:val="none"/>
        </w:rPr>
        <w:t>工程保修期为：</w:t>
      </w:r>
      <w:r>
        <w:rPr>
          <w:rFonts w:hint="eastAsia" w:ascii="宋体" w:hAnsi="宋体" w:eastAsia="宋体" w:cs="宋体"/>
          <w:kern w:val="0"/>
          <w:szCs w:val="21"/>
          <w:highlight w:val="none"/>
          <w:u w:val="single"/>
        </w:rPr>
        <w:t xml:space="preserve">       双方约定协商                  </w:t>
      </w:r>
      <w:r>
        <w:rPr>
          <w:rFonts w:hint="eastAsia" w:ascii="宋体" w:hAnsi="宋体" w:eastAsia="宋体" w:cs="宋体"/>
          <w:kern w:val="0"/>
          <w:szCs w:val="21"/>
          <w:highlight w:val="none"/>
        </w:rPr>
        <w:t>。</w:t>
      </w:r>
    </w:p>
    <w:p w14:paraId="22C7A9E6">
      <w:pPr>
        <w:pageBreakBefore w:val="0"/>
        <w:widowControl w:val="0"/>
        <w:kinsoku/>
        <w:wordWrap/>
        <w:overflowPunct/>
        <w:topLinePunct w:val="0"/>
        <w:bidi w:val="0"/>
        <w:snapToGrid/>
        <w:spacing w:line="450" w:lineRule="exact"/>
        <w:ind w:firstLine="409" w:firstLineChars="195"/>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15.4.3 修复通知</w:t>
      </w:r>
    </w:p>
    <w:p w14:paraId="54D84F5E">
      <w:pPr>
        <w:pageBreakBefore w:val="0"/>
        <w:widowControl w:val="0"/>
        <w:kinsoku/>
        <w:wordWrap/>
        <w:overflowPunct/>
        <w:topLinePunct w:val="0"/>
        <w:bidi w:val="0"/>
        <w:snapToGrid/>
        <w:spacing w:line="450" w:lineRule="exact"/>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承包人收到保修通知并到达工程现场的合理时间：</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bookmarkEnd w:id="1658"/>
    <w:bookmarkEnd w:id="1659"/>
    <w:bookmarkEnd w:id="1660"/>
    <w:bookmarkEnd w:id="1661"/>
    <w:p w14:paraId="65659D19">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723" w:name="_Toc351203648"/>
      <w:bookmarkStart w:id="1724" w:name="_Toc280868717"/>
      <w:bookmarkStart w:id="1725" w:name="_Toc280868718"/>
      <w:r>
        <w:rPr>
          <w:rFonts w:hint="eastAsia" w:ascii="宋体" w:hAnsi="宋体" w:eastAsia="宋体" w:cs="宋体"/>
          <w:b w:val="0"/>
          <w:szCs w:val="21"/>
          <w:highlight w:val="none"/>
        </w:rPr>
        <w:t>16. 违约</w:t>
      </w:r>
      <w:bookmarkEnd w:id="1723"/>
    </w:p>
    <w:p w14:paraId="11139687">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726" w:name="_Toc499891664"/>
      <w:bookmarkStart w:id="1727" w:name="_Toc8912"/>
      <w:bookmarkStart w:id="1728" w:name="_Toc27378075"/>
      <w:bookmarkStart w:id="1729" w:name="_Toc499892855"/>
      <w:bookmarkStart w:id="1730" w:name="_Toc106695223"/>
      <w:bookmarkStart w:id="1731" w:name="_Toc106695376"/>
      <w:bookmarkStart w:id="1732" w:name="_Toc500865897"/>
      <w:bookmarkStart w:id="1733" w:name="_Toc500864507"/>
      <w:bookmarkStart w:id="1734" w:name="_Toc36136614"/>
      <w:bookmarkStart w:id="1735" w:name="_Toc25985"/>
      <w:r>
        <w:rPr>
          <w:rFonts w:hint="eastAsia" w:ascii="宋体" w:hAnsi="宋体" w:eastAsia="宋体" w:cs="宋体"/>
          <w:szCs w:val="21"/>
          <w:highlight w:val="none"/>
        </w:rPr>
        <w:t>16.1 发包人违约</w:t>
      </w:r>
      <w:bookmarkEnd w:id="1726"/>
      <w:bookmarkEnd w:id="1727"/>
      <w:bookmarkEnd w:id="1728"/>
      <w:bookmarkEnd w:id="1729"/>
      <w:bookmarkEnd w:id="1730"/>
      <w:bookmarkEnd w:id="1731"/>
      <w:bookmarkEnd w:id="1732"/>
      <w:bookmarkEnd w:id="1733"/>
      <w:bookmarkEnd w:id="1734"/>
      <w:bookmarkEnd w:id="1735"/>
    </w:p>
    <w:p w14:paraId="44D79A5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16.1.1发包人违约的情形</w:t>
      </w:r>
    </w:p>
    <w:p w14:paraId="0DF450DF">
      <w:pPr>
        <w:pageBreakBefore w:val="0"/>
        <w:widowControl w:val="0"/>
        <w:kinsoku/>
        <w:wordWrap/>
        <w:overflowPunct/>
        <w:topLinePunct w:val="0"/>
        <w:bidi w:val="0"/>
        <w:snapToGrid/>
        <w:spacing w:line="450" w:lineRule="exact"/>
        <w:ind w:left="1050" w:hanging="1050" w:hangingChars="5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发包人违约的其他情形：</w:t>
      </w:r>
      <w:r>
        <w:rPr>
          <w:rFonts w:hint="eastAsia" w:ascii="宋体" w:hAnsi="宋体" w:eastAsia="宋体" w:cs="宋体"/>
          <w:kern w:val="0"/>
          <w:szCs w:val="21"/>
          <w:highlight w:val="none"/>
          <w:u w:val="single"/>
        </w:rPr>
        <w:t xml:space="preserve">      双方约定协商              </w:t>
      </w:r>
      <w:r>
        <w:rPr>
          <w:rFonts w:hint="eastAsia" w:ascii="宋体" w:hAnsi="宋体" w:eastAsia="宋体" w:cs="宋体"/>
          <w:kern w:val="0"/>
          <w:szCs w:val="21"/>
          <w:highlight w:val="none"/>
        </w:rPr>
        <w:t>。</w:t>
      </w:r>
    </w:p>
    <w:p w14:paraId="7DA8E0EF">
      <w:pPr>
        <w:pageBreakBefore w:val="0"/>
        <w:widowControl w:val="0"/>
        <w:kinsoku/>
        <w:wordWrap/>
        <w:overflowPunct/>
        <w:topLinePunct w:val="0"/>
        <w:bidi w:val="0"/>
        <w:snapToGrid/>
        <w:spacing w:line="450" w:lineRule="exact"/>
        <w:ind w:left="1050" w:hanging="1050" w:hangingChars="5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    16.1.2 发包人违约的责任</w:t>
      </w:r>
    </w:p>
    <w:p w14:paraId="7DABDF2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发包人违约责任的承担方式和计算方法：</w:t>
      </w:r>
    </w:p>
    <w:p w14:paraId="17462C7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u w:val="single"/>
        </w:rPr>
      </w:pPr>
      <w:r>
        <w:rPr>
          <w:rFonts w:hint="eastAsia" w:ascii="宋体" w:hAnsi="宋体" w:eastAsia="宋体" w:cs="宋体"/>
          <w:kern w:val="0"/>
          <w:szCs w:val="21"/>
          <w:highlight w:val="none"/>
        </w:rPr>
        <w:t>（1）因发包人原因未能在计划开工日期前7天内下达开工通知的违约责任：</w:t>
      </w:r>
      <w:r>
        <w:rPr>
          <w:rFonts w:hint="eastAsia" w:ascii="宋体" w:hAnsi="宋体" w:eastAsia="宋体" w:cs="宋体"/>
          <w:kern w:val="0"/>
          <w:szCs w:val="21"/>
          <w:highlight w:val="none"/>
          <w:u w:val="single"/>
        </w:rPr>
        <w:t xml:space="preserve"> 双方约定协商</w:t>
      </w:r>
      <w:r>
        <w:rPr>
          <w:rFonts w:hint="eastAsia" w:ascii="宋体" w:hAnsi="宋体" w:eastAsia="宋体" w:cs="宋体"/>
          <w:kern w:val="0"/>
          <w:szCs w:val="21"/>
          <w:highlight w:val="none"/>
        </w:rPr>
        <w:t>。</w:t>
      </w:r>
    </w:p>
    <w:p w14:paraId="516BB96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（2）因发包人原因未能按合同约定支付合同价款的违约责任：</w:t>
      </w:r>
      <w:r>
        <w:rPr>
          <w:rFonts w:hint="eastAsia" w:ascii="宋体" w:hAnsi="宋体" w:eastAsia="宋体" w:cs="宋体"/>
          <w:kern w:val="0"/>
          <w:szCs w:val="21"/>
          <w:highlight w:val="none"/>
          <w:u w:val="single"/>
        </w:rPr>
        <w:t xml:space="preserve">   双方约定协商       </w:t>
      </w:r>
      <w:r>
        <w:rPr>
          <w:rFonts w:hint="eastAsia" w:ascii="宋体" w:hAnsi="宋体" w:eastAsia="宋体" w:cs="宋体"/>
          <w:kern w:val="0"/>
          <w:szCs w:val="21"/>
          <w:highlight w:val="none"/>
        </w:rPr>
        <w:t>。</w:t>
      </w:r>
    </w:p>
    <w:p w14:paraId="7C70550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（3）发包人违反第10.1款〔变更的范围〕第（2）项约定，自行实施被取消的工作或转由他人实施的违约责任：</w:t>
      </w:r>
      <w:r>
        <w:rPr>
          <w:rFonts w:hint="eastAsia" w:ascii="宋体" w:hAnsi="宋体" w:eastAsia="宋体" w:cs="宋体"/>
          <w:kern w:val="0"/>
          <w:szCs w:val="21"/>
          <w:highlight w:val="none"/>
          <w:u w:val="single"/>
        </w:rPr>
        <w:t xml:space="preserve">双方约定协商 </w:t>
      </w:r>
      <w:r>
        <w:rPr>
          <w:rFonts w:hint="eastAsia" w:ascii="宋体" w:hAnsi="宋体" w:eastAsia="宋体" w:cs="宋体"/>
          <w:kern w:val="0"/>
          <w:szCs w:val="21"/>
          <w:highlight w:val="none"/>
        </w:rPr>
        <w:t>。</w:t>
      </w:r>
    </w:p>
    <w:p w14:paraId="57F0AE2D">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双方约定协商 </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2BF5884C">
      <w:pPr>
        <w:pageBreakBefore w:val="0"/>
        <w:widowControl w:val="0"/>
        <w:kinsoku/>
        <w:wordWrap/>
        <w:overflowPunct/>
        <w:topLinePunct w:val="0"/>
        <w:bidi w:val="0"/>
        <w:snapToGrid/>
        <w:spacing w:line="450" w:lineRule="exact"/>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（5）因发包人违反合同约定造成暂停施工的违约责任：</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双方约定协商</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712EA280">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（6）发包人无正当理由没有在约定期限内发出复工指示，导致承包人无法复工的违约责任：</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双方约定协商</w:t>
      </w:r>
      <w:r>
        <w:rPr>
          <w:rFonts w:hint="eastAsia" w:ascii="宋体" w:hAnsi="宋体" w:eastAsia="宋体" w:cs="宋体"/>
          <w:kern w:val="0"/>
          <w:szCs w:val="21"/>
          <w:highlight w:val="none"/>
        </w:rPr>
        <w:t>。</w:t>
      </w:r>
    </w:p>
    <w:p w14:paraId="2CAFBBC9">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（7）其他：</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双方约定协商 </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4C82AF0A">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16.1.3 因发包人违约解除合同</w:t>
      </w:r>
    </w:p>
    <w:p w14:paraId="224B7D36">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承包人按16.1.1项〔发包人违约的情形〕约定暂停施工满</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天后发包人仍不纠正其违约行为并致使合同目的不能实现的，承包人有权解除合同。</w:t>
      </w:r>
    </w:p>
    <w:p w14:paraId="79017EAD">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736" w:name="_Toc36136615"/>
      <w:bookmarkStart w:id="1737" w:name="_Toc7124"/>
      <w:bookmarkStart w:id="1738" w:name="_Toc106695224"/>
      <w:bookmarkStart w:id="1739" w:name="_Toc500864508"/>
      <w:bookmarkStart w:id="1740" w:name="_Toc500865898"/>
      <w:bookmarkStart w:id="1741" w:name="_Toc106695377"/>
      <w:bookmarkStart w:id="1742" w:name="_Toc10461"/>
      <w:bookmarkStart w:id="1743" w:name="_Toc27378076"/>
      <w:bookmarkStart w:id="1744" w:name="_Toc499892856"/>
      <w:bookmarkStart w:id="1745" w:name="_Toc499891665"/>
      <w:r>
        <w:rPr>
          <w:rFonts w:hint="eastAsia" w:ascii="宋体" w:hAnsi="宋体" w:eastAsia="宋体" w:cs="宋体"/>
          <w:szCs w:val="21"/>
          <w:highlight w:val="none"/>
        </w:rPr>
        <w:t>16.2 承包人违约</w:t>
      </w:r>
      <w:bookmarkEnd w:id="1736"/>
      <w:bookmarkEnd w:id="1737"/>
      <w:bookmarkEnd w:id="1738"/>
      <w:bookmarkEnd w:id="1739"/>
      <w:bookmarkEnd w:id="1740"/>
      <w:bookmarkEnd w:id="1741"/>
      <w:bookmarkEnd w:id="1742"/>
      <w:bookmarkEnd w:id="1743"/>
      <w:bookmarkEnd w:id="1744"/>
      <w:bookmarkEnd w:id="1745"/>
    </w:p>
    <w:p w14:paraId="3DF504B2">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16.2.1 承包人违约的情形</w:t>
      </w:r>
    </w:p>
    <w:p w14:paraId="65689EF0">
      <w:pPr>
        <w:pageBreakBefore w:val="0"/>
        <w:widowControl w:val="0"/>
        <w:kinsoku/>
        <w:wordWrap/>
        <w:overflowPunct/>
        <w:topLinePunct w:val="0"/>
        <w:bidi w:val="0"/>
        <w:snapToGrid/>
        <w:spacing w:line="450" w:lineRule="exact"/>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承包人违约的其他情形：</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双方约定协商</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3675E5A6">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16.2.2承包人违约的责任</w:t>
      </w:r>
    </w:p>
    <w:p w14:paraId="0FF002F3">
      <w:pPr>
        <w:pageBreakBefore w:val="0"/>
        <w:widowControl w:val="0"/>
        <w:kinsoku/>
        <w:wordWrap/>
        <w:overflowPunct/>
        <w:topLinePunct w:val="0"/>
        <w:bidi w:val="0"/>
        <w:snapToGrid/>
        <w:spacing w:line="450" w:lineRule="exact"/>
        <w:ind w:left="1050" w:hanging="1050" w:hangingChars="500"/>
        <w:jc w:val="left"/>
        <w:textAlignment w:val="auto"/>
        <w:rPr>
          <w:rFonts w:hint="eastAsia" w:ascii="宋体" w:hAnsi="宋体" w:eastAsia="宋体" w:cs="宋体"/>
          <w:kern w:val="0"/>
          <w:szCs w:val="21"/>
          <w:highlight w:val="none"/>
          <w:u w:val="single"/>
        </w:rPr>
      </w:pPr>
      <w:r>
        <w:rPr>
          <w:rFonts w:hint="eastAsia" w:ascii="宋体" w:hAnsi="宋体" w:eastAsia="宋体" w:cs="宋体"/>
          <w:kern w:val="0"/>
          <w:szCs w:val="21"/>
          <w:highlight w:val="none"/>
        </w:rPr>
        <w:t>承包人违约责任的承担方式和计算方法：</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r>
        <w:rPr>
          <w:rFonts w:hint="eastAsia" w:ascii="宋体" w:hAnsi="宋体" w:eastAsia="宋体" w:cs="宋体"/>
          <w:szCs w:val="21"/>
          <w:highlight w:val="none"/>
        </w:rPr>
        <w:t xml:space="preserve">    </w:t>
      </w:r>
    </w:p>
    <w:p w14:paraId="642CC8D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16.2.3 因承包人违约解除合同</w:t>
      </w:r>
    </w:p>
    <w:p w14:paraId="21AC8C34">
      <w:pPr>
        <w:pageBreakBefore w:val="0"/>
        <w:widowControl w:val="0"/>
        <w:kinsoku/>
        <w:wordWrap/>
        <w:overflowPunct/>
        <w:topLinePunct w:val="0"/>
        <w:bidi w:val="0"/>
        <w:snapToGrid/>
        <w:spacing w:line="450" w:lineRule="exac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关于承包人违约解除合同的特别约定：</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双方约定协商 </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2C1050C4">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37C652AE">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746" w:name="_Toc351203649"/>
      <w:r>
        <w:rPr>
          <w:rFonts w:hint="eastAsia" w:ascii="宋体" w:hAnsi="宋体" w:eastAsia="宋体" w:cs="宋体"/>
          <w:b w:val="0"/>
          <w:szCs w:val="21"/>
          <w:highlight w:val="none"/>
        </w:rPr>
        <w:t>17. 不可抗力</w:t>
      </w:r>
      <w:bookmarkEnd w:id="1746"/>
      <w:r>
        <w:rPr>
          <w:rFonts w:hint="eastAsia" w:ascii="宋体" w:hAnsi="宋体" w:eastAsia="宋体" w:cs="宋体"/>
          <w:b w:val="0"/>
          <w:szCs w:val="21"/>
          <w:highlight w:val="none"/>
        </w:rPr>
        <w:t xml:space="preserve"> </w:t>
      </w:r>
      <w:bookmarkEnd w:id="1724"/>
    </w:p>
    <w:p w14:paraId="2ED59DB8">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17.1 不可抗力的确认</w:t>
      </w:r>
    </w:p>
    <w:p w14:paraId="3E9239AF">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269A8F20">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747" w:name="_Toc27378077"/>
      <w:bookmarkStart w:id="1748" w:name="_Toc36136616"/>
      <w:bookmarkStart w:id="1749" w:name="_Toc17391"/>
      <w:bookmarkStart w:id="1750" w:name="_Toc84"/>
      <w:bookmarkStart w:id="1751" w:name="_Toc499892857"/>
      <w:bookmarkStart w:id="1752" w:name="_Toc500865899"/>
      <w:bookmarkStart w:id="1753" w:name="_Toc499891666"/>
      <w:bookmarkStart w:id="1754" w:name="_Toc106695378"/>
      <w:bookmarkStart w:id="1755" w:name="_Toc500864509"/>
      <w:bookmarkStart w:id="1756" w:name="_Toc106695225"/>
      <w:r>
        <w:rPr>
          <w:rFonts w:hint="eastAsia" w:ascii="宋体" w:hAnsi="宋体" w:eastAsia="宋体" w:cs="宋体"/>
          <w:szCs w:val="21"/>
          <w:highlight w:val="none"/>
        </w:rPr>
        <w:t>17.4 因不可抗力解除合同</w:t>
      </w:r>
      <w:bookmarkEnd w:id="1747"/>
      <w:bookmarkEnd w:id="1748"/>
      <w:bookmarkEnd w:id="1749"/>
      <w:bookmarkEnd w:id="1750"/>
      <w:bookmarkEnd w:id="1751"/>
      <w:bookmarkEnd w:id="1752"/>
      <w:bookmarkEnd w:id="1753"/>
      <w:bookmarkEnd w:id="1754"/>
      <w:bookmarkEnd w:id="1755"/>
      <w:bookmarkEnd w:id="1756"/>
    </w:p>
    <w:p w14:paraId="472C6951">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合同解除后，发包人应在商定或确定发包人应支付款项后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天内完成款项的支付。</w:t>
      </w:r>
    </w:p>
    <w:p w14:paraId="2D040F24">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757" w:name="_Toc351203650"/>
      <w:r>
        <w:rPr>
          <w:rFonts w:hint="eastAsia" w:ascii="宋体" w:hAnsi="宋体" w:eastAsia="宋体" w:cs="宋体"/>
          <w:b w:val="0"/>
          <w:szCs w:val="21"/>
          <w:highlight w:val="none"/>
        </w:rPr>
        <w:t>18. 保险</w:t>
      </w:r>
      <w:bookmarkEnd w:id="1757"/>
    </w:p>
    <w:bookmarkEnd w:id="1725"/>
    <w:p w14:paraId="4855C34E">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18.1 工程保险</w:t>
      </w:r>
    </w:p>
    <w:p w14:paraId="6FE6814B">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关于工程保险的特别约定：</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双方约定协商 </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4C8B3FE5">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758" w:name="_Toc500865900"/>
      <w:bookmarkStart w:id="1759" w:name="_Toc27378078"/>
      <w:bookmarkStart w:id="1760" w:name="_Toc499892858"/>
      <w:bookmarkStart w:id="1761" w:name="_Toc36136617"/>
      <w:bookmarkStart w:id="1762" w:name="_Toc500864510"/>
      <w:bookmarkStart w:id="1763" w:name="_Toc106695226"/>
      <w:bookmarkStart w:id="1764" w:name="_Toc499891667"/>
      <w:bookmarkStart w:id="1765" w:name="_Toc24440"/>
      <w:bookmarkStart w:id="1766" w:name="_Toc106695379"/>
      <w:bookmarkStart w:id="1767" w:name="_Toc10139"/>
      <w:r>
        <w:rPr>
          <w:rFonts w:hint="eastAsia" w:ascii="宋体" w:hAnsi="宋体" w:eastAsia="宋体" w:cs="宋体"/>
          <w:szCs w:val="21"/>
          <w:highlight w:val="none"/>
        </w:rPr>
        <w:t>18.3 其他保险</w:t>
      </w:r>
      <w:bookmarkEnd w:id="1758"/>
      <w:bookmarkEnd w:id="1759"/>
      <w:bookmarkEnd w:id="1760"/>
      <w:bookmarkEnd w:id="1761"/>
      <w:bookmarkEnd w:id="1762"/>
      <w:bookmarkEnd w:id="1763"/>
      <w:bookmarkEnd w:id="1764"/>
      <w:bookmarkEnd w:id="1765"/>
      <w:bookmarkEnd w:id="1766"/>
      <w:bookmarkEnd w:id="1767"/>
    </w:p>
    <w:p w14:paraId="61541F3E">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szCs w:val="21"/>
          <w:highlight w:val="none"/>
        </w:rPr>
        <w:t>关于其他保险的约定：</w:t>
      </w:r>
      <w:r>
        <w:rPr>
          <w:rFonts w:hint="eastAsia" w:ascii="宋体" w:hAnsi="宋体" w:eastAsia="宋体" w:cs="宋体"/>
          <w:kern w:val="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由承包人支付</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w:t>
      </w:r>
    </w:p>
    <w:p w14:paraId="3B2E30B5">
      <w:pPr>
        <w:pageBreakBefore w:val="0"/>
        <w:widowControl w:val="0"/>
        <w:kinsoku/>
        <w:wordWrap/>
        <w:overflowPunct/>
        <w:topLinePunct w:val="0"/>
        <w:bidi w:val="0"/>
        <w:snapToGrid/>
        <w:spacing w:line="450" w:lineRule="exact"/>
        <w:jc w:val="left"/>
        <w:textAlignment w:val="auto"/>
        <w:rPr>
          <w:rFonts w:hint="eastAsia" w:ascii="宋体" w:hAnsi="宋体" w:eastAsia="宋体" w:cs="宋体"/>
          <w:kern w:val="0"/>
          <w:szCs w:val="21"/>
          <w:highlight w:val="none"/>
        </w:rPr>
      </w:pPr>
      <w:r>
        <w:rPr>
          <w:rFonts w:hint="eastAsia" w:ascii="宋体" w:hAnsi="宋体" w:eastAsia="宋体" w:cs="宋体"/>
          <w:szCs w:val="21"/>
          <w:highlight w:val="none"/>
        </w:rPr>
        <w:t>承包人是否应为其施工设备等办理财产保险：</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是</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CAB860C">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18.7 通知义务</w:t>
      </w:r>
    </w:p>
    <w:p w14:paraId="6907D22F">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kern w:val="0"/>
          <w:szCs w:val="21"/>
          <w:highlight w:val="none"/>
        </w:rPr>
        <w:t>关于变更保险合同时的通知义务的约定：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1662"/>
    <w:bookmarkEnd w:id="1663"/>
    <w:bookmarkEnd w:id="1664"/>
    <w:bookmarkEnd w:id="1665"/>
    <w:bookmarkEnd w:id="1666"/>
    <w:bookmarkEnd w:id="1667"/>
    <w:bookmarkEnd w:id="1668"/>
    <w:bookmarkEnd w:id="1669"/>
    <w:bookmarkEnd w:id="1670"/>
    <w:bookmarkEnd w:id="1671"/>
    <w:bookmarkEnd w:id="1672"/>
    <w:bookmarkEnd w:id="1673"/>
    <w:p w14:paraId="4B5C234F">
      <w:pPr>
        <w:pStyle w:val="7"/>
        <w:pageBreakBefore w:val="0"/>
        <w:widowControl w:val="0"/>
        <w:kinsoku/>
        <w:wordWrap/>
        <w:overflowPunct/>
        <w:topLinePunct w:val="0"/>
        <w:bidi w:val="0"/>
        <w:snapToGrid/>
        <w:spacing w:line="450" w:lineRule="exact"/>
        <w:textAlignment w:val="auto"/>
        <w:rPr>
          <w:rFonts w:hint="eastAsia" w:ascii="宋体" w:hAnsi="宋体" w:eastAsia="宋体" w:cs="宋体"/>
          <w:b w:val="0"/>
          <w:szCs w:val="21"/>
          <w:highlight w:val="none"/>
        </w:rPr>
      </w:pPr>
      <w:bookmarkStart w:id="1768" w:name="_Toc351203651"/>
      <w:r>
        <w:rPr>
          <w:rFonts w:hint="eastAsia" w:ascii="宋体" w:hAnsi="宋体" w:eastAsia="宋体" w:cs="宋体"/>
          <w:b w:val="0"/>
          <w:szCs w:val="21"/>
          <w:highlight w:val="none"/>
        </w:rPr>
        <w:t>20. 争议解决</w:t>
      </w:r>
      <w:bookmarkEnd w:id="1768"/>
    </w:p>
    <w:bookmarkEnd w:id="1674"/>
    <w:bookmarkEnd w:id="1675"/>
    <w:p w14:paraId="499BB83D">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769" w:name="_Toc29408"/>
      <w:bookmarkStart w:id="1770" w:name="_Toc26705"/>
      <w:bookmarkStart w:id="1771" w:name="_Toc36136618"/>
      <w:bookmarkStart w:id="1772" w:name="_Toc27378079"/>
      <w:bookmarkStart w:id="1773" w:name="_Toc500864511"/>
      <w:bookmarkStart w:id="1774" w:name="_Toc499891668"/>
      <w:bookmarkStart w:id="1775" w:name="_Toc499892859"/>
      <w:bookmarkStart w:id="1776" w:name="_Toc500865901"/>
      <w:bookmarkStart w:id="1777" w:name="_Toc106695380"/>
      <w:bookmarkStart w:id="1778" w:name="_Toc106695227"/>
      <w:r>
        <w:rPr>
          <w:rFonts w:hint="eastAsia" w:ascii="宋体" w:hAnsi="宋体" w:eastAsia="宋体" w:cs="宋体"/>
          <w:szCs w:val="21"/>
          <w:highlight w:val="none"/>
        </w:rPr>
        <w:t>20.3 争</w:t>
      </w:r>
      <w:bookmarkEnd w:id="1676"/>
      <w:r>
        <w:rPr>
          <w:rFonts w:hint="eastAsia" w:ascii="宋体" w:hAnsi="宋体" w:eastAsia="宋体" w:cs="宋体"/>
          <w:szCs w:val="21"/>
          <w:highlight w:val="none"/>
        </w:rPr>
        <w:t>议评审</w:t>
      </w:r>
      <w:bookmarkEnd w:id="1769"/>
      <w:bookmarkEnd w:id="1770"/>
      <w:bookmarkEnd w:id="1771"/>
      <w:bookmarkEnd w:id="1772"/>
      <w:bookmarkEnd w:id="1773"/>
      <w:bookmarkEnd w:id="1774"/>
      <w:bookmarkEnd w:id="1775"/>
      <w:bookmarkEnd w:id="1776"/>
      <w:bookmarkEnd w:id="1777"/>
      <w:bookmarkEnd w:id="1778"/>
    </w:p>
    <w:p w14:paraId="110B76CD">
      <w:pPr>
        <w:pageBreakBefore w:val="0"/>
        <w:widowControl w:val="0"/>
        <w:kinsoku/>
        <w:wordWrap/>
        <w:overflowPunct/>
        <w:topLinePunct w:val="0"/>
        <w:bidi w:val="0"/>
        <w:snapToGrid/>
        <w:spacing w:line="45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合同当事人是否同意将工程争议提交争议评审小组决定：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14222F44">
      <w:pPr>
        <w:pageBreakBefore w:val="0"/>
        <w:widowControl w:val="0"/>
        <w:kinsoku/>
        <w:wordWrap/>
        <w:overflowPunct/>
        <w:topLinePunct w:val="0"/>
        <w:bidi w:val="0"/>
        <w:snapToGrid/>
        <w:spacing w:line="450" w:lineRule="exact"/>
        <w:ind w:firstLine="420" w:firstLineChars="200"/>
        <w:jc w:val="left"/>
        <w:textAlignment w:val="auto"/>
        <w:outlineLvl w:val="0"/>
        <w:rPr>
          <w:rFonts w:hint="eastAsia" w:ascii="宋体" w:hAnsi="宋体" w:eastAsia="宋体" w:cs="宋体"/>
          <w:szCs w:val="21"/>
          <w:highlight w:val="none"/>
        </w:rPr>
      </w:pPr>
      <w:bookmarkStart w:id="1779" w:name="_Toc16864"/>
      <w:bookmarkStart w:id="1780" w:name="_Toc500864512"/>
      <w:bookmarkStart w:id="1781" w:name="_Toc106695228"/>
      <w:bookmarkStart w:id="1782" w:name="_Toc499891669"/>
      <w:bookmarkStart w:id="1783" w:name="_Toc27378080"/>
      <w:bookmarkStart w:id="1784" w:name="_Toc9196"/>
      <w:bookmarkStart w:id="1785" w:name="_Toc500865902"/>
      <w:bookmarkStart w:id="1786" w:name="_Toc36136619"/>
      <w:bookmarkStart w:id="1787" w:name="_Toc106695381"/>
      <w:bookmarkStart w:id="1788" w:name="_Toc499892860"/>
      <w:r>
        <w:rPr>
          <w:rFonts w:hint="eastAsia" w:ascii="宋体" w:hAnsi="宋体" w:eastAsia="宋体" w:cs="宋体"/>
          <w:szCs w:val="21"/>
          <w:highlight w:val="none"/>
        </w:rPr>
        <w:t>20.3.1 争议评审小组的确定</w:t>
      </w:r>
      <w:bookmarkEnd w:id="1779"/>
      <w:bookmarkEnd w:id="1780"/>
      <w:bookmarkEnd w:id="1781"/>
      <w:bookmarkEnd w:id="1782"/>
      <w:bookmarkEnd w:id="1783"/>
      <w:bookmarkEnd w:id="1784"/>
      <w:bookmarkEnd w:id="1785"/>
      <w:bookmarkEnd w:id="1786"/>
      <w:bookmarkEnd w:id="1787"/>
      <w:bookmarkEnd w:id="1788"/>
    </w:p>
    <w:p w14:paraId="37F204E4">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争议评审小组成员的确定：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0A1BBE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选定争议评审员的期限：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521152B">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争议评审小组成员的报酬承担方式：</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2494FDF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其他事项的约定：</w:t>
      </w:r>
      <w:r>
        <w:rPr>
          <w:rFonts w:hint="eastAsia" w:ascii="宋体" w:hAnsi="宋体" w:eastAsia="宋体" w:cs="宋体"/>
          <w:szCs w:val="21"/>
          <w:highlight w:val="none"/>
          <w:u w:val="single"/>
        </w:rPr>
        <w:t xml:space="preserve">      双方约定协商                   </w:t>
      </w:r>
      <w:r>
        <w:rPr>
          <w:rFonts w:hint="eastAsia" w:ascii="宋体" w:hAnsi="宋体" w:eastAsia="宋体" w:cs="宋体"/>
          <w:szCs w:val="21"/>
          <w:highlight w:val="none"/>
        </w:rPr>
        <w:t>。</w:t>
      </w:r>
    </w:p>
    <w:p w14:paraId="31766681">
      <w:pPr>
        <w:pageBreakBefore w:val="0"/>
        <w:widowControl w:val="0"/>
        <w:kinsoku/>
        <w:wordWrap/>
        <w:overflowPunct/>
        <w:topLinePunct w:val="0"/>
        <w:autoSpaceDE w:val="0"/>
        <w:autoSpaceDN w:val="0"/>
        <w:bidi w:val="0"/>
        <w:adjustRightInd w:val="0"/>
        <w:snapToGrid/>
        <w:spacing w:line="450" w:lineRule="exact"/>
        <w:ind w:firstLine="420" w:firstLineChars="200"/>
        <w:jc w:val="left"/>
        <w:textAlignment w:val="auto"/>
        <w:outlineLvl w:val="0"/>
        <w:rPr>
          <w:rFonts w:hint="eastAsia" w:ascii="宋体" w:hAnsi="宋体" w:eastAsia="宋体" w:cs="宋体"/>
          <w:kern w:val="0"/>
          <w:szCs w:val="21"/>
          <w:highlight w:val="none"/>
        </w:rPr>
      </w:pPr>
      <w:bookmarkStart w:id="1789" w:name="_Toc500864513"/>
      <w:bookmarkStart w:id="1790" w:name="_Toc499892861"/>
      <w:bookmarkStart w:id="1791" w:name="_Toc106695229"/>
      <w:bookmarkStart w:id="1792" w:name="_Toc36136620"/>
      <w:bookmarkStart w:id="1793" w:name="_Toc27378081"/>
      <w:bookmarkStart w:id="1794" w:name="_Toc9772"/>
      <w:bookmarkStart w:id="1795" w:name="_Toc500865903"/>
      <w:bookmarkStart w:id="1796" w:name="_Toc499891670"/>
      <w:bookmarkStart w:id="1797" w:name="_Toc106695382"/>
      <w:bookmarkStart w:id="1798" w:name="_Toc29972"/>
      <w:r>
        <w:rPr>
          <w:rFonts w:hint="eastAsia" w:ascii="宋体" w:hAnsi="宋体" w:eastAsia="宋体" w:cs="宋体"/>
          <w:kern w:val="0"/>
          <w:szCs w:val="21"/>
          <w:highlight w:val="none"/>
        </w:rPr>
        <w:t>20.3.2 争议评审小组的决定</w:t>
      </w:r>
      <w:bookmarkEnd w:id="1789"/>
      <w:bookmarkEnd w:id="1790"/>
      <w:bookmarkEnd w:id="1791"/>
      <w:bookmarkEnd w:id="1792"/>
      <w:bookmarkEnd w:id="1793"/>
      <w:bookmarkEnd w:id="1794"/>
      <w:bookmarkEnd w:id="1795"/>
      <w:bookmarkEnd w:id="1796"/>
      <w:bookmarkEnd w:id="1797"/>
      <w:bookmarkEnd w:id="1798"/>
    </w:p>
    <w:p w14:paraId="24232305">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合同当事人关于本项的约定：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0A32DB2">
      <w:pPr>
        <w:pageBreakBefore w:val="0"/>
        <w:widowControl w:val="0"/>
        <w:kinsoku/>
        <w:wordWrap/>
        <w:overflowPunct/>
        <w:topLinePunct w:val="0"/>
        <w:bidi w:val="0"/>
        <w:snapToGrid/>
        <w:spacing w:line="450" w:lineRule="exact"/>
        <w:ind w:firstLine="420" w:firstLineChars="200"/>
        <w:textAlignment w:val="auto"/>
        <w:outlineLvl w:val="0"/>
        <w:rPr>
          <w:rFonts w:hint="eastAsia" w:ascii="宋体" w:hAnsi="宋体" w:eastAsia="宋体" w:cs="宋体"/>
          <w:szCs w:val="21"/>
          <w:highlight w:val="none"/>
        </w:rPr>
      </w:pPr>
      <w:bookmarkStart w:id="1799" w:name="_Toc499891671"/>
      <w:bookmarkStart w:id="1800" w:name="_Toc32401"/>
      <w:bookmarkStart w:id="1801" w:name="_Toc499892862"/>
      <w:bookmarkStart w:id="1802" w:name="_Toc27378082"/>
      <w:bookmarkStart w:id="1803" w:name="_Toc106695230"/>
      <w:bookmarkStart w:id="1804" w:name="_Toc500865904"/>
      <w:bookmarkStart w:id="1805" w:name="_Toc15910"/>
      <w:bookmarkStart w:id="1806" w:name="_Toc106695383"/>
      <w:bookmarkStart w:id="1807" w:name="_Toc500864514"/>
      <w:bookmarkStart w:id="1808" w:name="_Toc36136621"/>
      <w:r>
        <w:rPr>
          <w:rFonts w:hint="eastAsia" w:ascii="宋体" w:hAnsi="宋体" w:eastAsia="宋体" w:cs="宋体"/>
          <w:szCs w:val="21"/>
          <w:highlight w:val="none"/>
        </w:rPr>
        <w:t>20.4仲裁或诉讼</w:t>
      </w:r>
      <w:bookmarkEnd w:id="1677"/>
      <w:bookmarkEnd w:id="1799"/>
      <w:bookmarkEnd w:id="1800"/>
      <w:bookmarkEnd w:id="1801"/>
      <w:bookmarkEnd w:id="1802"/>
      <w:bookmarkEnd w:id="1803"/>
      <w:bookmarkEnd w:id="1804"/>
      <w:bookmarkEnd w:id="1805"/>
      <w:bookmarkEnd w:id="1806"/>
      <w:bookmarkEnd w:id="1807"/>
      <w:bookmarkEnd w:id="1808"/>
    </w:p>
    <w:p w14:paraId="6B485D85">
      <w:pPr>
        <w:pageBreakBefore w:val="0"/>
        <w:widowControl w:val="0"/>
        <w:kinsoku/>
        <w:wordWrap/>
        <w:overflowPunct/>
        <w:topLinePunct w:val="0"/>
        <w:bidi w:val="0"/>
        <w:snapToGrid/>
        <w:spacing w:line="45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因合同及合同有关事项发生的争议，按下列第</w:t>
      </w:r>
      <w:r>
        <w:rPr>
          <w:rFonts w:hint="eastAsia" w:ascii="宋体" w:hAnsi="宋体" w:eastAsia="宋体" w:cs="宋体"/>
          <w:szCs w:val="21"/>
          <w:highlight w:val="none"/>
          <w:u w:val="single"/>
        </w:rPr>
        <w:t xml:space="preserve">  （1）   </w:t>
      </w:r>
      <w:r>
        <w:rPr>
          <w:rFonts w:hint="eastAsia" w:ascii="宋体" w:hAnsi="宋体" w:eastAsia="宋体" w:cs="宋体"/>
          <w:szCs w:val="21"/>
          <w:highlight w:val="none"/>
        </w:rPr>
        <w:t>种方式解决：</w:t>
      </w:r>
    </w:p>
    <w:p w14:paraId="12972FB8">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（1）向</w:t>
      </w:r>
      <w:r>
        <w:rPr>
          <w:rFonts w:hint="eastAsia" w:ascii="宋体" w:hAnsi="宋体" w:eastAsia="宋体" w:cs="宋体"/>
          <w:szCs w:val="21"/>
          <w:highlight w:val="none"/>
          <w:u w:val="single"/>
        </w:rPr>
        <w:t xml:space="preserve">        驻马店市     </w:t>
      </w:r>
      <w:r>
        <w:rPr>
          <w:rFonts w:hint="eastAsia" w:ascii="宋体" w:hAnsi="宋体" w:eastAsia="宋体" w:cs="宋体"/>
          <w:szCs w:val="21"/>
          <w:highlight w:val="none"/>
        </w:rPr>
        <w:t>仲裁委员会申请仲裁；</w:t>
      </w:r>
    </w:p>
    <w:p w14:paraId="5A44A6E7">
      <w:pPr>
        <w:pageBreakBefore w:val="0"/>
        <w:widowControl w:val="0"/>
        <w:kinsoku/>
        <w:wordWrap/>
        <w:overflowPunct/>
        <w:topLinePunct w:val="0"/>
        <w:bidi w:val="0"/>
        <w:snapToGrid/>
        <w:spacing w:line="45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（2）向</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人民法院起诉。</w:t>
      </w:r>
      <w:bookmarkEnd w:id="1678"/>
      <w:bookmarkEnd w:id="1679"/>
      <w:bookmarkEnd w:id="1680"/>
      <w:bookmarkEnd w:id="1681"/>
      <w:bookmarkEnd w:id="1682"/>
      <w:bookmarkEnd w:id="1683"/>
    </w:p>
    <w:p w14:paraId="77FBD075">
      <w:pPr>
        <w:pageBreakBefore w:val="0"/>
        <w:kinsoku/>
        <w:wordWrap w:val="0"/>
        <w:overflowPunct/>
        <w:topLinePunct w:val="0"/>
        <w:bidi w:val="0"/>
        <w:spacing w:line="360" w:lineRule="auto"/>
        <w:ind w:firstLine="474" w:firstLineChars="225"/>
        <w:jc w:val="left"/>
        <w:rPr>
          <w:rFonts w:hint="eastAsia" w:ascii="宋体" w:hAnsi="宋体" w:eastAsia="宋体" w:cs="宋体"/>
          <w:b/>
          <w:color w:val="auto"/>
          <w:sz w:val="21"/>
          <w:szCs w:val="21"/>
          <w:highlight w:val="none"/>
        </w:rPr>
      </w:pPr>
    </w:p>
    <w:p w14:paraId="4FF42CE8">
      <w:pPr>
        <w:pageBreakBefore w:val="0"/>
        <w:kinsoku/>
        <w:wordWrap w:val="0"/>
        <w:overflowPunct/>
        <w:topLinePunct w:val="0"/>
        <w:bidi w:val="0"/>
        <w:spacing w:line="360" w:lineRule="auto"/>
        <w:jc w:val="left"/>
        <w:rPr>
          <w:rFonts w:hint="eastAsia" w:ascii="宋体" w:hAnsi="宋体" w:eastAsia="宋体" w:cs="宋体"/>
          <w:b/>
          <w:color w:val="auto"/>
          <w:sz w:val="22"/>
          <w:szCs w:val="22"/>
          <w:highlight w:val="none"/>
          <w:lang w:bidi="ar-SA"/>
        </w:rPr>
      </w:pPr>
      <w:r>
        <w:rPr>
          <w:rFonts w:hint="eastAsia" w:ascii="宋体" w:hAnsi="宋体" w:eastAsia="宋体" w:cs="宋体"/>
          <w:color w:val="auto"/>
          <w:sz w:val="21"/>
          <w:szCs w:val="21"/>
          <w:highlight w:val="none"/>
        </w:rPr>
        <w:br w:type="page"/>
      </w:r>
      <w:r>
        <w:rPr>
          <w:rFonts w:hint="eastAsia" w:ascii="宋体" w:hAnsi="宋体" w:eastAsia="宋体" w:cs="宋体"/>
          <w:b/>
          <w:color w:val="auto"/>
          <w:sz w:val="22"/>
          <w:szCs w:val="22"/>
          <w:highlight w:val="none"/>
          <w:lang w:bidi="ar-SA"/>
        </w:rPr>
        <w:t>附件</w:t>
      </w:r>
      <w:bookmarkEnd w:id="925"/>
    </w:p>
    <w:p w14:paraId="52BEA5E4">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协议书附件：</w:t>
      </w:r>
    </w:p>
    <w:p w14:paraId="485494C6">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附件1：承包人承揽工程项目一览表</w:t>
      </w:r>
    </w:p>
    <w:p w14:paraId="06EE1CE2">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专用合同条款附件：</w:t>
      </w:r>
    </w:p>
    <w:p w14:paraId="1808CB11">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附件2：发包人供应材料设备一览表</w:t>
      </w:r>
    </w:p>
    <w:p w14:paraId="200065EB">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附件3：工程质量保修书</w:t>
      </w:r>
    </w:p>
    <w:p w14:paraId="66766EFD">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附件4：主要建设工程文件目录</w:t>
      </w:r>
    </w:p>
    <w:p w14:paraId="3FF682DD">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附件5：承包人用于本工程施工的机械设备表</w:t>
      </w:r>
    </w:p>
    <w:p w14:paraId="74067424">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附件6：承包人主要施工管理人员表</w:t>
      </w:r>
    </w:p>
    <w:p w14:paraId="0203A3A5">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附件7：分包人主要施工管理人员表</w:t>
      </w:r>
    </w:p>
    <w:p w14:paraId="32DEDE93">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附件8：履约担保格式</w:t>
      </w:r>
    </w:p>
    <w:p w14:paraId="3FD576D8">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附件9：预付款担保格式</w:t>
      </w:r>
    </w:p>
    <w:p w14:paraId="63484588">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附件10：支付担保格式</w:t>
      </w:r>
    </w:p>
    <w:p w14:paraId="25E1ABBC">
      <w:pPr>
        <w:pageBreakBefore w:val="0"/>
        <w:kinsoku/>
        <w:wordWrap w:val="0"/>
        <w:overflowPunct/>
        <w:topLinePunct w:val="0"/>
        <w:bidi w:val="0"/>
        <w:spacing w:line="360" w:lineRule="auto"/>
        <w:jc w:val="left"/>
        <w:rPr>
          <w:rFonts w:hint="eastAsia" w:ascii="宋体" w:hAnsi="宋体" w:eastAsia="宋体" w:cs="宋体"/>
          <w:color w:val="auto"/>
          <w:sz w:val="22"/>
          <w:szCs w:val="22"/>
          <w:highlight w:val="none"/>
          <w:lang w:bidi="ar-SA"/>
        </w:rPr>
      </w:pPr>
      <w:r>
        <w:rPr>
          <w:rFonts w:hint="eastAsia" w:ascii="宋体" w:hAnsi="宋体" w:eastAsia="宋体" w:cs="宋体"/>
          <w:color w:val="auto"/>
          <w:sz w:val="22"/>
          <w:szCs w:val="22"/>
          <w:highlight w:val="none"/>
          <w:lang w:bidi="ar-SA"/>
        </w:rPr>
        <w:t>附件11：暂估价一览表</w:t>
      </w:r>
    </w:p>
    <w:p w14:paraId="58A6C33E">
      <w:pPr>
        <w:pageBreakBefore w:val="0"/>
        <w:kinsoku/>
        <w:wordWrap w:val="0"/>
        <w:overflowPunct/>
        <w:topLinePunct w:val="0"/>
        <w:bidi w:val="0"/>
        <w:spacing w:line="360" w:lineRule="auto"/>
        <w:jc w:val="left"/>
        <w:rPr>
          <w:rFonts w:hint="eastAsia" w:ascii="宋体" w:hAnsi="宋体" w:eastAsia="宋体" w:cs="宋体"/>
          <w:color w:val="auto"/>
          <w:sz w:val="24"/>
          <w:szCs w:val="24"/>
          <w:highlight w:val="none"/>
          <w:lang w:bidi="ar-SA"/>
        </w:rPr>
        <w:sectPr>
          <w:pgSz w:w="11906" w:h="16838"/>
          <w:pgMar w:top="1418" w:right="1555" w:bottom="1418" w:left="1531" w:header="851" w:footer="992" w:gutter="0"/>
          <w:pgNumType w:fmt="decimal"/>
          <w:cols w:space="720" w:num="1"/>
          <w:titlePg/>
          <w:docGrid w:type="lines" w:linePitch="312" w:charSpace="0"/>
        </w:sectPr>
      </w:pPr>
    </w:p>
    <w:p w14:paraId="0C8392ED">
      <w:pPr>
        <w:pageBreakBefore w:val="0"/>
        <w:kinsoku/>
        <w:wordWrap w:val="0"/>
        <w:overflowPunct/>
        <w:topLinePunct w:val="0"/>
        <w:bidi w:val="0"/>
        <w:spacing w:before="120" w:beforeLines="50" w:after="120" w:afterLines="50" w:line="440" w:lineRule="exact"/>
        <w:jc w:val="left"/>
        <w:outlineLvl w:val="9"/>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附件1</w:t>
      </w:r>
      <w:r>
        <w:rPr>
          <w:rFonts w:hint="eastAsia" w:ascii="宋体" w:hAnsi="宋体" w:eastAsia="宋体" w:cs="宋体"/>
          <w:color w:val="auto"/>
          <w:szCs w:val="21"/>
          <w:highlight w:val="none"/>
        </w:rPr>
        <w:t>：</w:t>
      </w:r>
    </w:p>
    <w:p w14:paraId="30841270">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承包人承揽工程项目一览表</w:t>
      </w:r>
    </w:p>
    <w:tbl>
      <w:tblPr>
        <w:tblStyle w:val="49"/>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13"/>
        <w:gridCol w:w="1752"/>
        <w:gridCol w:w="1347"/>
        <w:gridCol w:w="2291"/>
        <w:gridCol w:w="807"/>
        <w:gridCol w:w="1483"/>
        <w:gridCol w:w="2021"/>
        <w:gridCol w:w="1347"/>
        <w:gridCol w:w="808"/>
        <w:gridCol w:w="807"/>
      </w:tblGrid>
      <w:tr w14:paraId="5880E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14" w:hRule="atLeast"/>
        </w:trPr>
        <w:tc>
          <w:tcPr>
            <w:tcW w:w="1213" w:type="dxa"/>
            <w:tcBorders>
              <w:top w:val="single" w:color="auto" w:sz="12" w:space="0"/>
              <w:bottom w:val="double" w:color="auto" w:sz="6" w:space="0"/>
            </w:tcBorders>
            <w:noWrap w:val="0"/>
            <w:vAlign w:val="center"/>
          </w:tcPr>
          <w:p w14:paraId="728B3ED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单位工程名称</w:t>
            </w:r>
          </w:p>
        </w:tc>
        <w:tc>
          <w:tcPr>
            <w:tcW w:w="1752" w:type="dxa"/>
            <w:tcBorders>
              <w:top w:val="single" w:color="auto" w:sz="12" w:space="0"/>
              <w:bottom w:val="double" w:color="auto" w:sz="6" w:space="0"/>
            </w:tcBorders>
            <w:noWrap w:val="0"/>
            <w:vAlign w:val="center"/>
          </w:tcPr>
          <w:p w14:paraId="1599E3E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建设规模</w:t>
            </w:r>
          </w:p>
        </w:tc>
        <w:tc>
          <w:tcPr>
            <w:tcW w:w="1347" w:type="dxa"/>
            <w:tcBorders>
              <w:top w:val="single" w:color="auto" w:sz="12" w:space="0"/>
              <w:bottom w:val="double" w:color="auto" w:sz="6" w:space="0"/>
            </w:tcBorders>
            <w:noWrap w:val="0"/>
            <w:vAlign w:val="center"/>
          </w:tcPr>
          <w:p w14:paraId="355053F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建筑面积(平方米)</w:t>
            </w:r>
          </w:p>
        </w:tc>
        <w:tc>
          <w:tcPr>
            <w:tcW w:w="2291" w:type="dxa"/>
            <w:tcBorders>
              <w:top w:val="single" w:color="auto" w:sz="12" w:space="0"/>
              <w:bottom w:val="double" w:color="auto" w:sz="6" w:space="0"/>
            </w:tcBorders>
            <w:noWrap w:val="0"/>
            <w:vAlign w:val="center"/>
          </w:tcPr>
          <w:p w14:paraId="1B01797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结构形式</w:t>
            </w:r>
          </w:p>
        </w:tc>
        <w:tc>
          <w:tcPr>
            <w:tcW w:w="807" w:type="dxa"/>
            <w:tcBorders>
              <w:top w:val="single" w:color="auto" w:sz="12" w:space="0"/>
              <w:bottom w:val="double" w:color="auto" w:sz="6" w:space="0"/>
            </w:tcBorders>
            <w:noWrap w:val="0"/>
            <w:vAlign w:val="center"/>
          </w:tcPr>
          <w:p w14:paraId="6AE6BC9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层数</w:t>
            </w:r>
          </w:p>
        </w:tc>
        <w:tc>
          <w:tcPr>
            <w:tcW w:w="1483" w:type="dxa"/>
            <w:tcBorders>
              <w:top w:val="single" w:color="auto" w:sz="12" w:space="0"/>
              <w:bottom w:val="double" w:color="auto" w:sz="6" w:space="0"/>
            </w:tcBorders>
            <w:noWrap w:val="0"/>
            <w:vAlign w:val="center"/>
          </w:tcPr>
          <w:p w14:paraId="3D1E78B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生产能力</w:t>
            </w:r>
          </w:p>
        </w:tc>
        <w:tc>
          <w:tcPr>
            <w:tcW w:w="2021" w:type="dxa"/>
            <w:tcBorders>
              <w:top w:val="single" w:color="auto" w:sz="12" w:space="0"/>
              <w:bottom w:val="double" w:color="auto" w:sz="6" w:space="0"/>
            </w:tcBorders>
            <w:noWrap w:val="0"/>
            <w:vAlign w:val="center"/>
          </w:tcPr>
          <w:p w14:paraId="225886E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设备安装内容</w:t>
            </w:r>
          </w:p>
        </w:tc>
        <w:tc>
          <w:tcPr>
            <w:tcW w:w="1347" w:type="dxa"/>
            <w:tcBorders>
              <w:top w:val="single" w:color="auto" w:sz="12" w:space="0"/>
              <w:bottom w:val="double" w:color="auto" w:sz="6" w:space="0"/>
            </w:tcBorders>
            <w:noWrap w:val="0"/>
            <w:vAlign w:val="center"/>
          </w:tcPr>
          <w:p w14:paraId="7F875EB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合同价格（元）</w:t>
            </w:r>
          </w:p>
        </w:tc>
        <w:tc>
          <w:tcPr>
            <w:tcW w:w="808" w:type="dxa"/>
            <w:tcBorders>
              <w:top w:val="single" w:color="auto" w:sz="12" w:space="0"/>
              <w:bottom w:val="double" w:color="auto" w:sz="6" w:space="0"/>
            </w:tcBorders>
            <w:noWrap w:val="0"/>
            <w:vAlign w:val="center"/>
          </w:tcPr>
          <w:p w14:paraId="57F842A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开工日期</w:t>
            </w:r>
          </w:p>
        </w:tc>
        <w:tc>
          <w:tcPr>
            <w:tcW w:w="807" w:type="dxa"/>
            <w:tcBorders>
              <w:top w:val="single" w:color="auto" w:sz="12" w:space="0"/>
              <w:bottom w:val="double" w:color="auto" w:sz="6" w:space="0"/>
            </w:tcBorders>
            <w:noWrap w:val="0"/>
            <w:vAlign w:val="center"/>
          </w:tcPr>
          <w:p w14:paraId="1374C5E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竣工日期</w:t>
            </w:r>
          </w:p>
        </w:tc>
      </w:tr>
      <w:tr w14:paraId="6BAD79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trPr>
        <w:tc>
          <w:tcPr>
            <w:tcW w:w="1213" w:type="dxa"/>
            <w:tcBorders>
              <w:top w:val="double" w:color="auto" w:sz="6" w:space="0"/>
              <w:bottom w:val="single" w:color="auto" w:sz="6" w:space="0"/>
            </w:tcBorders>
            <w:noWrap w:val="0"/>
            <w:vAlign w:val="center"/>
          </w:tcPr>
          <w:p w14:paraId="1B2393A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tcBorders>
              <w:top w:val="double" w:color="auto" w:sz="6" w:space="0"/>
              <w:bottom w:val="single" w:color="auto" w:sz="6" w:space="0"/>
            </w:tcBorders>
            <w:noWrap w:val="0"/>
            <w:vAlign w:val="center"/>
          </w:tcPr>
          <w:p w14:paraId="5EDB37C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double" w:color="auto" w:sz="6" w:space="0"/>
              <w:bottom w:val="single" w:color="auto" w:sz="6" w:space="0"/>
            </w:tcBorders>
            <w:noWrap w:val="0"/>
            <w:vAlign w:val="center"/>
          </w:tcPr>
          <w:p w14:paraId="23110DD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tcBorders>
              <w:top w:val="double" w:color="auto" w:sz="6" w:space="0"/>
              <w:bottom w:val="single" w:color="auto" w:sz="6" w:space="0"/>
            </w:tcBorders>
            <w:noWrap w:val="0"/>
            <w:vAlign w:val="center"/>
          </w:tcPr>
          <w:p w14:paraId="32A510A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double" w:color="auto" w:sz="6" w:space="0"/>
              <w:bottom w:val="single" w:color="auto" w:sz="6" w:space="0"/>
            </w:tcBorders>
            <w:noWrap w:val="0"/>
            <w:vAlign w:val="center"/>
          </w:tcPr>
          <w:p w14:paraId="7918403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tcBorders>
              <w:top w:val="double" w:color="auto" w:sz="6" w:space="0"/>
              <w:bottom w:val="single" w:color="auto" w:sz="6" w:space="0"/>
            </w:tcBorders>
            <w:noWrap w:val="0"/>
            <w:vAlign w:val="center"/>
          </w:tcPr>
          <w:p w14:paraId="182EDC8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tcBorders>
              <w:top w:val="double" w:color="auto" w:sz="6" w:space="0"/>
              <w:bottom w:val="single" w:color="auto" w:sz="6" w:space="0"/>
            </w:tcBorders>
            <w:noWrap w:val="0"/>
            <w:vAlign w:val="center"/>
          </w:tcPr>
          <w:p w14:paraId="22D1A08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double" w:color="auto" w:sz="6" w:space="0"/>
              <w:bottom w:val="single" w:color="auto" w:sz="6" w:space="0"/>
            </w:tcBorders>
            <w:noWrap w:val="0"/>
            <w:vAlign w:val="center"/>
          </w:tcPr>
          <w:p w14:paraId="7E7C834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tcBorders>
              <w:top w:val="double" w:color="auto" w:sz="6" w:space="0"/>
              <w:bottom w:val="single" w:color="auto" w:sz="6" w:space="0"/>
            </w:tcBorders>
            <w:noWrap w:val="0"/>
            <w:vAlign w:val="center"/>
          </w:tcPr>
          <w:p w14:paraId="78445F0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double" w:color="auto" w:sz="6" w:space="0"/>
              <w:bottom w:val="single" w:color="auto" w:sz="6" w:space="0"/>
            </w:tcBorders>
            <w:noWrap w:val="0"/>
            <w:vAlign w:val="center"/>
          </w:tcPr>
          <w:p w14:paraId="62DFAB7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4BB0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3EDBAC7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7534AB5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0AD1BF2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1787D40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7BE0632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7A3C8DF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001FF3F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2E9E780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006BF00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373C50B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0522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02D1BF3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6833B38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05F8258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635A52B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3DBD781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3A0E4B6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7D57F22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26A1127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1D8DD98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60EDC84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0EE4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noWrap w:val="0"/>
            <w:vAlign w:val="center"/>
          </w:tcPr>
          <w:p w14:paraId="7F7B79E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noWrap w:val="0"/>
            <w:vAlign w:val="center"/>
          </w:tcPr>
          <w:p w14:paraId="0AB50E9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2B5B2FF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noWrap w:val="0"/>
            <w:vAlign w:val="center"/>
          </w:tcPr>
          <w:p w14:paraId="63170F3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noWrap w:val="0"/>
            <w:vAlign w:val="center"/>
          </w:tcPr>
          <w:p w14:paraId="0E9C8FA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noWrap w:val="0"/>
            <w:vAlign w:val="center"/>
          </w:tcPr>
          <w:p w14:paraId="5B5E856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noWrap w:val="0"/>
            <w:vAlign w:val="center"/>
          </w:tcPr>
          <w:p w14:paraId="1400D6E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055A92F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noWrap w:val="0"/>
            <w:vAlign w:val="center"/>
          </w:tcPr>
          <w:p w14:paraId="6C19367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noWrap w:val="0"/>
            <w:vAlign w:val="center"/>
          </w:tcPr>
          <w:p w14:paraId="646DA27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EFDB3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736BF6C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6F96F97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5277DFF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1D77191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42772C4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77FB5F7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53CB647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7E44F6C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3219A1D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2314CEC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603E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noWrap w:val="0"/>
            <w:vAlign w:val="center"/>
          </w:tcPr>
          <w:p w14:paraId="422B31D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noWrap w:val="0"/>
            <w:vAlign w:val="center"/>
          </w:tcPr>
          <w:p w14:paraId="2D8EF00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7FB7431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noWrap w:val="0"/>
            <w:vAlign w:val="center"/>
          </w:tcPr>
          <w:p w14:paraId="5A3C7A5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noWrap w:val="0"/>
            <w:vAlign w:val="center"/>
          </w:tcPr>
          <w:p w14:paraId="60616EC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noWrap w:val="0"/>
            <w:vAlign w:val="center"/>
          </w:tcPr>
          <w:p w14:paraId="589C159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noWrap w:val="0"/>
            <w:vAlign w:val="center"/>
          </w:tcPr>
          <w:p w14:paraId="493B4F6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491C30B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noWrap w:val="0"/>
            <w:vAlign w:val="center"/>
          </w:tcPr>
          <w:p w14:paraId="3985C03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noWrap w:val="0"/>
            <w:vAlign w:val="center"/>
          </w:tcPr>
          <w:p w14:paraId="6F8A188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53A35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1D961F4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19BAB9B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0ADB511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01B6C6E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5F7DB74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76E7CAC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2DDE2BD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1958743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479638F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02AB755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DF20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4CF1B23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0D832D3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3478262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79C3A20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47AB114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50D7048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1175D28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5EB6D21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0B45161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1467594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2A871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noWrap w:val="0"/>
            <w:vAlign w:val="center"/>
          </w:tcPr>
          <w:p w14:paraId="7984C64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noWrap w:val="0"/>
            <w:vAlign w:val="center"/>
          </w:tcPr>
          <w:p w14:paraId="6F4A6D8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19935F4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noWrap w:val="0"/>
            <w:vAlign w:val="center"/>
          </w:tcPr>
          <w:p w14:paraId="7C0F71C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noWrap w:val="0"/>
            <w:vAlign w:val="center"/>
          </w:tcPr>
          <w:p w14:paraId="7B9ED58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noWrap w:val="0"/>
            <w:vAlign w:val="center"/>
          </w:tcPr>
          <w:p w14:paraId="0F34237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noWrap w:val="0"/>
            <w:vAlign w:val="center"/>
          </w:tcPr>
          <w:p w14:paraId="73315A8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4AD2714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noWrap w:val="0"/>
            <w:vAlign w:val="center"/>
          </w:tcPr>
          <w:p w14:paraId="103CB49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noWrap w:val="0"/>
            <w:vAlign w:val="center"/>
          </w:tcPr>
          <w:p w14:paraId="6EE4080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42F9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475006D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665B2A3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422D7CC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30EE8E2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7B6FBA3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5BF63C7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2F97F9E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5BCFFE3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34CE9A9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6B896A5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3FAC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trPr>
        <w:tc>
          <w:tcPr>
            <w:tcW w:w="1213" w:type="dxa"/>
            <w:noWrap w:val="0"/>
            <w:vAlign w:val="center"/>
          </w:tcPr>
          <w:p w14:paraId="0F8FAFB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52" w:type="dxa"/>
            <w:noWrap w:val="0"/>
            <w:vAlign w:val="center"/>
          </w:tcPr>
          <w:p w14:paraId="5BDCE5C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74CC54C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291" w:type="dxa"/>
            <w:noWrap w:val="0"/>
            <w:vAlign w:val="center"/>
          </w:tcPr>
          <w:p w14:paraId="73FEA2B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noWrap w:val="0"/>
            <w:vAlign w:val="center"/>
          </w:tcPr>
          <w:p w14:paraId="2BAFD45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83" w:type="dxa"/>
            <w:noWrap w:val="0"/>
            <w:vAlign w:val="center"/>
          </w:tcPr>
          <w:p w14:paraId="1DAEFB5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2021" w:type="dxa"/>
            <w:noWrap w:val="0"/>
            <w:vAlign w:val="center"/>
          </w:tcPr>
          <w:p w14:paraId="33C55F3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1FAFC49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8" w:type="dxa"/>
            <w:noWrap w:val="0"/>
            <w:vAlign w:val="center"/>
          </w:tcPr>
          <w:p w14:paraId="2DF7445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07" w:type="dxa"/>
            <w:noWrap w:val="0"/>
            <w:vAlign w:val="center"/>
          </w:tcPr>
          <w:p w14:paraId="2E36C84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bl>
    <w:p w14:paraId="68916E00">
      <w:pPr>
        <w:pageBreakBefore w:val="0"/>
        <w:kinsoku/>
        <w:wordWrap w:val="0"/>
        <w:overflowPunct/>
        <w:topLinePunct w:val="0"/>
        <w:bidi w:val="0"/>
        <w:spacing w:line="440" w:lineRule="exact"/>
        <w:outlineLvl w:val="9"/>
        <w:rPr>
          <w:rFonts w:hint="eastAsia" w:ascii="宋体" w:hAnsi="宋体" w:eastAsia="宋体" w:cs="宋体"/>
          <w:b/>
          <w:color w:val="auto"/>
          <w:szCs w:val="21"/>
          <w:highlight w:val="none"/>
        </w:rPr>
        <w:sectPr>
          <w:footerReference r:id="rId13" w:type="first"/>
          <w:footerReference r:id="rId12" w:type="default"/>
          <w:pgSz w:w="16838" w:h="11905" w:orient="landscape"/>
          <w:pgMar w:top="1587" w:right="1531" w:bottom="1587" w:left="1531" w:header="1361" w:footer="1247" w:gutter="0"/>
          <w:pgNumType w:fmt="decimal"/>
          <w:cols w:space="720" w:num="1"/>
          <w:titlePg/>
          <w:rtlGutter w:val="0"/>
          <w:docGrid w:linePitch="312" w:charSpace="0"/>
        </w:sectPr>
      </w:pPr>
    </w:p>
    <w:p w14:paraId="5CA170C4">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附</w:t>
      </w:r>
      <w:bookmarkStart w:id="1809" w:name="_Toc296503225"/>
      <w:bookmarkStart w:id="1810" w:name="_Toc267261692"/>
      <w:bookmarkStart w:id="1811" w:name="_Toc296346726"/>
      <w:bookmarkStart w:id="1812" w:name="_Toc296944564"/>
      <w:bookmarkStart w:id="1813" w:name="_Toc296891053"/>
      <w:bookmarkStart w:id="1814" w:name="_Toc296347224"/>
      <w:bookmarkStart w:id="1815" w:name="_Toc296891265"/>
      <w:r>
        <w:rPr>
          <w:rFonts w:hint="eastAsia" w:ascii="宋体" w:hAnsi="宋体" w:eastAsia="宋体" w:cs="宋体"/>
          <w:b/>
          <w:bCs/>
          <w:color w:val="auto"/>
          <w:szCs w:val="21"/>
          <w:highlight w:val="none"/>
        </w:rPr>
        <w:t>件2：</w:t>
      </w:r>
    </w:p>
    <w:bookmarkEnd w:id="1809"/>
    <w:bookmarkEnd w:id="1810"/>
    <w:bookmarkEnd w:id="1811"/>
    <w:bookmarkEnd w:id="1812"/>
    <w:bookmarkEnd w:id="1813"/>
    <w:bookmarkEnd w:id="1814"/>
    <w:bookmarkEnd w:id="1815"/>
    <w:p w14:paraId="045DA272">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发包人供应材料设备一览表</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50"/>
        <w:gridCol w:w="1125"/>
        <w:gridCol w:w="1250"/>
        <w:gridCol w:w="829"/>
        <w:gridCol w:w="750"/>
        <w:gridCol w:w="921"/>
        <w:gridCol w:w="874"/>
        <w:gridCol w:w="750"/>
        <w:gridCol w:w="1312"/>
        <w:gridCol w:w="874"/>
      </w:tblGrid>
      <w:tr w14:paraId="6BED3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42" w:hRule="atLeast"/>
          <w:jc w:val="center"/>
        </w:trPr>
        <w:tc>
          <w:tcPr>
            <w:tcW w:w="750" w:type="dxa"/>
            <w:tcBorders>
              <w:top w:val="single" w:color="auto" w:sz="12" w:space="0"/>
              <w:bottom w:val="double" w:color="auto" w:sz="6" w:space="0"/>
            </w:tcBorders>
            <w:noWrap w:val="0"/>
            <w:vAlign w:val="center"/>
          </w:tcPr>
          <w:p w14:paraId="55F4F95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序号</w:t>
            </w:r>
          </w:p>
        </w:tc>
        <w:tc>
          <w:tcPr>
            <w:tcW w:w="1125" w:type="dxa"/>
            <w:tcBorders>
              <w:top w:val="single" w:color="auto" w:sz="12" w:space="0"/>
              <w:bottom w:val="double" w:color="auto" w:sz="6" w:space="0"/>
            </w:tcBorders>
            <w:noWrap w:val="0"/>
            <w:vAlign w:val="center"/>
          </w:tcPr>
          <w:p w14:paraId="120851C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材料、</w:t>
            </w:r>
          </w:p>
          <w:p w14:paraId="14113597">
            <w:pPr>
              <w:pStyle w:val="20"/>
              <w:keepNext/>
              <w:keepLines w:val="0"/>
              <w:pageBreakBefore w:val="0"/>
              <w:suppressLineNumbers w:val="0"/>
              <w:kinsoku/>
              <w:wordWrap w:val="0"/>
              <w:overflowPunct/>
              <w:topLinePunct w:val="0"/>
              <w:bidi w:val="0"/>
              <w:spacing w:before="0" w:beforeAutospacing="0" w:after="0" w:afterAutospacing="0" w:line="440" w:lineRule="exact"/>
              <w:ind w:left="0" w:leftChars="0" w:right="63"/>
              <w:jc w:val="both"/>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设备品种</w:t>
            </w:r>
          </w:p>
        </w:tc>
        <w:tc>
          <w:tcPr>
            <w:tcW w:w="1250" w:type="dxa"/>
            <w:tcBorders>
              <w:top w:val="single" w:color="auto" w:sz="12" w:space="0"/>
              <w:bottom w:val="double" w:color="auto" w:sz="6" w:space="0"/>
            </w:tcBorders>
            <w:noWrap w:val="0"/>
            <w:vAlign w:val="center"/>
          </w:tcPr>
          <w:p w14:paraId="1268781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规格型号</w:t>
            </w:r>
          </w:p>
        </w:tc>
        <w:tc>
          <w:tcPr>
            <w:tcW w:w="829" w:type="dxa"/>
            <w:tcBorders>
              <w:top w:val="single" w:color="auto" w:sz="12" w:space="0"/>
              <w:bottom w:val="double" w:color="auto" w:sz="6" w:space="0"/>
            </w:tcBorders>
            <w:noWrap w:val="0"/>
            <w:vAlign w:val="center"/>
          </w:tcPr>
          <w:p w14:paraId="1639E07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单位</w:t>
            </w:r>
          </w:p>
        </w:tc>
        <w:tc>
          <w:tcPr>
            <w:tcW w:w="750" w:type="dxa"/>
            <w:tcBorders>
              <w:top w:val="single" w:color="auto" w:sz="12" w:space="0"/>
              <w:bottom w:val="double" w:color="auto" w:sz="6" w:space="0"/>
            </w:tcBorders>
            <w:noWrap w:val="0"/>
            <w:vAlign w:val="center"/>
          </w:tcPr>
          <w:p w14:paraId="3B08FE3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数量</w:t>
            </w:r>
          </w:p>
        </w:tc>
        <w:tc>
          <w:tcPr>
            <w:tcW w:w="921" w:type="dxa"/>
            <w:tcBorders>
              <w:top w:val="single" w:color="auto" w:sz="12" w:space="0"/>
              <w:bottom w:val="double" w:color="auto" w:sz="6" w:space="0"/>
            </w:tcBorders>
            <w:noWrap w:val="0"/>
            <w:vAlign w:val="center"/>
          </w:tcPr>
          <w:p w14:paraId="42E4392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单价（元）</w:t>
            </w:r>
          </w:p>
        </w:tc>
        <w:tc>
          <w:tcPr>
            <w:tcW w:w="874" w:type="dxa"/>
            <w:tcBorders>
              <w:top w:val="single" w:color="auto" w:sz="12" w:space="0"/>
              <w:bottom w:val="double" w:color="auto" w:sz="6" w:space="0"/>
            </w:tcBorders>
            <w:noWrap w:val="0"/>
            <w:vAlign w:val="center"/>
          </w:tcPr>
          <w:p w14:paraId="4939DFD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质量等级</w:t>
            </w:r>
          </w:p>
        </w:tc>
        <w:tc>
          <w:tcPr>
            <w:tcW w:w="750" w:type="dxa"/>
            <w:tcBorders>
              <w:top w:val="single" w:color="auto" w:sz="12" w:space="0"/>
              <w:bottom w:val="double" w:color="auto" w:sz="6" w:space="0"/>
            </w:tcBorders>
            <w:noWrap w:val="0"/>
            <w:vAlign w:val="center"/>
          </w:tcPr>
          <w:p w14:paraId="2C0B1F8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供应时间</w:t>
            </w:r>
          </w:p>
        </w:tc>
        <w:tc>
          <w:tcPr>
            <w:tcW w:w="1312" w:type="dxa"/>
            <w:tcBorders>
              <w:top w:val="single" w:color="auto" w:sz="12" w:space="0"/>
              <w:bottom w:val="double" w:color="auto" w:sz="6" w:space="0"/>
            </w:tcBorders>
            <w:noWrap w:val="0"/>
            <w:vAlign w:val="center"/>
          </w:tcPr>
          <w:p w14:paraId="7FA8B05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送达地点</w:t>
            </w:r>
          </w:p>
        </w:tc>
        <w:tc>
          <w:tcPr>
            <w:tcW w:w="874" w:type="dxa"/>
            <w:tcBorders>
              <w:top w:val="single" w:color="auto" w:sz="12" w:space="0"/>
              <w:bottom w:val="double" w:color="auto" w:sz="6" w:space="0"/>
            </w:tcBorders>
            <w:noWrap w:val="0"/>
            <w:vAlign w:val="center"/>
          </w:tcPr>
          <w:p w14:paraId="652DCA0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备注</w:t>
            </w:r>
          </w:p>
        </w:tc>
      </w:tr>
      <w:tr w14:paraId="5D5BA5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5" w:hRule="atLeast"/>
          <w:jc w:val="center"/>
        </w:trPr>
        <w:tc>
          <w:tcPr>
            <w:tcW w:w="750" w:type="dxa"/>
            <w:tcBorders>
              <w:top w:val="double" w:color="auto" w:sz="6" w:space="0"/>
              <w:bottom w:val="single" w:color="auto" w:sz="6" w:space="0"/>
            </w:tcBorders>
            <w:noWrap w:val="0"/>
            <w:vAlign w:val="center"/>
          </w:tcPr>
          <w:p w14:paraId="3848AEC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tcBorders>
              <w:top w:val="double" w:color="auto" w:sz="6" w:space="0"/>
              <w:bottom w:val="single" w:color="auto" w:sz="6" w:space="0"/>
            </w:tcBorders>
            <w:noWrap w:val="0"/>
            <w:vAlign w:val="center"/>
          </w:tcPr>
          <w:p w14:paraId="43DE028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tcBorders>
              <w:top w:val="double" w:color="auto" w:sz="6" w:space="0"/>
              <w:bottom w:val="single" w:color="auto" w:sz="6" w:space="0"/>
            </w:tcBorders>
            <w:noWrap w:val="0"/>
            <w:vAlign w:val="center"/>
          </w:tcPr>
          <w:p w14:paraId="1BA342D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tcBorders>
              <w:top w:val="double" w:color="auto" w:sz="6" w:space="0"/>
              <w:bottom w:val="single" w:color="auto" w:sz="6" w:space="0"/>
            </w:tcBorders>
            <w:noWrap w:val="0"/>
            <w:vAlign w:val="center"/>
          </w:tcPr>
          <w:p w14:paraId="44D6F99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tcBorders>
              <w:top w:val="double" w:color="auto" w:sz="6" w:space="0"/>
              <w:bottom w:val="single" w:color="auto" w:sz="6" w:space="0"/>
            </w:tcBorders>
            <w:noWrap w:val="0"/>
            <w:vAlign w:val="center"/>
          </w:tcPr>
          <w:p w14:paraId="5FA29AD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tcBorders>
              <w:top w:val="double" w:color="auto" w:sz="6" w:space="0"/>
              <w:bottom w:val="single" w:color="auto" w:sz="6" w:space="0"/>
            </w:tcBorders>
            <w:noWrap w:val="0"/>
            <w:vAlign w:val="center"/>
          </w:tcPr>
          <w:p w14:paraId="305998C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tcBorders>
              <w:top w:val="double" w:color="auto" w:sz="6" w:space="0"/>
              <w:bottom w:val="single" w:color="auto" w:sz="6" w:space="0"/>
            </w:tcBorders>
            <w:noWrap w:val="0"/>
            <w:vAlign w:val="center"/>
          </w:tcPr>
          <w:p w14:paraId="271C4AA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tcBorders>
              <w:top w:val="double" w:color="auto" w:sz="6" w:space="0"/>
              <w:bottom w:val="single" w:color="auto" w:sz="6" w:space="0"/>
            </w:tcBorders>
            <w:noWrap w:val="0"/>
            <w:vAlign w:val="center"/>
          </w:tcPr>
          <w:p w14:paraId="7AD89E7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tcBorders>
              <w:top w:val="double" w:color="auto" w:sz="6" w:space="0"/>
              <w:bottom w:val="single" w:color="auto" w:sz="6" w:space="0"/>
            </w:tcBorders>
            <w:noWrap w:val="0"/>
            <w:vAlign w:val="center"/>
          </w:tcPr>
          <w:p w14:paraId="764F5F7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tcBorders>
              <w:top w:val="double" w:color="auto" w:sz="6" w:space="0"/>
              <w:bottom w:val="single" w:color="auto" w:sz="6" w:space="0"/>
            </w:tcBorders>
            <w:noWrap w:val="0"/>
            <w:vAlign w:val="center"/>
          </w:tcPr>
          <w:p w14:paraId="339CD61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7A671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tcBorders>
              <w:top w:val="nil"/>
            </w:tcBorders>
            <w:noWrap w:val="0"/>
            <w:vAlign w:val="center"/>
          </w:tcPr>
          <w:p w14:paraId="20ACD80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tcBorders>
              <w:top w:val="nil"/>
            </w:tcBorders>
            <w:noWrap w:val="0"/>
            <w:vAlign w:val="center"/>
          </w:tcPr>
          <w:p w14:paraId="18C756B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tcBorders>
              <w:top w:val="nil"/>
            </w:tcBorders>
            <w:noWrap w:val="0"/>
            <w:vAlign w:val="center"/>
          </w:tcPr>
          <w:p w14:paraId="12A7119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tcBorders>
              <w:top w:val="nil"/>
            </w:tcBorders>
            <w:noWrap w:val="0"/>
            <w:vAlign w:val="center"/>
          </w:tcPr>
          <w:p w14:paraId="7E45524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tcBorders>
              <w:top w:val="nil"/>
            </w:tcBorders>
            <w:noWrap w:val="0"/>
            <w:vAlign w:val="center"/>
          </w:tcPr>
          <w:p w14:paraId="6F98BDE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tcBorders>
              <w:top w:val="nil"/>
            </w:tcBorders>
            <w:noWrap w:val="0"/>
            <w:vAlign w:val="center"/>
          </w:tcPr>
          <w:p w14:paraId="7108048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tcBorders>
              <w:top w:val="nil"/>
            </w:tcBorders>
            <w:noWrap w:val="0"/>
            <w:vAlign w:val="center"/>
          </w:tcPr>
          <w:p w14:paraId="4427245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tcBorders>
              <w:top w:val="nil"/>
            </w:tcBorders>
            <w:noWrap w:val="0"/>
            <w:vAlign w:val="center"/>
          </w:tcPr>
          <w:p w14:paraId="3B67B43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tcBorders>
              <w:top w:val="nil"/>
            </w:tcBorders>
            <w:noWrap w:val="0"/>
            <w:vAlign w:val="center"/>
          </w:tcPr>
          <w:p w14:paraId="5634CAD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tcBorders>
              <w:top w:val="nil"/>
            </w:tcBorders>
            <w:noWrap w:val="0"/>
            <w:vAlign w:val="center"/>
          </w:tcPr>
          <w:p w14:paraId="7D61F0E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BB51B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10D922B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noWrap w:val="0"/>
            <w:vAlign w:val="center"/>
          </w:tcPr>
          <w:p w14:paraId="3B0F11B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noWrap w:val="0"/>
            <w:vAlign w:val="center"/>
          </w:tcPr>
          <w:p w14:paraId="2393567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noWrap w:val="0"/>
            <w:vAlign w:val="center"/>
          </w:tcPr>
          <w:p w14:paraId="32FEC14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2B381B5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noWrap w:val="0"/>
            <w:vAlign w:val="center"/>
          </w:tcPr>
          <w:p w14:paraId="2CDADB0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1B1639E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109D79F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noWrap w:val="0"/>
            <w:vAlign w:val="center"/>
          </w:tcPr>
          <w:p w14:paraId="6ECC5DF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07E916A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40F05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03B8374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noWrap w:val="0"/>
            <w:vAlign w:val="center"/>
          </w:tcPr>
          <w:p w14:paraId="58B259A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noWrap w:val="0"/>
            <w:vAlign w:val="center"/>
          </w:tcPr>
          <w:p w14:paraId="68D0B54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noWrap w:val="0"/>
            <w:vAlign w:val="center"/>
          </w:tcPr>
          <w:p w14:paraId="216449F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6570CFF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noWrap w:val="0"/>
            <w:vAlign w:val="center"/>
          </w:tcPr>
          <w:p w14:paraId="07D0C9D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021ECA4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440611F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noWrap w:val="0"/>
            <w:vAlign w:val="center"/>
          </w:tcPr>
          <w:p w14:paraId="2C5C4F7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78FC795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421BF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473748A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noWrap w:val="0"/>
            <w:vAlign w:val="center"/>
          </w:tcPr>
          <w:p w14:paraId="5EE64B0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noWrap w:val="0"/>
            <w:vAlign w:val="center"/>
          </w:tcPr>
          <w:p w14:paraId="7C92484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noWrap w:val="0"/>
            <w:vAlign w:val="center"/>
          </w:tcPr>
          <w:p w14:paraId="2E4574E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78B9676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noWrap w:val="0"/>
            <w:vAlign w:val="center"/>
          </w:tcPr>
          <w:p w14:paraId="243E82C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7917B33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1671BB2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noWrap w:val="0"/>
            <w:vAlign w:val="center"/>
          </w:tcPr>
          <w:p w14:paraId="0DAE2D5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2EB45D9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9A884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4910ADC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noWrap w:val="0"/>
            <w:vAlign w:val="center"/>
          </w:tcPr>
          <w:p w14:paraId="4524D04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noWrap w:val="0"/>
            <w:vAlign w:val="center"/>
          </w:tcPr>
          <w:p w14:paraId="28AC5B3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noWrap w:val="0"/>
            <w:vAlign w:val="center"/>
          </w:tcPr>
          <w:p w14:paraId="6525363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20A666B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noWrap w:val="0"/>
            <w:vAlign w:val="center"/>
          </w:tcPr>
          <w:p w14:paraId="24790C0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76CB556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6B24D25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noWrap w:val="0"/>
            <w:vAlign w:val="center"/>
          </w:tcPr>
          <w:p w14:paraId="18119EC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041DD9C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C66B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3351114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noWrap w:val="0"/>
            <w:vAlign w:val="center"/>
          </w:tcPr>
          <w:p w14:paraId="02A0FAF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noWrap w:val="0"/>
            <w:vAlign w:val="center"/>
          </w:tcPr>
          <w:p w14:paraId="277809F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noWrap w:val="0"/>
            <w:vAlign w:val="center"/>
          </w:tcPr>
          <w:p w14:paraId="12F5361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5C941AF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noWrap w:val="0"/>
            <w:vAlign w:val="center"/>
          </w:tcPr>
          <w:p w14:paraId="3CDB3FD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2428064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6BE2655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noWrap w:val="0"/>
            <w:vAlign w:val="center"/>
          </w:tcPr>
          <w:p w14:paraId="742D60F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514F50F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8CA39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33EEA2E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noWrap w:val="0"/>
            <w:vAlign w:val="center"/>
          </w:tcPr>
          <w:p w14:paraId="4C267D6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noWrap w:val="0"/>
            <w:vAlign w:val="center"/>
          </w:tcPr>
          <w:p w14:paraId="1EE1B78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noWrap w:val="0"/>
            <w:vAlign w:val="center"/>
          </w:tcPr>
          <w:p w14:paraId="32E6D77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764CC3E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noWrap w:val="0"/>
            <w:vAlign w:val="center"/>
          </w:tcPr>
          <w:p w14:paraId="42FC31F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51B2295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3053E29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noWrap w:val="0"/>
            <w:vAlign w:val="center"/>
          </w:tcPr>
          <w:p w14:paraId="7789161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32A0AB4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D14D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5211D86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0EEB130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191D309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1B64C41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12D1FB7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18F0376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0693445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51C0A10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462F144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38903FA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38008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6BE655D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25" w:type="dxa"/>
            <w:noWrap w:val="0"/>
            <w:vAlign w:val="center"/>
          </w:tcPr>
          <w:p w14:paraId="5B1A1BF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50" w:type="dxa"/>
            <w:noWrap w:val="0"/>
            <w:vAlign w:val="center"/>
          </w:tcPr>
          <w:p w14:paraId="6239FED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9" w:type="dxa"/>
            <w:noWrap w:val="0"/>
            <w:vAlign w:val="center"/>
          </w:tcPr>
          <w:p w14:paraId="7F9F547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7575EDB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21" w:type="dxa"/>
            <w:noWrap w:val="0"/>
            <w:vAlign w:val="center"/>
          </w:tcPr>
          <w:p w14:paraId="3E3B72D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46517DB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50" w:type="dxa"/>
            <w:noWrap w:val="0"/>
            <w:vAlign w:val="center"/>
          </w:tcPr>
          <w:p w14:paraId="4205DE3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12" w:type="dxa"/>
            <w:noWrap w:val="0"/>
            <w:vAlign w:val="center"/>
          </w:tcPr>
          <w:p w14:paraId="3F0F0E1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74" w:type="dxa"/>
            <w:noWrap w:val="0"/>
            <w:vAlign w:val="center"/>
          </w:tcPr>
          <w:p w14:paraId="2F78238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F759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29ABC86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1377333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18C4FC0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64E0945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27AFA3A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536C3E0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3E61795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061D49D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3E03B9E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54D7692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18571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492C9D6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0FEF063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204028E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5A2AB0E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469E11E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550C004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4808499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1059108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47F1E07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7EFD36B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0D00C9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314D9C1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61CE33D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75ECC91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74FADF1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1F89649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5D283D3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0AAC23F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74102CD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682B4E0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0F96565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27485B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1E41660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16CC85A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23BF663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159752E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0B7B9E8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7F9F62C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37C31E3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199F451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6484338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593CB78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22DCA7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1AA3281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07D9923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25E3BCE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5FB7EB7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79BC80E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030F0EF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58125D3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17EC9EA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0228C1D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07737F9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346F4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04DC788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10FB54A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687E059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1A2EC1D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139D0AA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701CE23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5337586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23F37B3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734AC0A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48723E0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2C35C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266F72E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75177BC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1603A3C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244C5A2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6C56439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3C0A1F3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1A47887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55807B3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4B70597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49FF258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71718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5" w:hRule="atLeast"/>
          <w:jc w:val="center"/>
        </w:trPr>
        <w:tc>
          <w:tcPr>
            <w:tcW w:w="750" w:type="dxa"/>
            <w:noWrap w:val="0"/>
            <w:vAlign w:val="center"/>
          </w:tcPr>
          <w:p w14:paraId="5AC796B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125" w:type="dxa"/>
            <w:noWrap w:val="0"/>
            <w:vAlign w:val="center"/>
          </w:tcPr>
          <w:p w14:paraId="5BFAFD0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250" w:type="dxa"/>
            <w:noWrap w:val="0"/>
            <w:vAlign w:val="center"/>
          </w:tcPr>
          <w:p w14:paraId="7FC6A2E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29" w:type="dxa"/>
            <w:noWrap w:val="0"/>
            <w:vAlign w:val="center"/>
          </w:tcPr>
          <w:p w14:paraId="6A92E94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4621293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921" w:type="dxa"/>
            <w:noWrap w:val="0"/>
            <w:vAlign w:val="center"/>
          </w:tcPr>
          <w:p w14:paraId="3632AD2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125CB4F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750" w:type="dxa"/>
            <w:noWrap w:val="0"/>
            <w:vAlign w:val="center"/>
          </w:tcPr>
          <w:p w14:paraId="4486932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312" w:type="dxa"/>
            <w:noWrap w:val="0"/>
            <w:vAlign w:val="center"/>
          </w:tcPr>
          <w:p w14:paraId="14D6D4D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874" w:type="dxa"/>
            <w:noWrap w:val="0"/>
            <w:vAlign w:val="center"/>
          </w:tcPr>
          <w:p w14:paraId="1A54FBB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bl>
    <w:p w14:paraId="6BB06A7F">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p>
    <w:p w14:paraId="2DC7AC5F">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p>
    <w:p w14:paraId="4E5A7464">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附</w:t>
      </w:r>
      <w:bookmarkStart w:id="1816" w:name="_Toc296347225"/>
      <w:bookmarkStart w:id="1817" w:name="_Toc296944565"/>
      <w:bookmarkStart w:id="1818" w:name="_Toc267261693"/>
      <w:bookmarkStart w:id="1819" w:name="_Toc296503226"/>
      <w:bookmarkStart w:id="1820" w:name="_Toc296346727"/>
      <w:bookmarkStart w:id="1821" w:name="_Toc296891054"/>
      <w:bookmarkStart w:id="1822" w:name="_Toc296891266"/>
      <w:r>
        <w:rPr>
          <w:rFonts w:hint="eastAsia" w:ascii="宋体" w:hAnsi="宋体" w:eastAsia="宋体" w:cs="宋体"/>
          <w:b/>
          <w:bCs/>
          <w:color w:val="auto"/>
          <w:szCs w:val="21"/>
          <w:highlight w:val="none"/>
        </w:rPr>
        <w:t>件3：</w:t>
      </w:r>
      <w:bookmarkEnd w:id="1816"/>
      <w:bookmarkEnd w:id="1817"/>
      <w:bookmarkEnd w:id="1818"/>
      <w:bookmarkEnd w:id="1819"/>
      <w:bookmarkEnd w:id="1820"/>
      <w:bookmarkEnd w:id="1821"/>
      <w:bookmarkEnd w:id="1822"/>
    </w:p>
    <w:p w14:paraId="6D511F35">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w:t>
      </w:r>
    </w:p>
    <w:p w14:paraId="665ACF07">
      <w:pPr>
        <w:pageBreakBefore w:val="0"/>
        <w:kinsoku/>
        <w:wordWrap w:val="0"/>
        <w:overflowPunct/>
        <w:topLinePunct w:val="0"/>
        <w:bidi w:val="0"/>
        <w:spacing w:line="44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发包人（全称）：</w:t>
      </w:r>
      <w:r>
        <w:rPr>
          <w:rFonts w:hint="eastAsia" w:ascii="宋体" w:hAnsi="宋体" w:eastAsia="宋体" w:cs="宋体"/>
          <w:color w:val="auto"/>
          <w:szCs w:val="21"/>
          <w:highlight w:val="none"/>
          <w:u w:val="single"/>
        </w:rPr>
        <w:t xml:space="preserve">     平舆县老王岗乡人民政府     </w:t>
      </w:r>
      <w:r>
        <w:rPr>
          <w:rFonts w:hint="eastAsia" w:ascii="宋体" w:hAnsi="宋体" w:eastAsia="宋体" w:cs="宋体"/>
          <w:color w:val="auto"/>
          <w:szCs w:val="21"/>
          <w:highlight w:val="none"/>
        </w:rPr>
        <w:t xml:space="preserve"> </w:t>
      </w:r>
    </w:p>
    <w:p w14:paraId="744D0A30">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承包人（全称）：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66376E46">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p>
    <w:p w14:paraId="5818E985">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发包人和承包人根据《中华人民共和国建筑法》和《建设工程质量管理条例》，经协商一致就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2025年老王岗乡木材加工厂房建设项目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（工程全称）签订工程质量保修书。</w:t>
      </w:r>
    </w:p>
    <w:p w14:paraId="5562269C">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bookmarkStart w:id="1823" w:name="_Toc30494"/>
      <w:bookmarkStart w:id="1824" w:name="_Toc28879"/>
      <w:bookmarkStart w:id="1825" w:name="_Toc24594"/>
      <w:bookmarkStart w:id="1826" w:name="_Toc25141785"/>
      <w:bookmarkStart w:id="1827" w:name="_Toc15264"/>
      <w:r>
        <w:rPr>
          <w:rFonts w:hint="eastAsia" w:ascii="宋体" w:hAnsi="宋体" w:eastAsia="宋体" w:cs="宋体"/>
          <w:color w:val="auto"/>
          <w:szCs w:val="21"/>
          <w:highlight w:val="none"/>
        </w:rPr>
        <w:t>一、工程质量保修范围和内容</w:t>
      </w:r>
      <w:bookmarkEnd w:id="1823"/>
      <w:bookmarkEnd w:id="1824"/>
      <w:bookmarkEnd w:id="1825"/>
      <w:bookmarkEnd w:id="1826"/>
      <w:bookmarkEnd w:id="1827"/>
    </w:p>
    <w:p w14:paraId="6FC7D8CF">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承包人在质量保修期内，按照有关法律规定和合同约定，承担工程质量保修责任。</w:t>
      </w:r>
    </w:p>
    <w:p w14:paraId="299685AD">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Cs w:val="21"/>
          <w:highlight w:val="none"/>
          <w:u w:val="single"/>
        </w:rPr>
        <w:t xml:space="preserve">       双方合同约定       </w:t>
      </w:r>
      <w:r>
        <w:rPr>
          <w:rFonts w:hint="eastAsia" w:ascii="宋体" w:hAnsi="宋体" w:eastAsia="宋体" w:cs="宋体"/>
          <w:color w:val="auto"/>
          <w:szCs w:val="21"/>
          <w:highlight w:val="none"/>
          <w:u w:val="single"/>
          <w:lang w:eastAsia="zh-CN"/>
        </w:rPr>
        <w:t>。</w:t>
      </w:r>
    </w:p>
    <w:p w14:paraId="5CE9A414">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w:t>
      </w:r>
      <w:bookmarkStart w:id="1828" w:name="_Toc5402"/>
      <w:bookmarkStart w:id="1829" w:name="_Toc22000"/>
      <w:bookmarkStart w:id="1830" w:name="_Toc24112"/>
      <w:bookmarkStart w:id="1831" w:name="_Toc25919"/>
      <w:bookmarkStart w:id="1832" w:name="_Toc25141786"/>
      <w:r>
        <w:rPr>
          <w:rFonts w:hint="eastAsia" w:ascii="宋体" w:hAnsi="宋体" w:eastAsia="宋体" w:cs="宋体"/>
          <w:color w:val="auto"/>
          <w:szCs w:val="21"/>
          <w:highlight w:val="none"/>
        </w:rPr>
        <w:t>二、质量保修期</w:t>
      </w:r>
      <w:bookmarkEnd w:id="1828"/>
      <w:bookmarkEnd w:id="1829"/>
      <w:bookmarkEnd w:id="1830"/>
      <w:bookmarkEnd w:id="1831"/>
      <w:bookmarkEnd w:id="1832"/>
    </w:p>
    <w:p w14:paraId="10E153C8">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根据《建设工程质量管理条例》及有关规定，工程的质量保修期如下：</w:t>
      </w:r>
    </w:p>
    <w:p w14:paraId="6FB02BDD">
      <w:pPr>
        <w:pageBreakBefore w:val="0"/>
        <w:kinsoku/>
        <w:wordWrap w:val="0"/>
        <w:overflowPunct/>
        <w:topLinePunct w:val="0"/>
        <w:bidi w:val="0"/>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1．地基基础工程和主体结构工程为设计文件规定的工程合理使用年限；</w:t>
      </w:r>
    </w:p>
    <w:p w14:paraId="29369EFB">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2．屋面防水工程、有防水要求的卫生间、房间和外墙面的防渗为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5</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31F461FE">
      <w:pPr>
        <w:pageBreakBefore w:val="0"/>
        <w:kinsoku/>
        <w:wordWrap w:val="0"/>
        <w:overflowPunct/>
        <w:topLinePunct w:val="0"/>
        <w:bidi w:val="0"/>
        <w:spacing w:line="360" w:lineRule="auto"/>
        <w:ind w:left="420" w:leftChars="200" w:firstLine="105" w:firstLineChars="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3．装修工程为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688EE6A7">
      <w:pPr>
        <w:pageBreakBefore w:val="0"/>
        <w:kinsoku/>
        <w:wordWrap w:val="0"/>
        <w:overflowPunct/>
        <w:topLinePunct w:val="0"/>
        <w:bidi w:val="0"/>
        <w:spacing w:line="360" w:lineRule="auto"/>
        <w:ind w:left="420" w:leftChars="200" w:firstLine="105" w:firstLineChars="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4．电气管线、给排水管道、设备安装工程为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5F9A63CA">
      <w:pPr>
        <w:pageBreakBefore w:val="0"/>
        <w:kinsoku/>
        <w:wordWrap w:val="0"/>
        <w:overflowPunct/>
        <w:topLinePunct w:val="0"/>
        <w:bidi w:val="0"/>
        <w:spacing w:line="360" w:lineRule="auto"/>
        <w:ind w:left="420" w:leftChars="200" w:firstLine="105" w:firstLineChars="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5．供热与供冷系统为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个采暖期、供冷期；</w:t>
      </w:r>
    </w:p>
    <w:p w14:paraId="4C2B08EF">
      <w:pPr>
        <w:pageBreakBefore w:val="0"/>
        <w:kinsoku/>
        <w:wordWrap w:val="0"/>
        <w:overflowPunct/>
        <w:topLinePunct w:val="0"/>
        <w:bidi w:val="0"/>
        <w:spacing w:line="360" w:lineRule="auto"/>
        <w:ind w:left="420" w:leftChars="200" w:firstLine="105" w:firstLineChars="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6．住宅小区内的给排水设施、道路等配套工程为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03BD283D">
      <w:pPr>
        <w:pageBreakBefore w:val="0"/>
        <w:kinsoku/>
        <w:wordWrap w:val="0"/>
        <w:overflowPunct/>
        <w:topLinePunct w:val="0"/>
        <w:bidi w:val="0"/>
        <w:spacing w:line="360" w:lineRule="auto"/>
        <w:ind w:left="420" w:leftChars="200" w:firstLine="105" w:firstLineChars="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7．其他项目保修期限约定如下：</w:t>
      </w:r>
      <w:r>
        <w:rPr>
          <w:rFonts w:hint="eastAsia" w:ascii="宋体" w:hAnsi="宋体" w:eastAsia="宋体" w:cs="宋体"/>
          <w:color w:val="auto"/>
          <w:szCs w:val="21"/>
          <w:highlight w:val="none"/>
          <w:u w:val="single"/>
        </w:rPr>
        <w:t xml:space="preserve">    双方合同约定     </w:t>
      </w:r>
      <w:r>
        <w:rPr>
          <w:rFonts w:hint="eastAsia" w:ascii="宋体" w:hAnsi="宋体" w:eastAsia="宋体" w:cs="宋体"/>
          <w:color w:val="auto"/>
          <w:szCs w:val="21"/>
          <w:highlight w:val="none"/>
        </w:rPr>
        <w:t>。</w:t>
      </w:r>
    </w:p>
    <w:p w14:paraId="3B1692F4">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质量保修期自工程竣工验收合格之日起计算。</w:t>
      </w:r>
    </w:p>
    <w:p w14:paraId="6D79A575">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bookmarkStart w:id="1833" w:name="_Toc32666"/>
      <w:bookmarkStart w:id="1834" w:name="_Toc29289"/>
      <w:bookmarkStart w:id="1835" w:name="_Toc25141787"/>
      <w:bookmarkStart w:id="1836" w:name="_Toc24308"/>
      <w:bookmarkStart w:id="1837" w:name="_Toc2951"/>
      <w:r>
        <w:rPr>
          <w:rFonts w:hint="eastAsia" w:ascii="宋体" w:hAnsi="宋体" w:eastAsia="宋体" w:cs="宋体"/>
          <w:color w:val="auto"/>
          <w:szCs w:val="21"/>
          <w:highlight w:val="none"/>
        </w:rPr>
        <w:t>三、缺陷责任期</w:t>
      </w:r>
      <w:bookmarkEnd w:id="1833"/>
      <w:bookmarkEnd w:id="1834"/>
      <w:bookmarkEnd w:id="1835"/>
      <w:bookmarkEnd w:id="1836"/>
      <w:bookmarkEnd w:id="1837"/>
    </w:p>
    <w:p w14:paraId="30CB505C">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工程缺陷责任期为</w:t>
      </w:r>
      <w:r>
        <w:rPr>
          <w:rFonts w:hint="eastAsia" w:ascii="宋体" w:hAnsi="宋体" w:eastAsia="宋体" w:cs="宋体"/>
          <w:color w:val="auto"/>
          <w:szCs w:val="21"/>
          <w:highlight w:val="none"/>
          <w:u w:val="single"/>
        </w:rPr>
        <w:t xml:space="preserve">    双方合同约定  </w:t>
      </w:r>
      <w:r>
        <w:rPr>
          <w:rFonts w:hint="eastAsia" w:ascii="宋体" w:hAnsi="宋体" w:eastAsia="宋体" w:cs="宋体"/>
          <w:color w:val="auto"/>
          <w:szCs w:val="21"/>
          <w:highlight w:val="none"/>
        </w:rPr>
        <w:t>个月，缺陷责任期自工程通过竣工验收之日起计算。单位工程先于全部工程进行验收，单位工程缺陷责任期自单位工程验收合格之日起算。</w:t>
      </w:r>
    </w:p>
    <w:p w14:paraId="2AC6D078">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缺陷责任期终止后，发包人应退还剩余的质量保证金。</w:t>
      </w:r>
    </w:p>
    <w:p w14:paraId="448D7DCE">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1838" w:name="_Toc23121"/>
      <w:bookmarkStart w:id="1839" w:name="_Toc16669"/>
      <w:bookmarkStart w:id="1840" w:name="_Toc9307"/>
      <w:bookmarkStart w:id="1841" w:name="_Toc4204"/>
      <w:bookmarkStart w:id="1842" w:name="_Toc25141788"/>
      <w:r>
        <w:rPr>
          <w:rFonts w:hint="eastAsia" w:ascii="宋体" w:hAnsi="宋体" w:eastAsia="宋体" w:cs="宋体"/>
          <w:color w:val="auto"/>
          <w:szCs w:val="21"/>
          <w:highlight w:val="none"/>
        </w:rPr>
        <w:t>四、质量保修责任</w:t>
      </w:r>
      <w:bookmarkEnd w:id="1838"/>
      <w:bookmarkEnd w:id="1839"/>
      <w:bookmarkEnd w:id="1840"/>
      <w:bookmarkEnd w:id="1841"/>
      <w:bookmarkEnd w:id="1842"/>
    </w:p>
    <w:p w14:paraId="058B8729">
      <w:pPr>
        <w:pageBreakBefore w:val="0"/>
        <w:kinsoku/>
        <w:wordWrap w:val="0"/>
        <w:overflowPunct/>
        <w:topLinePunct w:val="0"/>
        <w:bidi w:val="0"/>
        <w:spacing w:line="360" w:lineRule="auto"/>
        <w:ind w:left="105" w:leftChars="50" w:firstLine="430" w:firstLineChars="205"/>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1．属于保修范围、内容的项目，承包人应当在接到保修通知之日起7天内派人保修。承包人不在约定期限内派人保修的，发包人可以委托他人修理。</w:t>
      </w:r>
    </w:p>
    <w:p w14:paraId="076F06F1">
      <w:pPr>
        <w:pageBreakBefore w:val="0"/>
        <w:kinsoku/>
        <w:wordWrap w:val="0"/>
        <w:overflowPunct/>
        <w:topLinePunct w:val="0"/>
        <w:bidi w:val="0"/>
        <w:spacing w:line="360" w:lineRule="auto"/>
        <w:ind w:left="105" w:leftChars="50" w:firstLine="430" w:firstLineChars="205"/>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2．发生紧急事故需抢修的，承包人在接到事故通知后，应当立即到达事故现场抢修。</w:t>
      </w:r>
    </w:p>
    <w:p w14:paraId="124A4F92">
      <w:pPr>
        <w:pageBreakBefore w:val="0"/>
        <w:kinsoku/>
        <w:wordWrap w:val="0"/>
        <w:overflowPunct/>
        <w:topLinePunct w:val="0"/>
        <w:bidi w:val="0"/>
        <w:spacing w:line="360" w:lineRule="auto"/>
        <w:ind w:left="105" w:leftChars="50" w:firstLine="430" w:firstLineChars="205"/>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8C5E573">
      <w:pPr>
        <w:pageBreakBefore w:val="0"/>
        <w:kinsoku/>
        <w:wordWrap w:val="0"/>
        <w:overflowPunct/>
        <w:topLinePunct w:val="0"/>
        <w:bidi w:val="0"/>
        <w:spacing w:line="360" w:lineRule="auto"/>
        <w:ind w:left="420" w:leftChars="200" w:firstLine="105" w:firstLineChars="5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4．质量保修完成后，由发包人组织验收。</w:t>
      </w:r>
    </w:p>
    <w:p w14:paraId="7951569D">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bookmarkStart w:id="1843" w:name="_Toc6022"/>
      <w:bookmarkStart w:id="1844" w:name="_Toc8108"/>
      <w:bookmarkStart w:id="1845" w:name="_Toc5768"/>
      <w:bookmarkStart w:id="1846" w:name="_Toc4493"/>
      <w:bookmarkStart w:id="1847" w:name="_Toc25141789"/>
      <w:r>
        <w:rPr>
          <w:rFonts w:hint="eastAsia" w:ascii="宋体" w:hAnsi="宋体" w:eastAsia="宋体" w:cs="宋体"/>
          <w:color w:val="auto"/>
          <w:szCs w:val="21"/>
          <w:highlight w:val="none"/>
        </w:rPr>
        <w:t>五、保修费用</w:t>
      </w:r>
      <w:bookmarkEnd w:id="1843"/>
      <w:bookmarkEnd w:id="1844"/>
      <w:bookmarkEnd w:id="1845"/>
      <w:bookmarkEnd w:id="1846"/>
      <w:bookmarkEnd w:id="1847"/>
    </w:p>
    <w:p w14:paraId="088DA794">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保修费用由造成质量缺陷的责任方承担。</w:t>
      </w:r>
    </w:p>
    <w:p w14:paraId="02558970">
      <w:pPr>
        <w:pageBreakBefore w:val="0"/>
        <w:kinsoku/>
        <w:wordWrap w:val="0"/>
        <w:overflowPunct/>
        <w:topLinePunct w:val="0"/>
        <w:bidi w:val="0"/>
        <w:spacing w:line="360" w:lineRule="auto"/>
        <w:jc w:val="left"/>
        <w:outlineLvl w:val="9"/>
        <w:rPr>
          <w:rFonts w:hint="eastAsia" w:ascii="宋体" w:hAnsi="宋体" w:eastAsia="宋体" w:cs="宋体"/>
          <w:color w:val="auto"/>
          <w:szCs w:val="21"/>
          <w:highlight w:val="none"/>
        </w:rPr>
      </w:pPr>
      <w:bookmarkStart w:id="1848" w:name="_Toc24511"/>
      <w:bookmarkStart w:id="1849" w:name="_Toc1469"/>
      <w:bookmarkStart w:id="1850" w:name="_Toc22857"/>
      <w:bookmarkStart w:id="1851" w:name="_Toc25141790"/>
      <w:bookmarkStart w:id="1852" w:name="_Toc2599"/>
      <w:r>
        <w:rPr>
          <w:rFonts w:hint="eastAsia" w:ascii="宋体" w:hAnsi="宋体" w:eastAsia="宋体" w:cs="宋体"/>
          <w:bCs/>
          <w:color w:val="auto"/>
          <w:szCs w:val="21"/>
          <w:highlight w:val="none"/>
        </w:rPr>
        <w:t>六</w:t>
      </w:r>
      <w:r>
        <w:rPr>
          <w:rFonts w:hint="eastAsia" w:ascii="宋体" w:hAnsi="宋体" w:eastAsia="宋体" w:cs="宋体"/>
          <w:color w:val="auto"/>
          <w:szCs w:val="21"/>
          <w:highlight w:val="none"/>
        </w:rPr>
        <w:t>、双方约定的其他工程质量保修事项：</w:t>
      </w:r>
      <w:bookmarkEnd w:id="1848"/>
      <w:bookmarkEnd w:id="1849"/>
      <w:bookmarkEnd w:id="1850"/>
      <w:bookmarkEnd w:id="1851"/>
      <w:bookmarkEnd w:id="1852"/>
      <w:r>
        <w:rPr>
          <w:rFonts w:hint="eastAsia" w:ascii="宋体" w:hAnsi="宋体" w:eastAsia="宋体" w:cs="宋体"/>
          <w:color w:val="auto"/>
          <w:szCs w:val="21"/>
          <w:highlight w:val="none"/>
          <w:u w:val="single"/>
        </w:rPr>
        <w:t xml:space="preserve">  双方合同约定 </w:t>
      </w:r>
      <w:r>
        <w:rPr>
          <w:rFonts w:hint="eastAsia" w:ascii="宋体" w:hAnsi="宋体" w:eastAsia="宋体" w:cs="宋体"/>
          <w:color w:val="auto"/>
          <w:szCs w:val="21"/>
          <w:highlight w:val="none"/>
        </w:rPr>
        <w:t>。</w:t>
      </w:r>
    </w:p>
    <w:p w14:paraId="5C584218">
      <w:pPr>
        <w:pageBreakBefore w:val="0"/>
        <w:kinsoku/>
        <w:wordWrap w:val="0"/>
        <w:overflowPunct/>
        <w:topLinePunct w:val="0"/>
        <w:bidi w:val="0"/>
        <w:spacing w:line="360" w:lineRule="auto"/>
        <w:ind w:left="105" w:leftChars="50" w:firstLine="430" w:firstLineChars="205"/>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工程质量保修书由发包人、承包人在工程竣工验收前共同签署，作为施工合同附件，其有效期限至保修期满。</w:t>
      </w:r>
    </w:p>
    <w:p w14:paraId="0C858790">
      <w:pPr>
        <w:pageBreakBefore w:val="0"/>
        <w:kinsoku/>
        <w:wordWrap w:val="0"/>
        <w:overflowPunct/>
        <w:topLinePunct w:val="0"/>
        <w:bidi w:val="0"/>
        <w:spacing w:line="360" w:lineRule="auto"/>
        <w:ind w:firstLine="420"/>
        <w:outlineLvl w:val="9"/>
        <w:rPr>
          <w:rFonts w:hint="eastAsia" w:ascii="宋体" w:hAnsi="宋体" w:eastAsia="宋体" w:cs="宋体"/>
          <w:color w:val="auto"/>
          <w:szCs w:val="21"/>
          <w:highlight w:val="none"/>
        </w:rPr>
      </w:pPr>
    </w:p>
    <w:p w14:paraId="2910F521">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 </w:t>
      </w:r>
    </w:p>
    <w:p w14:paraId="62EFD9F6">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      </w:t>
      </w:r>
    </w:p>
    <w:p w14:paraId="19453084">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       </w:t>
      </w:r>
    </w:p>
    <w:p w14:paraId="388D3C97">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       </w:t>
      </w:r>
    </w:p>
    <w:p w14:paraId="56F094BE">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58138BEE">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p>
    <w:p w14:paraId="5275F7CF">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p>
    <w:p w14:paraId="691790DE">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p>
    <w:p w14:paraId="53E0990B">
      <w:pPr>
        <w:pageBreakBefore w:val="0"/>
        <w:kinsoku/>
        <w:wordWrap w:val="0"/>
        <w:overflowPunct/>
        <w:topLinePunct w:val="0"/>
        <w:bidi w:val="0"/>
        <w:spacing w:line="360" w:lineRule="auto"/>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p>
    <w:p w14:paraId="728CEBB9">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b/>
          <w:bCs/>
          <w:color w:val="auto"/>
          <w:szCs w:val="21"/>
          <w:highlight w:val="none"/>
        </w:rPr>
        <w:t>附件4：</w:t>
      </w:r>
    </w:p>
    <w:p w14:paraId="287F6E68">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主要建设工程文件目录</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399A1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0C89BE9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文件名称</w:t>
            </w:r>
          </w:p>
        </w:tc>
        <w:tc>
          <w:tcPr>
            <w:tcW w:w="1276" w:type="dxa"/>
            <w:tcBorders>
              <w:top w:val="single" w:color="auto" w:sz="12" w:space="0"/>
              <w:bottom w:val="double" w:color="auto" w:sz="6" w:space="0"/>
            </w:tcBorders>
            <w:noWrap w:val="0"/>
            <w:vAlign w:val="center"/>
          </w:tcPr>
          <w:p w14:paraId="71BB747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套数</w:t>
            </w:r>
          </w:p>
        </w:tc>
        <w:tc>
          <w:tcPr>
            <w:tcW w:w="1450" w:type="dxa"/>
            <w:tcBorders>
              <w:top w:val="single" w:color="auto" w:sz="12" w:space="0"/>
              <w:bottom w:val="double" w:color="auto" w:sz="6" w:space="0"/>
            </w:tcBorders>
            <w:noWrap w:val="0"/>
            <w:vAlign w:val="center"/>
          </w:tcPr>
          <w:p w14:paraId="2CA5CA9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费用（元）</w:t>
            </w:r>
          </w:p>
        </w:tc>
        <w:tc>
          <w:tcPr>
            <w:tcW w:w="1243" w:type="dxa"/>
            <w:tcBorders>
              <w:top w:val="single" w:color="auto" w:sz="12" w:space="0"/>
              <w:bottom w:val="double" w:color="auto" w:sz="6" w:space="0"/>
            </w:tcBorders>
            <w:noWrap w:val="0"/>
            <w:vAlign w:val="center"/>
          </w:tcPr>
          <w:p w14:paraId="4952731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质量</w:t>
            </w:r>
          </w:p>
        </w:tc>
        <w:tc>
          <w:tcPr>
            <w:tcW w:w="1450" w:type="dxa"/>
            <w:tcBorders>
              <w:top w:val="single" w:color="auto" w:sz="12" w:space="0"/>
              <w:bottom w:val="double" w:color="auto" w:sz="6" w:space="0"/>
            </w:tcBorders>
            <w:noWrap w:val="0"/>
            <w:vAlign w:val="top"/>
          </w:tcPr>
          <w:p w14:paraId="54BA77E3">
            <w:pPr>
              <w:keepNext w:val="0"/>
              <w:keepLines w:val="0"/>
              <w:pageBreakBefore w:val="0"/>
              <w:suppressLineNumbers w:val="0"/>
              <w:kinsoku/>
              <w:wordWrap w:val="0"/>
              <w:overflowPunct/>
              <w:topLinePunct w:val="0"/>
              <w:bidi w:val="0"/>
              <w:spacing w:before="0" w:beforeAutospacing="0" w:after="0" w:afterAutospacing="0" w:line="440" w:lineRule="exact"/>
              <w:ind w:left="0" w:right="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移交时间</w:t>
            </w:r>
          </w:p>
        </w:tc>
        <w:tc>
          <w:tcPr>
            <w:tcW w:w="1667" w:type="dxa"/>
            <w:tcBorders>
              <w:top w:val="single" w:color="auto" w:sz="12" w:space="0"/>
              <w:bottom w:val="double" w:color="auto" w:sz="6" w:space="0"/>
            </w:tcBorders>
            <w:noWrap w:val="0"/>
            <w:vAlign w:val="top"/>
          </w:tcPr>
          <w:p w14:paraId="4D399268">
            <w:pPr>
              <w:keepNext w:val="0"/>
              <w:keepLines w:val="0"/>
              <w:pageBreakBefore w:val="0"/>
              <w:suppressLineNumbers w:val="0"/>
              <w:kinsoku/>
              <w:wordWrap w:val="0"/>
              <w:overflowPunct/>
              <w:topLinePunct w:val="0"/>
              <w:bidi w:val="0"/>
              <w:spacing w:before="0" w:beforeAutospacing="0" w:after="0" w:afterAutospacing="0" w:line="440" w:lineRule="exact"/>
              <w:ind w:left="0" w:right="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责任人</w:t>
            </w:r>
          </w:p>
        </w:tc>
      </w:tr>
      <w:tr w14:paraId="407A7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150777D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double" w:color="auto" w:sz="6" w:space="0"/>
              <w:bottom w:val="single" w:color="auto" w:sz="6" w:space="0"/>
            </w:tcBorders>
            <w:noWrap w:val="0"/>
            <w:vAlign w:val="center"/>
          </w:tcPr>
          <w:p w14:paraId="42B4367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tcBorders>
              <w:top w:val="double" w:color="auto" w:sz="6" w:space="0"/>
              <w:bottom w:val="single" w:color="auto" w:sz="6" w:space="0"/>
            </w:tcBorders>
            <w:noWrap w:val="0"/>
            <w:vAlign w:val="center"/>
          </w:tcPr>
          <w:p w14:paraId="1D3814A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43" w:type="dxa"/>
            <w:tcBorders>
              <w:top w:val="double" w:color="auto" w:sz="6" w:space="0"/>
              <w:bottom w:val="single" w:color="auto" w:sz="6" w:space="0"/>
            </w:tcBorders>
            <w:noWrap w:val="0"/>
            <w:vAlign w:val="center"/>
          </w:tcPr>
          <w:p w14:paraId="245E952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tcBorders>
              <w:top w:val="double" w:color="auto" w:sz="6" w:space="0"/>
              <w:bottom w:val="single" w:color="auto" w:sz="6" w:space="0"/>
            </w:tcBorders>
            <w:noWrap w:val="0"/>
            <w:vAlign w:val="center"/>
          </w:tcPr>
          <w:p w14:paraId="5D5157D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667" w:type="dxa"/>
            <w:tcBorders>
              <w:top w:val="double" w:color="auto" w:sz="6" w:space="0"/>
              <w:bottom w:val="single" w:color="auto" w:sz="6" w:space="0"/>
            </w:tcBorders>
            <w:noWrap w:val="0"/>
            <w:vAlign w:val="center"/>
          </w:tcPr>
          <w:p w14:paraId="086B8F0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7C5B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11D3400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nil"/>
            </w:tcBorders>
            <w:noWrap w:val="0"/>
            <w:vAlign w:val="center"/>
          </w:tcPr>
          <w:p w14:paraId="32D230F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tcBorders>
              <w:top w:val="nil"/>
            </w:tcBorders>
            <w:noWrap w:val="0"/>
            <w:vAlign w:val="center"/>
          </w:tcPr>
          <w:p w14:paraId="1E1D486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43" w:type="dxa"/>
            <w:tcBorders>
              <w:top w:val="nil"/>
            </w:tcBorders>
            <w:noWrap w:val="0"/>
            <w:vAlign w:val="center"/>
          </w:tcPr>
          <w:p w14:paraId="0C10276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tcBorders>
              <w:top w:val="nil"/>
            </w:tcBorders>
            <w:noWrap w:val="0"/>
            <w:vAlign w:val="center"/>
          </w:tcPr>
          <w:p w14:paraId="109DDA9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667" w:type="dxa"/>
            <w:tcBorders>
              <w:top w:val="nil"/>
            </w:tcBorders>
            <w:noWrap w:val="0"/>
            <w:vAlign w:val="center"/>
          </w:tcPr>
          <w:p w14:paraId="2BF50DD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F166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263DFC3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center"/>
          </w:tcPr>
          <w:p w14:paraId="7BEB9E5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683DBE4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43" w:type="dxa"/>
            <w:noWrap w:val="0"/>
            <w:vAlign w:val="center"/>
          </w:tcPr>
          <w:p w14:paraId="0237AD5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2873DA7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667" w:type="dxa"/>
            <w:noWrap w:val="0"/>
            <w:vAlign w:val="center"/>
          </w:tcPr>
          <w:p w14:paraId="5F9EC13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E0DE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188E75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center"/>
          </w:tcPr>
          <w:p w14:paraId="5EAAC41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1947A64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43" w:type="dxa"/>
            <w:noWrap w:val="0"/>
            <w:vAlign w:val="center"/>
          </w:tcPr>
          <w:p w14:paraId="2AE64E9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32AFD49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667" w:type="dxa"/>
            <w:noWrap w:val="0"/>
            <w:vAlign w:val="center"/>
          </w:tcPr>
          <w:p w14:paraId="058D4DA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D61E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256EF2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center"/>
          </w:tcPr>
          <w:p w14:paraId="28B9B62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75691BA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43" w:type="dxa"/>
            <w:noWrap w:val="0"/>
            <w:vAlign w:val="center"/>
          </w:tcPr>
          <w:p w14:paraId="49AAF32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047EDAE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667" w:type="dxa"/>
            <w:noWrap w:val="0"/>
            <w:vAlign w:val="center"/>
          </w:tcPr>
          <w:p w14:paraId="18B2287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DE106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441FE2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center"/>
          </w:tcPr>
          <w:p w14:paraId="0461123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21D3D1C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43" w:type="dxa"/>
            <w:noWrap w:val="0"/>
            <w:vAlign w:val="center"/>
          </w:tcPr>
          <w:p w14:paraId="63464E0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6611E6D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667" w:type="dxa"/>
            <w:noWrap w:val="0"/>
            <w:vAlign w:val="center"/>
          </w:tcPr>
          <w:p w14:paraId="26164FF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F9A6B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6A02EF4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center"/>
          </w:tcPr>
          <w:p w14:paraId="286F419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7349041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43" w:type="dxa"/>
            <w:noWrap w:val="0"/>
            <w:vAlign w:val="center"/>
          </w:tcPr>
          <w:p w14:paraId="3B42507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296ED0D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667" w:type="dxa"/>
            <w:noWrap w:val="0"/>
            <w:vAlign w:val="center"/>
          </w:tcPr>
          <w:p w14:paraId="78CDE46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9768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1027AC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266D789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6AAE699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5E18712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6BDADA5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63FDDA5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68C4F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2E4A6C7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center"/>
          </w:tcPr>
          <w:p w14:paraId="244C8CE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1B9A66C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43" w:type="dxa"/>
            <w:noWrap w:val="0"/>
            <w:vAlign w:val="center"/>
          </w:tcPr>
          <w:p w14:paraId="4F712CD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50" w:type="dxa"/>
            <w:noWrap w:val="0"/>
            <w:vAlign w:val="center"/>
          </w:tcPr>
          <w:p w14:paraId="695B050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667" w:type="dxa"/>
            <w:noWrap w:val="0"/>
            <w:vAlign w:val="center"/>
          </w:tcPr>
          <w:p w14:paraId="5CDCEE3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AB8F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0B8F12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1F930AD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4401BF6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1B5443E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25383A6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5C223E0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69722A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top"/>
          </w:tcPr>
          <w:p w14:paraId="0C1587D0">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2F7C873E">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2E59134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6612D41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0D2F90B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12E91E8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540DA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E35CE7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76E6F41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2CD5E556">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3E9AB1C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40AEEC8A">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69CF4AA9">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29E783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top"/>
          </w:tcPr>
          <w:p w14:paraId="20EC1CA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4A19CCA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7A73277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55195ADF">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3D56706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7222B58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5148F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top"/>
          </w:tcPr>
          <w:p w14:paraId="51A09160">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19F01DE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6C83AA73">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349AB3B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563B913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565A04C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137028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top"/>
          </w:tcPr>
          <w:p w14:paraId="029495E3">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0ABD74A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2D9DE14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22A2959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69863CE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099F123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3B2E2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E9763F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3B9F938A">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0FAE327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3D5C091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25C13B9F">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523F8EBE">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082EC7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top"/>
          </w:tcPr>
          <w:p w14:paraId="5ABAFBC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20A47E78">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7B07257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04BD30F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2FC59C1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2C7B122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4C0E16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top"/>
          </w:tcPr>
          <w:p w14:paraId="20A32E1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76" w:type="dxa"/>
            <w:noWrap w:val="0"/>
            <w:vAlign w:val="top"/>
          </w:tcPr>
          <w:p w14:paraId="208F946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384C272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243" w:type="dxa"/>
            <w:noWrap w:val="0"/>
            <w:vAlign w:val="top"/>
          </w:tcPr>
          <w:p w14:paraId="6A6C97D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450" w:type="dxa"/>
            <w:noWrap w:val="0"/>
            <w:vAlign w:val="top"/>
          </w:tcPr>
          <w:p w14:paraId="4D1DA6EE">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667" w:type="dxa"/>
            <w:noWrap w:val="0"/>
            <w:vAlign w:val="top"/>
          </w:tcPr>
          <w:p w14:paraId="6AFDADDF">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bl>
    <w:p w14:paraId="1AB6976E">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p>
    <w:p w14:paraId="04198B63">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p>
    <w:p w14:paraId="5B9B2B7A">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p>
    <w:p w14:paraId="3CFF7D1A">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附</w:t>
      </w:r>
      <w:bookmarkStart w:id="1853" w:name="_Toc296891055"/>
      <w:bookmarkStart w:id="1854" w:name="_Toc296347226"/>
      <w:bookmarkStart w:id="1855" w:name="_Toc296891267"/>
      <w:bookmarkStart w:id="1856" w:name="_Toc267261698"/>
      <w:bookmarkStart w:id="1857" w:name="_Toc296503227"/>
      <w:bookmarkStart w:id="1858" w:name="_Toc296944566"/>
      <w:bookmarkStart w:id="1859" w:name="_Toc296346728"/>
      <w:r>
        <w:rPr>
          <w:rFonts w:hint="eastAsia" w:ascii="宋体" w:hAnsi="宋体" w:eastAsia="宋体" w:cs="宋体"/>
          <w:b/>
          <w:bCs/>
          <w:color w:val="auto"/>
          <w:szCs w:val="21"/>
          <w:highlight w:val="none"/>
        </w:rPr>
        <w:t>件5：</w:t>
      </w:r>
    </w:p>
    <w:bookmarkEnd w:id="1853"/>
    <w:bookmarkEnd w:id="1854"/>
    <w:bookmarkEnd w:id="1855"/>
    <w:bookmarkEnd w:id="1856"/>
    <w:bookmarkEnd w:id="1857"/>
    <w:bookmarkEnd w:id="1858"/>
    <w:bookmarkEnd w:id="1859"/>
    <w:p w14:paraId="531D1678">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承包人用于本工程施工的机械设备表</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90"/>
        <w:gridCol w:w="1330"/>
        <w:gridCol w:w="796"/>
        <w:gridCol w:w="991"/>
        <w:gridCol w:w="824"/>
        <w:gridCol w:w="957"/>
        <w:gridCol w:w="1388"/>
        <w:gridCol w:w="957"/>
        <w:gridCol w:w="863"/>
      </w:tblGrid>
      <w:tr w14:paraId="6BCCED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8" w:hRule="atLeast"/>
          <w:jc w:val="center"/>
        </w:trPr>
        <w:tc>
          <w:tcPr>
            <w:tcW w:w="1090" w:type="dxa"/>
            <w:tcBorders>
              <w:top w:val="single" w:color="auto" w:sz="12" w:space="0"/>
              <w:bottom w:val="double" w:color="auto" w:sz="6" w:space="0"/>
            </w:tcBorders>
            <w:noWrap w:val="0"/>
            <w:vAlign w:val="center"/>
          </w:tcPr>
          <w:p w14:paraId="43EE7D6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序号</w:t>
            </w:r>
          </w:p>
        </w:tc>
        <w:tc>
          <w:tcPr>
            <w:tcW w:w="1330" w:type="dxa"/>
            <w:tcBorders>
              <w:top w:val="single" w:color="auto" w:sz="12" w:space="0"/>
              <w:bottom w:val="double" w:color="auto" w:sz="6" w:space="0"/>
            </w:tcBorders>
            <w:noWrap w:val="0"/>
            <w:vAlign w:val="center"/>
          </w:tcPr>
          <w:p w14:paraId="0529316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机械或设备名称</w:t>
            </w:r>
          </w:p>
        </w:tc>
        <w:tc>
          <w:tcPr>
            <w:tcW w:w="796" w:type="dxa"/>
            <w:tcBorders>
              <w:top w:val="single" w:color="auto" w:sz="12" w:space="0"/>
              <w:bottom w:val="double" w:color="auto" w:sz="6" w:space="0"/>
            </w:tcBorders>
            <w:noWrap w:val="0"/>
            <w:vAlign w:val="center"/>
          </w:tcPr>
          <w:p w14:paraId="43133A5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规格型号</w:t>
            </w:r>
          </w:p>
        </w:tc>
        <w:tc>
          <w:tcPr>
            <w:tcW w:w="991" w:type="dxa"/>
            <w:tcBorders>
              <w:top w:val="single" w:color="auto" w:sz="12" w:space="0"/>
              <w:bottom w:val="double" w:color="auto" w:sz="6" w:space="0"/>
            </w:tcBorders>
            <w:noWrap w:val="0"/>
            <w:vAlign w:val="center"/>
          </w:tcPr>
          <w:p w14:paraId="690B240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数量</w:t>
            </w:r>
          </w:p>
        </w:tc>
        <w:tc>
          <w:tcPr>
            <w:tcW w:w="824" w:type="dxa"/>
            <w:tcBorders>
              <w:top w:val="single" w:color="auto" w:sz="12" w:space="0"/>
              <w:bottom w:val="double" w:color="auto" w:sz="6" w:space="0"/>
            </w:tcBorders>
            <w:noWrap w:val="0"/>
            <w:vAlign w:val="center"/>
          </w:tcPr>
          <w:p w14:paraId="467304D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产地</w:t>
            </w:r>
          </w:p>
        </w:tc>
        <w:tc>
          <w:tcPr>
            <w:tcW w:w="957" w:type="dxa"/>
            <w:tcBorders>
              <w:top w:val="single" w:color="auto" w:sz="12" w:space="0"/>
              <w:bottom w:val="double" w:color="auto" w:sz="6" w:space="0"/>
            </w:tcBorders>
            <w:noWrap w:val="0"/>
            <w:vAlign w:val="center"/>
          </w:tcPr>
          <w:p w14:paraId="23F30C9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制造年份</w:t>
            </w:r>
          </w:p>
        </w:tc>
        <w:tc>
          <w:tcPr>
            <w:tcW w:w="1388" w:type="dxa"/>
            <w:tcBorders>
              <w:top w:val="single" w:color="auto" w:sz="12" w:space="0"/>
              <w:bottom w:val="double" w:color="auto" w:sz="6" w:space="0"/>
            </w:tcBorders>
            <w:noWrap w:val="0"/>
            <w:vAlign w:val="center"/>
          </w:tcPr>
          <w:p w14:paraId="2A5E23B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额定功率(kW)</w:t>
            </w:r>
          </w:p>
        </w:tc>
        <w:tc>
          <w:tcPr>
            <w:tcW w:w="957" w:type="dxa"/>
            <w:tcBorders>
              <w:top w:val="single" w:color="auto" w:sz="12" w:space="0"/>
              <w:bottom w:val="double" w:color="auto" w:sz="6" w:space="0"/>
            </w:tcBorders>
            <w:noWrap w:val="0"/>
            <w:vAlign w:val="center"/>
          </w:tcPr>
          <w:p w14:paraId="03A9377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生产能力</w:t>
            </w:r>
          </w:p>
        </w:tc>
        <w:tc>
          <w:tcPr>
            <w:tcW w:w="863" w:type="dxa"/>
            <w:tcBorders>
              <w:top w:val="single" w:color="auto" w:sz="12" w:space="0"/>
              <w:bottom w:val="double" w:color="auto" w:sz="6" w:space="0"/>
            </w:tcBorders>
            <w:noWrap w:val="0"/>
            <w:vAlign w:val="center"/>
          </w:tcPr>
          <w:p w14:paraId="7CEA03E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备注</w:t>
            </w:r>
          </w:p>
        </w:tc>
      </w:tr>
      <w:tr w14:paraId="760B9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jc w:val="center"/>
        </w:trPr>
        <w:tc>
          <w:tcPr>
            <w:tcW w:w="1090" w:type="dxa"/>
            <w:tcBorders>
              <w:top w:val="double" w:color="auto" w:sz="6" w:space="0"/>
              <w:bottom w:val="single" w:color="auto" w:sz="6" w:space="0"/>
            </w:tcBorders>
            <w:noWrap w:val="0"/>
            <w:vAlign w:val="center"/>
          </w:tcPr>
          <w:p w14:paraId="705F297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tcBorders>
              <w:top w:val="double" w:color="auto" w:sz="6" w:space="0"/>
              <w:bottom w:val="single" w:color="auto" w:sz="6" w:space="0"/>
            </w:tcBorders>
            <w:noWrap w:val="0"/>
            <w:vAlign w:val="center"/>
          </w:tcPr>
          <w:p w14:paraId="6E0455F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tcBorders>
              <w:top w:val="double" w:color="auto" w:sz="6" w:space="0"/>
              <w:bottom w:val="single" w:color="auto" w:sz="6" w:space="0"/>
            </w:tcBorders>
            <w:noWrap w:val="0"/>
            <w:vAlign w:val="center"/>
          </w:tcPr>
          <w:p w14:paraId="57A293B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tcBorders>
              <w:top w:val="double" w:color="auto" w:sz="6" w:space="0"/>
              <w:bottom w:val="single" w:color="auto" w:sz="6" w:space="0"/>
            </w:tcBorders>
            <w:noWrap w:val="0"/>
            <w:vAlign w:val="center"/>
          </w:tcPr>
          <w:p w14:paraId="5185E9D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tcBorders>
              <w:top w:val="double" w:color="auto" w:sz="6" w:space="0"/>
              <w:bottom w:val="single" w:color="auto" w:sz="6" w:space="0"/>
            </w:tcBorders>
            <w:noWrap w:val="0"/>
            <w:vAlign w:val="center"/>
          </w:tcPr>
          <w:p w14:paraId="6965415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tcBorders>
              <w:top w:val="double" w:color="auto" w:sz="6" w:space="0"/>
              <w:bottom w:val="single" w:color="auto" w:sz="6" w:space="0"/>
            </w:tcBorders>
            <w:noWrap w:val="0"/>
            <w:vAlign w:val="center"/>
          </w:tcPr>
          <w:p w14:paraId="4D2633D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tcBorders>
              <w:top w:val="double" w:color="auto" w:sz="6" w:space="0"/>
              <w:bottom w:val="single" w:color="auto" w:sz="6" w:space="0"/>
            </w:tcBorders>
            <w:noWrap w:val="0"/>
            <w:vAlign w:val="center"/>
          </w:tcPr>
          <w:p w14:paraId="5A530CE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tcBorders>
              <w:top w:val="double" w:color="auto" w:sz="6" w:space="0"/>
              <w:bottom w:val="single" w:color="auto" w:sz="6" w:space="0"/>
            </w:tcBorders>
            <w:noWrap w:val="0"/>
            <w:vAlign w:val="center"/>
          </w:tcPr>
          <w:p w14:paraId="322ACB2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tcBorders>
              <w:top w:val="double" w:color="auto" w:sz="6" w:space="0"/>
              <w:bottom w:val="single" w:color="auto" w:sz="6" w:space="0"/>
            </w:tcBorders>
            <w:noWrap w:val="0"/>
            <w:vAlign w:val="center"/>
          </w:tcPr>
          <w:p w14:paraId="72CF73E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5C729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tcBorders>
              <w:top w:val="nil"/>
            </w:tcBorders>
            <w:noWrap w:val="0"/>
            <w:vAlign w:val="center"/>
          </w:tcPr>
          <w:p w14:paraId="2DBFE35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tcBorders>
              <w:top w:val="nil"/>
            </w:tcBorders>
            <w:noWrap w:val="0"/>
            <w:vAlign w:val="center"/>
          </w:tcPr>
          <w:p w14:paraId="0A8E508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tcBorders>
              <w:top w:val="nil"/>
            </w:tcBorders>
            <w:noWrap w:val="0"/>
            <w:vAlign w:val="center"/>
          </w:tcPr>
          <w:p w14:paraId="4473A6D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tcBorders>
              <w:top w:val="nil"/>
            </w:tcBorders>
            <w:noWrap w:val="0"/>
            <w:vAlign w:val="center"/>
          </w:tcPr>
          <w:p w14:paraId="38EFE41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tcBorders>
              <w:top w:val="nil"/>
            </w:tcBorders>
            <w:noWrap w:val="0"/>
            <w:vAlign w:val="center"/>
          </w:tcPr>
          <w:p w14:paraId="7137D1C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tcBorders>
              <w:top w:val="nil"/>
            </w:tcBorders>
            <w:noWrap w:val="0"/>
            <w:vAlign w:val="center"/>
          </w:tcPr>
          <w:p w14:paraId="7F5E4B4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tcBorders>
              <w:top w:val="nil"/>
            </w:tcBorders>
            <w:noWrap w:val="0"/>
            <w:vAlign w:val="center"/>
          </w:tcPr>
          <w:p w14:paraId="3A22FCF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tcBorders>
              <w:top w:val="nil"/>
            </w:tcBorders>
            <w:noWrap w:val="0"/>
            <w:vAlign w:val="center"/>
          </w:tcPr>
          <w:p w14:paraId="57182F0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tcBorders>
              <w:top w:val="nil"/>
            </w:tcBorders>
            <w:noWrap w:val="0"/>
            <w:vAlign w:val="center"/>
          </w:tcPr>
          <w:p w14:paraId="2FF0C8F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4F26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7088863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noWrap w:val="0"/>
            <w:vAlign w:val="center"/>
          </w:tcPr>
          <w:p w14:paraId="5FF1CC8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noWrap w:val="0"/>
            <w:vAlign w:val="center"/>
          </w:tcPr>
          <w:p w14:paraId="6333920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noWrap w:val="0"/>
            <w:vAlign w:val="center"/>
          </w:tcPr>
          <w:p w14:paraId="5E87903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noWrap w:val="0"/>
            <w:vAlign w:val="center"/>
          </w:tcPr>
          <w:p w14:paraId="18FA233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35EAA30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noWrap w:val="0"/>
            <w:vAlign w:val="center"/>
          </w:tcPr>
          <w:p w14:paraId="645B1EA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29380CB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noWrap w:val="0"/>
            <w:vAlign w:val="center"/>
          </w:tcPr>
          <w:p w14:paraId="1AFC401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5CEB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7C2B33D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noWrap w:val="0"/>
            <w:vAlign w:val="center"/>
          </w:tcPr>
          <w:p w14:paraId="7395C2C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noWrap w:val="0"/>
            <w:vAlign w:val="center"/>
          </w:tcPr>
          <w:p w14:paraId="3A18E93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noWrap w:val="0"/>
            <w:vAlign w:val="center"/>
          </w:tcPr>
          <w:p w14:paraId="2EB85C2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noWrap w:val="0"/>
            <w:vAlign w:val="center"/>
          </w:tcPr>
          <w:p w14:paraId="612E59F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63ECE2E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noWrap w:val="0"/>
            <w:vAlign w:val="center"/>
          </w:tcPr>
          <w:p w14:paraId="70E5D6E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4750597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noWrap w:val="0"/>
            <w:vAlign w:val="center"/>
          </w:tcPr>
          <w:p w14:paraId="2BC5B20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2178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6610B08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noWrap w:val="0"/>
            <w:vAlign w:val="center"/>
          </w:tcPr>
          <w:p w14:paraId="4532570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noWrap w:val="0"/>
            <w:vAlign w:val="center"/>
          </w:tcPr>
          <w:p w14:paraId="4A66425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noWrap w:val="0"/>
            <w:vAlign w:val="center"/>
          </w:tcPr>
          <w:p w14:paraId="6374DC5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noWrap w:val="0"/>
            <w:vAlign w:val="center"/>
          </w:tcPr>
          <w:p w14:paraId="3838DFF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252A987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noWrap w:val="0"/>
            <w:vAlign w:val="center"/>
          </w:tcPr>
          <w:p w14:paraId="0700609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0C7D58A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noWrap w:val="0"/>
            <w:vAlign w:val="center"/>
          </w:tcPr>
          <w:p w14:paraId="00C6CCA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D04D0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2BAD8C8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noWrap w:val="0"/>
            <w:vAlign w:val="center"/>
          </w:tcPr>
          <w:p w14:paraId="1846FF6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noWrap w:val="0"/>
            <w:vAlign w:val="center"/>
          </w:tcPr>
          <w:p w14:paraId="499F4E1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noWrap w:val="0"/>
            <w:vAlign w:val="center"/>
          </w:tcPr>
          <w:p w14:paraId="3483AC0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noWrap w:val="0"/>
            <w:vAlign w:val="center"/>
          </w:tcPr>
          <w:p w14:paraId="043AFDB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1FB9952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noWrap w:val="0"/>
            <w:vAlign w:val="center"/>
          </w:tcPr>
          <w:p w14:paraId="01BA5F6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6EC3FE3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noWrap w:val="0"/>
            <w:vAlign w:val="center"/>
          </w:tcPr>
          <w:p w14:paraId="02567C7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90EEE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1697EE3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noWrap w:val="0"/>
            <w:vAlign w:val="center"/>
          </w:tcPr>
          <w:p w14:paraId="613ECC9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noWrap w:val="0"/>
            <w:vAlign w:val="center"/>
          </w:tcPr>
          <w:p w14:paraId="00537A5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noWrap w:val="0"/>
            <w:vAlign w:val="center"/>
          </w:tcPr>
          <w:p w14:paraId="3413B3C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noWrap w:val="0"/>
            <w:vAlign w:val="center"/>
          </w:tcPr>
          <w:p w14:paraId="3D2085A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081656A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noWrap w:val="0"/>
            <w:vAlign w:val="center"/>
          </w:tcPr>
          <w:p w14:paraId="0F8BD27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6D470C3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noWrap w:val="0"/>
            <w:vAlign w:val="center"/>
          </w:tcPr>
          <w:p w14:paraId="4654DD3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0090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6BBB3C5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noWrap w:val="0"/>
            <w:vAlign w:val="center"/>
          </w:tcPr>
          <w:p w14:paraId="714B1F7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noWrap w:val="0"/>
            <w:vAlign w:val="center"/>
          </w:tcPr>
          <w:p w14:paraId="240F925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noWrap w:val="0"/>
            <w:vAlign w:val="center"/>
          </w:tcPr>
          <w:p w14:paraId="5A63035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noWrap w:val="0"/>
            <w:vAlign w:val="center"/>
          </w:tcPr>
          <w:p w14:paraId="3877D27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7104465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noWrap w:val="0"/>
            <w:vAlign w:val="center"/>
          </w:tcPr>
          <w:p w14:paraId="4079F32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31DE466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noWrap w:val="0"/>
            <w:vAlign w:val="center"/>
          </w:tcPr>
          <w:p w14:paraId="15E4AE8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B90B1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4429AF0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30" w:type="dxa"/>
            <w:noWrap w:val="0"/>
            <w:vAlign w:val="top"/>
          </w:tcPr>
          <w:p w14:paraId="3B3C2A59">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796" w:type="dxa"/>
            <w:noWrap w:val="0"/>
            <w:vAlign w:val="top"/>
          </w:tcPr>
          <w:p w14:paraId="17125FD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91" w:type="dxa"/>
            <w:noWrap w:val="0"/>
            <w:vAlign w:val="top"/>
          </w:tcPr>
          <w:p w14:paraId="7C2C580F">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24" w:type="dxa"/>
            <w:noWrap w:val="0"/>
            <w:vAlign w:val="top"/>
          </w:tcPr>
          <w:p w14:paraId="6402AF2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562F0E8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88" w:type="dxa"/>
            <w:noWrap w:val="0"/>
            <w:vAlign w:val="top"/>
          </w:tcPr>
          <w:p w14:paraId="4BA403C3">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6BFCA50E">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63" w:type="dxa"/>
            <w:noWrap w:val="0"/>
            <w:vAlign w:val="top"/>
          </w:tcPr>
          <w:p w14:paraId="02EC653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0FBC2B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3EAFE79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30" w:type="dxa"/>
            <w:noWrap w:val="0"/>
            <w:vAlign w:val="center"/>
          </w:tcPr>
          <w:p w14:paraId="5E6AA03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96" w:type="dxa"/>
            <w:noWrap w:val="0"/>
            <w:vAlign w:val="center"/>
          </w:tcPr>
          <w:p w14:paraId="3407C31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91" w:type="dxa"/>
            <w:noWrap w:val="0"/>
            <w:vAlign w:val="center"/>
          </w:tcPr>
          <w:p w14:paraId="7E9D710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24" w:type="dxa"/>
            <w:noWrap w:val="0"/>
            <w:vAlign w:val="center"/>
          </w:tcPr>
          <w:p w14:paraId="21FEFBF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627B72A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88" w:type="dxa"/>
            <w:noWrap w:val="0"/>
            <w:vAlign w:val="center"/>
          </w:tcPr>
          <w:p w14:paraId="5DA2106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957" w:type="dxa"/>
            <w:noWrap w:val="0"/>
            <w:vAlign w:val="center"/>
          </w:tcPr>
          <w:p w14:paraId="3FC9559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63" w:type="dxa"/>
            <w:noWrap w:val="0"/>
            <w:vAlign w:val="center"/>
          </w:tcPr>
          <w:p w14:paraId="51E9081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9B5D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3B54722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30" w:type="dxa"/>
            <w:noWrap w:val="0"/>
            <w:vAlign w:val="top"/>
          </w:tcPr>
          <w:p w14:paraId="27E3D99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796" w:type="dxa"/>
            <w:noWrap w:val="0"/>
            <w:vAlign w:val="top"/>
          </w:tcPr>
          <w:p w14:paraId="5D30B5F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91" w:type="dxa"/>
            <w:noWrap w:val="0"/>
            <w:vAlign w:val="top"/>
          </w:tcPr>
          <w:p w14:paraId="41786E7E">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24" w:type="dxa"/>
            <w:noWrap w:val="0"/>
            <w:vAlign w:val="top"/>
          </w:tcPr>
          <w:p w14:paraId="66F5515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5B1C94D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88" w:type="dxa"/>
            <w:noWrap w:val="0"/>
            <w:vAlign w:val="top"/>
          </w:tcPr>
          <w:p w14:paraId="6D27700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515A57D0">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63" w:type="dxa"/>
            <w:noWrap w:val="0"/>
            <w:vAlign w:val="top"/>
          </w:tcPr>
          <w:p w14:paraId="3B2E6608">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6CF19A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44F02808">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30" w:type="dxa"/>
            <w:noWrap w:val="0"/>
            <w:vAlign w:val="top"/>
          </w:tcPr>
          <w:p w14:paraId="2EED7D16">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796" w:type="dxa"/>
            <w:noWrap w:val="0"/>
            <w:vAlign w:val="top"/>
          </w:tcPr>
          <w:p w14:paraId="277EC4DE">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91" w:type="dxa"/>
            <w:noWrap w:val="0"/>
            <w:vAlign w:val="top"/>
          </w:tcPr>
          <w:p w14:paraId="6166CC93">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24" w:type="dxa"/>
            <w:noWrap w:val="0"/>
            <w:vAlign w:val="top"/>
          </w:tcPr>
          <w:p w14:paraId="7DCD1AC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449547F9">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88" w:type="dxa"/>
            <w:noWrap w:val="0"/>
            <w:vAlign w:val="top"/>
          </w:tcPr>
          <w:p w14:paraId="571727E9">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35AE52F7">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63" w:type="dxa"/>
            <w:noWrap w:val="0"/>
            <w:vAlign w:val="top"/>
          </w:tcPr>
          <w:p w14:paraId="4AEFF2CA">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09D4B5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5DA366E9">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30" w:type="dxa"/>
            <w:noWrap w:val="0"/>
            <w:vAlign w:val="top"/>
          </w:tcPr>
          <w:p w14:paraId="662AFB83">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796" w:type="dxa"/>
            <w:noWrap w:val="0"/>
            <w:vAlign w:val="top"/>
          </w:tcPr>
          <w:p w14:paraId="2CDD7503">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91" w:type="dxa"/>
            <w:noWrap w:val="0"/>
            <w:vAlign w:val="top"/>
          </w:tcPr>
          <w:p w14:paraId="065ECCF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24" w:type="dxa"/>
            <w:noWrap w:val="0"/>
            <w:vAlign w:val="top"/>
          </w:tcPr>
          <w:p w14:paraId="60FA3898">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7E60405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88" w:type="dxa"/>
            <w:noWrap w:val="0"/>
            <w:vAlign w:val="top"/>
          </w:tcPr>
          <w:p w14:paraId="4EC032E8">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7732E729">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63" w:type="dxa"/>
            <w:noWrap w:val="0"/>
            <w:vAlign w:val="top"/>
          </w:tcPr>
          <w:p w14:paraId="69E527EE">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0E779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5564F7E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30" w:type="dxa"/>
            <w:noWrap w:val="0"/>
            <w:vAlign w:val="top"/>
          </w:tcPr>
          <w:p w14:paraId="4F12A624">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796" w:type="dxa"/>
            <w:noWrap w:val="0"/>
            <w:vAlign w:val="top"/>
          </w:tcPr>
          <w:p w14:paraId="1C9CEDCF">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91" w:type="dxa"/>
            <w:noWrap w:val="0"/>
            <w:vAlign w:val="top"/>
          </w:tcPr>
          <w:p w14:paraId="424C47FA">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24" w:type="dxa"/>
            <w:noWrap w:val="0"/>
            <w:vAlign w:val="top"/>
          </w:tcPr>
          <w:p w14:paraId="212F275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792D337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88" w:type="dxa"/>
            <w:noWrap w:val="0"/>
            <w:vAlign w:val="top"/>
          </w:tcPr>
          <w:p w14:paraId="7EF34BD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52D4A890">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63" w:type="dxa"/>
            <w:noWrap w:val="0"/>
            <w:vAlign w:val="top"/>
          </w:tcPr>
          <w:p w14:paraId="29AA09A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15924E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0759870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30" w:type="dxa"/>
            <w:noWrap w:val="0"/>
            <w:vAlign w:val="top"/>
          </w:tcPr>
          <w:p w14:paraId="2A6430C9">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796" w:type="dxa"/>
            <w:noWrap w:val="0"/>
            <w:vAlign w:val="top"/>
          </w:tcPr>
          <w:p w14:paraId="29C95CE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91" w:type="dxa"/>
            <w:noWrap w:val="0"/>
            <w:vAlign w:val="top"/>
          </w:tcPr>
          <w:p w14:paraId="465A9D7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24" w:type="dxa"/>
            <w:noWrap w:val="0"/>
            <w:vAlign w:val="top"/>
          </w:tcPr>
          <w:p w14:paraId="4AE905F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3A9567BB">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88" w:type="dxa"/>
            <w:noWrap w:val="0"/>
            <w:vAlign w:val="top"/>
          </w:tcPr>
          <w:p w14:paraId="0721388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78BEF93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63" w:type="dxa"/>
            <w:noWrap w:val="0"/>
            <w:vAlign w:val="top"/>
          </w:tcPr>
          <w:p w14:paraId="0BA47173">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0A8CA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6E5719A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30" w:type="dxa"/>
            <w:noWrap w:val="0"/>
            <w:vAlign w:val="top"/>
          </w:tcPr>
          <w:p w14:paraId="19534FD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796" w:type="dxa"/>
            <w:noWrap w:val="0"/>
            <w:vAlign w:val="top"/>
          </w:tcPr>
          <w:p w14:paraId="702E2279">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91" w:type="dxa"/>
            <w:noWrap w:val="0"/>
            <w:vAlign w:val="top"/>
          </w:tcPr>
          <w:p w14:paraId="36B6D728">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24" w:type="dxa"/>
            <w:noWrap w:val="0"/>
            <w:vAlign w:val="top"/>
          </w:tcPr>
          <w:p w14:paraId="6D0FCD2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0900E69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88" w:type="dxa"/>
            <w:noWrap w:val="0"/>
            <w:vAlign w:val="top"/>
          </w:tcPr>
          <w:p w14:paraId="5F834396">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0622717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63" w:type="dxa"/>
            <w:noWrap w:val="0"/>
            <w:vAlign w:val="top"/>
          </w:tcPr>
          <w:p w14:paraId="17ED2E5D">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r w14:paraId="1C08CF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jc w:val="center"/>
        </w:trPr>
        <w:tc>
          <w:tcPr>
            <w:tcW w:w="1090" w:type="dxa"/>
            <w:noWrap w:val="0"/>
            <w:vAlign w:val="top"/>
          </w:tcPr>
          <w:p w14:paraId="3D947D7E">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30" w:type="dxa"/>
            <w:noWrap w:val="0"/>
            <w:vAlign w:val="top"/>
          </w:tcPr>
          <w:p w14:paraId="720B95B0">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796" w:type="dxa"/>
            <w:noWrap w:val="0"/>
            <w:vAlign w:val="top"/>
          </w:tcPr>
          <w:p w14:paraId="20F7287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91" w:type="dxa"/>
            <w:noWrap w:val="0"/>
            <w:vAlign w:val="top"/>
          </w:tcPr>
          <w:p w14:paraId="7AD9DC1C">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24" w:type="dxa"/>
            <w:noWrap w:val="0"/>
            <w:vAlign w:val="top"/>
          </w:tcPr>
          <w:p w14:paraId="690CF1A1">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77F54810">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1388" w:type="dxa"/>
            <w:noWrap w:val="0"/>
            <w:vAlign w:val="top"/>
          </w:tcPr>
          <w:p w14:paraId="347DDF32">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957" w:type="dxa"/>
            <w:noWrap w:val="0"/>
            <w:vAlign w:val="top"/>
          </w:tcPr>
          <w:p w14:paraId="734D3CB6">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c>
          <w:tcPr>
            <w:tcW w:w="863" w:type="dxa"/>
            <w:noWrap w:val="0"/>
            <w:vAlign w:val="top"/>
          </w:tcPr>
          <w:p w14:paraId="05D7CB15">
            <w:pPr>
              <w:keepNext w:val="0"/>
              <w:keepLines w:val="0"/>
              <w:pageBreakBefore w:val="0"/>
              <w:suppressLineNumbers w:val="0"/>
              <w:kinsoku/>
              <w:wordWrap w:val="0"/>
              <w:overflowPunct/>
              <w:topLinePunct w:val="0"/>
              <w:bidi w:val="0"/>
              <w:spacing w:before="0" w:beforeAutospacing="0" w:after="0" w:afterAutospacing="0"/>
              <w:ind w:left="0" w:right="0"/>
              <w:outlineLvl w:val="9"/>
              <w:rPr>
                <w:rFonts w:hint="eastAsia" w:ascii="宋体" w:hAnsi="宋体" w:eastAsia="宋体" w:cs="宋体"/>
                <w:color w:val="auto"/>
                <w:szCs w:val="21"/>
                <w:highlight w:val="none"/>
              </w:rPr>
            </w:pPr>
          </w:p>
        </w:tc>
      </w:tr>
    </w:tbl>
    <w:p w14:paraId="06D43F59">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p>
    <w:p w14:paraId="03811BB9">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p>
    <w:p w14:paraId="2509F325">
      <w:pPr>
        <w:pageBreakBefore w:val="0"/>
        <w:kinsoku/>
        <w:wordWrap w:val="0"/>
        <w:overflowPunct/>
        <w:topLinePunct w:val="0"/>
        <w:bidi w:val="0"/>
        <w:spacing w:line="440" w:lineRule="exact"/>
        <w:outlineLvl w:val="9"/>
        <w:rPr>
          <w:rFonts w:hint="eastAsia" w:ascii="宋体" w:hAnsi="宋体" w:eastAsia="宋体" w:cs="宋体"/>
          <w:b/>
          <w:bCs/>
          <w:color w:val="auto"/>
          <w:szCs w:val="21"/>
          <w:highlight w:val="none"/>
        </w:rPr>
      </w:pPr>
    </w:p>
    <w:p w14:paraId="5201B15D">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附</w:t>
      </w:r>
      <w:bookmarkStart w:id="1860" w:name="_Toc296503228"/>
      <w:bookmarkStart w:id="1861" w:name="_Toc296891268"/>
      <w:bookmarkStart w:id="1862" w:name="_Toc296891056"/>
      <w:bookmarkStart w:id="1863" w:name="_Toc296347227"/>
      <w:bookmarkStart w:id="1864" w:name="_Toc296346729"/>
      <w:bookmarkStart w:id="1865" w:name="_Toc267261699"/>
      <w:bookmarkStart w:id="1866" w:name="_Toc296944567"/>
      <w:r>
        <w:rPr>
          <w:rFonts w:hint="eastAsia" w:ascii="宋体" w:hAnsi="宋体" w:eastAsia="宋体" w:cs="宋体"/>
          <w:b/>
          <w:bCs/>
          <w:color w:val="auto"/>
          <w:szCs w:val="21"/>
          <w:highlight w:val="none"/>
        </w:rPr>
        <w:t>件6：</w:t>
      </w:r>
    </w:p>
    <w:bookmarkEnd w:id="1860"/>
    <w:bookmarkEnd w:id="1861"/>
    <w:bookmarkEnd w:id="1862"/>
    <w:bookmarkEnd w:id="1863"/>
    <w:bookmarkEnd w:id="1864"/>
    <w:bookmarkEnd w:id="1865"/>
    <w:bookmarkEnd w:id="1866"/>
    <w:p w14:paraId="72AE91CD">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承包人主要施工管理人员表</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80"/>
        <w:gridCol w:w="1349"/>
        <w:gridCol w:w="1079"/>
        <w:gridCol w:w="1079"/>
        <w:gridCol w:w="3712"/>
      </w:tblGrid>
      <w:tr w14:paraId="4ADD15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8" w:hRule="atLeast"/>
          <w:jc w:val="center"/>
        </w:trPr>
        <w:tc>
          <w:tcPr>
            <w:tcW w:w="1780" w:type="dxa"/>
            <w:tcBorders>
              <w:top w:val="single" w:color="auto" w:sz="12" w:space="0"/>
              <w:bottom w:val="double" w:color="auto" w:sz="6" w:space="0"/>
            </w:tcBorders>
            <w:noWrap w:val="0"/>
            <w:vAlign w:val="center"/>
          </w:tcPr>
          <w:p w14:paraId="49BBF07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名    称</w:t>
            </w:r>
          </w:p>
        </w:tc>
        <w:tc>
          <w:tcPr>
            <w:tcW w:w="1349" w:type="dxa"/>
            <w:tcBorders>
              <w:top w:val="single" w:color="auto" w:sz="12" w:space="0"/>
              <w:bottom w:val="double" w:color="auto" w:sz="6" w:space="0"/>
            </w:tcBorders>
            <w:noWrap w:val="0"/>
            <w:vAlign w:val="center"/>
          </w:tcPr>
          <w:p w14:paraId="20FAED0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姓名</w:t>
            </w:r>
          </w:p>
        </w:tc>
        <w:tc>
          <w:tcPr>
            <w:tcW w:w="1079" w:type="dxa"/>
            <w:tcBorders>
              <w:top w:val="single" w:color="auto" w:sz="12" w:space="0"/>
              <w:bottom w:val="double" w:color="auto" w:sz="6" w:space="0"/>
            </w:tcBorders>
            <w:noWrap w:val="0"/>
            <w:vAlign w:val="center"/>
          </w:tcPr>
          <w:p w14:paraId="7255619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职务</w:t>
            </w:r>
          </w:p>
        </w:tc>
        <w:tc>
          <w:tcPr>
            <w:tcW w:w="1079" w:type="dxa"/>
            <w:tcBorders>
              <w:top w:val="single" w:color="auto" w:sz="12" w:space="0"/>
              <w:bottom w:val="double" w:color="auto" w:sz="6" w:space="0"/>
            </w:tcBorders>
            <w:noWrap w:val="0"/>
            <w:vAlign w:val="center"/>
          </w:tcPr>
          <w:p w14:paraId="01AC50F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职称</w:t>
            </w:r>
          </w:p>
        </w:tc>
        <w:tc>
          <w:tcPr>
            <w:tcW w:w="3712" w:type="dxa"/>
            <w:tcBorders>
              <w:top w:val="single" w:color="auto" w:sz="12" w:space="0"/>
              <w:bottom w:val="double" w:color="auto" w:sz="6" w:space="0"/>
            </w:tcBorders>
            <w:noWrap w:val="0"/>
            <w:vAlign w:val="center"/>
          </w:tcPr>
          <w:p w14:paraId="33639CA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主要资历、经验及承担过的项目</w:t>
            </w:r>
          </w:p>
        </w:tc>
      </w:tr>
      <w:tr w14:paraId="442A3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8999" w:type="dxa"/>
            <w:gridSpan w:val="5"/>
            <w:tcBorders>
              <w:top w:val="double" w:color="auto" w:sz="6" w:space="0"/>
              <w:bottom w:val="single" w:color="auto" w:sz="6" w:space="0"/>
            </w:tcBorders>
            <w:noWrap w:val="0"/>
            <w:vAlign w:val="center"/>
          </w:tcPr>
          <w:p w14:paraId="25FC30B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一、总部人员</w:t>
            </w:r>
          </w:p>
        </w:tc>
      </w:tr>
      <w:tr w14:paraId="3AA22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nil"/>
              <w:bottom w:val="nil"/>
            </w:tcBorders>
            <w:noWrap w:val="0"/>
            <w:vAlign w:val="center"/>
          </w:tcPr>
          <w:p w14:paraId="1DFF63A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项目主管</w:t>
            </w:r>
          </w:p>
        </w:tc>
        <w:tc>
          <w:tcPr>
            <w:tcW w:w="1349" w:type="dxa"/>
            <w:tcBorders>
              <w:top w:val="nil"/>
            </w:tcBorders>
            <w:noWrap w:val="0"/>
            <w:vAlign w:val="center"/>
          </w:tcPr>
          <w:p w14:paraId="15791C5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tcBorders>
              <w:top w:val="nil"/>
            </w:tcBorders>
            <w:noWrap w:val="0"/>
            <w:vAlign w:val="center"/>
          </w:tcPr>
          <w:p w14:paraId="673F3A5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tcBorders>
              <w:top w:val="nil"/>
            </w:tcBorders>
            <w:noWrap w:val="0"/>
            <w:vAlign w:val="center"/>
          </w:tcPr>
          <w:p w14:paraId="261CD9E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tcBorders>
              <w:top w:val="nil"/>
            </w:tcBorders>
            <w:noWrap w:val="0"/>
            <w:vAlign w:val="center"/>
          </w:tcPr>
          <w:p w14:paraId="044D4E9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F92CE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nil"/>
            </w:tcBorders>
            <w:noWrap w:val="0"/>
            <w:vAlign w:val="center"/>
          </w:tcPr>
          <w:p w14:paraId="4C5520A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9" w:type="dxa"/>
            <w:noWrap w:val="0"/>
            <w:vAlign w:val="center"/>
          </w:tcPr>
          <w:p w14:paraId="563281E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582DA0F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2AF1FD3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4239CB7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5C8FF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nil"/>
              <w:bottom w:val="nil"/>
            </w:tcBorders>
            <w:noWrap w:val="0"/>
            <w:vAlign w:val="center"/>
          </w:tcPr>
          <w:p w14:paraId="0629DE3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其他人员</w:t>
            </w:r>
          </w:p>
        </w:tc>
        <w:tc>
          <w:tcPr>
            <w:tcW w:w="1349" w:type="dxa"/>
            <w:noWrap w:val="0"/>
            <w:vAlign w:val="center"/>
          </w:tcPr>
          <w:p w14:paraId="5F0DD65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2634E8A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095AC90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0F49CD3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CD0DF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nil"/>
              <w:bottom w:val="nil"/>
            </w:tcBorders>
            <w:noWrap w:val="0"/>
            <w:vAlign w:val="center"/>
          </w:tcPr>
          <w:p w14:paraId="463990B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9" w:type="dxa"/>
            <w:noWrap w:val="0"/>
            <w:vAlign w:val="center"/>
          </w:tcPr>
          <w:p w14:paraId="242FC99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2D8B0F6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2A2E202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05E8EBF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C6A9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8999" w:type="dxa"/>
            <w:gridSpan w:val="5"/>
            <w:tcBorders>
              <w:top w:val="single" w:color="auto" w:sz="6" w:space="0"/>
              <w:bottom w:val="single" w:color="auto" w:sz="6" w:space="0"/>
            </w:tcBorders>
            <w:noWrap w:val="0"/>
            <w:vAlign w:val="center"/>
          </w:tcPr>
          <w:p w14:paraId="74266FA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二、现场人员</w:t>
            </w:r>
          </w:p>
        </w:tc>
      </w:tr>
      <w:tr w14:paraId="540F9D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1FF560E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项目经理</w:t>
            </w:r>
          </w:p>
        </w:tc>
        <w:tc>
          <w:tcPr>
            <w:tcW w:w="1349" w:type="dxa"/>
            <w:noWrap w:val="0"/>
            <w:vAlign w:val="center"/>
          </w:tcPr>
          <w:p w14:paraId="4C9CD06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264027F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63CFF01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46D613B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744F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19503FA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项目副经理</w:t>
            </w:r>
          </w:p>
        </w:tc>
        <w:tc>
          <w:tcPr>
            <w:tcW w:w="1349" w:type="dxa"/>
            <w:noWrap w:val="0"/>
            <w:vAlign w:val="center"/>
          </w:tcPr>
          <w:p w14:paraId="1FD97FF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7EC98F2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6433325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44072E0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71734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4019F37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技术负责人</w:t>
            </w:r>
          </w:p>
        </w:tc>
        <w:tc>
          <w:tcPr>
            <w:tcW w:w="1349" w:type="dxa"/>
            <w:noWrap w:val="0"/>
            <w:vAlign w:val="center"/>
          </w:tcPr>
          <w:p w14:paraId="21CBFCF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7319B45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1DD7FCA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00095AE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FF66B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367FEFD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造价管理</w:t>
            </w:r>
          </w:p>
        </w:tc>
        <w:tc>
          <w:tcPr>
            <w:tcW w:w="1349" w:type="dxa"/>
            <w:noWrap w:val="0"/>
            <w:vAlign w:val="center"/>
          </w:tcPr>
          <w:p w14:paraId="6B0CB45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03D9F55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011B86E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4B6CE7A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3899C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5D68F1A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质量管理</w:t>
            </w:r>
          </w:p>
        </w:tc>
        <w:tc>
          <w:tcPr>
            <w:tcW w:w="1349" w:type="dxa"/>
            <w:noWrap w:val="0"/>
            <w:vAlign w:val="center"/>
          </w:tcPr>
          <w:p w14:paraId="5565803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2E2AA80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1A892E1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01EA3CE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6830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12D9D72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材料管理</w:t>
            </w:r>
          </w:p>
        </w:tc>
        <w:tc>
          <w:tcPr>
            <w:tcW w:w="1349" w:type="dxa"/>
            <w:noWrap w:val="0"/>
            <w:vAlign w:val="center"/>
          </w:tcPr>
          <w:p w14:paraId="42FFD9A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3482103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3B7F3EE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4553900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DC4E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2B7200B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计划管理</w:t>
            </w:r>
          </w:p>
        </w:tc>
        <w:tc>
          <w:tcPr>
            <w:tcW w:w="1349" w:type="dxa"/>
            <w:noWrap w:val="0"/>
            <w:vAlign w:val="center"/>
          </w:tcPr>
          <w:p w14:paraId="1C2882F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6460E59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00FEC5C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0D889F5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7DF3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74A8AE1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安全管理</w:t>
            </w:r>
          </w:p>
        </w:tc>
        <w:tc>
          <w:tcPr>
            <w:tcW w:w="1349" w:type="dxa"/>
            <w:noWrap w:val="0"/>
            <w:vAlign w:val="center"/>
          </w:tcPr>
          <w:p w14:paraId="2447953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75935C8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3CC22B6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5958C82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AE7EE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restart"/>
            <w:tcBorders>
              <w:top w:val="single" w:color="auto" w:sz="6" w:space="0"/>
            </w:tcBorders>
            <w:noWrap w:val="0"/>
            <w:vAlign w:val="center"/>
          </w:tcPr>
          <w:p w14:paraId="0314AEC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其他人员</w:t>
            </w:r>
          </w:p>
        </w:tc>
        <w:tc>
          <w:tcPr>
            <w:tcW w:w="1349" w:type="dxa"/>
            <w:noWrap w:val="0"/>
            <w:vAlign w:val="center"/>
          </w:tcPr>
          <w:p w14:paraId="1D18C94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12FC60D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648DC5D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477277F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26DA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continue"/>
            <w:noWrap w:val="0"/>
            <w:vAlign w:val="center"/>
          </w:tcPr>
          <w:p w14:paraId="29EE776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9" w:type="dxa"/>
            <w:tcBorders>
              <w:bottom w:val="nil"/>
            </w:tcBorders>
            <w:noWrap w:val="0"/>
            <w:vAlign w:val="center"/>
          </w:tcPr>
          <w:p w14:paraId="773AD11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tcBorders>
              <w:bottom w:val="nil"/>
            </w:tcBorders>
            <w:noWrap w:val="0"/>
            <w:vAlign w:val="center"/>
          </w:tcPr>
          <w:p w14:paraId="25FEB35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tcBorders>
              <w:bottom w:val="nil"/>
            </w:tcBorders>
            <w:noWrap w:val="0"/>
            <w:vAlign w:val="center"/>
          </w:tcPr>
          <w:p w14:paraId="6E08961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tcBorders>
              <w:bottom w:val="nil"/>
            </w:tcBorders>
            <w:noWrap w:val="0"/>
            <w:vAlign w:val="center"/>
          </w:tcPr>
          <w:p w14:paraId="174F739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86EB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continue"/>
            <w:noWrap w:val="0"/>
            <w:vAlign w:val="center"/>
          </w:tcPr>
          <w:p w14:paraId="4A2ACC6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9" w:type="dxa"/>
            <w:noWrap w:val="0"/>
            <w:vAlign w:val="center"/>
          </w:tcPr>
          <w:p w14:paraId="3E045A7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24B978A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5918017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7B07772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C9EDF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continue"/>
            <w:noWrap w:val="0"/>
            <w:vAlign w:val="center"/>
          </w:tcPr>
          <w:p w14:paraId="5A4B072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9" w:type="dxa"/>
            <w:noWrap w:val="0"/>
            <w:vAlign w:val="center"/>
          </w:tcPr>
          <w:p w14:paraId="6143CDB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790CC33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36439D6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01034E1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DE4D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continue"/>
            <w:noWrap w:val="0"/>
            <w:vAlign w:val="center"/>
          </w:tcPr>
          <w:p w14:paraId="1618A62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9" w:type="dxa"/>
            <w:noWrap w:val="0"/>
            <w:vAlign w:val="center"/>
          </w:tcPr>
          <w:p w14:paraId="5DB59E8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0E01248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noWrap w:val="0"/>
            <w:vAlign w:val="center"/>
          </w:tcPr>
          <w:p w14:paraId="05A28B8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noWrap w:val="0"/>
            <w:vAlign w:val="center"/>
          </w:tcPr>
          <w:p w14:paraId="1727F7A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6E69F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1780" w:type="dxa"/>
            <w:vMerge w:val="continue"/>
            <w:tcBorders>
              <w:bottom w:val="single" w:color="auto" w:sz="12" w:space="0"/>
            </w:tcBorders>
            <w:noWrap w:val="0"/>
            <w:vAlign w:val="center"/>
          </w:tcPr>
          <w:p w14:paraId="78FEABA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49" w:type="dxa"/>
            <w:tcBorders>
              <w:bottom w:val="single" w:color="auto" w:sz="12" w:space="0"/>
            </w:tcBorders>
            <w:noWrap w:val="0"/>
            <w:vAlign w:val="center"/>
          </w:tcPr>
          <w:p w14:paraId="57A7BCB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tcBorders>
              <w:bottom w:val="single" w:color="auto" w:sz="12" w:space="0"/>
            </w:tcBorders>
            <w:noWrap w:val="0"/>
            <w:vAlign w:val="center"/>
          </w:tcPr>
          <w:p w14:paraId="636469C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079" w:type="dxa"/>
            <w:tcBorders>
              <w:bottom w:val="single" w:color="auto" w:sz="12" w:space="0"/>
            </w:tcBorders>
            <w:noWrap w:val="0"/>
            <w:vAlign w:val="center"/>
          </w:tcPr>
          <w:p w14:paraId="2AFFC3C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12" w:type="dxa"/>
            <w:tcBorders>
              <w:bottom w:val="single" w:color="auto" w:sz="12" w:space="0"/>
            </w:tcBorders>
            <w:noWrap w:val="0"/>
            <w:vAlign w:val="center"/>
          </w:tcPr>
          <w:p w14:paraId="0F8C161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bl>
    <w:p w14:paraId="0210B9CD">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b/>
          <w:bCs/>
          <w:color w:val="auto"/>
          <w:szCs w:val="21"/>
          <w:highlight w:val="none"/>
        </w:rPr>
        <w:t>附</w:t>
      </w:r>
      <w:bookmarkStart w:id="1867" w:name="_Toc296944568"/>
      <w:bookmarkStart w:id="1868" w:name="_Toc296503229"/>
      <w:bookmarkStart w:id="1869" w:name="_Toc296891269"/>
      <w:bookmarkStart w:id="1870" w:name="_Toc296346730"/>
      <w:bookmarkStart w:id="1871" w:name="_Toc296891057"/>
      <w:bookmarkStart w:id="1872" w:name="_Toc296347228"/>
      <w:r>
        <w:rPr>
          <w:rFonts w:hint="eastAsia" w:ascii="宋体" w:hAnsi="宋体" w:eastAsia="宋体" w:cs="宋体"/>
          <w:b/>
          <w:bCs/>
          <w:color w:val="auto"/>
          <w:szCs w:val="21"/>
          <w:highlight w:val="none"/>
        </w:rPr>
        <w:t>件7：</w:t>
      </w:r>
    </w:p>
    <w:bookmarkEnd w:id="1867"/>
    <w:bookmarkEnd w:id="1868"/>
    <w:bookmarkEnd w:id="1869"/>
    <w:bookmarkEnd w:id="1870"/>
    <w:bookmarkEnd w:id="1871"/>
    <w:bookmarkEnd w:id="1872"/>
    <w:p w14:paraId="71BC03CC">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分包人主要施工管理人员表</w:t>
      </w:r>
    </w:p>
    <w:tbl>
      <w:tblPr>
        <w:tblStyle w:val="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728"/>
      </w:tblGrid>
      <w:tr w14:paraId="0CF33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3554199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名 称</w:t>
            </w:r>
          </w:p>
        </w:tc>
        <w:tc>
          <w:tcPr>
            <w:tcW w:w="1418" w:type="dxa"/>
            <w:tcBorders>
              <w:top w:val="single" w:color="auto" w:sz="12" w:space="0"/>
              <w:bottom w:val="double" w:color="auto" w:sz="6" w:space="0"/>
            </w:tcBorders>
            <w:noWrap w:val="0"/>
            <w:vAlign w:val="center"/>
          </w:tcPr>
          <w:p w14:paraId="66B73B4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姓名</w:t>
            </w:r>
          </w:p>
        </w:tc>
        <w:tc>
          <w:tcPr>
            <w:tcW w:w="1134" w:type="dxa"/>
            <w:tcBorders>
              <w:top w:val="single" w:color="auto" w:sz="12" w:space="0"/>
              <w:bottom w:val="double" w:color="auto" w:sz="6" w:space="0"/>
            </w:tcBorders>
            <w:noWrap w:val="0"/>
            <w:vAlign w:val="center"/>
          </w:tcPr>
          <w:p w14:paraId="0ADB4FA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职务</w:t>
            </w:r>
          </w:p>
        </w:tc>
        <w:tc>
          <w:tcPr>
            <w:tcW w:w="1134" w:type="dxa"/>
            <w:tcBorders>
              <w:top w:val="single" w:color="auto" w:sz="12" w:space="0"/>
              <w:bottom w:val="double" w:color="auto" w:sz="6" w:space="0"/>
            </w:tcBorders>
            <w:noWrap w:val="0"/>
            <w:vAlign w:val="center"/>
          </w:tcPr>
          <w:p w14:paraId="5B023A1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职称</w:t>
            </w:r>
          </w:p>
        </w:tc>
        <w:tc>
          <w:tcPr>
            <w:tcW w:w="3728" w:type="dxa"/>
            <w:tcBorders>
              <w:top w:val="single" w:color="auto" w:sz="12" w:space="0"/>
              <w:bottom w:val="double" w:color="auto" w:sz="6" w:space="0"/>
            </w:tcBorders>
            <w:noWrap w:val="0"/>
            <w:vAlign w:val="center"/>
          </w:tcPr>
          <w:p w14:paraId="380E092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主要资历、经验及承担过的项目</w:t>
            </w:r>
          </w:p>
        </w:tc>
      </w:tr>
      <w:tr w14:paraId="2C79A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double" w:color="auto" w:sz="6" w:space="0"/>
              <w:bottom w:val="single" w:color="auto" w:sz="6" w:space="0"/>
            </w:tcBorders>
            <w:noWrap w:val="0"/>
            <w:vAlign w:val="center"/>
          </w:tcPr>
          <w:p w14:paraId="1170CDA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一、总部人员</w:t>
            </w:r>
          </w:p>
        </w:tc>
      </w:tr>
      <w:tr w14:paraId="73812D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4933F9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项目主管</w:t>
            </w:r>
          </w:p>
        </w:tc>
        <w:tc>
          <w:tcPr>
            <w:tcW w:w="1418" w:type="dxa"/>
            <w:tcBorders>
              <w:top w:val="nil"/>
            </w:tcBorders>
            <w:noWrap w:val="0"/>
            <w:vAlign w:val="center"/>
          </w:tcPr>
          <w:p w14:paraId="09FD297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tcBorders>
              <w:top w:val="nil"/>
            </w:tcBorders>
            <w:noWrap w:val="0"/>
            <w:vAlign w:val="center"/>
          </w:tcPr>
          <w:p w14:paraId="5DF22D0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tcBorders>
              <w:top w:val="nil"/>
            </w:tcBorders>
            <w:noWrap w:val="0"/>
            <w:vAlign w:val="center"/>
          </w:tcPr>
          <w:p w14:paraId="2676DAB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tcBorders>
              <w:top w:val="nil"/>
            </w:tcBorders>
            <w:noWrap w:val="0"/>
            <w:vAlign w:val="center"/>
          </w:tcPr>
          <w:p w14:paraId="3BC9F14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32CA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37F109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noWrap w:val="0"/>
            <w:vAlign w:val="center"/>
          </w:tcPr>
          <w:p w14:paraId="5BAA145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2176BA2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32F6D6B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75C36AF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A5E0D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C8E6A1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其他人员</w:t>
            </w:r>
          </w:p>
        </w:tc>
        <w:tc>
          <w:tcPr>
            <w:tcW w:w="1418" w:type="dxa"/>
            <w:noWrap w:val="0"/>
            <w:vAlign w:val="center"/>
          </w:tcPr>
          <w:p w14:paraId="659D5BA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29E7497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42D3BA1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3E395B8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65528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B1B117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noWrap w:val="0"/>
            <w:vAlign w:val="center"/>
          </w:tcPr>
          <w:p w14:paraId="4C55B29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1156806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6D52D2C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4300CFC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C993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single" w:color="auto" w:sz="6" w:space="0"/>
              <w:bottom w:val="single" w:color="auto" w:sz="6" w:space="0"/>
            </w:tcBorders>
            <w:noWrap w:val="0"/>
            <w:vAlign w:val="center"/>
          </w:tcPr>
          <w:p w14:paraId="0C1CA9F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二、现场人员</w:t>
            </w:r>
          </w:p>
        </w:tc>
      </w:tr>
      <w:tr w14:paraId="2B5506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E2B996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项目经理</w:t>
            </w:r>
          </w:p>
        </w:tc>
        <w:tc>
          <w:tcPr>
            <w:tcW w:w="1418" w:type="dxa"/>
            <w:noWrap w:val="0"/>
            <w:vAlign w:val="center"/>
          </w:tcPr>
          <w:p w14:paraId="0840122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1301B68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7A2DA1A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3107DD1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49F3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B47496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项目副经理</w:t>
            </w:r>
          </w:p>
        </w:tc>
        <w:tc>
          <w:tcPr>
            <w:tcW w:w="1418" w:type="dxa"/>
            <w:noWrap w:val="0"/>
            <w:vAlign w:val="center"/>
          </w:tcPr>
          <w:p w14:paraId="044CCE6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07B7442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641A41E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3D0BB77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27FFD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C9E64C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技术负责人</w:t>
            </w:r>
          </w:p>
        </w:tc>
        <w:tc>
          <w:tcPr>
            <w:tcW w:w="1418" w:type="dxa"/>
            <w:noWrap w:val="0"/>
            <w:vAlign w:val="center"/>
          </w:tcPr>
          <w:p w14:paraId="4447318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0807BD0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1EF2BBF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0DEA96D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1B785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62D104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造价管理</w:t>
            </w:r>
          </w:p>
        </w:tc>
        <w:tc>
          <w:tcPr>
            <w:tcW w:w="1418" w:type="dxa"/>
            <w:noWrap w:val="0"/>
            <w:vAlign w:val="center"/>
          </w:tcPr>
          <w:p w14:paraId="7E4ECE2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7806C48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6D6119E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11519A3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FD842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348DD5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质量管理</w:t>
            </w:r>
          </w:p>
        </w:tc>
        <w:tc>
          <w:tcPr>
            <w:tcW w:w="1418" w:type="dxa"/>
            <w:noWrap w:val="0"/>
            <w:vAlign w:val="center"/>
          </w:tcPr>
          <w:p w14:paraId="7EC59E5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1F6B554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0B9DECA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1125BDD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C29D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0CE292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材料管理</w:t>
            </w:r>
          </w:p>
        </w:tc>
        <w:tc>
          <w:tcPr>
            <w:tcW w:w="1418" w:type="dxa"/>
            <w:noWrap w:val="0"/>
            <w:vAlign w:val="center"/>
          </w:tcPr>
          <w:p w14:paraId="652DBCA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2BA285E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793BA38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544E400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76961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A655B6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计划管理</w:t>
            </w:r>
          </w:p>
        </w:tc>
        <w:tc>
          <w:tcPr>
            <w:tcW w:w="1418" w:type="dxa"/>
            <w:noWrap w:val="0"/>
            <w:vAlign w:val="center"/>
          </w:tcPr>
          <w:p w14:paraId="757DB29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45028C2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27EE4EB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1192446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2357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93C3CF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安全管理</w:t>
            </w:r>
          </w:p>
        </w:tc>
        <w:tc>
          <w:tcPr>
            <w:tcW w:w="1418" w:type="dxa"/>
            <w:noWrap w:val="0"/>
            <w:vAlign w:val="center"/>
          </w:tcPr>
          <w:p w14:paraId="27FCF9E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713D49A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69E8B2D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56C3AA6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080A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7682418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其他人员</w:t>
            </w:r>
          </w:p>
        </w:tc>
        <w:tc>
          <w:tcPr>
            <w:tcW w:w="1418" w:type="dxa"/>
            <w:noWrap w:val="0"/>
            <w:vAlign w:val="center"/>
          </w:tcPr>
          <w:p w14:paraId="1E45786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03E5950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52FDE18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18E6E0C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9ACF9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0F72AD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bottom w:val="nil"/>
            </w:tcBorders>
            <w:noWrap w:val="0"/>
            <w:vAlign w:val="center"/>
          </w:tcPr>
          <w:p w14:paraId="2DB0443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tcBorders>
              <w:bottom w:val="nil"/>
            </w:tcBorders>
            <w:noWrap w:val="0"/>
            <w:vAlign w:val="center"/>
          </w:tcPr>
          <w:p w14:paraId="68EB2F2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tcBorders>
              <w:bottom w:val="nil"/>
            </w:tcBorders>
            <w:noWrap w:val="0"/>
            <w:vAlign w:val="center"/>
          </w:tcPr>
          <w:p w14:paraId="2C95BD1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tcBorders>
              <w:bottom w:val="nil"/>
            </w:tcBorders>
            <w:noWrap w:val="0"/>
            <w:vAlign w:val="center"/>
          </w:tcPr>
          <w:p w14:paraId="4F1C7E1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3423A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6D2324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noWrap w:val="0"/>
            <w:vAlign w:val="center"/>
          </w:tcPr>
          <w:p w14:paraId="1307A5F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11F67CF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0EEF466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784CD75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976B1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326BC6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noWrap w:val="0"/>
            <w:vAlign w:val="center"/>
          </w:tcPr>
          <w:p w14:paraId="4BD16A6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55B83EF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54ABAFD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3396E8C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AEA1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B48D67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noWrap w:val="0"/>
            <w:vAlign w:val="center"/>
          </w:tcPr>
          <w:p w14:paraId="3C4F05A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2E25863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noWrap w:val="0"/>
            <w:vAlign w:val="center"/>
          </w:tcPr>
          <w:p w14:paraId="225AD6A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noWrap w:val="0"/>
            <w:vAlign w:val="center"/>
          </w:tcPr>
          <w:p w14:paraId="080C02A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74E9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76CD8E6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bottom w:val="single" w:color="auto" w:sz="12" w:space="0"/>
            </w:tcBorders>
            <w:noWrap w:val="0"/>
            <w:vAlign w:val="center"/>
          </w:tcPr>
          <w:p w14:paraId="0C6AAB6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tcBorders>
              <w:bottom w:val="single" w:color="auto" w:sz="12" w:space="0"/>
            </w:tcBorders>
            <w:noWrap w:val="0"/>
            <w:vAlign w:val="center"/>
          </w:tcPr>
          <w:p w14:paraId="13CAAAC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134" w:type="dxa"/>
            <w:tcBorders>
              <w:bottom w:val="single" w:color="auto" w:sz="12" w:space="0"/>
            </w:tcBorders>
            <w:noWrap w:val="0"/>
            <w:vAlign w:val="center"/>
          </w:tcPr>
          <w:p w14:paraId="7BC1987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3728" w:type="dxa"/>
            <w:tcBorders>
              <w:bottom w:val="single" w:color="auto" w:sz="12" w:space="0"/>
            </w:tcBorders>
            <w:noWrap w:val="0"/>
            <w:vAlign w:val="center"/>
          </w:tcPr>
          <w:p w14:paraId="10FEB03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bl>
    <w:p w14:paraId="3A78F783">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1873" w:name="_Toc267261701"/>
      <w:r>
        <w:rPr>
          <w:rFonts w:hint="eastAsia" w:ascii="宋体" w:hAnsi="宋体" w:eastAsia="宋体" w:cs="宋体"/>
          <w:b/>
          <w:bCs/>
          <w:color w:val="auto"/>
          <w:szCs w:val="21"/>
          <w:highlight w:val="none"/>
        </w:rPr>
        <w:t>附</w:t>
      </w:r>
      <w:bookmarkStart w:id="1874" w:name="_Toc296503231"/>
      <w:bookmarkStart w:id="1875" w:name="_Toc296891271"/>
      <w:bookmarkStart w:id="1876" w:name="_Toc296346732"/>
      <w:bookmarkStart w:id="1877" w:name="_Toc296347230"/>
      <w:bookmarkStart w:id="1878" w:name="_Toc296944570"/>
      <w:bookmarkStart w:id="1879" w:name="_Toc296891059"/>
      <w:r>
        <w:rPr>
          <w:rFonts w:hint="eastAsia" w:ascii="宋体" w:hAnsi="宋体" w:eastAsia="宋体" w:cs="宋体"/>
          <w:b/>
          <w:bCs/>
          <w:color w:val="auto"/>
          <w:szCs w:val="21"/>
          <w:highlight w:val="none"/>
        </w:rPr>
        <w:t>件8：</w:t>
      </w:r>
    </w:p>
    <w:bookmarkEnd w:id="1873"/>
    <w:bookmarkEnd w:id="1874"/>
    <w:bookmarkEnd w:id="1875"/>
    <w:bookmarkEnd w:id="1876"/>
    <w:bookmarkEnd w:id="1877"/>
    <w:bookmarkEnd w:id="1878"/>
    <w:bookmarkEnd w:id="1879"/>
    <w:p w14:paraId="5D9AADEF">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w:t>
      </w:r>
    </w:p>
    <w:p w14:paraId="6BD4C920">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（发包人名称）：</w:t>
      </w:r>
    </w:p>
    <w:p w14:paraId="22CDD21A">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p>
    <w:p w14:paraId="7C585158">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（发包人名称，以下简称“发包人”）与</w:t>
      </w:r>
    </w:p>
    <w:p w14:paraId="682D2470">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（工程名称）施工及有关事项协商一致共同签订《建设工程施工合同》。我方愿意无条件地、不可撤销地就承包人履行与你方签订的合同，向你方提供连带责任担保。 </w:t>
      </w:r>
    </w:p>
    <w:p w14:paraId="510BA6AC">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7DD26DA">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担保有效期自你方与承包人签订的合同生效之日起至你方签发或应签发工程接收证书之日止。</w:t>
      </w:r>
    </w:p>
    <w:p w14:paraId="3CFF1707">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在本担保有效期内，因承包人违反合同约定的义务给你方造成经济损失时，我方在收到你方以书面形式提出的在担保金额内的赔偿要求后，在7天内无条件支付。</w:t>
      </w:r>
    </w:p>
    <w:p w14:paraId="2770EB83">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你方和承包人按合同约定变更合同时，我方承担本担保规定的义务不变。</w:t>
      </w:r>
    </w:p>
    <w:p w14:paraId="7C2068DC">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因本保函发生的纠纷，可由双方协商解决，协商不成的，任何一方均可提请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2495034F">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本保函自我方法定代表人（或其授权代理人）签字并加盖公章之日起生效。</w:t>
      </w:r>
    </w:p>
    <w:p w14:paraId="3B571357">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p>
    <w:p w14:paraId="7A971239">
      <w:pPr>
        <w:pageBreakBefore w:val="0"/>
        <w:kinsoku/>
        <w:wordWrap w:val="0"/>
        <w:overflowPunct/>
        <w:topLinePunct w:val="0"/>
        <w:bidi w:val="0"/>
        <w:spacing w:line="360" w:lineRule="auto"/>
        <w:ind w:firstLine="1260" w:firstLineChars="6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 保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217538CD">
      <w:pPr>
        <w:pageBreakBefore w:val="0"/>
        <w:kinsoku/>
        <w:wordWrap w:val="0"/>
        <w:overflowPunct/>
        <w:topLinePunct w:val="0"/>
        <w:bidi w:val="0"/>
        <w:spacing w:line="360" w:lineRule="auto"/>
        <w:ind w:firstLine="1260" w:firstLineChars="6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027DE5A9">
      <w:pPr>
        <w:pageBreakBefore w:val="0"/>
        <w:kinsoku/>
        <w:wordWrap w:val="0"/>
        <w:overflowPunct/>
        <w:topLinePunct w:val="0"/>
        <w:bidi w:val="0"/>
        <w:spacing w:line="360" w:lineRule="auto"/>
        <w:ind w:firstLine="1260" w:firstLineChars="6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3344CCBF">
      <w:pPr>
        <w:pageBreakBefore w:val="0"/>
        <w:kinsoku/>
        <w:wordWrap w:val="0"/>
        <w:overflowPunct/>
        <w:topLinePunct w:val="0"/>
        <w:bidi w:val="0"/>
        <w:spacing w:line="360" w:lineRule="auto"/>
        <w:ind w:firstLine="1260" w:firstLineChars="6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4BB30869">
      <w:pPr>
        <w:pageBreakBefore w:val="0"/>
        <w:kinsoku/>
        <w:wordWrap w:val="0"/>
        <w:overflowPunct/>
        <w:topLinePunct w:val="0"/>
        <w:bidi w:val="0"/>
        <w:spacing w:line="360" w:lineRule="auto"/>
        <w:ind w:firstLine="1260" w:firstLineChars="60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26C251D2">
      <w:pPr>
        <w:pageBreakBefore w:val="0"/>
        <w:kinsoku/>
        <w:wordWrap w:val="0"/>
        <w:overflowPunct/>
        <w:topLinePunct w:val="0"/>
        <w:bidi w:val="0"/>
        <w:spacing w:line="360" w:lineRule="auto"/>
        <w:ind w:firstLine="1260" w:firstLineChars="6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68E05DC9">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u w:val="single"/>
        </w:rPr>
      </w:pPr>
    </w:p>
    <w:p w14:paraId="08FDE194">
      <w:pPr>
        <w:pageBreakBefore w:val="0"/>
        <w:kinsoku/>
        <w:wordWrap w:val="0"/>
        <w:overflowPunct/>
        <w:topLinePunct w:val="0"/>
        <w:bidi w:val="0"/>
        <w:spacing w:line="360" w:lineRule="auto"/>
        <w:ind w:left="1329" w:hanging="1329" w:hangingChars="633"/>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CBA401E">
      <w:pPr>
        <w:pageBreakBefore w:val="0"/>
        <w:kinsoku/>
        <w:wordWrap w:val="0"/>
        <w:overflowPunct/>
        <w:topLinePunct w:val="0"/>
        <w:bidi w:val="0"/>
        <w:spacing w:line="360" w:lineRule="auto"/>
        <w:ind w:left="1329" w:hanging="1329" w:hangingChars="633"/>
        <w:outlineLvl w:val="9"/>
        <w:rPr>
          <w:rFonts w:hint="eastAsia" w:ascii="宋体" w:hAnsi="宋体" w:eastAsia="宋体" w:cs="宋体"/>
          <w:color w:val="auto"/>
          <w:szCs w:val="21"/>
          <w:highlight w:val="none"/>
        </w:rPr>
      </w:pPr>
    </w:p>
    <w:p w14:paraId="6A41AF81">
      <w:pPr>
        <w:pageBreakBefore w:val="0"/>
        <w:kinsoku/>
        <w:wordWrap w:val="0"/>
        <w:overflowPunct/>
        <w:topLinePunct w:val="0"/>
        <w:bidi w:val="0"/>
        <w:spacing w:line="360" w:lineRule="auto"/>
        <w:ind w:left="1329" w:hanging="1329" w:hangingChars="633"/>
        <w:outlineLvl w:val="9"/>
        <w:rPr>
          <w:rFonts w:hint="eastAsia" w:ascii="宋体" w:hAnsi="宋体" w:eastAsia="宋体" w:cs="宋体"/>
          <w:color w:val="auto"/>
          <w:szCs w:val="21"/>
          <w:highlight w:val="none"/>
        </w:rPr>
      </w:pPr>
    </w:p>
    <w:p w14:paraId="40CE7F9B">
      <w:pPr>
        <w:pageBreakBefore w:val="0"/>
        <w:kinsoku/>
        <w:wordWrap w:val="0"/>
        <w:overflowPunct/>
        <w:topLinePunct w:val="0"/>
        <w:bidi w:val="0"/>
        <w:spacing w:line="360" w:lineRule="auto"/>
        <w:ind w:left="1329" w:hanging="1329" w:hangingChars="633"/>
        <w:outlineLvl w:val="9"/>
        <w:rPr>
          <w:rFonts w:hint="eastAsia" w:ascii="宋体" w:hAnsi="宋体" w:eastAsia="宋体" w:cs="宋体"/>
          <w:color w:val="auto"/>
          <w:szCs w:val="21"/>
          <w:highlight w:val="none"/>
        </w:rPr>
      </w:pPr>
    </w:p>
    <w:p w14:paraId="5E4BB7BD">
      <w:pPr>
        <w:pStyle w:val="87"/>
        <w:pageBreakBefore w:val="0"/>
        <w:kinsoku/>
        <w:wordWrap w:val="0"/>
        <w:overflowPunct/>
        <w:topLinePunct w:val="0"/>
        <w:bidi w:val="0"/>
        <w:outlineLvl w:val="9"/>
        <w:rPr>
          <w:rFonts w:hint="eastAsia" w:ascii="宋体" w:hAnsi="宋体" w:eastAsia="宋体" w:cs="宋体"/>
          <w:color w:val="auto"/>
          <w:szCs w:val="21"/>
          <w:highlight w:val="none"/>
        </w:rPr>
      </w:pPr>
    </w:p>
    <w:p w14:paraId="18D076A1">
      <w:pPr>
        <w:pStyle w:val="87"/>
        <w:pageBreakBefore w:val="0"/>
        <w:kinsoku/>
        <w:wordWrap w:val="0"/>
        <w:overflowPunct/>
        <w:topLinePunct w:val="0"/>
        <w:bidi w:val="0"/>
        <w:outlineLvl w:val="9"/>
        <w:rPr>
          <w:rFonts w:hint="eastAsia" w:ascii="宋体" w:hAnsi="宋体" w:eastAsia="宋体" w:cs="宋体"/>
          <w:color w:val="auto"/>
          <w:szCs w:val="21"/>
          <w:highlight w:val="none"/>
        </w:rPr>
      </w:pPr>
    </w:p>
    <w:p w14:paraId="68273133">
      <w:pPr>
        <w:pStyle w:val="87"/>
        <w:pageBreakBefore w:val="0"/>
        <w:kinsoku/>
        <w:wordWrap w:val="0"/>
        <w:overflowPunct/>
        <w:topLinePunct w:val="0"/>
        <w:bidi w:val="0"/>
        <w:outlineLvl w:val="9"/>
        <w:rPr>
          <w:rFonts w:hint="eastAsia" w:ascii="宋体" w:hAnsi="宋体" w:eastAsia="宋体" w:cs="宋体"/>
          <w:color w:val="auto"/>
          <w:szCs w:val="21"/>
          <w:highlight w:val="none"/>
        </w:rPr>
      </w:pPr>
    </w:p>
    <w:p w14:paraId="2E712837">
      <w:pPr>
        <w:pStyle w:val="87"/>
        <w:pageBreakBefore w:val="0"/>
        <w:kinsoku/>
        <w:wordWrap w:val="0"/>
        <w:overflowPunct/>
        <w:topLinePunct w:val="0"/>
        <w:bidi w:val="0"/>
        <w:outlineLvl w:val="9"/>
        <w:rPr>
          <w:rFonts w:hint="eastAsia" w:ascii="宋体" w:hAnsi="宋体" w:eastAsia="宋体" w:cs="宋体"/>
          <w:color w:val="auto"/>
          <w:szCs w:val="21"/>
          <w:highlight w:val="none"/>
        </w:rPr>
      </w:pPr>
    </w:p>
    <w:p w14:paraId="00DA36E8">
      <w:pPr>
        <w:pStyle w:val="87"/>
        <w:pageBreakBefore w:val="0"/>
        <w:kinsoku/>
        <w:wordWrap w:val="0"/>
        <w:overflowPunct/>
        <w:topLinePunct w:val="0"/>
        <w:bidi w:val="0"/>
        <w:outlineLvl w:val="9"/>
        <w:rPr>
          <w:rFonts w:hint="eastAsia" w:ascii="宋体" w:hAnsi="宋体" w:eastAsia="宋体" w:cs="宋体"/>
          <w:color w:val="auto"/>
          <w:szCs w:val="21"/>
          <w:highlight w:val="none"/>
        </w:rPr>
      </w:pPr>
    </w:p>
    <w:p w14:paraId="03740D34">
      <w:pPr>
        <w:pageBreakBefore w:val="0"/>
        <w:kinsoku/>
        <w:wordWrap w:val="0"/>
        <w:overflowPunct/>
        <w:topLinePunct w:val="0"/>
        <w:bidi w:val="0"/>
        <w:spacing w:line="360" w:lineRule="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附</w:t>
      </w:r>
      <w:bookmarkStart w:id="1880" w:name="_Toc296346733"/>
      <w:bookmarkStart w:id="1881" w:name="_Toc296891060"/>
      <w:bookmarkStart w:id="1882" w:name="_Toc296347231"/>
      <w:bookmarkStart w:id="1883" w:name="_Toc296944571"/>
      <w:bookmarkStart w:id="1884" w:name="_Toc296891272"/>
      <w:bookmarkStart w:id="1885" w:name="_Toc267261702"/>
      <w:bookmarkStart w:id="1886" w:name="_Toc296503232"/>
      <w:r>
        <w:rPr>
          <w:rFonts w:hint="eastAsia" w:ascii="宋体" w:hAnsi="宋体" w:eastAsia="宋体" w:cs="宋体"/>
          <w:b/>
          <w:bCs/>
          <w:color w:val="auto"/>
          <w:szCs w:val="21"/>
          <w:highlight w:val="none"/>
        </w:rPr>
        <w:t>件9：</w:t>
      </w:r>
    </w:p>
    <w:bookmarkEnd w:id="1880"/>
    <w:bookmarkEnd w:id="1881"/>
    <w:bookmarkEnd w:id="1882"/>
    <w:bookmarkEnd w:id="1883"/>
    <w:bookmarkEnd w:id="1884"/>
    <w:bookmarkEnd w:id="1885"/>
    <w:bookmarkEnd w:id="1886"/>
    <w:p w14:paraId="40E5B42C">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w:t>
      </w:r>
    </w:p>
    <w:p w14:paraId="731D9C50">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（发包人名称）：</w:t>
      </w:r>
    </w:p>
    <w:p w14:paraId="3978A0E8">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p>
    <w:p w14:paraId="7F2AE8DC">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（承包人名称）（以下称“承包人”）与</w:t>
      </w:r>
      <w:r>
        <w:rPr>
          <w:rFonts w:hint="eastAsia" w:ascii="宋体" w:hAnsi="宋体" w:eastAsia="宋体" w:cs="宋体"/>
          <w:color w:val="auto"/>
          <w:szCs w:val="21"/>
          <w:highlight w:val="none"/>
          <w:u w:val="single"/>
        </w:rPr>
        <w:t xml:space="preserve">                        </w:t>
      </w:r>
      <w:bookmarkStart w:id="1887" w:name="_Toc19167"/>
      <w:bookmarkStart w:id="1888" w:name="_Toc14452"/>
      <w:r>
        <w:rPr>
          <w:rFonts w:hint="eastAsia" w:ascii="宋体" w:hAnsi="宋体" w:eastAsia="宋体" w:cs="宋体"/>
          <w:color w:val="auto"/>
          <w:szCs w:val="21"/>
          <w:highlight w:val="none"/>
        </w:rPr>
        <w:t>（发包人名称）（以下简称“发包人”）</w:t>
      </w:r>
      <w:bookmarkEnd w:id="1887"/>
      <w:bookmarkEnd w:id="1888"/>
      <w:r>
        <w:rPr>
          <w:rFonts w:hint="eastAsia" w:ascii="宋体" w:hAnsi="宋体" w:eastAsia="宋体" w:cs="宋体"/>
          <w:color w:val="auto"/>
          <w:szCs w:val="21"/>
          <w:highlight w:val="none"/>
        </w:rPr>
        <w:t>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6B747870">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F2280DF">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担保有效期自预付款支付给承包人起生效，至你方签发的进度款支付证书说明已完全扣清止。</w:t>
      </w:r>
    </w:p>
    <w:p w14:paraId="5823314C">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9563EE2">
      <w:pPr>
        <w:pageBreakBefore w:val="0"/>
        <w:kinsoku/>
        <w:wordWrap w:val="0"/>
        <w:overflowPunct/>
        <w:topLinePunct w:val="0"/>
        <w:bidi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你方和承包人按合同约定变更合同时，我方承担本保函规定的义务不变。</w:t>
      </w:r>
    </w:p>
    <w:p w14:paraId="0F08366D">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因本保函发生的纠纷，可由双方协商解决，协商不成的，任何一方均可提请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2D8165FB">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本保函自我方法定代表人（或其授权代理人）签字并加盖公章之日起生效。</w:t>
      </w:r>
    </w:p>
    <w:p w14:paraId="0F69FE8A">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p>
    <w:p w14:paraId="4F965AA5">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p>
    <w:p w14:paraId="1A9CB77A">
      <w:pPr>
        <w:pageBreakBefore w:val="0"/>
        <w:kinsoku/>
        <w:wordWrap w:val="0"/>
        <w:overflowPunct/>
        <w:topLinePunct w:val="0"/>
        <w:bidi w:val="0"/>
        <w:spacing w:line="360" w:lineRule="auto"/>
        <w:ind w:firstLine="1470" w:firstLineChars="7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11FDBDC7">
      <w:pPr>
        <w:pageBreakBefore w:val="0"/>
        <w:kinsoku/>
        <w:wordWrap w:val="0"/>
        <w:overflowPunct/>
        <w:topLinePunct w:val="0"/>
        <w:bidi w:val="0"/>
        <w:spacing w:line="360" w:lineRule="auto"/>
        <w:ind w:firstLine="1470" w:firstLineChars="7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344EADAD">
      <w:pPr>
        <w:pageBreakBefore w:val="0"/>
        <w:kinsoku/>
        <w:wordWrap w:val="0"/>
        <w:overflowPunct/>
        <w:topLinePunct w:val="0"/>
        <w:bidi w:val="0"/>
        <w:spacing w:line="360" w:lineRule="auto"/>
        <w:ind w:firstLine="1470" w:firstLineChars="7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1E4190B6">
      <w:pPr>
        <w:pageBreakBefore w:val="0"/>
        <w:kinsoku/>
        <w:wordWrap w:val="0"/>
        <w:overflowPunct/>
        <w:topLinePunct w:val="0"/>
        <w:bidi w:val="0"/>
        <w:spacing w:line="360" w:lineRule="auto"/>
        <w:ind w:firstLine="1470" w:firstLineChars="70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ab/>
      </w:r>
    </w:p>
    <w:p w14:paraId="5CE4CBB6">
      <w:pPr>
        <w:pageBreakBefore w:val="0"/>
        <w:kinsoku/>
        <w:wordWrap w:val="0"/>
        <w:overflowPunct/>
        <w:topLinePunct w:val="0"/>
        <w:bidi w:val="0"/>
        <w:spacing w:line="360" w:lineRule="auto"/>
        <w:ind w:firstLine="1470" w:firstLineChars="70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6081DB9E">
      <w:pPr>
        <w:pageBreakBefore w:val="0"/>
        <w:kinsoku/>
        <w:wordWrap w:val="0"/>
        <w:overflowPunct/>
        <w:topLinePunct w:val="0"/>
        <w:bidi w:val="0"/>
        <w:spacing w:line="360" w:lineRule="auto"/>
        <w:ind w:firstLine="1470" w:firstLineChars="70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23E55C8E">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7D0C1505">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u w:val="single"/>
        </w:rPr>
      </w:pPr>
    </w:p>
    <w:p w14:paraId="35F729FA">
      <w:pPr>
        <w:pageBreakBefore w:val="0"/>
        <w:kinsoku/>
        <w:wordWrap w:val="0"/>
        <w:overflowPunct/>
        <w:topLinePunct w:val="0"/>
        <w:bidi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99BA0ED">
      <w:pPr>
        <w:pageBreakBefore w:val="0"/>
        <w:kinsoku/>
        <w:wordWrap w:val="0"/>
        <w:overflowPunct/>
        <w:topLinePunct w:val="0"/>
        <w:bidi w:val="0"/>
        <w:spacing w:line="440" w:lineRule="exact"/>
        <w:outlineLvl w:val="9"/>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r>
      <w:r>
        <w:rPr>
          <w:rFonts w:hint="eastAsia" w:ascii="宋体" w:hAnsi="宋体" w:eastAsia="宋体" w:cs="宋体"/>
          <w:b/>
          <w:bCs/>
          <w:color w:val="auto"/>
          <w:szCs w:val="21"/>
          <w:highlight w:val="none"/>
        </w:rPr>
        <w:t>附</w:t>
      </w:r>
      <w:bookmarkStart w:id="1889" w:name="_Toc296891273"/>
      <w:bookmarkStart w:id="1890" w:name="_Toc296503233"/>
      <w:bookmarkStart w:id="1891" w:name="_Toc296347232"/>
      <w:bookmarkStart w:id="1892" w:name="_Toc296891061"/>
      <w:bookmarkStart w:id="1893" w:name="_Toc296944572"/>
      <w:bookmarkStart w:id="1894" w:name="_Toc296346734"/>
      <w:r>
        <w:rPr>
          <w:rFonts w:hint="eastAsia" w:ascii="宋体" w:hAnsi="宋体" w:eastAsia="宋体" w:cs="宋体"/>
          <w:b/>
          <w:bCs/>
          <w:color w:val="auto"/>
          <w:szCs w:val="21"/>
          <w:highlight w:val="none"/>
        </w:rPr>
        <w:t xml:space="preserve">件10: </w:t>
      </w:r>
      <w:r>
        <w:rPr>
          <w:rFonts w:hint="eastAsia" w:ascii="宋体" w:hAnsi="宋体" w:eastAsia="宋体" w:cs="宋体"/>
          <w:color w:val="auto"/>
          <w:szCs w:val="21"/>
          <w:highlight w:val="none"/>
        </w:rPr>
        <w:t xml:space="preserve"> </w:t>
      </w:r>
    </w:p>
    <w:bookmarkEnd w:id="1889"/>
    <w:bookmarkEnd w:id="1890"/>
    <w:bookmarkEnd w:id="1891"/>
    <w:bookmarkEnd w:id="1892"/>
    <w:bookmarkEnd w:id="1893"/>
    <w:bookmarkEnd w:id="1894"/>
    <w:p w14:paraId="72B0289A">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支付担保</w:t>
      </w:r>
    </w:p>
    <w:p w14:paraId="385B8E59">
      <w:pPr>
        <w:pageBreakBefore w:val="0"/>
        <w:kinsoku/>
        <w:wordWrap w:val="0"/>
        <w:overflowPunct/>
        <w:topLinePunct w:val="0"/>
        <w:bidi w:val="0"/>
        <w:spacing w:line="440" w:lineRule="exact"/>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w:t>
      </w:r>
    </w:p>
    <w:p w14:paraId="1C1E7002">
      <w:pPr>
        <w:pageBreakBefore w:val="0"/>
        <w:kinsoku/>
        <w:wordWrap w:val="0"/>
        <w:overflowPunct/>
        <w:topLinePunct w:val="0"/>
        <w:bidi w:val="0"/>
        <w:spacing w:line="440" w:lineRule="exact"/>
        <w:jc w:val="left"/>
        <w:outlineLvl w:val="9"/>
        <w:rPr>
          <w:rFonts w:hint="eastAsia" w:ascii="宋体" w:hAnsi="宋体" w:eastAsia="宋体" w:cs="宋体"/>
          <w:color w:val="auto"/>
          <w:szCs w:val="21"/>
          <w:highlight w:val="none"/>
        </w:rPr>
      </w:pPr>
    </w:p>
    <w:p w14:paraId="3C452DB7">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鉴于你方作为承包人已经与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（发包人名称）（以下称“发包人”）于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（工程名称）《建设工程施工合同》（以下称“主合同”），应发包人的申请，我方愿就发包人履行主合同约定的工程款支付义务以保证的方式向你方提供如下担保：</w:t>
      </w:r>
    </w:p>
    <w:p w14:paraId="456BDC01">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bookmarkStart w:id="1895" w:name="_Toc256"/>
      <w:bookmarkStart w:id="1896" w:name="_Toc32746"/>
      <w:bookmarkStart w:id="1897" w:name="_Toc4484"/>
      <w:bookmarkStart w:id="1898" w:name="_Toc25141791"/>
      <w:r>
        <w:rPr>
          <w:rFonts w:hint="eastAsia" w:ascii="宋体" w:hAnsi="宋体" w:eastAsia="宋体" w:cs="宋体"/>
          <w:color w:val="auto"/>
          <w:szCs w:val="21"/>
          <w:highlight w:val="none"/>
        </w:rPr>
        <w:t>一、保证的范围及保证金额</w:t>
      </w:r>
      <w:bookmarkEnd w:id="1895"/>
      <w:bookmarkEnd w:id="1896"/>
      <w:bookmarkEnd w:id="1897"/>
      <w:bookmarkEnd w:id="1898"/>
    </w:p>
    <w:p w14:paraId="6BEA1866">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我方的保证范围是主合同约定的工程款。</w:t>
      </w:r>
    </w:p>
    <w:p w14:paraId="42BA8239">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本保函所称主合同约定的工程款是指主合同约定的除工程质量保证金以外的合同价款。</w:t>
      </w:r>
    </w:p>
    <w:p w14:paraId="5D0C8DDB">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我方保证的金额是主合同约定的工程款的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%，数额最高不超过人民币元（大写：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CA16232">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bookmarkStart w:id="1899" w:name="_Toc25141792"/>
      <w:bookmarkStart w:id="1900" w:name="_Toc3535"/>
      <w:bookmarkStart w:id="1901" w:name="_Toc5877"/>
      <w:r>
        <w:rPr>
          <w:rFonts w:hint="eastAsia" w:ascii="宋体" w:hAnsi="宋体" w:eastAsia="宋体" w:cs="宋体"/>
          <w:color w:val="auto"/>
          <w:szCs w:val="21"/>
          <w:highlight w:val="none"/>
        </w:rPr>
        <w:t>二、保证的方式及保证期间</w:t>
      </w:r>
      <w:bookmarkEnd w:id="1899"/>
      <w:bookmarkEnd w:id="1900"/>
      <w:bookmarkEnd w:id="1901"/>
    </w:p>
    <w:p w14:paraId="035588F9">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我方保证的方式为：连带责任保证。</w:t>
      </w:r>
    </w:p>
    <w:p w14:paraId="7148609A">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我方保证的期间为：自本合同生效之日起至主合同约定的工程款支付完毕之日后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日内。</w:t>
      </w:r>
    </w:p>
    <w:p w14:paraId="4AD728EE">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你方与发包人协议变更工程款支付日期的，经我方书面同意后，保证期间按照变更后的支付日期做相应调整。</w:t>
      </w:r>
    </w:p>
    <w:p w14:paraId="026CA75B">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bookmarkStart w:id="1902" w:name="_Toc2166"/>
      <w:bookmarkStart w:id="1903" w:name="_Toc25739"/>
      <w:bookmarkStart w:id="1904" w:name="_Toc30141"/>
      <w:bookmarkStart w:id="1905" w:name="_Toc25141793"/>
      <w:r>
        <w:rPr>
          <w:rFonts w:hint="eastAsia" w:ascii="宋体" w:hAnsi="宋体" w:eastAsia="宋体" w:cs="宋体"/>
          <w:color w:val="auto"/>
          <w:szCs w:val="21"/>
          <w:highlight w:val="none"/>
        </w:rPr>
        <w:t>三、承担保证责任的形式</w:t>
      </w:r>
      <w:bookmarkEnd w:id="1902"/>
      <w:bookmarkEnd w:id="1903"/>
      <w:bookmarkEnd w:id="1904"/>
      <w:bookmarkEnd w:id="1905"/>
    </w:p>
    <w:p w14:paraId="31B937BF">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我方承担保证责任的形式是代为支付。发包人未按主合同约定向你方支付工程款的，由我方在保证金额内代为支付。</w:t>
      </w:r>
    </w:p>
    <w:p w14:paraId="105AD474">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bookmarkStart w:id="1906" w:name="_Toc23817"/>
      <w:bookmarkStart w:id="1907" w:name="_Toc25141794"/>
      <w:bookmarkStart w:id="1908" w:name="_Toc4013"/>
      <w:bookmarkStart w:id="1909" w:name="_Toc21315"/>
      <w:r>
        <w:rPr>
          <w:rFonts w:hint="eastAsia" w:ascii="宋体" w:hAnsi="宋体" w:eastAsia="宋体" w:cs="宋体"/>
          <w:color w:val="auto"/>
          <w:szCs w:val="21"/>
          <w:highlight w:val="none"/>
        </w:rPr>
        <w:t>四、代偿的安排</w:t>
      </w:r>
      <w:bookmarkEnd w:id="1906"/>
      <w:bookmarkEnd w:id="1907"/>
      <w:bookmarkEnd w:id="1908"/>
      <w:bookmarkEnd w:id="1909"/>
    </w:p>
    <w:p w14:paraId="6180F8DA">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你方要求我方承担保证责任的，应向我方发出书面索赔通知及发包人未支付主合同约定工程款的证明材料。索赔通知应写明要求索赔的金额，支付款项应到达的账号。</w:t>
      </w:r>
    </w:p>
    <w:p w14:paraId="1A8F285A">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5CB65838">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我方收到你方的书面索赔通知及相应的证明材料后７天内无条件支付。</w:t>
      </w:r>
    </w:p>
    <w:p w14:paraId="39D91F58">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bookmarkStart w:id="1910" w:name="_Toc10393"/>
      <w:bookmarkStart w:id="1911" w:name="_Toc25141795"/>
      <w:bookmarkStart w:id="1912" w:name="_Toc3611"/>
      <w:bookmarkStart w:id="1913" w:name="_Toc2491"/>
      <w:r>
        <w:rPr>
          <w:rFonts w:hint="eastAsia" w:ascii="宋体" w:hAnsi="宋体" w:eastAsia="宋体" w:cs="宋体"/>
          <w:color w:val="auto"/>
          <w:szCs w:val="21"/>
          <w:highlight w:val="none"/>
        </w:rPr>
        <w:t>五、保证责任的解除</w:t>
      </w:r>
      <w:bookmarkEnd w:id="1910"/>
      <w:bookmarkEnd w:id="1911"/>
      <w:bookmarkEnd w:id="1912"/>
      <w:bookmarkEnd w:id="1913"/>
    </w:p>
    <w:p w14:paraId="0E6418B3">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在本保函承诺的保证期间内，你方未书面向我方主张保证责任的，自保证期间届满次日起，我方保证责任解除。</w:t>
      </w:r>
    </w:p>
    <w:p w14:paraId="6B35B350">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发包人按主合同约定履行了工程款的全部支付义务的，自本保函承诺的保证期间届满次日起，我方保证责任解除。</w:t>
      </w:r>
    </w:p>
    <w:p w14:paraId="27E91E8C">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我方按照本保函向你方履行保证责任所支付金额达到本保函保证金额时，自我方向你方支付（支付款项从我方账户划出）之日起，保证责任即解除。</w:t>
      </w:r>
    </w:p>
    <w:p w14:paraId="7D050D43">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按照法律法规的规定或出现应解除我方保证责任的其他情形的，我方在本保函项下的保证责任亦解除。</w:t>
      </w:r>
    </w:p>
    <w:p w14:paraId="79B3C834">
      <w:pPr>
        <w:pageBreakBefore w:val="0"/>
        <w:kinsoku/>
        <w:wordWrap w:val="0"/>
        <w:overflowPunct/>
        <w:topLinePunct w:val="0"/>
        <w:bidi w:val="0"/>
        <w:spacing w:line="360" w:lineRule="auto"/>
        <w:jc w:val="left"/>
        <w:outlineLvl w:val="9"/>
        <w:rPr>
          <w:rFonts w:hint="eastAsia" w:ascii="宋体" w:hAnsi="宋体" w:eastAsia="宋体" w:cs="宋体"/>
          <w:color w:val="auto"/>
          <w:szCs w:val="21"/>
          <w:highlight w:val="none"/>
        </w:rPr>
      </w:pPr>
    </w:p>
    <w:p w14:paraId="0D108A3C">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 我方解除保证责任后，你方应自我方保证责任解除之日起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个工作日内，将本保函原件返还我方。</w:t>
      </w:r>
    </w:p>
    <w:p w14:paraId="0252F61F">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bookmarkStart w:id="1914" w:name="_Toc18816"/>
      <w:bookmarkStart w:id="1915" w:name="_Toc3154"/>
      <w:bookmarkStart w:id="1916" w:name="_Toc19680"/>
      <w:bookmarkStart w:id="1917" w:name="_Toc25141796"/>
      <w:r>
        <w:rPr>
          <w:rFonts w:hint="eastAsia" w:ascii="宋体" w:hAnsi="宋体" w:eastAsia="宋体" w:cs="宋体"/>
          <w:color w:val="auto"/>
          <w:szCs w:val="21"/>
          <w:highlight w:val="none"/>
        </w:rPr>
        <w:t>六、免责条款</w:t>
      </w:r>
      <w:bookmarkEnd w:id="1914"/>
      <w:bookmarkEnd w:id="1915"/>
      <w:bookmarkEnd w:id="1916"/>
      <w:bookmarkEnd w:id="1917"/>
    </w:p>
    <w:p w14:paraId="239CA7B0">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因你方违约致使发包人不能履行义务的，我方不承担保证责任。</w:t>
      </w:r>
    </w:p>
    <w:p w14:paraId="5F9DCA10">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依照法律法规的规定或你方与发包人的另行约定，免除发包人部分或全部义务的，我方亦免除其相应的保证责任。</w:t>
      </w:r>
    </w:p>
    <w:p w14:paraId="6E352704">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7A964D10">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因不可抗力造成发包人不能履行义务的，我方不承担保证责任。</w:t>
      </w:r>
    </w:p>
    <w:p w14:paraId="5A2BBCF5">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bookmarkStart w:id="1918" w:name="_Toc26407"/>
      <w:bookmarkStart w:id="1919" w:name="_Toc25141797"/>
      <w:bookmarkStart w:id="1920" w:name="_Toc17522"/>
      <w:bookmarkStart w:id="1921" w:name="_Toc9240"/>
      <w:r>
        <w:rPr>
          <w:rFonts w:hint="eastAsia" w:ascii="宋体" w:hAnsi="宋体" w:eastAsia="宋体" w:cs="宋体"/>
          <w:color w:val="auto"/>
          <w:szCs w:val="21"/>
          <w:highlight w:val="none"/>
        </w:rPr>
        <w:t>七、争议解决</w:t>
      </w:r>
      <w:bookmarkEnd w:id="1918"/>
      <w:bookmarkEnd w:id="1919"/>
      <w:bookmarkEnd w:id="1920"/>
      <w:bookmarkEnd w:id="1921"/>
    </w:p>
    <w:p w14:paraId="354E5DA7">
      <w:pPr>
        <w:pageBreakBefore w:val="0"/>
        <w:kinsoku/>
        <w:wordWrap w:val="0"/>
        <w:overflowPunct/>
        <w:topLinePunct w:val="0"/>
        <w:bidi w:val="0"/>
        <w:spacing w:after="120"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因本保函或本保函相关事项发生的纠纷，可由双方协商解决，协商不成的，按下列第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2A878CF0">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765DE816">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人民法院起诉。</w:t>
      </w:r>
    </w:p>
    <w:p w14:paraId="333966A5">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bookmarkStart w:id="1922" w:name="_Toc23536"/>
      <w:bookmarkStart w:id="1923" w:name="_Toc25141798"/>
      <w:bookmarkStart w:id="1924" w:name="_Toc28969"/>
      <w:bookmarkStart w:id="1925" w:name="_Toc28953"/>
      <w:r>
        <w:rPr>
          <w:rFonts w:hint="eastAsia" w:ascii="宋体" w:hAnsi="宋体" w:eastAsia="宋体" w:cs="宋体"/>
          <w:color w:val="auto"/>
          <w:szCs w:val="21"/>
          <w:highlight w:val="none"/>
        </w:rPr>
        <w:t>八、保函的生效</w:t>
      </w:r>
      <w:bookmarkEnd w:id="1922"/>
      <w:bookmarkEnd w:id="1923"/>
      <w:bookmarkEnd w:id="1924"/>
      <w:bookmarkEnd w:id="1925"/>
    </w:p>
    <w:p w14:paraId="4EE79DB9">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本保函自我方法定代表人（或其授权代理人）签字并加盖公章之日起生效。</w:t>
      </w:r>
    </w:p>
    <w:p w14:paraId="4A8FEA8C">
      <w:pPr>
        <w:pageBreakBefore w:val="0"/>
        <w:kinsoku/>
        <w:wordWrap w:val="0"/>
        <w:overflowPunct/>
        <w:topLinePunct w:val="0"/>
        <w:bidi w:val="0"/>
        <w:spacing w:line="360" w:lineRule="auto"/>
        <w:ind w:firstLine="420" w:firstLineChars="200"/>
        <w:jc w:val="left"/>
        <w:outlineLvl w:val="9"/>
        <w:rPr>
          <w:rFonts w:hint="eastAsia" w:ascii="宋体" w:hAnsi="宋体" w:eastAsia="宋体" w:cs="宋体"/>
          <w:color w:val="auto"/>
          <w:szCs w:val="21"/>
          <w:highlight w:val="none"/>
        </w:rPr>
      </w:pPr>
    </w:p>
    <w:p w14:paraId="080DC3C0">
      <w:pPr>
        <w:pageBreakBefore w:val="0"/>
        <w:kinsoku/>
        <w:wordWrap w:val="0"/>
        <w:overflowPunct/>
        <w:topLinePunct w:val="0"/>
        <w:bidi w:val="0"/>
        <w:spacing w:line="360" w:lineRule="auto"/>
        <w:ind w:right="600"/>
        <w:jc w:val="left"/>
        <w:outlineLvl w:val="9"/>
        <w:rPr>
          <w:rFonts w:hint="eastAsia" w:ascii="宋体" w:hAnsi="宋体" w:eastAsia="宋体" w:cs="宋体"/>
          <w:color w:val="auto"/>
          <w:szCs w:val="21"/>
          <w:highlight w:val="none"/>
        </w:rPr>
      </w:pPr>
    </w:p>
    <w:p w14:paraId="6AD93F73">
      <w:pPr>
        <w:pageBreakBefore w:val="0"/>
        <w:kinsoku/>
        <w:wordWrap w:val="0"/>
        <w:overflowPunct/>
        <w:topLinePunct w:val="0"/>
        <w:bidi w:val="0"/>
        <w:spacing w:line="360" w:lineRule="auto"/>
        <w:ind w:right="600" w:firstLine="210" w:firstLineChars="1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47D16E9E">
      <w:pPr>
        <w:pageBreakBefore w:val="0"/>
        <w:kinsoku/>
        <w:wordWrap w:val="0"/>
        <w:overflowPunct/>
        <w:topLinePunct w:val="0"/>
        <w:bidi w:val="0"/>
        <w:spacing w:line="360" w:lineRule="auto"/>
        <w:ind w:right="1200" w:firstLine="210" w:firstLineChars="1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515E2B24">
      <w:pPr>
        <w:pageBreakBefore w:val="0"/>
        <w:kinsoku/>
        <w:wordWrap w:val="0"/>
        <w:overflowPunct/>
        <w:topLinePunct w:val="0"/>
        <w:bidi w:val="0"/>
        <w:spacing w:line="360" w:lineRule="auto"/>
        <w:ind w:firstLine="210" w:firstLineChars="1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33BC6941">
      <w:pPr>
        <w:pageBreakBefore w:val="0"/>
        <w:kinsoku/>
        <w:wordWrap w:val="0"/>
        <w:overflowPunct/>
        <w:topLinePunct w:val="0"/>
        <w:bidi w:val="0"/>
        <w:spacing w:line="360" w:lineRule="auto"/>
        <w:ind w:firstLine="210" w:firstLineChars="1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068CA5AB">
      <w:pPr>
        <w:pageBreakBefore w:val="0"/>
        <w:kinsoku/>
        <w:wordWrap w:val="0"/>
        <w:overflowPunct/>
        <w:topLinePunct w:val="0"/>
        <w:bidi w:val="0"/>
        <w:spacing w:line="360" w:lineRule="auto"/>
        <w:ind w:firstLine="210" w:firstLineChars="1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04595F1C">
      <w:pPr>
        <w:pageBreakBefore w:val="0"/>
        <w:kinsoku/>
        <w:wordWrap w:val="0"/>
        <w:overflowPunct/>
        <w:topLinePunct w:val="0"/>
        <w:bidi w:val="0"/>
        <w:spacing w:line="360" w:lineRule="auto"/>
        <w:ind w:right="150" w:firstLine="420" w:firstLineChars="200"/>
        <w:jc w:val="left"/>
        <w:outlineLvl w:val="9"/>
        <w:rPr>
          <w:rFonts w:hint="eastAsia" w:ascii="宋体" w:hAnsi="宋体" w:eastAsia="宋体" w:cs="宋体"/>
          <w:color w:val="auto"/>
          <w:szCs w:val="21"/>
          <w:highlight w:val="none"/>
          <w:u w:val="single"/>
        </w:rPr>
      </w:pPr>
    </w:p>
    <w:p w14:paraId="3CA16228">
      <w:pPr>
        <w:pageBreakBefore w:val="0"/>
        <w:kinsoku/>
        <w:wordWrap w:val="0"/>
        <w:overflowPunct/>
        <w:topLinePunct w:val="0"/>
        <w:bidi w:val="0"/>
        <w:spacing w:line="360" w:lineRule="auto"/>
        <w:ind w:right="15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FEA43F4">
      <w:pPr>
        <w:pageBreakBefore w:val="0"/>
        <w:kinsoku/>
        <w:wordWrap w:val="0"/>
        <w:overflowPunct/>
        <w:topLinePunct w:val="0"/>
        <w:bidi w:val="0"/>
        <w:spacing w:line="440" w:lineRule="exact"/>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r>
        <w:rPr>
          <w:rFonts w:hint="eastAsia" w:ascii="宋体" w:hAnsi="宋体" w:eastAsia="宋体" w:cs="宋体"/>
          <w:color w:val="auto"/>
          <w:sz w:val="30"/>
          <w:szCs w:val="30"/>
          <w:highlight w:val="none"/>
        </w:rPr>
        <w:t xml:space="preserve"> </w:t>
      </w:r>
      <w:r>
        <w:rPr>
          <w:rFonts w:hint="eastAsia" w:ascii="宋体" w:hAnsi="宋体" w:eastAsia="宋体" w:cs="宋体"/>
          <w:b/>
          <w:bCs/>
          <w:color w:val="auto"/>
          <w:szCs w:val="21"/>
          <w:highlight w:val="none"/>
        </w:rPr>
        <w:t xml:space="preserve"> 附件11：</w:t>
      </w:r>
    </w:p>
    <w:p w14:paraId="20879774">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 w:val="28"/>
          <w:szCs w:val="28"/>
          <w:highlight w:val="none"/>
        </w:rPr>
      </w:pPr>
      <w:bookmarkStart w:id="1926" w:name="_Toc7380"/>
      <w:bookmarkStart w:id="1927" w:name="_Toc25141799"/>
      <w:bookmarkStart w:id="1928" w:name="_Toc16037"/>
      <w:r>
        <w:rPr>
          <w:rFonts w:hint="eastAsia" w:ascii="宋体" w:hAnsi="宋体" w:eastAsia="宋体" w:cs="宋体"/>
          <w:color w:val="auto"/>
          <w:sz w:val="28"/>
          <w:szCs w:val="28"/>
          <w:highlight w:val="none"/>
        </w:rPr>
        <w:t>11-1：材料暂估价表</w:t>
      </w:r>
      <w:bookmarkEnd w:id="1926"/>
      <w:bookmarkEnd w:id="1927"/>
      <w:bookmarkEnd w:id="1928"/>
    </w:p>
    <w:tbl>
      <w:tblPr>
        <w:tblStyle w:val="4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34F71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01CEFB8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序号</w:t>
            </w:r>
          </w:p>
        </w:tc>
        <w:tc>
          <w:tcPr>
            <w:tcW w:w="1984" w:type="dxa"/>
            <w:tcBorders>
              <w:top w:val="single" w:color="auto" w:sz="4" w:space="0"/>
              <w:left w:val="single" w:color="auto" w:sz="4" w:space="0"/>
              <w:bottom w:val="single" w:color="auto" w:sz="4" w:space="0"/>
              <w:right w:val="single" w:color="auto" w:sz="4" w:space="0"/>
            </w:tcBorders>
            <w:noWrap w:val="0"/>
            <w:vAlign w:val="top"/>
          </w:tcPr>
          <w:p w14:paraId="1D6E3C0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名称</w:t>
            </w:r>
          </w:p>
        </w:tc>
        <w:tc>
          <w:tcPr>
            <w:tcW w:w="851" w:type="dxa"/>
            <w:tcBorders>
              <w:top w:val="single" w:color="auto" w:sz="4" w:space="0"/>
              <w:left w:val="single" w:color="auto" w:sz="4" w:space="0"/>
              <w:bottom w:val="single" w:color="auto" w:sz="4" w:space="0"/>
              <w:right w:val="single" w:color="auto" w:sz="4" w:space="0"/>
            </w:tcBorders>
            <w:noWrap w:val="0"/>
            <w:vAlign w:val="top"/>
          </w:tcPr>
          <w:p w14:paraId="5836926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单位</w:t>
            </w:r>
          </w:p>
        </w:tc>
        <w:tc>
          <w:tcPr>
            <w:tcW w:w="774" w:type="dxa"/>
            <w:tcBorders>
              <w:top w:val="single" w:color="auto" w:sz="4" w:space="0"/>
              <w:left w:val="single" w:color="auto" w:sz="4" w:space="0"/>
              <w:bottom w:val="single" w:color="auto" w:sz="4" w:space="0"/>
              <w:right w:val="single" w:color="auto" w:sz="4" w:space="0"/>
            </w:tcBorders>
            <w:noWrap w:val="0"/>
            <w:vAlign w:val="top"/>
          </w:tcPr>
          <w:p w14:paraId="34653F0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数量</w:t>
            </w:r>
          </w:p>
        </w:tc>
        <w:tc>
          <w:tcPr>
            <w:tcW w:w="1352" w:type="dxa"/>
            <w:tcBorders>
              <w:top w:val="single" w:color="auto" w:sz="4" w:space="0"/>
              <w:left w:val="single" w:color="auto" w:sz="4" w:space="0"/>
              <w:bottom w:val="single" w:color="auto" w:sz="4" w:space="0"/>
              <w:right w:val="single" w:color="auto" w:sz="4" w:space="0"/>
            </w:tcBorders>
            <w:noWrap w:val="0"/>
            <w:vAlign w:val="top"/>
          </w:tcPr>
          <w:p w14:paraId="37C91EB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单价（元）</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03A91C3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合价（元）</w:t>
            </w:r>
          </w:p>
        </w:tc>
        <w:tc>
          <w:tcPr>
            <w:tcW w:w="1701" w:type="dxa"/>
            <w:tcBorders>
              <w:top w:val="single" w:color="auto" w:sz="4" w:space="0"/>
              <w:left w:val="single" w:color="auto" w:sz="4" w:space="0"/>
              <w:bottom w:val="single" w:color="auto" w:sz="4" w:space="0"/>
              <w:right w:val="single" w:color="auto" w:sz="4" w:space="0"/>
            </w:tcBorders>
            <w:noWrap w:val="0"/>
            <w:vAlign w:val="top"/>
          </w:tcPr>
          <w:p w14:paraId="4FFD1DF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备注</w:t>
            </w:r>
          </w:p>
        </w:tc>
      </w:tr>
      <w:tr w14:paraId="3733E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1C80A25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6BCAA2D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48BA49C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12606D4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723E6A4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3EFCDCB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42D203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r w14:paraId="6423B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1221716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065A05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07A381C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AC4AD5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197555B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DFCD1B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4839F8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r w14:paraId="08DA0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28B4985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5B1BCA4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5917DEE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6D07900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2F1AB46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906BD6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471650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r w14:paraId="4DF05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58D2482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671B8DC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2043801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93A3A0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702D0A8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11370C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75B071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r w14:paraId="70BAF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35CFA89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00AF69B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56029F1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1BB0BE0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1FB75C3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774DE3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FAF33F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r w14:paraId="32453C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17B027C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5D50F87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40003A8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2E9732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3DBEE31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A886FD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F4AECE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r w14:paraId="40F6E6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5F84577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38EC914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7DA2F76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436A3DB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26FE62D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BA1F86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9E8BFE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r w14:paraId="1B80E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2B30C0E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57FDAD1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2EA559C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167268D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243FFC3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59A469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FB10CA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bl>
    <w:p w14:paraId="34D418B8">
      <w:pPr>
        <w:pStyle w:val="87"/>
        <w:pageBreakBefore w:val="0"/>
        <w:kinsoku/>
        <w:wordWrap w:val="0"/>
        <w:overflowPunct/>
        <w:topLinePunct w:val="0"/>
        <w:bidi w:val="0"/>
        <w:outlineLvl w:val="9"/>
        <w:rPr>
          <w:rFonts w:hint="eastAsia" w:ascii="宋体" w:hAnsi="宋体" w:eastAsia="宋体" w:cs="宋体"/>
          <w:color w:val="auto"/>
          <w:sz w:val="30"/>
          <w:szCs w:val="30"/>
          <w:highlight w:val="none"/>
        </w:rPr>
      </w:pPr>
    </w:p>
    <w:p w14:paraId="5DA3C8D6">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11-2：工程设备暂估价表</w:t>
      </w:r>
    </w:p>
    <w:tbl>
      <w:tblPr>
        <w:tblStyle w:val="4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ECF4D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17B2D3F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序号</w:t>
            </w:r>
          </w:p>
        </w:tc>
        <w:tc>
          <w:tcPr>
            <w:tcW w:w="1984" w:type="dxa"/>
            <w:tcBorders>
              <w:top w:val="single" w:color="auto" w:sz="4" w:space="0"/>
              <w:left w:val="single" w:color="auto" w:sz="4" w:space="0"/>
              <w:bottom w:val="single" w:color="auto" w:sz="4" w:space="0"/>
              <w:right w:val="single" w:color="auto" w:sz="4" w:space="0"/>
            </w:tcBorders>
            <w:noWrap w:val="0"/>
            <w:vAlign w:val="top"/>
          </w:tcPr>
          <w:p w14:paraId="0530699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名称</w:t>
            </w:r>
          </w:p>
        </w:tc>
        <w:tc>
          <w:tcPr>
            <w:tcW w:w="851" w:type="dxa"/>
            <w:tcBorders>
              <w:top w:val="single" w:color="auto" w:sz="4" w:space="0"/>
              <w:left w:val="single" w:color="auto" w:sz="4" w:space="0"/>
              <w:bottom w:val="single" w:color="auto" w:sz="4" w:space="0"/>
              <w:right w:val="single" w:color="auto" w:sz="4" w:space="0"/>
            </w:tcBorders>
            <w:noWrap w:val="0"/>
            <w:vAlign w:val="top"/>
          </w:tcPr>
          <w:p w14:paraId="233ADA8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单位</w:t>
            </w:r>
          </w:p>
        </w:tc>
        <w:tc>
          <w:tcPr>
            <w:tcW w:w="774" w:type="dxa"/>
            <w:tcBorders>
              <w:top w:val="single" w:color="auto" w:sz="4" w:space="0"/>
              <w:left w:val="single" w:color="auto" w:sz="4" w:space="0"/>
              <w:bottom w:val="single" w:color="auto" w:sz="4" w:space="0"/>
              <w:right w:val="single" w:color="auto" w:sz="4" w:space="0"/>
            </w:tcBorders>
            <w:noWrap w:val="0"/>
            <w:vAlign w:val="top"/>
          </w:tcPr>
          <w:p w14:paraId="489AA1D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数量</w:t>
            </w:r>
          </w:p>
        </w:tc>
        <w:tc>
          <w:tcPr>
            <w:tcW w:w="1352" w:type="dxa"/>
            <w:tcBorders>
              <w:top w:val="single" w:color="auto" w:sz="4" w:space="0"/>
              <w:left w:val="single" w:color="auto" w:sz="4" w:space="0"/>
              <w:bottom w:val="single" w:color="auto" w:sz="4" w:space="0"/>
              <w:right w:val="single" w:color="auto" w:sz="4" w:space="0"/>
            </w:tcBorders>
            <w:noWrap w:val="0"/>
            <w:vAlign w:val="top"/>
          </w:tcPr>
          <w:p w14:paraId="1CDA863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单价（元）</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7011B79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合价（元）</w:t>
            </w:r>
          </w:p>
        </w:tc>
        <w:tc>
          <w:tcPr>
            <w:tcW w:w="1701" w:type="dxa"/>
            <w:tcBorders>
              <w:top w:val="single" w:color="auto" w:sz="4" w:space="0"/>
              <w:left w:val="single" w:color="auto" w:sz="4" w:space="0"/>
              <w:bottom w:val="single" w:color="auto" w:sz="4" w:space="0"/>
              <w:right w:val="single" w:color="auto" w:sz="4" w:space="0"/>
            </w:tcBorders>
            <w:noWrap w:val="0"/>
            <w:vAlign w:val="top"/>
          </w:tcPr>
          <w:p w14:paraId="0B304EC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备注</w:t>
            </w:r>
          </w:p>
        </w:tc>
      </w:tr>
      <w:tr w14:paraId="7A6D36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64466CF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7F52957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693CB67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61FBC0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3CFBCD4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3BD5EC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574513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8842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79A7B60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2B874F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7A33273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3326CD9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781FEF0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05CE35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70C417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5E13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713E6C9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3C9E7CA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63BD65B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29642C3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1F8E572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8955C5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95FBE7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5A2A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6B8C495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461A0AA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7F06C4D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2EC0A1D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4FC357A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3C28A5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30D8F9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7098F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4EC89C9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7977E12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1C96375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29142C5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7AF2EE2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3A28A2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B338A0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28A31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42FB025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7382673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76F2BC8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1A74B9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7B4385E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3C9CBF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A6C531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8C48A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50DEB30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2DACCDA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0EFE48D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E203F9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76B1EF0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9E8751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A97544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8025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tcBorders>
            <w:noWrap w:val="0"/>
            <w:vAlign w:val="top"/>
          </w:tcPr>
          <w:p w14:paraId="7113E9E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tcBorders>
              <w:top w:val="single" w:color="auto" w:sz="4" w:space="0"/>
            </w:tcBorders>
            <w:noWrap w:val="0"/>
            <w:vAlign w:val="top"/>
          </w:tcPr>
          <w:p w14:paraId="3556BE6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tcBorders>
              <w:top w:val="single" w:color="auto" w:sz="4" w:space="0"/>
            </w:tcBorders>
            <w:noWrap w:val="0"/>
            <w:vAlign w:val="top"/>
          </w:tcPr>
          <w:p w14:paraId="373C662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tcBorders>
              <w:top w:val="single" w:color="auto" w:sz="4" w:space="0"/>
            </w:tcBorders>
            <w:noWrap w:val="0"/>
            <w:vAlign w:val="top"/>
          </w:tcPr>
          <w:p w14:paraId="33BD612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tcBorders>
              <w:top w:val="single" w:color="auto" w:sz="4" w:space="0"/>
            </w:tcBorders>
            <w:noWrap w:val="0"/>
            <w:vAlign w:val="top"/>
          </w:tcPr>
          <w:p w14:paraId="0632731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tcBorders>
              <w:top w:val="single" w:color="auto" w:sz="4" w:space="0"/>
            </w:tcBorders>
            <w:noWrap w:val="0"/>
            <w:vAlign w:val="top"/>
          </w:tcPr>
          <w:p w14:paraId="78760B2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tcBorders>
              <w:top w:val="single" w:color="auto" w:sz="4" w:space="0"/>
            </w:tcBorders>
            <w:noWrap w:val="0"/>
            <w:vAlign w:val="top"/>
          </w:tcPr>
          <w:p w14:paraId="1918134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r w14:paraId="5FBD9D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8F8141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984" w:type="dxa"/>
            <w:noWrap w:val="0"/>
            <w:vAlign w:val="top"/>
          </w:tcPr>
          <w:p w14:paraId="66BE53B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851" w:type="dxa"/>
            <w:noWrap w:val="0"/>
            <w:vAlign w:val="top"/>
          </w:tcPr>
          <w:p w14:paraId="3504E08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774" w:type="dxa"/>
            <w:noWrap w:val="0"/>
            <w:vAlign w:val="top"/>
          </w:tcPr>
          <w:p w14:paraId="29A0A5D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352" w:type="dxa"/>
            <w:noWrap w:val="0"/>
            <w:vAlign w:val="top"/>
          </w:tcPr>
          <w:p w14:paraId="667A806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418" w:type="dxa"/>
            <w:noWrap w:val="0"/>
            <w:vAlign w:val="top"/>
          </w:tcPr>
          <w:p w14:paraId="04E8BAC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c>
          <w:tcPr>
            <w:tcW w:w="1701" w:type="dxa"/>
            <w:noWrap w:val="0"/>
            <w:vAlign w:val="top"/>
          </w:tcPr>
          <w:p w14:paraId="7D7DFD9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8"/>
                <w:szCs w:val="30"/>
                <w:highlight w:val="none"/>
                <w:lang w:val="en-US" w:eastAsia="zh-CN"/>
              </w:rPr>
            </w:pPr>
          </w:p>
        </w:tc>
      </w:tr>
    </w:tbl>
    <w:p w14:paraId="1B6FB07E">
      <w:pPr>
        <w:pageBreakBefore w:val="0"/>
        <w:kinsoku/>
        <w:wordWrap w:val="0"/>
        <w:overflowPunct/>
        <w:topLinePunct w:val="0"/>
        <w:bidi w:val="0"/>
        <w:spacing w:line="440" w:lineRule="exact"/>
        <w:outlineLvl w:val="9"/>
        <w:rPr>
          <w:rFonts w:hint="eastAsia" w:ascii="宋体" w:hAnsi="宋体" w:eastAsia="宋体" w:cs="宋体"/>
          <w:color w:val="auto"/>
          <w:sz w:val="30"/>
          <w:szCs w:val="30"/>
          <w:highlight w:val="none"/>
        </w:rPr>
      </w:pPr>
    </w:p>
    <w:p w14:paraId="3C7A71AB">
      <w:pPr>
        <w:pageBreakBefore w:val="0"/>
        <w:kinsoku/>
        <w:wordWrap w:val="0"/>
        <w:overflowPunct/>
        <w:topLinePunct w:val="0"/>
        <w:bidi w:val="0"/>
        <w:spacing w:before="120" w:beforeLines="50" w:after="120" w:afterLines="50" w:line="440" w:lineRule="exact"/>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30"/>
          <w:szCs w:val="30"/>
          <w:highlight w:val="none"/>
        </w:rPr>
        <w:br w:type="page"/>
      </w:r>
      <w:r>
        <w:rPr>
          <w:rFonts w:hint="eastAsia" w:ascii="宋体" w:hAnsi="宋体" w:eastAsia="宋体" w:cs="宋体"/>
          <w:color w:val="auto"/>
          <w:sz w:val="28"/>
          <w:szCs w:val="28"/>
          <w:highlight w:val="none"/>
        </w:rPr>
        <w:t>11-3：专业工程暂估价表</w:t>
      </w:r>
    </w:p>
    <w:tbl>
      <w:tblPr>
        <w:tblStyle w:val="4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3CA7C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6E5551D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序号</w:t>
            </w:r>
          </w:p>
        </w:tc>
        <w:tc>
          <w:tcPr>
            <w:tcW w:w="1984" w:type="dxa"/>
            <w:tcBorders>
              <w:top w:val="single" w:color="auto" w:sz="4" w:space="0"/>
              <w:left w:val="single" w:color="auto" w:sz="4" w:space="0"/>
              <w:bottom w:val="single" w:color="auto" w:sz="4" w:space="0"/>
              <w:right w:val="single" w:color="auto" w:sz="4" w:space="0"/>
            </w:tcBorders>
            <w:noWrap w:val="0"/>
            <w:vAlign w:val="top"/>
          </w:tcPr>
          <w:p w14:paraId="7BAA0D5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专业工程名称</w:t>
            </w:r>
          </w:p>
        </w:tc>
        <w:tc>
          <w:tcPr>
            <w:tcW w:w="4678" w:type="dxa"/>
            <w:tcBorders>
              <w:top w:val="single" w:color="auto" w:sz="4" w:space="0"/>
              <w:left w:val="single" w:color="auto" w:sz="4" w:space="0"/>
              <w:bottom w:val="single" w:color="auto" w:sz="4" w:space="0"/>
              <w:right w:val="single" w:color="auto" w:sz="4" w:space="0"/>
            </w:tcBorders>
            <w:noWrap w:val="0"/>
            <w:vAlign w:val="top"/>
          </w:tcPr>
          <w:p w14:paraId="3F06774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工程内容</w:t>
            </w:r>
          </w:p>
        </w:tc>
        <w:tc>
          <w:tcPr>
            <w:tcW w:w="1276" w:type="dxa"/>
            <w:tcBorders>
              <w:top w:val="single" w:color="auto" w:sz="4" w:space="0"/>
              <w:left w:val="single" w:color="auto" w:sz="4" w:space="0"/>
              <w:bottom w:val="single" w:color="auto" w:sz="4" w:space="0"/>
              <w:right w:val="single" w:color="auto" w:sz="4" w:space="0"/>
            </w:tcBorders>
            <w:noWrap w:val="0"/>
            <w:vAlign w:val="top"/>
          </w:tcPr>
          <w:p w14:paraId="6128DDC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金额</w:t>
            </w:r>
          </w:p>
        </w:tc>
      </w:tr>
      <w:tr w14:paraId="0063D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73B1D38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2DEB9DE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641190D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ADD8DA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85186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2D1B5F0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2175C6F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586A38C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3155C3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4EF3D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1AC19E8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6D38FFD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2D73AD7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E556E75">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69CE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1460CF4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0AF87FB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180E735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11B6EC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2E7CF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2B0020F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4322D55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5B8FC6C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557DB6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AF2C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0E701BF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3DF56BD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5C1938A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C21E85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80EDB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087D269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7392042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5FD7754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F2A518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E579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06A5146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33E8747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5C5A8EC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A61A43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655201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tcBorders>
            <w:noWrap w:val="0"/>
            <w:vAlign w:val="top"/>
          </w:tcPr>
          <w:p w14:paraId="75017FE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tcBorders>
              <w:top w:val="single" w:color="auto" w:sz="4" w:space="0"/>
            </w:tcBorders>
            <w:noWrap w:val="0"/>
            <w:vAlign w:val="top"/>
          </w:tcPr>
          <w:p w14:paraId="4D6FC8C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tcBorders>
              <w:top w:val="single" w:color="auto" w:sz="4" w:space="0"/>
            </w:tcBorders>
            <w:noWrap w:val="0"/>
            <w:vAlign w:val="top"/>
          </w:tcPr>
          <w:p w14:paraId="04659B9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tcBorders>
              <w:top w:val="single" w:color="auto" w:sz="4" w:space="0"/>
            </w:tcBorders>
            <w:noWrap w:val="0"/>
            <w:vAlign w:val="top"/>
          </w:tcPr>
          <w:p w14:paraId="72489B7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9A30F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7C343F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2CD522B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61707CA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4BCF6F6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75FD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0409A5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061F918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4718FBB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1BC53F5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B3EB0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1BF73E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3137852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1A53723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22227A9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177D9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5BE8DB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5E6CAE8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1BF78B8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2C1A68C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323D7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A6997B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3CC0A37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3D353A6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2CA3696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12728B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0D4326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0D57D91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372DE08E">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42460C7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466FCD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B6762B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2FA9E15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2492C82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5D9D3EE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44E6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B50574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331DBFE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7E3C7AA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5F61E44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571F4E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1408B47">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7966114D">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06FCE393">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4706E05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55B82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ACD8CE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499FCDCA">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50ADAD9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0F2FC031">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C98A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B024470">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6CAE4C1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3CA00D6B">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26BE990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0B031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4DBFE1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3690FC3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29A05356">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6B5B079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135F1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885DB0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0A228762">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509BCB1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09D26AD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238550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8CA0938">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984" w:type="dxa"/>
            <w:noWrap w:val="0"/>
            <w:vAlign w:val="top"/>
          </w:tcPr>
          <w:p w14:paraId="628F78DC">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4678" w:type="dxa"/>
            <w:noWrap w:val="0"/>
            <w:vAlign w:val="top"/>
          </w:tcPr>
          <w:p w14:paraId="54195194">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c>
          <w:tcPr>
            <w:tcW w:w="1276" w:type="dxa"/>
            <w:noWrap w:val="0"/>
            <w:vAlign w:val="top"/>
          </w:tcPr>
          <w:p w14:paraId="5FCFA429">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p>
        </w:tc>
      </w:tr>
      <w:tr w14:paraId="7A98E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66036CDF">
            <w:pPr>
              <w:pStyle w:val="20"/>
              <w:keepNext/>
              <w:keepLines w:val="0"/>
              <w:pageBreakBefore w:val="0"/>
              <w:suppressLineNumbers w:val="0"/>
              <w:kinsoku/>
              <w:wordWrap w:val="0"/>
              <w:overflowPunct/>
              <w:topLinePunct w:val="0"/>
              <w:bidi w:val="0"/>
              <w:spacing w:before="0" w:beforeAutospacing="0" w:after="0" w:afterAutospacing="0" w:line="440" w:lineRule="exact"/>
              <w:ind w:left="63" w:right="63"/>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4"/>
                <w:szCs w:val="28"/>
                <w:highlight w:val="none"/>
                <w:lang w:val="en-US" w:eastAsia="zh-CN"/>
              </w:rPr>
              <w:t>小计：</w:t>
            </w:r>
          </w:p>
        </w:tc>
      </w:tr>
    </w:tbl>
    <w:p w14:paraId="6ABA8B6D">
      <w:pPr>
        <w:pageBreakBefore w:val="0"/>
        <w:kinsoku/>
        <w:wordWrap w:val="0"/>
        <w:overflowPunct/>
        <w:topLinePunct w:val="0"/>
        <w:bidi w:val="0"/>
        <w:outlineLvl w:val="9"/>
        <w:rPr>
          <w:rFonts w:hint="eastAsia" w:ascii="宋体" w:hAnsi="宋体" w:eastAsia="宋体" w:cs="宋体"/>
          <w:color w:val="auto"/>
          <w:highlight w:val="none"/>
        </w:rPr>
      </w:pPr>
    </w:p>
    <w:p w14:paraId="3C4C8CE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p>
    <w:p w14:paraId="3599582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6"/>
          <w:highlight w:val="none"/>
        </w:rPr>
      </w:pPr>
    </w:p>
    <w:p w14:paraId="48CCE58E">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6"/>
          <w:highlight w:val="none"/>
        </w:rPr>
      </w:pPr>
    </w:p>
    <w:p w14:paraId="6920CA64">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6"/>
          <w:highlight w:val="none"/>
        </w:rPr>
      </w:pPr>
    </w:p>
    <w:p w14:paraId="3F4CD656">
      <w:pPr>
        <w:pageBreakBefore w:val="0"/>
        <w:kinsoku/>
        <w:wordWrap w:val="0"/>
        <w:overflowPunct/>
        <w:topLinePunct w:val="0"/>
        <w:autoSpaceDE w:val="0"/>
        <w:autoSpaceDN w:val="0"/>
        <w:bidi w:val="0"/>
        <w:adjustRightInd w:val="0"/>
        <w:spacing w:line="400" w:lineRule="exact"/>
        <w:ind w:right="-34" w:rightChars="-16"/>
        <w:jc w:val="center"/>
        <w:outlineLvl w:val="0"/>
        <w:rPr>
          <w:rFonts w:hint="eastAsia" w:ascii="宋体" w:hAnsi="宋体" w:eastAsia="宋体" w:cs="宋体"/>
          <w:color w:val="auto"/>
          <w:sz w:val="36"/>
          <w:highlight w:val="none"/>
        </w:rPr>
      </w:pPr>
      <w:bookmarkStart w:id="1929" w:name="_Toc2081"/>
      <w:bookmarkStart w:id="1930" w:name="_Toc7073"/>
      <w:bookmarkStart w:id="1931" w:name="_Toc500864531"/>
      <w:r>
        <w:rPr>
          <w:rFonts w:hint="eastAsia" w:ascii="宋体" w:hAnsi="宋体" w:eastAsia="宋体" w:cs="宋体"/>
          <w:b/>
          <w:color w:val="auto"/>
          <w:kern w:val="0"/>
          <w:sz w:val="36"/>
          <w:highlight w:val="none"/>
        </w:rPr>
        <w:t>第</w:t>
      </w:r>
      <w:r>
        <w:rPr>
          <w:rFonts w:hint="eastAsia" w:ascii="宋体" w:hAnsi="宋体" w:eastAsia="宋体" w:cs="宋体"/>
          <w:b/>
          <w:color w:val="auto"/>
          <w:kern w:val="0"/>
          <w:sz w:val="36"/>
          <w:highlight w:val="none"/>
          <w:lang w:val="en-US" w:eastAsia="zh-CN"/>
        </w:rPr>
        <w:t>六</w:t>
      </w:r>
      <w:r>
        <w:rPr>
          <w:rFonts w:hint="eastAsia" w:ascii="宋体" w:hAnsi="宋体" w:eastAsia="宋体" w:cs="宋体"/>
          <w:b/>
          <w:color w:val="auto"/>
          <w:kern w:val="0"/>
          <w:sz w:val="36"/>
          <w:highlight w:val="none"/>
        </w:rPr>
        <w:t>章</w:t>
      </w:r>
      <w:r>
        <w:rPr>
          <w:rFonts w:hint="eastAsia" w:ascii="宋体" w:hAnsi="宋体" w:eastAsia="宋体" w:cs="宋体"/>
          <w:color w:val="auto"/>
          <w:kern w:val="0"/>
          <w:sz w:val="36"/>
          <w:highlight w:val="none"/>
        </w:rPr>
        <w:t xml:space="preserve">  </w:t>
      </w:r>
      <w:r>
        <w:rPr>
          <w:rFonts w:hint="eastAsia" w:ascii="宋体" w:hAnsi="宋体" w:eastAsia="宋体" w:cs="宋体"/>
          <w:b/>
          <w:color w:val="auto"/>
          <w:kern w:val="0"/>
          <w:sz w:val="36"/>
          <w:highlight w:val="none"/>
        </w:rPr>
        <w:t>工程量清单（交易平台下载）</w:t>
      </w:r>
      <w:bookmarkEnd w:id="848"/>
      <w:bookmarkEnd w:id="849"/>
      <w:bookmarkEnd w:id="1929"/>
      <w:bookmarkEnd w:id="1930"/>
      <w:bookmarkEnd w:id="1931"/>
    </w:p>
    <w:p w14:paraId="03DCDCCE">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p>
    <w:p w14:paraId="578711E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65023C5B">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12D11DD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18"/>
          <w:highlight w:val="none"/>
        </w:rPr>
      </w:pPr>
    </w:p>
    <w:p w14:paraId="4220A88A">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183465CC">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17CC5A6D">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3884D965">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1782B468">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71E3C684">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42E054E4">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06298727">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bookmarkStart w:id="1932" w:name="_Toc228591593"/>
      <w:bookmarkStart w:id="1933" w:name="_Toc228337182"/>
      <w:bookmarkStart w:id="1934" w:name="_Toc227657571"/>
      <w:bookmarkStart w:id="1935" w:name="_Toc228881233"/>
      <w:bookmarkStart w:id="1936" w:name="_Toc228591741"/>
      <w:bookmarkStart w:id="1937" w:name="_Toc228589247"/>
      <w:bookmarkStart w:id="1938" w:name="_Toc227492329"/>
      <w:bookmarkStart w:id="1939" w:name="_Toc214433972"/>
    </w:p>
    <w:p w14:paraId="3969FEC9">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p w14:paraId="37F2C453">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p w14:paraId="69DBA5B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p w14:paraId="78DE7693">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p w14:paraId="5B15DF66">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p w14:paraId="1643AC7C">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p w14:paraId="31D807C4">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p w14:paraId="3F34464A">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bookmarkEnd w:id="1932"/>
    <w:bookmarkEnd w:id="1933"/>
    <w:bookmarkEnd w:id="1934"/>
    <w:bookmarkEnd w:id="1935"/>
    <w:bookmarkEnd w:id="1936"/>
    <w:bookmarkEnd w:id="1937"/>
    <w:bookmarkEnd w:id="1938"/>
    <w:bookmarkEnd w:id="1939"/>
    <w:p w14:paraId="47A6A1A9">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18"/>
          <w:highlight w:val="none"/>
        </w:rPr>
      </w:pPr>
    </w:p>
    <w:p w14:paraId="2E989654">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2E5CCD6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33A916EE">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27EE7971">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4D12E4C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3B69727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6A0EBB35">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1325C1AA">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0206401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57A90CF3">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32"/>
          <w:highlight w:val="none"/>
        </w:rPr>
      </w:pPr>
    </w:p>
    <w:p w14:paraId="00224171">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bookmarkStart w:id="1940" w:name="_Toc228337183"/>
      <w:bookmarkStart w:id="1941" w:name="_Toc227492330"/>
      <w:bookmarkStart w:id="1942" w:name="_Toc227657572"/>
      <w:bookmarkStart w:id="1943" w:name="_Toc228591742"/>
      <w:bookmarkStart w:id="1944" w:name="_Toc228881234"/>
      <w:bookmarkStart w:id="1945" w:name="_Toc228591594"/>
      <w:bookmarkStart w:id="1946" w:name="_Toc228589248"/>
      <w:bookmarkStart w:id="1947" w:name="_Toc214433973"/>
    </w:p>
    <w:p w14:paraId="2ED3B87C">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4"/>
          <w:highlight w:val="none"/>
        </w:rPr>
      </w:pPr>
    </w:p>
    <w:p w14:paraId="332D8BBF">
      <w:pPr>
        <w:pageBreakBefore w:val="0"/>
        <w:kinsoku/>
        <w:wordWrap w:val="0"/>
        <w:overflowPunct/>
        <w:topLinePunct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bookmarkStart w:id="1948" w:name="_Toc8800"/>
      <w:bookmarkStart w:id="1949" w:name="_Toc272772655"/>
      <w:bookmarkStart w:id="1950" w:name="_Toc14457"/>
      <w:bookmarkStart w:id="1951" w:name="_Toc26699"/>
      <w:bookmarkStart w:id="1952" w:name="_Toc500864532"/>
      <w:r>
        <w:rPr>
          <w:rFonts w:hint="eastAsia" w:ascii="宋体" w:hAnsi="宋体" w:eastAsia="宋体" w:cs="宋体"/>
          <w:b/>
          <w:color w:val="auto"/>
          <w:kern w:val="0"/>
          <w:sz w:val="36"/>
          <w:szCs w:val="36"/>
          <w:highlight w:val="none"/>
        </w:rPr>
        <w:t>第</w:t>
      </w:r>
      <w:r>
        <w:rPr>
          <w:rFonts w:hint="eastAsia" w:ascii="宋体" w:hAnsi="宋体" w:eastAsia="宋体" w:cs="宋体"/>
          <w:b/>
          <w:color w:val="auto"/>
          <w:kern w:val="0"/>
          <w:sz w:val="36"/>
          <w:szCs w:val="36"/>
          <w:highlight w:val="none"/>
          <w:lang w:val="en-US" w:eastAsia="zh-CN"/>
        </w:rPr>
        <w:t>七</w:t>
      </w:r>
      <w:r>
        <w:rPr>
          <w:rFonts w:hint="eastAsia" w:ascii="宋体" w:hAnsi="宋体" w:eastAsia="宋体" w:cs="宋体"/>
          <w:b/>
          <w:color w:val="auto"/>
          <w:kern w:val="0"/>
          <w:sz w:val="36"/>
          <w:szCs w:val="36"/>
          <w:highlight w:val="none"/>
        </w:rPr>
        <w:t>章  图纸</w:t>
      </w:r>
      <w:bookmarkEnd w:id="1940"/>
      <w:bookmarkEnd w:id="1941"/>
      <w:bookmarkEnd w:id="1942"/>
      <w:bookmarkEnd w:id="1943"/>
      <w:bookmarkEnd w:id="1944"/>
      <w:bookmarkEnd w:id="1945"/>
      <w:bookmarkEnd w:id="1946"/>
      <w:bookmarkEnd w:id="1947"/>
      <w:r>
        <w:rPr>
          <w:rFonts w:hint="eastAsia" w:ascii="宋体" w:hAnsi="宋体" w:eastAsia="宋体" w:cs="宋体"/>
          <w:b/>
          <w:color w:val="auto"/>
          <w:kern w:val="0"/>
          <w:sz w:val="36"/>
          <w:szCs w:val="36"/>
          <w:highlight w:val="none"/>
        </w:rPr>
        <w:t>（</w:t>
      </w:r>
      <w:r>
        <w:rPr>
          <w:rFonts w:hint="eastAsia" w:ascii="宋体" w:hAnsi="宋体" w:eastAsia="宋体" w:cs="宋体"/>
          <w:b/>
          <w:color w:val="auto"/>
          <w:kern w:val="0"/>
          <w:sz w:val="36"/>
          <w:highlight w:val="none"/>
        </w:rPr>
        <w:t>交易平台下载</w:t>
      </w:r>
      <w:r>
        <w:rPr>
          <w:rFonts w:hint="eastAsia" w:ascii="宋体" w:hAnsi="宋体" w:eastAsia="宋体" w:cs="宋体"/>
          <w:b/>
          <w:color w:val="auto"/>
          <w:kern w:val="0"/>
          <w:sz w:val="36"/>
          <w:szCs w:val="36"/>
          <w:highlight w:val="none"/>
        </w:rPr>
        <w:t>）</w:t>
      </w:r>
      <w:bookmarkEnd w:id="1948"/>
      <w:bookmarkEnd w:id="1949"/>
      <w:bookmarkEnd w:id="1950"/>
      <w:bookmarkEnd w:id="1951"/>
      <w:bookmarkEnd w:id="1952"/>
    </w:p>
    <w:p w14:paraId="648B73D4">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681E4C3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6D104877">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4B727288">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4C1956FF">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3C6B78A6">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64E86DC5">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372BCC2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32D0267D">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6F33B5E9">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05B528B6">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5B47D96E">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104E3B48">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3E1DF85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58ED8CF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09DB95C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147587D8">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4D528CE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48CE1357">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532F5C59">
      <w:pPr>
        <w:pStyle w:val="87"/>
        <w:pageBreakBefore w:val="0"/>
        <w:kinsoku/>
        <w:wordWrap w:val="0"/>
        <w:overflowPunct/>
        <w:topLinePunct w:val="0"/>
        <w:bidi w:val="0"/>
        <w:outlineLvl w:val="9"/>
        <w:rPr>
          <w:rFonts w:hint="eastAsia" w:ascii="宋体" w:hAnsi="宋体" w:eastAsia="宋体" w:cs="宋体"/>
          <w:color w:val="auto"/>
          <w:highlight w:val="none"/>
        </w:rPr>
      </w:pPr>
    </w:p>
    <w:p w14:paraId="78F25291">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5E0A652F">
      <w:pPr>
        <w:pStyle w:val="23"/>
        <w:rPr>
          <w:rFonts w:hint="eastAsia" w:ascii="宋体" w:hAnsi="宋体" w:eastAsia="宋体" w:cs="宋体"/>
          <w:color w:val="auto"/>
          <w:kern w:val="0"/>
          <w:sz w:val="32"/>
          <w:highlight w:val="none"/>
        </w:rPr>
      </w:pPr>
    </w:p>
    <w:p w14:paraId="4A3C87FD">
      <w:pPr>
        <w:rPr>
          <w:rFonts w:hint="eastAsia" w:ascii="宋体" w:hAnsi="宋体" w:eastAsia="宋体" w:cs="宋体"/>
          <w:color w:val="auto"/>
          <w:kern w:val="0"/>
          <w:sz w:val="32"/>
          <w:highlight w:val="none"/>
        </w:rPr>
      </w:pPr>
    </w:p>
    <w:p w14:paraId="490CB31C">
      <w:pPr>
        <w:pStyle w:val="23"/>
        <w:rPr>
          <w:rFonts w:hint="eastAsia" w:ascii="宋体" w:hAnsi="宋体" w:eastAsia="宋体" w:cs="宋体"/>
          <w:color w:val="auto"/>
          <w:kern w:val="0"/>
          <w:sz w:val="32"/>
          <w:highlight w:val="none"/>
        </w:rPr>
      </w:pPr>
    </w:p>
    <w:p w14:paraId="1E400D1D">
      <w:pPr>
        <w:rPr>
          <w:rFonts w:hint="eastAsia" w:ascii="宋体" w:hAnsi="宋体" w:eastAsia="宋体" w:cs="宋体"/>
          <w:color w:val="auto"/>
          <w:kern w:val="0"/>
          <w:sz w:val="32"/>
          <w:highlight w:val="none"/>
        </w:rPr>
      </w:pPr>
    </w:p>
    <w:p w14:paraId="7524DE75">
      <w:pPr>
        <w:pStyle w:val="23"/>
        <w:rPr>
          <w:rFonts w:hint="eastAsia" w:ascii="宋体" w:hAnsi="宋体" w:eastAsia="宋体" w:cs="宋体"/>
          <w:color w:val="auto"/>
          <w:kern w:val="0"/>
          <w:sz w:val="32"/>
          <w:highlight w:val="none"/>
        </w:rPr>
      </w:pPr>
    </w:p>
    <w:p w14:paraId="119131C1">
      <w:pPr>
        <w:rPr>
          <w:rFonts w:hint="eastAsia" w:ascii="宋体" w:hAnsi="宋体" w:eastAsia="宋体" w:cs="宋体"/>
          <w:color w:val="auto"/>
          <w:kern w:val="0"/>
          <w:sz w:val="32"/>
          <w:highlight w:val="none"/>
        </w:rPr>
      </w:pPr>
    </w:p>
    <w:p w14:paraId="19DE7E11">
      <w:pPr>
        <w:pStyle w:val="23"/>
        <w:rPr>
          <w:rFonts w:hint="eastAsia" w:ascii="宋体" w:hAnsi="宋体" w:eastAsia="宋体" w:cs="宋体"/>
          <w:color w:val="auto"/>
          <w:kern w:val="0"/>
          <w:sz w:val="32"/>
          <w:highlight w:val="none"/>
        </w:rPr>
      </w:pPr>
    </w:p>
    <w:p w14:paraId="657F11C4">
      <w:pPr>
        <w:rPr>
          <w:rFonts w:hint="eastAsia" w:ascii="宋体" w:hAnsi="宋体" w:eastAsia="宋体" w:cs="宋体"/>
          <w:color w:val="auto"/>
          <w:kern w:val="0"/>
          <w:sz w:val="32"/>
          <w:highlight w:val="none"/>
        </w:rPr>
      </w:pPr>
    </w:p>
    <w:p w14:paraId="5A7512D9">
      <w:pPr>
        <w:pStyle w:val="23"/>
        <w:rPr>
          <w:rFonts w:hint="eastAsia" w:ascii="宋体" w:hAnsi="宋体" w:eastAsia="宋体" w:cs="宋体"/>
          <w:color w:val="auto"/>
          <w:kern w:val="0"/>
          <w:sz w:val="32"/>
          <w:highlight w:val="none"/>
        </w:rPr>
      </w:pPr>
    </w:p>
    <w:p w14:paraId="5F2FBAE9">
      <w:pPr>
        <w:rPr>
          <w:rFonts w:hint="eastAsia"/>
          <w:color w:val="auto"/>
          <w:highlight w:val="none"/>
        </w:rPr>
      </w:pPr>
    </w:p>
    <w:p w14:paraId="2F65344B">
      <w:pPr>
        <w:pageBreakBefore w:val="0"/>
        <w:kinsoku/>
        <w:wordWrap w:val="0"/>
        <w:overflowPunct/>
        <w:topLinePunct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bookmarkStart w:id="1953" w:name="_Toc228589251"/>
      <w:bookmarkStart w:id="1954" w:name="_Toc228881237"/>
      <w:bookmarkStart w:id="1955" w:name="_Toc500864533"/>
      <w:bookmarkStart w:id="1956" w:name="_Toc228337186"/>
      <w:bookmarkStart w:id="1957" w:name="_Toc30887"/>
      <w:bookmarkStart w:id="1958" w:name="_Toc228591745"/>
      <w:bookmarkStart w:id="1959" w:name="_Toc227492333"/>
      <w:bookmarkStart w:id="1960" w:name="_Toc12634"/>
      <w:bookmarkStart w:id="1961" w:name="_Toc214433977"/>
      <w:bookmarkStart w:id="1962" w:name="_Toc27908"/>
      <w:bookmarkStart w:id="1963" w:name="_Toc227657575"/>
      <w:bookmarkStart w:id="1964" w:name="_Toc272772657"/>
      <w:bookmarkStart w:id="1965" w:name="_Toc228591597"/>
      <w:r>
        <w:rPr>
          <w:rFonts w:hint="eastAsia" w:ascii="宋体" w:hAnsi="宋体" w:eastAsia="宋体" w:cs="宋体"/>
          <w:b/>
          <w:color w:val="auto"/>
          <w:kern w:val="0"/>
          <w:sz w:val="36"/>
          <w:szCs w:val="36"/>
          <w:highlight w:val="none"/>
        </w:rPr>
        <w:t>第</w:t>
      </w:r>
      <w:r>
        <w:rPr>
          <w:rFonts w:hint="eastAsia" w:ascii="宋体" w:hAnsi="宋体" w:eastAsia="宋体" w:cs="宋体"/>
          <w:b/>
          <w:color w:val="auto"/>
          <w:kern w:val="0"/>
          <w:sz w:val="36"/>
          <w:szCs w:val="36"/>
          <w:highlight w:val="none"/>
          <w:lang w:val="en-US" w:eastAsia="zh-CN"/>
        </w:rPr>
        <w:t>八</w:t>
      </w:r>
      <w:r>
        <w:rPr>
          <w:rFonts w:hint="eastAsia" w:ascii="宋体" w:hAnsi="宋体" w:eastAsia="宋体" w:cs="宋体"/>
          <w:b/>
          <w:color w:val="auto"/>
          <w:kern w:val="0"/>
          <w:sz w:val="36"/>
          <w:szCs w:val="36"/>
          <w:highlight w:val="none"/>
        </w:rPr>
        <w:t>章 技术标准和要求</w:t>
      </w:r>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Start w:id="1966" w:name="_Toc227492334"/>
      <w:bookmarkStart w:id="1967" w:name="_Toc229892149"/>
      <w:bookmarkStart w:id="1968" w:name="_Toc227657576"/>
      <w:bookmarkStart w:id="1969" w:name="_Toc228591746"/>
      <w:bookmarkStart w:id="1970" w:name="_Toc228589252"/>
      <w:bookmarkStart w:id="1971" w:name="_Toc228337187"/>
      <w:bookmarkStart w:id="1972" w:name="_Toc228881238"/>
      <w:bookmarkStart w:id="1973" w:name="_Toc228591598"/>
      <w:bookmarkStart w:id="1974" w:name="_Toc214433978"/>
      <w:bookmarkStart w:id="1975" w:name="_Toc272772658"/>
    </w:p>
    <w:bookmarkEnd w:id="1966"/>
    <w:bookmarkEnd w:id="1967"/>
    <w:bookmarkEnd w:id="1968"/>
    <w:bookmarkEnd w:id="1969"/>
    <w:bookmarkEnd w:id="1970"/>
    <w:bookmarkEnd w:id="1971"/>
    <w:bookmarkEnd w:id="1972"/>
    <w:bookmarkEnd w:id="1973"/>
    <w:bookmarkEnd w:id="1974"/>
    <w:bookmarkEnd w:id="1975"/>
    <w:p w14:paraId="025A48C8">
      <w:pPr>
        <w:pageBreakBefore w:val="0"/>
        <w:kinsoku/>
        <w:wordWrap w:val="0"/>
        <w:overflowPunct/>
        <w:topLinePunct w:val="0"/>
        <w:bidi w:val="0"/>
        <w:spacing w:line="400" w:lineRule="exact"/>
        <w:ind w:right="-34" w:rightChars="-16"/>
        <w:outlineLvl w:val="9"/>
        <w:rPr>
          <w:rFonts w:hint="eastAsia" w:ascii="宋体" w:hAnsi="宋体" w:eastAsia="宋体" w:cs="宋体"/>
          <w:color w:val="auto"/>
          <w:szCs w:val="21"/>
          <w:highlight w:val="none"/>
        </w:rPr>
      </w:pPr>
    </w:p>
    <w:p w14:paraId="532BBD1C">
      <w:pPr>
        <w:pageBreakBefore w:val="0"/>
        <w:kinsoku/>
        <w:wordWrap w:val="0"/>
        <w:overflowPunct/>
        <w:topLinePunct w:val="0"/>
        <w:bidi w:val="0"/>
        <w:spacing w:line="400" w:lineRule="exact"/>
        <w:ind w:right="-34" w:rightChars="-16"/>
        <w:outlineLvl w:val="1"/>
        <w:rPr>
          <w:rFonts w:hint="eastAsia" w:ascii="宋体" w:hAnsi="宋体" w:eastAsia="宋体" w:cs="宋体"/>
          <w:color w:val="auto"/>
          <w:szCs w:val="21"/>
          <w:highlight w:val="none"/>
        </w:rPr>
      </w:pPr>
      <w:bookmarkStart w:id="1976" w:name="_Toc12890"/>
      <w:r>
        <w:rPr>
          <w:rFonts w:hint="eastAsia" w:ascii="宋体" w:hAnsi="宋体" w:eastAsia="宋体" w:cs="宋体"/>
          <w:color w:val="auto"/>
          <w:szCs w:val="21"/>
          <w:highlight w:val="none"/>
        </w:rPr>
        <w:t>一、适用范围</w:t>
      </w:r>
      <w:bookmarkEnd w:id="1976"/>
    </w:p>
    <w:p w14:paraId="677BC0F5">
      <w:pPr>
        <w:pageBreakBefore w:val="0"/>
        <w:kinsoku/>
        <w:wordWrap w:val="0"/>
        <w:overflowPunct/>
        <w:topLinePunct w:val="0"/>
        <w:bidi w:val="0"/>
        <w:spacing w:line="400" w:lineRule="exact"/>
        <w:ind w:right="-34" w:rightChars="-16"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本章要求的规范适用于</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详细内容均已注明于施工图和有关文件之中。</w:t>
      </w:r>
    </w:p>
    <w:p w14:paraId="4EF5E5D3">
      <w:pPr>
        <w:pageBreakBefore w:val="0"/>
        <w:kinsoku/>
        <w:wordWrap w:val="0"/>
        <w:overflowPunct/>
        <w:topLinePunct w:val="0"/>
        <w:bidi w:val="0"/>
        <w:spacing w:line="400" w:lineRule="exact"/>
        <w:ind w:right="-34" w:rightChars="-16"/>
        <w:outlineLvl w:val="1"/>
        <w:rPr>
          <w:rFonts w:hint="eastAsia" w:ascii="宋体" w:hAnsi="宋体" w:eastAsia="宋体" w:cs="宋体"/>
          <w:color w:val="auto"/>
          <w:szCs w:val="21"/>
          <w:highlight w:val="none"/>
        </w:rPr>
      </w:pPr>
      <w:bookmarkStart w:id="1977" w:name="_Toc27878"/>
      <w:r>
        <w:rPr>
          <w:rFonts w:hint="eastAsia" w:ascii="宋体" w:hAnsi="宋体" w:eastAsia="宋体" w:cs="宋体"/>
          <w:color w:val="auto"/>
          <w:szCs w:val="21"/>
          <w:highlight w:val="none"/>
        </w:rPr>
        <w:t>二、实施的有关标准与法规</w:t>
      </w:r>
      <w:bookmarkEnd w:id="1977"/>
    </w:p>
    <w:p w14:paraId="6D5389BB">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规范中指定的标准或法规为工程实施中实际采用的标准和法规，承包人提出采用的其它标准及规范，如能保证其达到与本规范所规定的标准及规范相同的质量或更高的质量，经工程师事先审阅和书面批准即可采用。</w:t>
      </w:r>
    </w:p>
    <w:p w14:paraId="00C5FCCF">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本规范与图纸中</w:t>
      </w:r>
      <w:r>
        <w:rPr>
          <w:rFonts w:hint="eastAsia" w:ascii="宋体" w:hAnsi="宋体" w:eastAsia="宋体" w:cs="宋体"/>
          <w:color w:val="auto"/>
          <w:szCs w:val="21"/>
          <w:highlight w:val="none"/>
          <w:lang w:eastAsia="zh-CN"/>
        </w:rPr>
        <w:t>明显</w:t>
      </w:r>
      <w:r>
        <w:rPr>
          <w:rFonts w:hint="eastAsia" w:ascii="宋体" w:hAnsi="宋体" w:eastAsia="宋体" w:cs="宋体"/>
          <w:color w:val="auto"/>
          <w:szCs w:val="21"/>
          <w:highlight w:val="none"/>
        </w:rPr>
        <w:t>未提到的任何细节，或在涉及任何条款的细节说明中有明显的遗漏，都应被认为指的是采用令人满意的习惯</w:t>
      </w:r>
      <w:r>
        <w:rPr>
          <w:rFonts w:hint="eastAsia" w:ascii="宋体" w:hAnsi="宋体" w:eastAsia="宋体" w:cs="宋体"/>
          <w:color w:val="auto"/>
          <w:szCs w:val="21"/>
          <w:highlight w:val="none"/>
          <w:lang w:eastAsia="zh-CN"/>
        </w:rPr>
        <w:t>做法</w:t>
      </w:r>
      <w:r>
        <w:rPr>
          <w:rFonts w:hint="eastAsia" w:ascii="宋体" w:hAnsi="宋体" w:eastAsia="宋体" w:cs="宋体"/>
          <w:color w:val="auto"/>
          <w:szCs w:val="21"/>
          <w:highlight w:val="none"/>
        </w:rPr>
        <w:t>。</w:t>
      </w:r>
    </w:p>
    <w:p w14:paraId="1C12D099">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2.3 本工程实施中所采用的材料、设备和工艺应在各方面符合引用的标准规范。</w:t>
      </w:r>
    </w:p>
    <w:p w14:paraId="405D6E78">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2.4 本工程实施中所采用的规范和标准如出现标准不一致的情况，以标准高的为准。</w:t>
      </w:r>
    </w:p>
    <w:p w14:paraId="6FC88716">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其它与本工程有关的现行工程技术、施工验收标准及规范。</w:t>
      </w:r>
    </w:p>
    <w:p w14:paraId="37657463">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 技术规范标准与新技术规范标准不一致时，以新技术规范标准为准。</w:t>
      </w:r>
    </w:p>
    <w:p w14:paraId="29AFAC93">
      <w:pPr>
        <w:pageBreakBefore w:val="0"/>
        <w:kinsoku/>
        <w:wordWrap w:val="0"/>
        <w:overflowPunct/>
        <w:topLinePunct w:val="0"/>
        <w:bidi w:val="0"/>
        <w:spacing w:line="400" w:lineRule="exact"/>
        <w:ind w:right="-34" w:rightChars="-16"/>
        <w:outlineLvl w:val="1"/>
        <w:rPr>
          <w:rFonts w:hint="eastAsia" w:ascii="宋体" w:hAnsi="宋体" w:eastAsia="宋体" w:cs="宋体"/>
          <w:color w:val="auto"/>
          <w:szCs w:val="21"/>
          <w:highlight w:val="none"/>
        </w:rPr>
      </w:pPr>
      <w:bookmarkStart w:id="1978" w:name="_Toc17226"/>
      <w:r>
        <w:rPr>
          <w:rFonts w:hint="eastAsia" w:ascii="宋体" w:hAnsi="宋体" w:eastAsia="宋体" w:cs="宋体"/>
          <w:color w:val="auto"/>
          <w:szCs w:val="21"/>
          <w:highlight w:val="none"/>
        </w:rPr>
        <w:t>三、施工及验收规范</w:t>
      </w:r>
      <w:bookmarkEnd w:id="1978"/>
    </w:p>
    <w:p w14:paraId="7884F8AA">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施工图纸中所列的设计、施工及验收规范；</w:t>
      </w:r>
    </w:p>
    <w:p w14:paraId="351F9635">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其它与本工程有关的现行工程技术、质量评定标准、施工验收标准和规范。</w:t>
      </w:r>
    </w:p>
    <w:p w14:paraId="41788A45">
      <w:pPr>
        <w:pageBreakBefore w:val="0"/>
        <w:kinsoku/>
        <w:wordWrap w:val="0"/>
        <w:overflowPunct/>
        <w:topLinePunct w:val="0"/>
        <w:bidi w:val="0"/>
        <w:spacing w:line="400" w:lineRule="exact"/>
        <w:ind w:right="-34" w:rightChars="-16"/>
        <w:outlineLvl w:val="1"/>
        <w:rPr>
          <w:rFonts w:hint="eastAsia" w:ascii="宋体" w:hAnsi="宋体" w:eastAsia="宋体" w:cs="宋体"/>
          <w:color w:val="auto"/>
          <w:szCs w:val="21"/>
          <w:highlight w:val="none"/>
        </w:rPr>
      </w:pPr>
      <w:bookmarkStart w:id="1979" w:name="_Toc31992"/>
      <w:r>
        <w:rPr>
          <w:rFonts w:hint="eastAsia" w:ascii="宋体" w:hAnsi="宋体" w:eastAsia="宋体" w:cs="宋体"/>
          <w:color w:val="auto"/>
          <w:szCs w:val="21"/>
          <w:highlight w:val="none"/>
        </w:rPr>
        <w:t>四、其他</w:t>
      </w:r>
      <w:bookmarkEnd w:id="1979"/>
    </w:p>
    <w:p w14:paraId="28016054">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其他技术标准和要求详见施工图纸。</w:t>
      </w:r>
    </w:p>
    <w:p w14:paraId="309448F7">
      <w:pPr>
        <w:keepNext w:val="0"/>
        <w:keepLines w:val="0"/>
        <w:pageBreakBefore w:val="0"/>
        <w:widowControl w:val="0"/>
        <w:kinsoku/>
        <w:wordWrap w:val="0"/>
        <w:overflowPunct/>
        <w:topLinePunct w:val="0"/>
        <w:autoSpaceDE/>
        <w:autoSpaceDN/>
        <w:bidi w:val="0"/>
        <w:adjustRightInd/>
        <w:snapToGrid/>
        <w:spacing w:line="400" w:lineRule="exact"/>
        <w:ind w:right="0" w:righ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本章所列“技术标准和要求”与“施工图纸”不一致时，以施工图纸为准。</w:t>
      </w:r>
    </w:p>
    <w:p w14:paraId="5DB8EF0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4A661B55">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7ACFA5E9">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18"/>
          <w:highlight w:val="none"/>
        </w:rPr>
      </w:pPr>
      <w:bookmarkStart w:id="1980" w:name="_Toc228337188"/>
      <w:bookmarkStart w:id="1981" w:name="_Toc214433979"/>
      <w:bookmarkStart w:id="1982" w:name="_Toc228589253"/>
      <w:bookmarkStart w:id="1983" w:name="_Toc228591599"/>
      <w:bookmarkStart w:id="1984" w:name="_Toc227492335"/>
      <w:bookmarkStart w:id="1985" w:name="_Toc228591747"/>
      <w:bookmarkStart w:id="1986" w:name="_Toc227657577"/>
    </w:p>
    <w:p w14:paraId="1FA922B5">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18"/>
          <w:highlight w:val="none"/>
        </w:rPr>
      </w:pPr>
    </w:p>
    <w:bookmarkEnd w:id="1980"/>
    <w:bookmarkEnd w:id="1981"/>
    <w:bookmarkEnd w:id="1982"/>
    <w:bookmarkEnd w:id="1983"/>
    <w:bookmarkEnd w:id="1984"/>
    <w:bookmarkEnd w:id="1985"/>
    <w:bookmarkEnd w:id="1986"/>
    <w:p w14:paraId="267B702F">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564458EB">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6F7FDE2D">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2C312646">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3EF26553">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18F2E32F">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6AF9D3C3">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445CA13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32"/>
          <w:highlight w:val="none"/>
        </w:rPr>
      </w:pPr>
    </w:p>
    <w:p w14:paraId="368AE9BB">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18"/>
          <w:highlight w:val="none"/>
        </w:rPr>
      </w:pPr>
    </w:p>
    <w:p w14:paraId="06938846">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18"/>
          <w:highlight w:val="none"/>
        </w:rPr>
      </w:pPr>
    </w:p>
    <w:p w14:paraId="6BE2AF95">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32"/>
          <w:highlight w:val="none"/>
        </w:rPr>
      </w:pPr>
    </w:p>
    <w:p w14:paraId="7C4350E6">
      <w:pPr>
        <w:pageBreakBefore w:val="0"/>
        <w:kinsoku/>
        <w:wordWrap w:val="0"/>
        <w:overflowPunct/>
        <w:topLinePunct w:val="0"/>
        <w:autoSpaceDE w:val="0"/>
        <w:autoSpaceDN w:val="0"/>
        <w:bidi w:val="0"/>
        <w:adjustRightInd w:val="0"/>
        <w:spacing w:line="440" w:lineRule="exact"/>
        <w:ind w:right="-34" w:rightChars="-16"/>
        <w:jc w:val="center"/>
        <w:outlineLvl w:val="0"/>
        <w:rPr>
          <w:rFonts w:hint="eastAsia" w:ascii="宋体" w:hAnsi="宋体" w:eastAsia="宋体" w:cs="宋体"/>
          <w:b/>
          <w:color w:val="auto"/>
          <w:kern w:val="0"/>
          <w:sz w:val="44"/>
          <w:highlight w:val="none"/>
        </w:rPr>
      </w:pPr>
      <w:bookmarkStart w:id="1987" w:name="_Toc228881240"/>
      <w:bookmarkStart w:id="1988" w:name="_Toc31076"/>
      <w:bookmarkStart w:id="1989" w:name="_Toc227492336"/>
      <w:bookmarkStart w:id="1990" w:name="_Toc12143"/>
      <w:bookmarkStart w:id="1991" w:name="_Toc227657578"/>
      <w:bookmarkStart w:id="1992" w:name="_Toc214433980"/>
      <w:bookmarkStart w:id="1993" w:name="_Toc228337189"/>
      <w:bookmarkStart w:id="1994" w:name="_Toc228591748"/>
      <w:bookmarkStart w:id="1995" w:name="_Toc228591600"/>
      <w:bookmarkStart w:id="1996" w:name="_Toc228589254"/>
      <w:bookmarkStart w:id="1997" w:name="_Toc27790"/>
      <w:bookmarkStart w:id="1998" w:name="_Toc500864535"/>
      <w:bookmarkStart w:id="1999" w:name="_Toc272772660"/>
      <w:r>
        <w:rPr>
          <w:rFonts w:hint="eastAsia" w:ascii="宋体" w:hAnsi="宋体" w:eastAsia="宋体" w:cs="宋体"/>
          <w:b/>
          <w:color w:val="auto"/>
          <w:kern w:val="0"/>
          <w:sz w:val="44"/>
          <w:highlight w:val="none"/>
        </w:rPr>
        <w:t>第</w:t>
      </w:r>
      <w:r>
        <w:rPr>
          <w:rFonts w:hint="eastAsia" w:ascii="宋体" w:hAnsi="宋体" w:eastAsia="宋体" w:cs="宋体"/>
          <w:b/>
          <w:color w:val="auto"/>
          <w:kern w:val="0"/>
          <w:sz w:val="44"/>
          <w:highlight w:val="none"/>
          <w:lang w:val="en-US" w:eastAsia="zh-CN"/>
        </w:rPr>
        <w:t>九</w:t>
      </w:r>
      <w:r>
        <w:rPr>
          <w:rFonts w:hint="eastAsia" w:ascii="宋体" w:hAnsi="宋体" w:eastAsia="宋体" w:cs="宋体"/>
          <w:b/>
          <w:color w:val="auto"/>
          <w:kern w:val="0"/>
          <w:sz w:val="44"/>
          <w:highlight w:val="none"/>
        </w:rPr>
        <w:t>章 投标文件格式</w:t>
      </w:r>
      <w:bookmarkEnd w:id="1987"/>
      <w:bookmarkEnd w:id="1988"/>
      <w:bookmarkEnd w:id="1989"/>
      <w:bookmarkEnd w:id="1990"/>
      <w:bookmarkEnd w:id="1991"/>
      <w:bookmarkEnd w:id="1992"/>
      <w:bookmarkEnd w:id="1993"/>
      <w:bookmarkEnd w:id="1994"/>
      <w:bookmarkEnd w:id="1995"/>
      <w:bookmarkEnd w:id="1996"/>
      <w:bookmarkEnd w:id="1997"/>
      <w:bookmarkEnd w:id="1998"/>
      <w:bookmarkEnd w:id="1999"/>
    </w:p>
    <w:p w14:paraId="0BD0EDE6">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highlight w:val="none"/>
        </w:rPr>
      </w:pPr>
      <w:r>
        <w:rPr>
          <w:rFonts w:hint="eastAsia" w:ascii="宋体" w:hAnsi="宋体" w:eastAsia="宋体" w:cs="宋体"/>
          <w:b/>
          <w:color w:val="auto"/>
          <w:kern w:val="0"/>
          <w:sz w:val="44"/>
          <w:highlight w:val="none"/>
        </w:rPr>
        <w:br w:type="page"/>
      </w:r>
    </w:p>
    <w:p w14:paraId="6DF2B8C6">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p>
    <w:p w14:paraId="045995F2">
      <w:pPr>
        <w:pageBreakBefore w:val="0"/>
        <w:kinsoku/>
        <w:wordWrap w:val="0"/>
        <w:overflowPunct/>
        <w:topLinePunct w:val="0"/>
        <w:autoSpaceDE w:val="0"/>
        <w:autoSpaceDN w:val="0"/>
        <w:bidi w:val="0"/>
        <w:adjustRightInd w:val="0"/>
        <w:spacing w:line="400" w:lineRule="exact"/>
        <w:ind w:right="-34" w:rightChars="-16" w:firstLine="620" w:firstLineChars="200"/>
        <w:jc w:val="center"/>
        <w:outlineLvl w:val="9"/>
        <w:rPr>
          <w:rFonts w:hint="eastAsia" w:ascii="宋体" w:hAnsi="宋体" w:eastAsia="宋体" w:cs="宋体"/>
          <w:color w:val="auto"/>
          <w:kern w:val="0"/>
          <w:sz w:val="28"/>
          <w:highlight w:val="none"/>
        </w:rPr>
      </w:pPr>
      <w:r>
        <w:rPr>
          <w:rFonts w:hint="eastAsia" w:ascii="宋体" w:hAnsi="宋体" w:eastAsia="宋体" w:cs="宋体"/>
          <w:color w:val="auto"/>
          <w:sz w:val="31"/>
          <w:highlight w:val="none"/>
        </w:rPr>
        <w:t xml:space="preserve"> </w:t>
      </w:r>
      <w:r>
        <w:rPr>
          <w:rFonts w:hint="eastAsia" w:ascii="宋体" w:hAnsi="宋体" w:eastAsia="宋体" w:cs="宋体"/>
          <w:color w:val="auto"/>
          <w:sz w:val="31"/>
          <w:highlight w:val="none"/>
          <w:u w:val="single"/>
        </w:rPr>
        <w:t xml:space="preserve">        </w:t>
      </w:r>
      <w:r>
        <w:rPr>
          <w:rFonts w:hint="eastAsia" w:ascii="宋体" w:hAnsi="宋体" w:eastAsia="宋体" w:cs="宋体"/>
          <w:color w:val="auto"/>
          <w:sz w:val="31"/>
          <w:highlight w:val="none"/>
        </w:rPr>
        <w:t>（项目名称）施工招标</w:t>
      </w:r>
    </w:p>
    <w:p w14:paraId="78D10380">
      <w:pPr>
        <w:pageBreakBefore w:val="0"/>
        <w:kinsoku/>
        <w:wordWrap w:val="0"/>
        <w:overflowPunct/>
        <w:topLinePunct w:val="0"/>
        <w:autoSpaceDE w:val="0"/>
        <w:autoSpaceDN w:val="0"/>
        <w:bidi w:val="0"/>
        <w:adjustRightInd w:val="0"/>
        <w:spacing w:line="400" w:lineRule="exact"/>
        <w:ind w:right="-34" w:rightChars="-16" w:firstLine="2520" w:firstLineChars="900"/>
        <w:jc w:val="left"/>
        <w:outlineLvl w:val="9"/>
        <w:rPr>
          <w:rFonts w:hint="eastAsia" w:ascii="宋体" w:hAnsi="宋体" w:eastAsia="宋体" w:cs="宋体"/>
          <w:color w:val="auto"/>
          <w:kern w:val="0"/>
          <w:sz w:val="28"/>
          <w:highlight w:val="none"/>
        </w:rPr>
      </w:pPr>
    </w:p>
    <w:p w14:paraId="160F4116">
      <w:pPr>
        <w:pageBreakBefore w:val="0"/>
        <w:kinsoku/>
        <w:wordWrap w:val="0"/>
        <w:overflowPunct/>
        <w:topLinePunct w:val="0"/>
        <w:autoSpaceDE w:val="0"/>
        <w:autoSpaceDN w:val="0"/>
        <w:bidi w:val="0"/>
        <w:adjustRightInd w:val="0"/>
        <w:spacing w:line="400" w:lineRule="exact"/>
        <w:ind w:right="-34" w:rightChars="-16" w:firstLine="2520" w:firstLineChars="900"/>
        <w:jc w:val="left"/>
        <w:outlineLvl w:val="9"/>
        <w:rPr>
          <w:rFonts w:hint="eastAsia" w:ascii="宋体" w:hAnsi="宋体" w:eastAsia="宋体" w:cs="宋体"/>
          <w:color w:val="auto"/>
          <w:kern w:val="0"/>
          <w:sz w:val="28"/>
          <w:highlight w:val="none"/>
        </w:rPr>
      </w:pPr>
    </w:p>
    <w:p w14:paraId="2F95C70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spacing w:val="60"/>
          <w:kern w:val="0"/>
          <w:sz w:val="70"/>
          <w:highlight w:val="none"/>
        </w:rPr>
      </w:pPr>
    </w:p>
    <w:p w14:paraId="0DA3B4A0">
      <w:pPr>
        <w:pStyle w:val="23"/>
        <w:pageBreakBefore w:val="0"/>
        <w:kinsoku/>
        <w:wordWrap w:val="0"/>
        <w:overflowPunct/>
        <w:topLinePunct w:val="0"/>
        <w:bidi w:val="0"/>
        <w:ind w:firstLine="200"/>
        <w:outlineLvl w:val="9"/>
        <w:rPr>
          <w:rFonts w:hint="eastAsia" w:ascii="宋体" w:hAnsi="宋体" w:eastAsia="宋体" w:cs="宋体"/>
          <w:color w:val="auto"/>
          <w:highlight w:val="none"/>
        </w:rPr>
      </w:pPr>
    </w:p>
    <w:p w14:paraId="3DAE7E88">
      <w:pPr>
        <w:pStyle w:val="23"/>
        <w:pageBreakBefore w:val="0"/>
        <w:kinsoku/>
        <w:wordWrap w:val="0"/>
        <w:overflowPunct/>
        <w:topLinePunct w:val="0"/>
        <w:bidi w:val="0"/>
        <w:ind w:firstLine="200"/>
        <w:outlineLvl w:val="9"/>
        <w:rPr>
          <w:rFonts w:hint="eastAsia" w:ascii="宋体" w:hAnsi="宋体" w:eastAsia="宋体" w:cs="宋体"/>
          <w:color w:val="auto"/>
          <w:highlight w:val="none"/>
        </w:rPr>
      </w:pPr>
    </w:p>
    <w:p w14:paraId="1B203580">
      <w:pPr>
        <w:pStyle w:val="23"/>
        <w:pageBreakBefore w:val="0"/>
        <w:kinsoku/>
        <w:wordWrap w:val="0"/>
        <w:overflowPunct/>
        <w:topLinePunct w:val="0"/>
        <w:bidi w:val="0"/>
        <w:ind w:firstLine="200"/>
        <w:outlineLvl w:val="9"/>
        <w:rPr>
          <w:rFonts w:hint="eastAsia" w:ascii="宋体" w:hAnsi="宋体" w:eastAsia="宋体" w:cs="宋体"/>
          <w:color w:val="auto"/>
          <w:highlight w:val="none"/>
        </w:rPr>
      </w:pPr>
    </w:p>
    <w:p w14:paraId="48A673FA">
      <w:pPr>
        <w:pStyle w:val="23"/>
        <w:pageBreakBefore w:val="0"/>
        <w:kinsoku/>
        <w:wordWrap w:val="0"/>
        <w:overflowPunct/>
        <w:topLinePunct w:val="0"/>
        <w:bidi w:val="0"/>
        <w:ind w:firstLine="200"/>
        <w:outlineLvl w:val="9"/>
        <w:rPr>
          <w:rFonts w:hint="eastAsia" w:ascii="宋体" w:hAnsi="宋体" w:eastAsia="宋体" w:cs="宋体"/>
          <w:color w:val="auto"/>
          <w:highlight w:val="none"/>
        </w:rPr>
      </w:pPr>
    </w:p>
    <w:p w14:paraId="2DE6B9E3">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spacing w:val="60"/>
          <w:kern w:val="0"/>
          <w:sz w:val="70"/>
          <w:highlight w:val="none"/>
        </w:rPr>
      </w:pPr>
    </w:p>
    <w:p w14:paraId="14BCA43D">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spacing w:val="60"/>
          <w:kern w:val="0"/>
          <w:sz w:val="70"/>
          <w:highlight w:val="none"/>
        </w:rPr>
      </w:pPr>
    </w:p>
    <w:p w14:paraId="566F442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spacing w:val="60"/>
          <w:kern w:val="0"/>
          <w:sz w:val="70"/>
          <w:highlight w:val="none"/>
        </w:rPr>
      </w:pPr>
    </w:p>
    <w:p w14:paraId="479A8D5B">
      <w:pPr>
        <w:pageBreakBefore w:val="0"/>
        <w:kinsoku/>
        <w:wordWrap w:val="0"/>
        <w:overflowPunct/>
        <w:topLinePunct w:val="0"/>
        <w:autoSpaceDE w:val="0"/>
        <w:autoSpaceDN w:val="0"/>
        <w:bidi w:val="0"/>
        <w:adjustRightInd w:val="0"/>
        <w:spacing w:before="240" w:beforeLines="100" w:after="240" w:afterLines="100" w:line="400" w:lineRule="exact"/>
        <w:ind w:right="-34" w:rightChars="-16"/>
        <w:jc w:val="center"/>
        <w:outlineLvl w:val="9"/>
        <w:rPr>
          <w:rFonts w:hint="eastAsia" w:ascii="宋体" w:hAnsi="宋体" w:eastAsia="宋体" w:cs="宋体"/>
          <w:b/>
          <w:color w:val="auto"/>
          <w:spacing w:val="60"/>
          <w:kern w:val="0"/>
          <w:sz w:val="70"/>
          <w:highlight w:val="none"/>
        </w:rPr>
      </w:pPr>
      <w:r>
        <w:rPr>
          <w:rFonts w:hint="eastAsia" w:ascii="宋体" w:hAnsi="宋体" w:eastAsia="宋体" w:cs="宋体"/>
          <w:b/>
          <w:color w:val="auto"/>
          <w:spacing w:val="60"/>
          <w:kern w:val="0"/>
          <w:sz w:val="70"/>
          <w:highlight w:val="none"/>
        </w:rPr>
        <w:t>投 标 文 件</w:t>
      </w:r>
    </w:p>
    <w:p w14:paraId="06B3453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44"/>
          <w:highlight w:val="none"/>
        </w:rPr>
      </w:pPr>
    </w:p>
    <w:p w14:paraId="7718CE7B">
      <w:pPr>
        <w:pageBreakBefore w:val="0"/>
        <w:kinsoku/>
        <w:wordWrap w:val="0"/>
        <w:overflowPunct/>
        <w:topLinePunct w:val="0"/>
        <w:autoSpaceDE w:val="0"/>
        <w:autoSpaceDN w:val="0"/>
        <w:bidi w:val="0"/>
        <w:adjustRightInd w:val="0"/>
        <w:spacing w:line="400" w:lineRule="exact"/>
        <w:ind w:right="-34" w:rightChars="-16" w:firstLine="3040" w:firstLineChars="950"/>
        <w:outlineLvl w:val="9"/>
        <w:rPr>
          <w:rFonts w:hint="eastAsia" w:ascii="宋体" w:hAnsi="宋体" w:eastAsia="宋体" w:cs="宋体"/>
          <w:color w:val="auto"/>
          <w:kern w:val="0"/>
          <w:sz w:val="32"/>
          <w:szCs w:val="32"/>
          <w:highlight w:val="none"/>
          <w:u w:val="single"/>
        </w:rPr>
      </w:pPr>
      <w:r>
        <w:rPr>
          <w:rFonts w:hint="eastAsia" w:ascii="宋体" w:hAnsi="宋体" w:eastAsia="宋体" w:cs="宋体"/>
          <w:color w:val="auto"/>
          <w:kern w:val="0"/>
          <w:sz w:val="32"/>
          <w:szCs w:val="32"/>
          <w:highlight w:val="none"/>
        </w:rPr>
        <w:t>项目编号</w:t>
      </w:r>
      <w:r>
        <w:rPr>
          <w:rFonts w:hint="eastAsia" w:ascii="宋体" w:hAnsi="宋体" w:eastAsia="宋体" w:cs="宋体"/>
          <w:color w:val="auto"/>
          <w:kern w:val="0"/>
          <w:sz w:val="32"/>
          <w:szCs w:val="32"/>
          <w:highlight w:val="none"/>
          <w:u w:val="single"/>
        </w:rPr>
        <w:t xml:space="preserve">         </w:t>
      </w:r>
    </w:p>
    <w:p w14:paraId="73F9FD3B">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44"/>
          <w:highlight w:val="none"/>
        </w:rPr>
      </w:pPr>
    </w:p>
    <w:p w14:paraId="6CBF2837">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44"/>
          <w:highlight w:val="none"/>
        </w:rPr>
      </w:pPr>
    </w:p>
    <w:p w14:paraId="487B1B8B">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44"/>
          <w:highlight w:val="none"/>
        </w:rPr>
      </w:pPr>
    </w:p>
    <w:p w14:paraId="44A2E517">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44"/>
          <w:highlight w:val="none"/>
        </w:rPr>
      </w:pPr>
    </w:p>
    <w:p w14:paraId="0AF60C51">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44"/>
          <w:highlight w:val="none"/>
        </w:rPr>
      </w:pPr>
    </w:p>
    <w:p w14:paraId="23559B24">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44"/>
          <w:highlight w:val="none"/>
        </w:rPr>
      </w:pPr>
    </w:p>
    <w:p w14:paraId="63FDC8CA">
      <w:pPr>
        <w:pStyle w:val="87"/>
        <w:pageBreakBefore w:val="0"/>
        <w:kinsoku/>
        <w:wordWrap w:val="0"/>
        <w:overflowPunct/>
        <w:topLinePunct w:val="0"/>
        <w:bidi w:val="0"/>
        <w:spacing w:line="400" w:lineRule="exact"/>
        <w:ind w:right="-34" w:rightChars="-16"/>
        <w:outlineLvl w:val="9"/>
        <w:rPr>
          <w:rFonts w:hint="eastAsia" w:ascii="宋体" w:hAnsi="宋体" w:eastAsia="宋体" w:cs="宋体"/>
          <w:color w:val="auto"/>
          <w:sz w:val="23"/>
          <w:highlight w:val="none"/>
          <w:u w:val="single"/>
        </w:rPr>
      </w:pPr>
    </w:p>
    <w:p w14:paraId="4E104634">
      <w:pPr>
        <w:pStyle w:val="87"/>
        <w:pageBreakBefore w:val="0"/>
        <w:kinsoku/>
        <w:wordWrap w:val="0"/>
        <w:overflowPunct/>
        <w:topLinePunct w:val="0"/>
        <w:bidi w:val="0"/>
        <w:spacing w:before="240" w:beforeLines="100" w:after="240" w:afterLines="100" w:line="400" w:lineRule="exact"/>
        <w:ind w:right="-34" w:rightChars="-16"/>
        <w:jc w:val="center"/>
        <w:outlineLvl w:val="9"/>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（盖单位章）</w:t>
      </w:r>
    </w:p>
    <w:p w14:paraId="730B9FD0">
      <w:pPr>
        <w:pStyle w:val="87"/>
        <w:pageBreakBefore w:val="0"/>
        <w:kinsoku/>
        <w:wordWrap w:val="0"/>
        <w:overflowPunct/>
        <w:topLinePunct w:val="0"/>
        <w:bidi w:val="0"/>
        <w:spacing w:before="240" w:beforeLines="100" w:after="240" w:afterLines="100" w:line="400" w:lineRule="exact"/>
        <w:ind w:right="-34" w:rightChars="-16" w:firstLine="1560" w:firstLineChars="650"/>
        <w:outlineLvl w:val="9"/>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（签字或盖章）</w:t>
      </w:r>
    </w:p>
    <w:p w14:paraId="590CA521">
      <w:pPr>
        <w:pStyle w:val="87"/>
        <w:pageBreakBefore w:val="0"/>
        <w:kinsoku/>
        <w:wordWrap w:val="0"/>
        <w:overflowPunct/>
        <w:topLinePunct w:val="0"/>
        <w:bidi w:val="0"/>
        <w:spacing w:before="240" w:beforeLines="100" w:after="240" w:afterLines="100" w:line="400" w:lineRule="exact"/>
        <w:ind w:right="-34" w:rightChars="-16" w:firstLine="3240" w:firstLineChars="1350"/>
        <w:outlineLvl w:val="9"/>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91FDA8F">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2800" w:firstLineChars="1000"/>
        <w:jc w:val="left"/>
        <w:outlineLvl w:val="9"/>
        <w:rPr>
          <w:rFonts w:hint="eastAsia" w:ascii="宋体" w:hAnsi="宋体" w:eastAsia="宋体" w:cs="宋体"/>
          <w:color w:val="auto"/>
          <w:kern w:val="0"/>
          <w:sz w:val="28"/>
          <w:highlight w:val="none"/>
        </w:rPr>
      </w:pPr>
    </w:p>
    <w:p w14:paraId="599F3CE3">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2800" w:firstLineChars="1000"/>
        <w:jc w:val="left"/>
        <w:outlineLvl w:val="9"/>
        <w:rPr>
          <w:rFonts w:hint="eastAsia" w:ascii="宋体" w:hAnsi="宋体" w:eastAsia="宋体" w:cs="宋体"/>
          <w:color w:val="auto"/>
          <w:kern w:val="0"/>
          <w:sz w:val="28"/>
          <w:highlight w:val="none"/>
        </w:rPr>
      </w:pPr>
    </w:p>
    <w:p w14:paraId="2535ED4E">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40"/>
          <w:szCs w:val="18"/>
          <w:highlight w:val="none"/>
        </w:rPr>
      </w:pPr>
      <w:bookmarkStart w:id="2000" w:name="_Toc227492337"/>
      <w:bookmarkStart w:id="2001" w:name="_Toc228337190"/>
      <w:bookmarkStart w:id="2002" w:name="_Toc228591601"/>
      <w:bookmarkStart w:id="2003" w:name="_Toc272772661"/>
      <w:bookmarkStart w:id="2004" w:name="_Toc228881241"/>
      <w:bookmarkStart w:id="2005" w:name="_Toc228589255"/>
      <w:bookmarkStart w:id="2006" w:name="_Toc228591749"/>
      <w:bookmarkStart w:id="2007" w:name="_Toc214433981"/>
      <w:bookmarkStart w:id="2008" w:name="_Toc227657579"/>
      <w:r>
        <w:rPr>
          <w:rFonts w:hint="eastAsia" w:ascii="宋体" w:hAnsi="宋体" w:eastAsia="宋体" w:cs="宋体"/>
          <w:b/>
          <w:color w:val="auto"/>
          <w:kern w:val="0"/>
          <w:sz w:val="44"/>
          <w:highlight w:val="none"/>
        </w:rPr>
        <w:br w:type="page"/>
      </w:r>
      <w:bookmarkEnd w:id="2000"/>
      <w:bookmarkEnd w:id="2001"/>
      <w:bookmarkEnd w:id="2002"/>
      <w:bookmarkEnd w:id="2003"/>
      <w:bookmarkEnd w:id="2004"/>
      <w:bookmarkEnd w:id="2005"/>
      <w:bookmarkEnd w:id="2006"/>
      <w:bookmarkEnd w:id="2007"/>
      <w:bookmarkEnd w:id="2008"/>
      <w:bookmarkStart w:id="2009" w:name="_Toc8265"/>
      <w:bookmarkStart w:id="2010" w:name="_Toc14817"/>
      <w:bookmarkStart w:id="2011" w:name="_Toc3628"/>
      <w:bookmarkStart w:id="2012" w:name="_Toc431367133"/>
      <w:bookmarkStart w:id="2013" w:name="_Toc20886"/>
      <w:bookmarkStart w:id="2014" w:name="_Toc500864536"/>
      <w:r>
        <w:rPr>
          <w:rFonts w:hint="eastAsia" w:ascii="宋体" w:hAnsi="宋体" w:eastAsia="宋体" w:cs="宋体"/>
          <w:b/>
          <w:color w:val="auto"/>
          <w:kern w:val="0"/>
          <w:sz w:val="32"/>
          <w:szCs w:val="15"/>
          <w:highlight w:val="none"/>
        </w:rPr>
        <w:t>目    录</w:t>
      </w:r>
      <w:bookmarkEnd w:id="2009"/>
      <w:bookmarkEnd w:id="2010"/>
      <w:bookmarkEnd w:id="2011"/>
      <w:bookmarkEnd w:id="2012"/>
      <w:bookmarkEnd w:id="2013"/>
      <w:bookmarkEnd w:id="2014"/>
    </w:p>
    <w:p w14:paraId="0292A11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1DDCCF60">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（1）投标函及投标函附录；</w:t>
      </w:r>
    </w:p>
    <w:p w14:paraId="56D1DE8D">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（2）法定代表人身份证明；</w:t>
      </w:r>
    </w:p>
    <w:p w14:paraId="77D18E31">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（3）附有法定代表人身份证明的授权委托书；</w:t>
      </w:r>
    </w:p>
    <w:p w14:paraId="7006F6D3">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（4）投标保证金交纳证明；</w:t>
      </w:r>
    </w:p>
    <w:p w14:paraId="0FC8BDF7">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（5）已标价工程量清单；</w:t>
      </w:r>
    </w:p>
    <w:p w14:paraId="15BEEA54">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eastAsia="zh-CN"/>
        </w:rPr>
        <w:t>施工组织设计</w:t>
      </w:r>
      <w:r>
        <w:rPr>
          <w:rFonts w:hint="eastAsia" w:ascii="宋体" w:hAnsi="宋体" w:eastAsia="宋体" w:cs="宋体"/>
          <w:color w:val="auto"/>
          <w:kern w:val="0"/>
          <w:sz w:val="24"/>
          <w:szCs w:val="24"/>
          <w:highlight w:val="none"/>
        </w:rPr>
        <w:t>；</w:t>
      </w:r>
    </w:p>
    <w:p w14:paraId="7F5148C5">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（7）技术标准和要求；</w:t>
      </w:r>
    </w:p>
    <w:p w14:paraId="629F3434">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（8）项目管理机构；</w:t>
      </w:r>
    </w:p>
    <w:p w14:paraId="231C9973">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（9）资格审查资料；</w:t>
      </w:r>
    </w:p>
    <w:p w14:paraId="61DEF833">
      <w:pPr>
        <w:pageBreakBefore w:val="0"/>
        <w:kinsoku/>
        <w:wordWrap w:val="0"/>
        <w:overflowPunct/>
        <w:topLinePunct w:val="0"/>
        <w:autoSpaceDE w:val="0"/>
        <w:autoSpaceDN w:val="0"/>
        <w:bidi w:val="0"/>
        <w:adjustRightInd w:val="0"/>
        <w:spacing w:line="600" w:lineRule="exact"/>
        <w:ind w:right="-34" w:rightChars="-16" w:firstLine="240" w:firstLineChars="1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（10）投标人须知前附表规定的其他材料。</w:t>
      </w:r>
    </w:p>
    <w:p w14:paraId="6A59F62B">
      <w:pPr>
        <w:pageBreakBefore w:val="0"/>
        <w:kinsoku/>
        <w:wordWrap w:val="0"/>
        <w:overflowPunct/>
        <w:topLinePunct w:val="0"/>
        <w:autoSpaceDE w:val="0"/>
        <w:autoSpaceDN w:val="0"/>
        <w:bidi w:val="0"/>
        <w:adjustRightInd w:val="0"/>
        <w:spacing w:line="400" w:lineRule="exact"/>
        <w:ind w:right="-34" w:rightChars="-16" w:firstLine="1850" w:firstLineChars="771"/>
        <w:jc w:val="left"/>
        <w:outlineLvl w:val="9"/>
        <w:rPr>
          <w:rFonts w:hint="eastAsia" w:ascii="宋体" w:hAnsi="宋体" w:eastAsia="宋体" w:cs="宋体"/>
          <w:color w:val="auto"/>
          <w:kern w:val="0"/>
          <w:sz w:val="24"/>
          <w:szCs w:val="24"/>
          <w:highlight w:val="none"/>
        </w:rPr>
      </w:pPr>
    </w:p>
    <w:p w14:paraId="127325AB">
      <w:pPr>
        <w:pageBreakBefore w:val="0"/>
        <w:kinsoku/>
        <w:wordWrap w:val="0"/>
        <w:overflowPunct/>
        <w:topLinePunct w:val="0"/>
        <w:autoSpaceDE w:val="0"/>
        <w:autoSpaceDN w:val="0"/>
        <w:bidi w:val="0"/>
        <w:adjustRightInd w:val="0"/>
        <w:spacing w:line="400" w:lineRule="exact"/>
        <w:ind w:right="-34" w:rightChars="-16" w:firstLine="1619" w:firstLineChars="771"/>
        <w:jc w:val="left"/>
        <w:outlineLvl w:val="9"/>
        <w:rPr>
          <w:rFonts w:hint="eastAsia" w:ascii="宋体" w:hAnsi="宋体" w:eastAsia="宋体" w:cs="宋体"/>
          <w:color w:val="auto"/>
          <w:kern w:val="0"/>
          <w:highlight w:val="none"/>
        </w:rPr>
      </w:pPr>
    </w:p>
    <w:p w14:paraId="4DB95242">
      <w:pPr>
        <w:pageBreakBefore w:val="0"/>
        <w:kinsoku/>
        <w:wordWrap w:val="0"/>
        <w:overflowPunct/>
        <w:topLinePunct w:val="0"/>
        <w:autoSpaceDE w:val="0"/>
        <w:autoSpaceDN w:val="0"/>
        <w:bidi w:val="0"/>
        <w:adjustRightInd w:val="0"/>
        <w:spacing w:line="400" w:lineRule="exact"/>
        <w:ind w:right="-34" w:rightChars="-16" w:firstLine="1619" w:firstLineChars="771"/>
        <w:jc w:val="left"/>
        <w:outlineLvl w:val="9"/>
        <w:rPr>
          <w:rFonts w:hint="eastAsia" w:ascii="宋体" w:hAnsi="宋体" w:eastAsia="宋体" w:cs="宋体"/>
          <w:color w:val="auto"/>
          <w:kern w:val="0"/>
          <w:highlight w:val="none"/>
        </w:rPr>
      </w:pPr>
    </w:p>
    <w:p w14:paraId="32240467">
      <w:pPr>
        <w:pageBreakBefore w:val="0"/>
        <w:kinsoku/>
        <w:wordWrap w:val="0"/>
        <w:overflowPunct/>
        <w:topLinePunct w:val="0"/>
        <w:autoSpaceDE w:val="0"/>
        <w:autoSpaceDN w:val="0"/>
        <w:bidi w:val="0"/>
        <w:adjustRightInd w:val="0"/>
        <w:spacing w:line="400" w:lineRule="exact"/>
        <w:ind w:right="-34" w:rightChars="-16" w:firstLine="1619" w:firstLineChars="771"/>
        <w:jc w:val="left"/>
        <w:outlineLvl w:val="9"/>
        <w:rPr>
          <w:rFonts w:hint="eastAsia" w:ascii="宋体" w:hAnsi="宋体" w:eastAsia="宋体" w:cs="宋体"/>
          <w:color w:val="auto"/>
          <w:kern w:val="0"/>
          <w:highlight w:val="none"/>
        </w:rPr>
      </w:pPr>
    </w:p>
    <w:p w14:paraId="44655D7B">
      <w:pPr>
        <w:pageBreakBefore w:val="0"/>
        <w:kinsoku/>
        <w:wordWrap w:val="0"/>
        <w:overflowPunct/>
        <w:topLinePunct w:val="0"/>
        <w:autoSpaceDE w:val="0"/>
        <w:autoSpaceDN w:val="0"/>
        <w:bidi w:val="0"/>
        <w:adjustRightInd w:val="0"/>
        <w:spacing w:line="400" w:lineRule="exact"/>
        <w:ind w:right="-34" w:rightChars="-16" w:firstLine="1619" w:firstLineChars="771"/>
        <w:jc w:val="left"/>
        <w:outlineLvl w:val="9"/>
        <w:rPr>
          <w:rFonts w:hint="eastAsia" w:ascii="宋体" w:hAnsi="宋体" w:eastAsia="宋体" w:cs="宋体"/>
          <w:color w:val="auto"/>
          <w:kern w:val="0"/>
          <w:highlight w:val="none"/>
        </w:rPr>
      </w:pPr>
    </w:p>
    <w:p w14:paraId="39AF7B18">
      <w:pPr>
        <w:pageBreakBefore w:val="0"/>
        <w:kinsoku/>
        <w:wordWrap w:val="0"/>
        <w:overflowPunct/>
        <w:topLinePunct w:val="0"/>
        <w:autoSpaceDE w:val="0"/>
        <w:autoSpaceDN w:val="0"/>
        <w:bidi w:val="0"/>
        <w:adjustRightInd w:val="0"/>
        <w:spacing w:line="400" w:lineRule="exact"/>
        <w:ind w:right="-34" w:rightChars="-16" w:firstLine="1619" w:firstLineChars="771"/>
        <w:jc w:val="left"/>
        <w:outlineLvl w:val="9"/>
        <w:rPr>
          <w:rFonts w:hint="eastAsia" w:ascii="宋体" w:hAnsi="宋体" w:eastAsia="宋体" w:cs="宋体"/>
          <w:color w:val="auto"/>
          <w:kern w:val="0"/>
          <w:highlight w:val="none"/>
        </w:rPr>
      </w:pPr>
    </w:p>
    <w:p w14:paraId="69C06605">
      <w:pPr>
        <w:pageBreakBefore w:val="0"/>
        <w:kinsoku/>
        <w:wordWrap w:val="0"/>
        <w:overflowPunct/>
        <w:topLinePunct w:val="0"/>
        <w:autoSpaceDE w:val="0"/>
        <w:autoSpaceDN w:val="0"/>
        <w:bidi w:val="0"/>
        <w:adjustRightInd w:val="0"/>
        <w:spacing w:line="400" w:lineRule="exact"/>
        <w:ind w:right="-34" w:rightChars="-16" w:firstLine="1619" w:firstLineChars="771"/>
        <w:jc w:val="left"/>
        <w:outlineLvl w:val="9"/>
        <w:rPr>
          <w:rFonts w:hint="eastAsia" w:ascii="宋体" w:hAnsi="宋体" w:eastAsia="宋体" w:cs="宋体"/>
          <w:color w:val="auto"/>
          <w:kern w:val="0"/>
          <w:highlight w:val="none"/>
        </w:rPr>
      </w:pPr>
    </w:p>
    <w:p w14:paraId="5E673912">
      <w:pPr>
        <w:pageBreakBefore w:val="0"/>
        <w:kinsoku/>
        <w:wordWrap w:val="0"/>
        <w:overflowPunct/>
        <w:topLinePunct w:val="0"/>
        <w:autoSpaceDE w:val="0"/>
        <w:autoSpaceDN w:val="0"/>
        <w:bidi w:val="0"/>
        <w:adjustRightInd w:val="0"/>
        <w:spacing w:line="400" w:lineRule="exact"/>
        <w:ind w:right="-34" w:rightChars="-16" w:firstLine="1619" w:firstLineChars="771"/>
        <w:jc w:val="left"/>
        <w:outlineLvl w:val="9"/>
        <w:rPr>
          <w:rFonts w:hint="eastAsia" w:ascii="宋体" w:hAnsi="宋体" w:eastAsia="宋体" w:cs="宋体"/>
          <w:color w:val="auto"/>
          <w:kern w:val="0"/>
          <w:highlight w:val="none"/>
        </w:rPr>
      </w:pPr>
    </w:p>
    <w:p w14:paraId="216F80FE">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highlight w:val="none"/>
        </w:rPr>
      </w:pPr>
    </w:p>
    <w:p w14:paraId="509BBEA5">
      <w:pPr>
        <w:pageBreakBefore w:val="0"/>
        <w:kinsoku/>
        <w:wordWrap w:val="0"/>
        <w:overflowPunct/>
        <w:topLinePunct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32"/>
          <w:highlight w:val="none"/>
        </w:rPr>
      </w:pPr>
      <w:bookmarkStart w:id="2015" w:name="_Toc431367134"/>
      <w:r>
        <w:rPr>
          <w:rFonts w:hint="eastAsia" w:ascii="宋体" w:hAnsi="宋体" w:eastAsia="宋体" w:cs="宋体"/>
          <w:color w:val="auto"/>
          <w:kern w:val="0"/>
          <w:highlight w:val="none"/>
        </w:rPr>
        <w:br w:type="page"/>
      </w:r>
      <w:bookmarkStart w:id="2016" w:name="_Toc3678"/>
      <w:bookmarkStart w:id="2017" w:name="_Toc32572"/>
      <w:bookmarkStart w:id="2018" w:name="_Toc431367135"/>
      <w:bookmarkStart w:id="2019" w:name="_Toc7272"/>
      <w:bookmarkStart w:id="2020" w:name="_Toc21568"/>
      <w:bookmarkStart w:id="2021" w:name="_Toc500864537"/>
      <w:r>
        <w:rPr>
          <w:rFonts w:hint="eastAsia" w:ascii="宋体" w:hAnsi="宋体" w:eastAsia="宋体" w:cs="宋体"/>
          <w:b/>
          <w:color w:val="auto"/>
          <w:kern w:val="0"/>
          <w:sz w:val="32"/>
          <w:highlight w:val="none"/>
        </w:rPr>
        <w:t>一、投标函及投标函附录</w:t>
      </w:r>
      <w:bookmarkEnd w:id="2015"/>
      <w:bookmarkEnd w:id="2016"/>
      <w:bookmarkEnd w:id="2017"/>
      <w:bookmarkEnd w:id="2018"/>
      <w:bookmarkEnd w:id="2019"/>
      <w:bookmarkEnd w:id="2020"/>
      <w:bookmarkEnd w:id="2021"/>
    </w:p>
    <w:p w14:paraId="2818B4FD">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8"/>
          <w:szCs w:val="21"/>
          <w:highlight w:val="none"/>
        </w:rPr>
      </w:pPr>
      <w:bookmarkStart w:id="2022" w:name="_Toc8455"/>
      <w:bookmarkStart w:id="2023" w:name="_Toc285618746"/>
      <w:bookmarkStart w:id="2024" w:name="_Toc227492339"/>
      <w:bookmarkStart w:id="2025" w:name="_Toc431367136"/>
      <w:bookmarkStart w:id="2026" w:name="_Toc228591603"/>
      <w:bookmarkStart w:id="2027" w:name="_Toc227657581"/>
      <w:bookmarkStart w:id="2028" w:name="_Toc272772663"/>
      <w:bookmarkStart w:id="2029" w:name="_Toc31372"/>
      <w:bookmarkStart w:id="2030" w:name="_Toc228589257"/>
      <w:bookmarkStart w:id="2031" w:name="_Toc228881243"/>
      <w:bookmarkStart w:id="2032" w:name="_Toc20389"/>
      <w:bookmarkStart w:id="2033" w:name="_Toc214433983"/>
      <w:bookmarkStart w:id="2034" w:name="_Toc228591751"/>
      <w:bookmarkStart w:id="2035" w:name="_Toc228337192"/>
      <w:bookmarkStart w:id="2036" w:name="_Toc243904320"/>
      <w:bookmarkStart w:id="2037" w:name="_Toc500864538"/>
      <w:bookmarkStart w:id="2038" w:name="_Toc23746"/>
      <w:bookmarkStart w:id="2039" w:name="_Toc272772664"/>
      <w:bookmarkStart w:id="2040" w:name="_Toc228881244"/>
      <w:bookmarkStart w:id="2041" w:name="_Toc257204992"/>
      <w:bookmarkStart w:id="2042" w:name="_Toc227657582"/>
      <w:bookmarkStart w:id="2043" w:name="_Toc228591752"/>
      <w:bookmarkStart w:id="2044" w:name="_Toc243904321"/>
      <w:bookmarkStart w:id="2045" w:name="_Toc228591604"/>
      <w:bookmarkStart w:id="2046" w:name="_Toc228589258"/>
      <w:bookmarkStart w:id="2047" w:name="_Toc228337193"/>
      <w:bookmarkStart w:id="2048" w:name="_Toc227492340"/>
      <w:bookmarkStart w:id="2049" w:name="_Toc214433984"/>
      <w:bookmarkStart w:id="2050" w:name="_Toc214433985"/>
      <w:bookmarkStart w:id="2051" w:name="_Toc228881245"/>
      <w:bookmarkStart w:id="2052" w:name="_Toc228337194"/>
      <w:bookmarkStart w:id="2053" w:name="_Toc227492341"/>
      <w:bookmarkStart w:id="2054" w:name="_Toc228591605"/>
      <w:bookmarkStart w:id="2055" w:name="_Toc227657583"/>
      <w:bookmarkStart w:id="2056" w:name="_Toc228591753"/>
      <w:bookmarkStart w:id="2057" w:name="_Toc228589259"/>
      <w:r>
        <w:rPr>
          <w:rFonts w:hint="eastAsia" w:ascii="宋体" w:hAnsi="宋体" w:eastAsia="宋体" w:cs="宋体"/>
          <w:b/>
          <w:color w:val="auto"/>
          <w:kern w:val="0"/>
          <w:sz w:val="28"/>
          <w:szCs w:val="21"/>
          <w:highlight w:val="none"/>
        </w:rPr>
        <w:t>（一）投标函</w:t>
      </w:r>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p>
    <w:p w14:paraId="06817B81">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4"/>
          <w:highlight w:val="none"/>
        </w:rPr>
      </w:pPr>
    </w:p>
    <w:p w14:paraId="0F55607B">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__________（招标人名称）：</w:t>
      </w:r>
    </w:p>
    <w:p w14:paraId="09C2B20E">
      <w:pPr>
        <w:pageBreakBefore w:val="0"/>
        <w:kinsoku/>
        <w:wordWrap w:val="0"/>
        <w:overflowPunct/>
        <w:topLinePunct w:val="0"/>
        <w:autoSpaceDE w:val="0"/>
        <w:autoSpaceDN w:val="0"/>
        <w:bidi w:val="0"/>
        <w:adjustRightInd w:val="0"/>
        <w:spacing w:line="400" w:lineRule="exact"/>
        <w:ind w:right="-34" w:rightChars="-16" w:firstLine="539" w:firstLineChars="257"/>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1．我方已仔细研究了__________ （项目名称）施工招标文件的全部内容，愿意以人民币（大写）_________（</w:t>
      </w:r>
      <w:r>
        <w:rPr>
          <w:rFonts w:hint="eastAsia" w:ascii="宋体" w:hAnsi="宋体" w:eastAsia="宋体" w:cs="宋体"/>
          <w:color w:val="auto"/>
          <w:highlight w:val="none"/>
        </w:rPr>
        <w:t>￥</w:t>
      </w:r>
      <w:r>
        <w:rPr>
          <w:rFonts w:hint="eastAsia" w:ascii="宋体" w:hAnsi="宋体" w:eastAsia="宋体" w:cs="宋体"/>
          <w:color w:val="auto"/>
          <w:kern w:val="0"/>
          <w:highlight w:val="none"/>
        </w:rPr>
        <w:t>___________元）的投标总报价，工期___________日历天，按合同约定实施和完成承包工程，修补工程中的任何缺陷，工程质量达到___________。</w:t>
      </w:r>
    </w:p>
    <w:p w14:paraId="56EBF0A0">
      <w:pPr>
        <w:pageBreakBefore w:val="0"/>
        <w:kinsoku/>
        <w:wordWrap w:val="0"/>
        <w:overflowPunct/>
        <w:topLinePunct w:val="0"/>
        <w:autoSpaceDE w:val="0"/>
        <w:autoSpaceDN w:val="0"/>
        <w:bidi w:val="0"/>
        <w:adjustRightInd w:val="0"/>
        <w:spacing w:line="400" w:lineRule="exact"/>
        <w:ind w:right="-34" w:rightChars="-16" w:firstLine="539" w:firstLineChars="257"/>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2．我方响应招标文件中约定的投标有效期，并承诺在投标有效期内不修改、不撤销投标文件。</w:t>
      </w:r>
    </w:p>
    <w:p w14:paraId="6B1BDB51">
      <w:pPr>
        <w:pageBreakBefore w:val="0"/>
        <w:kinsoku/>
        <w:wordWrap w:val="0"/>
        <w:overflowPunct/>
        <w:topLinePunct w:val="0"/>
        <w:autoSpaceDE w:val="0"/>
        <w:autoSpaceDN w:val="0"/>
        <w:bidi w:val="0"/>
        <w:adjustRightInd w:val="0"/>
        <w:spacing w:line="400" w:lineRule="exact"/>
        <w:ind w:right="-34" w:rightChars="-16" w:firstLine="539" w:firstLineChars="257"/>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3．随同本投标函提交投标保证金一份，金额为人民币（大写）________（</w:t>
      </w:r>
      <w:r>
        <w:rPr>
          <w:rFonts w:hint="eastAsia" w:ascii="宋体" w:hAnsi="宋体" w:eastAsia="宋体" w:cs="宋体"/>
          <w:color w:val="auto"/>
          <w:highlight w:val="none"/>
        </w:rPr>
        <w:t>￥</w:t>
      </w:r>
      <w:r>
        <w:rPr>
          <w:rFonts w:hint="eastAsia" w:ascii="宋体" w:hAnsi="宋体" w:eastAsia="宋体" w:cs="宋体"/>
          <w:color w:val="auto"/>
          <w:kern w:val="0"/>
          <w:highlight w:val="none"/>
        </w:rPr>
        <w:t>_______元）。</w:t>
      </w:r>
    </w:p>
    <w:p w14:paraId="262DF300">
      <w:pPr>
        <w:pageBreakBefore w:val="0"/>
        <w:kinsoku/>
        <w:wordWrap w:val="0"/>
        <w:overflowPunct/>
        <w:topLinePunct w:val="0"/>
        <w:autoSpaceDE w:val="0"/>
        <w:autoSpaceDN w:val="0"/>
        <w:bidi w:val="0"/>
        <w:adjustRightInd w:val="0"/>
        <w:spacing w:line="400" w:lineRule="exact"/>
        <w:ind w:right="-34" w:rightChars="-16" w:firstLine="539" w:firstLineChars="257"/>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4．如我方中标：</w:t>
      </w:r>
    </w:p>
    <w:p w14:paraId="30717C85">
      <w:pPr>
        <w:pageBreakBefore w:val="0"/>
        <w:kinsoku/>
        <w:wordWrap w:val="0"/>
        <w:overflowPunct/>
        <w:topLinePunct w:val="0"/>
        <w:autoSpaceDE w:val="0"/>
        <w:autoSpaceDN w:val="0"/>
        <w:bidi w:val="0"/>
        <w:adjustRightInd w:val="0"/>
        <w:spacing w:line="400" w:lineRule="exact"/>
        <w:ind w:right="-34" w:rightChars="-16" w:firstLine="898" w:firstLineChars="428"/>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（1）我方承诺在收到中标通知书后，在中标通知书规定的期限内与你方签订合同。</w:t>
      </w:r>
    </w:p>
    <w:p w14:paraId="3877BA93">
      <w:pPr>
        <w:pageBreakBefore w:val="0"/>
        <w:kinsoku/>
        <w:wordWrap w:val="0"/>
        <w:overflowPunct/>
        <w:topLinePunct w:val="0"/>
        <w:autoSpaceDE w:val="0"/>
        <w:autoSpaceDN w:val="0"/>
        <w:bidi w:val="0"/>
        <w:adjustRightInd w:val="0"/>
        <w:spacing w:line="400" w:lineRule="exact"/>
        <w:ind w:right="-34" w:rightChars="-16" w:firstLine="898" w:firstLineChars="428"/>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（2）随同本投标函递交的投标函附录属于合同文件的组成部分。</w:t>
      </w:r>
    </w:p>
    <w:p w14:paraId="4172D608">
      <w:pPr>
        <w:pageBreakBefore w:val="0"/>
        <w:kinsoku/>
        <w:wordWrap w:val="0"/>
        <w:overflowPunct/>
        <w:topLinePunct w:val="0"/>
        <w:autoSpaceDE w:val="0"/>
        <w:autoSpaceDN w:val="0"/>
        <w:bidi w:val="0"/>
        <w:adjustRightInd w:val="0"/>
        <w:spacing w:line="400" w:lineRule="exact"/>
        <w:ind w:right="-34" w:rightChars="-16" w:firstLine="898" w:firstLineChars="428"/>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（3）我方承诺在合同约定的期限内完成并移交全部合同工程。</w:t>
      </w:r>
    </w:p>
    <w:p w14:paraId="37AF8153">
      <w:pPr>
        <w:pageBreakBefore w:val="0"/>
        <w:kinsoku/>
        <w:wordWrap w:val="0"/>
        <w:overflowPunct/>
        <w:topLinePunct w:val="0"/>
        <w:autoSpaceDE w:val="0"/>
        <w:autoSpaceDN w:val="0"/>
        <w:bidi w:val="0"/>
        <w:adjustRightInd w:val="0"/>
        <w:spacing w:line="400" w:lineRule="exact"/>
        <w:ind w:right="-34" w:rightChars="-16" w:firstLine="898" w:firstLineChars="428"/>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（4）我方承诺按照招标文件规定向你方递交履约担保。</w:t>
      </w:r>
    </w:p>
    <w:p w14:paraId="3BC0E0C2">
      <w:pPr>
        <w:pageBreakBefore w:val="0"/>
        <w:kinsoku/>
        <w:wordWrap w:val="0"/>
        <w:overflowPunct/>
        <w:topLinePunct w:val="0"/>
        <w:autoSpaceDE w:val="0"/>
        <w:autoSpaceDN w:val="0"/>
        <w:bidi w:val="0"/>
        <w:adjustRightInd w:val="0"/>
        <w:spacing w:line="400" w:lineRule="exact"/>
        <w:ind w:right="-34" w:rightChars="-16" w:firstLine="898" w:firstLineChars="428"/>
        <w:jc w:val="left"/>
        <w:outlineLvl w:val="9"/>
        <w:rPr>
          <w:rFonts w:hint="eastAsia" w:ascii="宋体" w:hAnsi="宋体" w:eastAsia="宋体" w:cs="宋体"/>
          <w:bCs/>
          <w:color w:val="auto"/>
          <w:szCs w:val="21"/>
          <w:highlight w:val="none"/>
        </w:rPr>
      </w:pPr>
      <w:r>
        <w:rPr>
          <w:rFonts w:hint="eastAsia" w:ascii="宋体" w:hAnsi="宋体" w:eastAsia="宋体" w:cs="宋体"/>
          <w:color w:val="auto"/>
          <w:kern w:val="0"/>
          <w:highlight w:val="none"/>
        </w:rPr>
        <w:t>（5）</w:t>
      </w:r>
      <w:r>
        <w:rPr>
          <w:rFonts w:hint="eastAsia" w:ascii="宋体" w:hAnsi="宋体" w:eastAsia="宋体" w:cs="宋体"/>
          <w:color w:val="auto"/>
          <w:szCs w:val="21"/>
          <w:highlight w:val="none"/>
        </w:rPr>
        <w:t>我方</w:t>
      </w:r>
      <w:r>
        <w:rPr>
          <w:rFonts w:hint="eastAsia" w:ascii="宋体" w:hAnsi="宋体" w:eastAsia="宋体" w:cs="宋体"/>
          <w:bCs/>
          <w:color w:val="auto"/>
          <w:szCs w:val="21"/>
          <w:highlight w:val="none"/>
        </w:rPr>
        <w:t>承诺当招标人资金紧张时，保证不间断、连续正常施工。</w:t>
      </w:r>
    </w:p>
    <w:p w14:paraId="0DACE4AE">
      <w:pPr>
        <w:pageBreakBefore w:val="0"/>
        <w:kinsoku/>
        <w:wordWrap w:val="0"/>
        <w:overflowPunct/>
        <w:topLinePunct w:val="0"/>
        <w:autoSpaceDE w:val="0"/>
        <w:autoSpaceDN w:val="0"/>
        <w:bidi w:val="0"/>
        <w:adjustRightInd w:val="0"/>
        <w:spacing w:line="400" w:lineRule="exact"/>
        <w:ind w:right="-34" w:rightChars="-16" w:firstLine="898" w:firstLineChars="428"/>
        <w:jc w:val="left"/>
        <w:outlineLvl w:val="9"/>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lang w:eastAsia="zh-CN"/>
        </w:rPr>
        <w:t>）</w:t>
      </w:r>
      <w:r>
        <w:rPr>
          <w:rFonts w:hint="eastAsia" w:ascii="宋体" w:hAnsi="宋体" w:eastAsia="宋体" w:cs="宋体"/>
          <w:color w:val="auto"/>
          <w:kern w:val="0"/>
          <w:highlight w:val="none"/>
          <w:u w:val="none"/>
        </w:rPr>
        <w:t>我方愿按照规定向招标代理公司交纳招标代理服务费。</w:t>
      </w:r>
    </w:p>
    <w:p w14:paraId="32B55FD2">
      <w:pPr>
        <w:pageBreakBefore w:val="0"/>
        <w:kinsoku/>
        <w:wordWrap w:val="0"/>
        <w:overflowPunct/>
        <w:topLinePunct w:val="0"/>
        <w:autoSpaceDE w:val="0"/>
        <w:autoSpaceDN w:val="0"/>
        <w:bidi w:val="0"/>
        <w:adjustRightInd w:val="0"/>
        <w:spacing w:line="400" w:lineRule="exact"/>
        <w:ind w:right="-34" w:rightChars="-16" w:firstLine="539" w:firstLineChars="257"/>
        <w:jc w:val="left"/>
        <w:outlineLvl w:val="9"/>
        <w:rPr>
          <w:rFonts w:hint="eastAsia" w:ascii="宋体" w:hAnsi="宋体" w:eastAsia="宋体" w:cs="宋体"/>
          <w:color w:val="auto"/>
          <w:kern w:val="0"/>
          <w:highlight w:val="none"/>
          <w:u w:val="none"/>
        </w:rPr>
      </w:pPr>
      <w:r>
        <w:rPr>
          <w:rFonts w:hint="eastAsia" w:ascii="宋体" w:hAnsi="宋体" w:eastAsia="宋体" w:cs="宋体"/>
          <w:color w:val="auto"/>
          <w:kern w:val="0"/>
          <w:highlight w:val="none"/>
        </w:rPr>
        <w:t>5．我方在此声明，所递交的投标文件及有关资料内容完整、真实和准确，且不存在招标文件第二章“投标人须知”第1.4.3 项规定的任何一种情形。</w:t>
      </w:r>
    </w:p>
    <w:p w14:paraId="71F4B7B5">
      <w:pPr>
        <w:pageBreakBefore w:val="0"/>
        <w:kinsoku/>
        <w:wordWrap w:val="0"/>
        <w:overflowPunct/>
        <w:topLinePunct w:val="0"/>
        <w:autoSpaceDE w:val="0"/>
        <w:autoSpaceDN w:val="0"/>
        <w:bidi w:val="0"/>
        <w:adjustRightInd w:val="0"/>
        <w:spacing w:line="400" w:lineRule="exact"/>
        <w:ind w:right="-34" w:rightChars="-16" w:firstLine="539" w:firstLineChars="257"/>
        <w:jc w:val="left"/>
        <w:outlineLvl w:val="9"/>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6. 如我方中标，我方承诺不发生工程转包行为，一旦发现我方有转包行为，愿意发包人与我方立即单方解除合同，扣除履约保证金并接受建设行政主管部门的处罚</w:t>
      </w:r>
      <w:r>
        <w:rPr>
          <w:rFonts w:hint="eastAsia" w:ascii="宋体" w:hAnsi="宋体" w:eastAsia="宋体" w:cs="宋体"/>
          <w:color w:val="auto"/>
          <w:kern w:val="0"/>
          <w:highlight w:val="none"/>
          <w:lang w:eastAsia="zh-CN"/>
        </w:rPr>
        <w:t>。</w:t>
      </w:r>
    </w:p>
    <w:p w14:paraId="559C32E6">
      <w:pPr>
        <w:pageBreakBefore w:val="0"/>
        <w:kinsoku/>
        <w:wordWrap w:val="0"/>
        <w:overflowPunct/>
        <w:topLinePunct w:val="0"/>
        <w:autoSpaceDE w:val="0"/>
        <w:autoSpaceDN w:val="0"/>
        <w:bidi w:val="0"/>
        <w:adjustRightInd w:val="0"/>
        <w:spacing w:line="400" w:lineRule="exact"/>
        <w:ind w:right="-34" w:rightChars="-16" w:firstLine="539" w:firstLineChars="257"/>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7</w:t>
      </w:r>
      <w:r>
        <w:rPr>
          <w:rFonts w:hint="eastAsia" w:ascii="宋体" w:hAnsi="宋体" w:eastAsia="宋体" w:cs="宋体"/>
          <w:color w:val="auto"/>
          <w:kern w:val="0"/>
          <w:highlight w:val="none"/>
          <w:u w:val="none"/>
        </w:rPr>
        <w:t xml:space="preserve">. </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u w:val="single"/>
        </w:rPr>
        <w:t xml:space="preserve"> （其他补充说明）</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u w:val="single"/>
        </w:rPr>
        <w:t xml:space="preserve">  。</w:t>
      </w:r>
    </w:p>
    <w:p w14:paraId="35C2024E">
      <w:pPr>
        <w:pageBreakBefore w:val="0"/>
        <w:kinsoku/>
        <w:wordWrap w:val="0"/>
        <w:overflowPunct/>
        <w:topLinePunct w:val="0"/>
        <w:autoSpaceDE w:val="0"/>
        <w:autoSpaceDN w:val="0"/>
        <w:bidi w:val="0"/>
        <w:adjustRightInd w:val="0"/>
        <w:spacing w:line="400" w:lineRule="exact"/>
        <w:ind w:right="-34" w:rightChars="-16" w:firstLine="3465" w:firstLineChars="165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（盖单位章）</w:t>
      </w:r>
    </w:p>
    <w:p w14:paraId="7DEDA69C">
      <w:pPr>
        <w:pageBreakBefore w:val="0"/>
        <w:kinsoku/>
        <w:wordWrap w:val="0"/>
        <w:overflowPunct/>
        <w:topLinePunct w:val="0"/>
        <w:autoSpaceDE w:val="0"/>
        <w:autoSpaceDN w:val="0"/>
        <w:bidi w:val="0"/>
        <w:adjustRightInd w:val="0"/>
        <w:spacing w:line="400" w:lineRule="exact"/>
        <w:ind w:right="-34" w:rightChars="-16" w:firstLine="3465" w:firstLineChars="165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法定代表人或其委托代理人：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（签字）</w:t>
      </w:r>
    </w:p>
    <w:p w14:paraId="0A611EB5">
      <w:pPr>
        <w:pageBreakBefore w:val="0"/>
        <w:kinsoku/>
        <w:wordWrap w:val="0"/>
        <w:overflowPunct/>
        <w:topLinePunct w:val="0"/>
        <w:autoSpaceDE w:val="0"/>
        <w:autoSpaceDN w:val="0"/>
        <w:bidi w:val="0"/>
        <w:adjustRightInd w:val="0"/>
        <w:spacing w:line="400" w:lineRule="exact"/>
        <w:ind w:right="-34" w:rightChars="-16" w:firstLine="3465" w:firstLineChars="165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地址：</w:t>
      </w:r>
      <w:r>
        <w:rPr>
          <w:rFonts w:hint="eastAsia" w:ascii="宋体" w:hAnsi="宋体" w:eastAsia="宋体" w:cs="宋体"/>
          <w:color w:val="auto"/>
          <w:kern w:val="0"/>
          <w:highlight w:val="none"/>
          <w:u w:val="single"/>
        </w:rPr>
        <w:t xml:space="preserve">            </w:t>
      </w:r>
    </w:p>
    <w:p w14:paraId="3C21FAEC">
      <w:pPr>
        <w:pageBreakBefore w:val="0"/>
        <w:kinsoku/>
        <w:wordWrap w:val="0"/>
        <w:overflowPunct/>
        <w:topLinePunct w:val="0"/>
        <w:autoSpaceDE w:val="0"/>
        <w:autoSpaceDN w:val="0"/>
        <w:bidi w:val="0"/>
        <w:adjustRightInd w:val="0"/>
        <w:spacing w:line="400" w:lineRule="exact"/>
        <w:ind w:right="-34" w:rightChars="-16" w:firstLine="3465" w:firstLineChars="165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网址：</w:t>
      </w:r>
      <w:r>
        <w:rPr>
          <w:rFonts w:hint="eastAsia" w:ascii="宋体" w:hAnsi="宋体" w:eastAsia="宋体" w:cs="宋体"/>
          <w:color w:val="auto"/>
          <w:kern w:val="0"/>
          <w:highlight w:val="none"/>
          <w:u w:val="single"/>
        </w:rPr>
        <w:t xml:space="preserve">            </w:t>
      </w:r>
    </w:p>
    <w:p w14:paraId="01658DC3">
      <w:pPr>
        <w:pageBreakBefore w:val="0"/>
        <w:kinsoku/>
        <w:wordWrap w:val="0"/>
        <w:overflowPunct/>
        <w:topLinePunct w:val="0"/>
        <w:autoSpaceDE w:val="0"/>
        <w:autoSpaceDN w:val="0"/>
        <w:bidi w:val="0"/>
        <w:adjustRightInd w:val="0"/>
        <w:spacing w:line="400" w:lineRule="exact"/>
        <w:ind w:right="-34" w:rightChars="-16" w:firstLine="3465" w:firstLineChars="165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电话：</w:t>
      </w:r>
      <w:r>
        <w:rPr>
          <w:rFonts w:hint="eastAsia" w:ascii="宋体" w:hAnsi="宋体" w:eastAsia="宋体" w:cs="宋体"/>
          <w:color w:val="auto"/>
          <w:kern w:val="0"/>
          <w:highlight w:val="none"/>
          <w:u w:val="single"/>
        </w:rPr>
        <w:t xml:space="preserve">            </w:t>
      </w:r>
    </w:p>
    <w:p w14:paraId="496477A6">
      <w:pPr>
        <w:pageBreakBefore w:val="0"/>
        <w:kinsoku/>
        <w:wordWrap w:val="0"/>
        <w:overflowPunct/>
        <w:topLinePunct w:val="0"/>
        <w:autoSpaceDE w:val="0"/>
        <w:autoSpaceDN w:val="0"/>
        <w:bidi w:val="0"/>
        <w:adjustRightInd w:val="0"/>
        <w:spacing w:line="400" w:lineRule="exact"/>
        <w:ind w:right="-34" w:rightChars="-16" w:firstLine="3465" w:firstLineChars="165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传真：</w:t>
      </w:r>
      <w:r>
        <w:rPr>
          <w:rFonts w:hint="eastAsia" w:ascii="宋体" w:hAnsi="宋体" w:eastAsia="宋体" w:cs="宋体"/>
          <w:color w:val="auto"/>
          <w:kern w:val="0"/>
          <w:highlight w:val="none"/>
          <w:u w:val="single"/>
        </w:rPr>
        <w:t xml:space="preserve">            </w:t>
      </w:r>
    </w:p>
    <w:p w14:paraId="071C3840">
      <w:pPr>
        <w:pageBreakBefore w:val="0"/>
        <w:kinsoku/>
        <w:wordWrap w:val="0"/>
        <w:overflowPunct/>
        <w:topLinePunct w:val="0"/>
        <w:autoSpaceDE w:val="0"/>
        <w:autoSpaceDN w:val="0"/>
        <w:bidi w:val="0"/>
        <w:adjustRightInd w:val="0"/>
        <w:spacing w:line="400" w:lineRule="exact"/>
        <w:ind w:right="-34" w:rightChars="-16" w:firstLine="3465" w:firstLineChars="165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邮政编码：</w:t>
      </w:r>
      <w:r>
        <w:rPr>
          <w:rFonts w:hint="eastAsia" w:ascii="宋体" w:hAnsi="宋体" w:eastAsia="宋体" w:cs="宋体"/>
          <w:color w:val="auto"/>
          <w:kern w:val="0"/>
          <w:highlight w:val="none"/>
          <w:u w:val="single"/>
        </w:rPr>
        <w:t xml:space="preserve">            </w:t>
      </w:r>
    </w:p>
    <w:p w14:paraId="6D0AF070">
      <w:pPr>
        <w:pageBreakBefore w:val="0"/>
        <w:kinsoku/>
        <w:wordWrap w:val="0"/>
        <w:overflowPunct/>
        <w:topLinePunct w:val="0"/>
        <w:autoSpaceDE w:val="0"/>
        <w:autoSpaceDN w:val="0"/>
        <w:bidi w:val="0"/>
        <w:adjustRightInd w:val="0"/>
        <w:spacing w:line="400" w:lineRule="exact"/>
        <w:ind w:right="-34" w:rightChars="-16" w:firstLine="3465" w:firstLineChars="165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日期：</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日</w:t>
      </w:r>
    </w:p>
    <w:p w14:paraId="1873A2BF">
      <w:pPr>
        <w:pageBreakBefore w:val="0"/>
        <w:kinsoku/>
        <w:wordWrap w:val="0"/>
        <w:overflowPunct/>
        <w:topLinePunct w:val="0"/>
        <w:bidi w:val="0"/>
        <w:outlineLvl w:val="9"/>
        <w:rPr>
          <w:rFonts w:hint="eastAsia" w:ascii="宋体" w:hAnsi="宋体" w:eastAsia="宋体" w:cs="宋体"/>
          <w:b/>
          <w:color w:val="auto"/>
          <w:kern w:val="0"/>
          <w:sz w:val="24"/>
          <w:highlight w:val="none"/>
        </w:rPr>
      </w:pPr>
    </w:p>
    <w:p w14:paraId="02A20FB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8"/>
          <w:szCs w:val="21"/>
          <w:highlight w:val="none"/>
        </w:rPr>
      </w:pPr>
      <w:r>
        <w:rPr>
          <w:rFonts w:hint="eastAsia" w:ascii="宋体" w:hAnsi="宋体" w:eastAsia="宋体" w:cs="宋体"/>
          <w:b/>
          <w:color w:val="auto"/>
          <w:kern w:val="0"/>
          <w:sz w:val="24"/>
          <w:highlight w:val="none"/>
          <w:u w:val="single"/>
        </w:rPr>
        <w:br w:type="page"/>
      </w:r>
      <w:bookmarkStart w:id="2058" w:name="_Toc11632"/>
      <w:bookmarkStart w:id="2059" w:name="_Toc19056"/>
      <w:bookmarkStart w:id="2060" w:name="_Toc4901"/>
      <w:bookmarkStart w:id="2061" w:name="_Toc500864539"/>
      <w:bookmarkStart w:id="2062" w:name="_Toc23002"/>
      <w:bookmarkStart w:id="2063" w:name="_Toc431367137"/>
      <w:r>
        <w:rPr>
          <w:rFonts w:hint="eastAsia" w:ascii="宋体" w:hAnsi="宋体" w:eastAsia="宋体" w:cs="宋体"/>
          <w:b/>
          <w:color w:val="auto"/>
          <w:kern w:val="0"/>
          <w:sz w:val="28"/>
          <w:szCs w:val="21"/>
          <w:highlight w:val="none"/>
        </w:rPr>
        <w:t>（二）投标</w:t>
      </w:r>
      <w:bookmarkEnd w:id="2039"/>
      <w:r>
        <w:rPr>
          <w:rFonts w:hint="eastAsia" w:ascii="宋体" w:hAnsi="宋体" w:eastAsia="宋体" w:cs="宋体"/>
          <w:b/>
          <w:color w:val="auto"/>
          <w:kern w:val="0"/>
          <w:sz w:val="28"/>
          <w:szCs w:val="21"/>
          <w:highlight w:val="none"/>
        </w:rPr>
        <w:t>函附录</w:t>
      </w:r>
      <w:bookmarkEnd w:id="2058"/>
      <w:bookmarkEnd w:id="2059"/>
      <w:bookmarkEnd w:id="2060"/>
      <w:bookmarkEnd w:id="2061"/>
      <w:bookmarkEnd w:id="2062"/>
      <w:bookmarkEnd w:id="2063"/>
    </w:p>
    <w:p w14:paraId="5AD3C14F">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4"/>
          <w:highlight w:val="none"/>
        </w:rPr>
      </w:pPr>
    </w:p>
    <w:bookmarkEnd w:id="2040"/>
    <w:bookmarkEnd w:id="2041"/>
    <w:bookmarkEnd w:id="2042"/>
    <w:bookmarkEnd w:id="2043"/>
    <w:bookmarkEnd w:id="2044"/>
    <w:bookmarkEnd w:id="2045"/>
    <w:bookmarkEnd w:id="2046"/>
    <w:bookmarkEnd w:id="2047"/>
    <w:bookmarkEnd w:id="2048"/>
    <w:bookmarkEnd w:id="2049"/>
    <w:tbl>
      <w:tblPr>
        <w:tblStyle w:val="49"/>
        <w:tblW w:w="90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71"/>
        <w:gridCol w:w="1008"/>
        <w:gridCol w:w="224"/>
        <w:gridCol w:w="609"/>
        <w:gridCol w:w="1215"/>
        <w:gridCol w:w="1623"/>
        <w:gridCol w:w="1429"/>
      </w:tblGrid>
      <w:tr w14:paraId="31E42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2" w:hRule="exact"/>
        </w:trPr>
        <w:tc>
          <w:tcPr>
            <w:tcW w:w="2971" w:type="dxa"/>
            <w:noWrap w:val="0"/>
            <w:vAlign w:val="center"/>
          </w:tcPr>
          <w:p w14:paraId="568BBB8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6108" w:type="dxa"/>
            <w:gridSpan w:val="6"/>
            <w:noWrap w:val="0"/>
            <w:vAlign w:val="center"/>
          </w:tcPr>
          <w:p w14:paraId="55C7528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u w:val="single"/>
              </w:rPr>
            </w:pPr>
          </w:p>
        </w:tc>
      </w:tr>
      <w:tr w14:paraId="51484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2" w:hRule="exact"/>
        </w:trPr>
        <w:tc>
          <w:tcPr>
            <w:tcW w:w="2971" w:type="dxa"/>
            <w:noWrap w:val="0"/>
            <w:vAlign w:val="center"/>
          </w:tcPr>
          <w:p w14:paraId="1B2C3C70">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lang w:val="en-US" w:eastAsia="zh-CN"/>
              </w:rPr>
              <w:t>名称</w:t>
            </w:r>
          </w:p>
        </w:tc>
        <w:tc>
          <w:tcPr>
            <w:tcW w:w="3056" w:type="dxa"/>
            <w:gridSpan w:val="4"/>
            <w:noWrap w:val="0"/>
            <w:vAlign w:val="center"/>
          </w:tcPr>
          <w:p w14:paraId="375C103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u w:val="single"/>
              </w:rPr>
            </w:pPr>
          </w:p>
        </w:tc>
        <w:tc>
          <w:tcPr>
            <w:tcW w:w="1623" w:type="dxa"/>
            <w:noWrap w:val="0"/>
            <w:vAlign w:val="center"/>
          </w:tcPr>
          <w:p w14:paraId="4CAFFEB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1429" w:type="dxa"/>
            <w:noWrap w:val="0"/>
            <w:vAlign w:val="center"/>
          </w:tcPr>
          <w:p w14:paraId="6A96F6D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u w:val="single"/>
              </w:rPr>
            </w:pPr>
          </w:p>
        </w:tc>
      </w:tr>
      <w:tr w14:paraId="6DC65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1" w:hRule="atLeast"/>
        </w:trPr>
        <w:tc>
          <w:tcPr>
            <w:tcW w:w="2971" w:type="dxa"/>
            <w:noWrap w:val="0"/>
            <w:vAlign w:val="center"/>
          </w:tcPr>
          <w:p w14:paraId="283E86B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投标工期</w:t>
            </w:r>
          </w:p>
        </w:tc>
        <w:tc>
          <w:tcPr>
            <w:tcW w:w="3056" w:type="dxa"/>
            <w:gridSpan w:val="4"/>
            <w:noWrap w:val="0"/>
            <w:vAlign w:val="center"/>
          </w:tcPr>
          <w:p w14:paraId="05C7FF4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firstLine="840" w:firstLineChars="4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日历天</w:t>
            </w:r>
          </w:p>
        </w:tc>
        <w:tc>
          <w:tcPr>
            <w:tcW w:w="1623" w:type="dxa"/>
            <w:noWrap w:val="0"/>
            <w:vAlign w:val="center"/>
          </w:tcPr>
          <w:p w14:paraId="667726AE">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投标质量标准</w:t>
            </w:r>
          </w:p>
        </w:tc>
        <w:tc>
          <w:tcPr>
            <w:tcW w:w="1429" w:type="dxa"/>
            <w:noWrap w:val="0"/>
            <w:vAlign w:val="center"/>
          </w:tcPr>
          <w:p w14:paraId="0DBADDFD">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u w:val="single"/>
              </w:rPr>
            </w:pPr>
          </w:p>
        </w:tc>
      </w:tr>
      <w:tr w14:paraId="1EAB69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49" w:hRule="exact"/>
        </w:trPr>
        <w:tc>
          <w:tcPr>
            <w:tcW w:w="2971" w:type="dxa"/>
            <w:noWrap w:val="0"/>
            <w:vAlign w:val="center"/>
          </w:tcPr>
          <w:p w14:paraId="44B6867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1008" w:type="dxa"/>
            <w:noWrap w:val="0"/>
            <w:vAlign w:val="center"/>
          </w:tcPr>
          <w:p w14:paraId="6FCCA5C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u w:val="single"/>
              </w:rPr>
            </w:pPr>
          </w:p>
        </w:tc>
        <w:tc>
          <w:tcPr>
            <w:tcW w:w="833" w:type="dxa"/>
            <w:gridSpan w:val="2"/>
            <w:noWrap w:val="0"/>
            <w:vAlign w:val="center"/>
          </w:tcPr>
          <w:p w14:paraId="13C34D0E">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专业及</w:t>
            </w:r>
            <w:r>
              <w:rPr>
                <w:rFonts w:hint="eastAsia" w:ascii="宋体" w:hAnsi="宋体" w:eastAsia="宋体" w:cs="宋体"/>
                <w:color w:val="auto"/>
                <w:szCs w:val="21"/>
                <w:highlight w:val="none"/>
              </w:rPr>
              <w:t>级别</w:t>
            </w:r>
          </w:p>
        </w:tc>
        <w:tc>
          <w:tcPr>
            <w:tcW w:w="1215" w:type="dxa"/>
            <w:noWrap w:val="0"/>
            <w:vAlign w:val="center"/>
          </w:tcPr>
          <w:p w14:paraId="2DC0F85D">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u w:val="single"/>
              </w:rPr>
            </w:pPr>
          </w:p>
        </w:tc>
        <w:tc>
          <w:tcPr>
            <w:tcW w:w="1623" w:type="dxa"/>
            <w:noWrap w:val="0"/>
            <w:vAlign w:val="center"/>
          </w:tcPr>
          <w:p w14:paraId="69BE743D">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注册建造师</w:t>
            </w:r>
          </w:p>
          <w:p w14:paraId="3EDF890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证书编号</w:t>
            </w:r>
          </w:p>
        </w:tc>
        <w:tc>
          <w:tcPr>
            <w:tcW w:w="1429" w:type="dxa"/>
            <w:tcBorders>
              <w:top w:val="single" w:color="auto" w:sz="4" w:space="0"/>
            </w:tcBorders>
            <w:noWrap w:val="0"/>
            <w:vAlign w:val="center"/>
          </w:tcPr>
          <w:p w14:paraId="483BC59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u w:val="single"/>
              </w:rPr>
            </w:pPr>
          </w:p>
        </w:tc>
      </w:tr>
      <w:tr w14:paraId="744D20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40" w:hRule="atLeast"/>
        </w:trPr>
        <w:tc>
          <w:tcPr>
            <w:tcW w:w="2971" w:type="dxa"/>
            <w:tcBorders>
              <w:bottom w:val="single" w:color="auto" w:sz="4" w:space="0"/>
            </w:tcBorders>
            <w:noWrap w:val="0"/>
            <w:vAlign w:val="center"/>
          </w:tcPr>
          <w:p w14:paraId="1548077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6108" w:type="dxa"/>
            <w:gridSpan w:val="6"/>
            <w:tcBorders>
              <w:bottom w:val="single" w:color="auto" w:sz="4" w:space="0"/>
            </w:tcBorders>
            <w:noWrap w:val="0"/>
            <w:vAlign w:val="center"/>
          </w:tcPr>
          <w:p w14:paraId="0651464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p>
          <w:p w14:paraId="6BB06E0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RMB</w:t>
            </w:r>
            <w:r>
              <w:rPr>
                <w:rFonts w:hint="eastAsia" w:ascii="宋体" w:hAnsi="宋体" w:eastAsia="宋体" w:cs="宋体"/>
                <w:color w:val="auto"/>
                <w:highlight w:val="none"/>
              </w:rPr>
              <w:t>￥</w:t>
            </w:r>
            <w:r>
              <w:rPr>
                <w:rFonts w:hint="eastAsia" w:ascii="宋体" w:hAnsi="宋体" w:eastAsia="宋体" w:cs="宋体"/>
                <w:color w:val="auto"/>
                <w:szCs w:val="21"/>
                <w:highlight w:val="none"/>
              </w:rPr>
              <w:t>：元</w:t>
            </w:r>
          </w:p>
        </w:tc>
      </w:tr>
      <w:tr w14:paraId="5EC8AE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538" w:hRule="atLeast"/>
        </w:trPr>
        <w:tc>
          <w:tcPr>
            <w:tcW w:w="2971" w:type="dxa"/>
            <w:noWrap w:val="0"/>
            <w:vAlign w:val="center"/>
          </w:tcPr>
          <w:p w14:paraId="365C6D9D">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报价中未含内容及要求</w:t>
            </w:r>
          </w:p>
          <w:p w14:paraId="4AD67D9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配合条件</w:t>
            </w:r>
          </w:p>
        </w:tc>
        <w:tc>
          <w:tcPr>
            <w:tcW w:w="6108" w:type="dxa"/>
            <w:gridSpan w:val="6"/>
            <w:noWrap w:val="0"/>
            <w:vAlign w:val="center"/>
          </w:tcPr>
          <w:p w14:paraId="358A87D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p>
          <w:p w14:paraId="4B55397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u w:val="single"/>
              </w:rPr>
            </w:pPr>
          </w:p>
          <w:p w14:paraId="7E712F1E">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p>
        </w:tc>
      </w:tr>
      <w:tr w14:paraId="2D0C01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482" w:hRule="atLeast"/>
        </w:trPr>
        <w:tc>
          <w:tcPr>
            <w:tcW w:w="4203" w:type="dxa"/>
            <w:gridSpan w:val="3"/>
            <w:noWrap w:val="0"/>
            <w:vAlign w:val="center"/>
          </w:tcPr>
          <w:p w14:paraId="0AB5471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p>
          <w:p w14:paraId="336B253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p>
          <w:p w14:paraId="7B5C594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投标人盖章：</w:t>
            </w:r>
          </w:p>
          <w:p w14:paraId="69387F4E">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p>
          <w:p w14:paraId="4C2FC20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p>
        </w:tc>
        <w:tc>
          <w:tcPr>
            <w:tcW w:w="4876" w:type="dxa"/>
            <w:gridSpan w:val="4"/>
            <w:noWrap w:val="0"/>
            <w:vAlign w:val="center"/>
          </w:tcPr>
          <w:p w14:paraId="62B2CBA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企业法定代表人或其授权委托代理人签字：</w:t>
            </w:r>
          </w:p>
        </w:tc>
      </w:tr>
    </w:tbl>
    <w:p w14:paraId="079270C6">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b/>
          <w:color w:val="auto"/>
          <w:kern w:val="0"/>
          <w:sz w:val="28"/>
          <w:highlight w:val="none"/>
        </w:rPr>
      </w:pPr>
      <w:bookmarkStart w:id="2064" w:name="_Toc272772665"/>
    </w:p>
    <w:bookmarkEnd w:id="2050"/>
    <w:bookmarkEnd w:id="2051"/>
    <w:bookmarkEnd w:id="2052"/>
    <w:bookmarkEnd w:id="2053"/>
    <w:bookmarkEnd w:id="2054"/>
    <w:bookmarkEnd w:id="2055"/>
    <w:bookmarkEnd w:id="2056"/>
    <w:bookmarkEnd w:id="2057"/>
    <w:bookmarkEnd w:id="2064"/>
    <w:p w14:paraId="6320F794">
      <w:pPr>
        <w:pageBreakBefore w:val="0"/>
        <w:kinsoku/>
        <w:wordWrap w:val="0"/>
        <w:overflowPunct/>
        <w:topLinePunct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32"/>
          <w:szCs w:val="21"/>
          <w:highlight w:val="none"/>
        </w:rPr>
      </w:pPr>
      <w:bookmarkStart w:id="2065" w:name="_Toc492225549"/>
      <w:bookmarkStart w:id="2066" w:name="_Toc227492345"/>
      <w:bookmarkStart w:id="2067" w:name="_Toc228589263"/>
      <w:bookmarkStart w:id="2068" w:name="_Toc431367138"/>
      <w:bookmarkStart w:id="2069" w:name="_Toc228591757"/>
      <w:bookmarkStart w:id="2070" w:name="_Toc214433989"/>
      <w:bookmarkStart w:id="2071" w:name="_Toc272772668"/>
      <w:bookmarkStart w:id="2072" w:name="_Toc227657587"/>
      <w:bookmarkStart w:id="2073" w:name="_Toc228591609"/>
      <w:bookmarkStart w:id="2074" w:name="_Toc228881249"/>
      <w:bookmarkStart w:id="2075" w:name="_Toc228337198"/>
      <w:r>
        <w:rPr>
          <w:rFonts w:hint="eastAsia" w:ascii="宋体" w:hAnsi="宋体" w:eastAsia="宋体" w:cs="宋体"/>
          <w:b/>
          <w:color w:val="auto"/>
          <w:kern w:val="0"/>
          <w:sz w:val="28"/>
          <w:highlight w:val="none"/>
        </w:rPr>
        <w:br w:type="page"/>
      </w:r>
      <w:bookmarkStart w:id="2076" w:name="_Toc20953"/>
      <w:bookmarkStart w:id="2077" w:name="_Toc21244"/>
      <w:bookmarkStart w:id="2078" w:name="_Toc17379"/>
      <w:bookmarkStart w:id="2079" w:name="_Toc500864540"/>
      <w:bookmarkStart w:id="2080" w:name="_Toc28170"/>
      <w:r>
        <w:rPr>
          <w:rFonts w:hint="eastAsia" w:ascii="宋体" w:hAnsi="宋体" w:eastAsia="宋体" w:cs="宋体"/>
          <w:b/>
          <w:color w:val="auto"/>
          <w:kern w:val="0"/>
          <w:sz w:val="32"/>
          <w:szCs w:val="21"/>
          <w:highlight w:val="none"/>
        </w:rPr>
        <w:t>二、法定代表人身份证明</w:t>
      </w:r>
      <w:bookmarkEnd w:id="2065"/>
      <w:bookmarkEnd w:id="2076"/>
      <w:bookmarkEnd w:id="2077"/>
      <w:bookmarkEnd w:id="2078"/>
      <w:bookmarkEnd w:id="2079"/>
      <w:bookmarkEnd w:id="2080"/>
    </w:p>
    <w:p w14:paraId="38DE4CF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highlight w:val="none"/>
        </w:rPr>
      </w:pPr>
    </w:p>
    <w:p w14:paraId="3556AA1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highlight w:val="none"/>
        </w:rPr>
      </w:pPr>
    </w:p>
    <w:p w14:paraId="0B13691D">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highlight w:val="none"/>
          <w:u w:val="single"/>
        </w:rPr>
      </w:pPr>
      <w:r>
        <w:rPr>
          <w:rFonts w:hint="eastAsia" w:ascii="宋体" w:hAnsi="宋体" w:eastAsia="宋体" w:cs="宋体"/>
          <w:color w:val="auto"/>
          <w:kern w:val="0"/>
          <w:highlight w:val="none"/>
        </w:rPr>
        <w:t>投标人名称：</w:t>
      </w:r>
      <w:r>
        <w:rPr>
          <w:rFonts w:hint="eastAsia" w:ascii="宋体" w:hAnsi="宋体" w:eastAsia="宋体" w:cs="宋体"/>
          <w:color w:val="auto"/>
          <w:highlight w:val="none"/>
          <w:u w:val="single"/>
        </w:rPr>
        <w:t xml:space="preserve">                                   </w:t>
      </w:r>
    </w:p>
    <w:p w14:paraId="12B97F2A">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highlight w:val="none"/>
          <w:u w:val="single"/>
        </w:rPr>
      </w:pPr>
      <w:r>
        <w:rPr>
          <w:rFonts w:hint="eastAsia" w:ascii="宋体" w:hAnsi="宋体" w:eastAsia="宋体" w:cs="宋体"/>
          <w:color w:val="auto"/>
          <w:kern w:val="0"/>
          <w:highlight w:val="none"/>
        </w:rPr>
        <w:t>单位性质：</w:t>
      </w:r>
      <w:r>
        <w:rPr>
          <w:rFonts w:hint="eastAsia" w:ascii="宋体" w:hAnsi="宋体" w:eastAsia="宋体" w:cs="宋体"/>
          <w:color w:val="auto"/>
          <w:highlight w:val="none"/>
          <w:u w:val="single"/>
        </w:rPr>
        <w:t xml:space="preserve">                                     </w:t>
      </w:r>
    </w:p>
    <w:p w14:paraId="68C07F5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地址：</w:t>
      </w:r>
      <w:r>
        <w:rPr>
          <w:rFonts w:hint="eastAsia" w:ascii="宋体" w:hAnsi="宋体" w:eastAsia="宋体" w:cs="宋体"/>
          <w:color w:val="auto"/>
          <w:highlight w:val="none"/>
          <w:u w:val="single"/>
        </w:rPr>
        <w:t xml:space="preserve">                                         </w:t>
      </w:r>
    </w:p>
    <w:p w14:paraId="5B7E6FF6">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成立时间：</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日</w:t>
      </w:r>
    </w:p>
    <w:p w14:paraId="7722E33E">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经营期限：</w:t>
      </w:r>
      <w:r>
        <w:rPr>
          <w:rFonts w:hint="eastAsia" w:ascii="宋体" w:hAnsi="宋体" w:eastAsia="宋体" w:cs="宋体"/>
          <w:color w:val="auto"/>
          <w:highlight w:val="none"/>
          <w:u w:val="single"/>
        </w:rPr>
        <w:t xml:space="preserve">                      </w:t>
      </w:r>
    </w:p>
    <w:p w14:paraId="04362C52">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highlight w:val="none"/>
          <w:u w:val="single"/>
        </w:rPr>
      </w:pPr>
      <w:r>
        <w:rPr>
          <w:rFonts w:hint="eastAsia" w:ascii="宋体" w:hAnsi="宋体" w:eastAsia="宋体" w:cs="宋体"/>
          <w:color w:val="auto"/>
          <w:kern w:val="0"/>
          <w:highlight w:val="none"/>
        </w:rPr>
        <w:t>姓名：</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性别：</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年龄：</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职务：</w:t>
      </w:r>
      <w:r>
        <w:rPr>
          <w:rFonts w:hint="eastAsia" w:ascii="宋体" w:hAnsi="宋体" w:eastAsia="宋体" w:cs="宋体"/>
          <w:color w:val="auto"/>
          <w:highlight w:val="none"/>
          <w:u w:val="single"/>
        </w:rPr>
        <w:t xml:space="preserve">     </w:t>
      </w:r>
    </w:p>
    <w:p w14:paraId="0876D59E">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系</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（投标人名称）的法定代表人。</w:t>
      </w:r>
    </w:p>
    <w:p w14:paraId="6815C39C">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p>
    <w:p w14:paraId="7F8B4161">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特此证明。</w:t>
      </w:r>
    </w:p>
    <w:p w14:paraId="095E3B6C">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p>
    <w:p w14:paraId="28605D63">
      <w:pPr>
        <w:pageBreakBefore w:val="0"/>
        <w:kinsoku/>
        <w:wordWrap w:val="0"/>
        <w:overflowPunct/>
        <w:topLinePunct w:val="0"/>
        <w:autoSpaceDE w:val="0"/>
        <w:autoSpaceDN w:val="0"/>
        <w:bidi w:val="0"/>
        <w:adjustRightInd w:val="0"/>
        <w:spacing w:line="400" w:lineRule="exact"/>
        <w:ind w:right="-34" w:rightChars="-16" w:firstLine="2698" w:firstLineChars="1285"/>
        <w:jc w:val="righ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投标人：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（盖单位章）</w:t>
      </w:r>
    </w:p>
    <w:p w14:paraId="1ED3F6DF">
      <w:pPr>
        <w:pageBreakBefore w:val="0"/>
        <w:kinsoku/>
        <w:wordWrap w:val="0"/>
        <w:overflowPunct/>
        <w:topLinePunct w:val="0"/>
        <w:autoSpaceDE w:val="0"/>
        <w:autoSpaceDN w:val="0"/>
        <w:bidi w:val="0"/>
        <w:adjustRightInd w:val="0"/>
        <w:spacing w:line="400" w:lineRule="exact"/>
        <w:ind w:right="-34" w:rightChars="-16" w:firstLine="2698" w:firstLineChars="1285"/>
        <w:jc w:val="right"/>
        <w:outlineLvl w:val="9"/>
        <w:rPr>
          <w:rFonts w:hint="eastAsia" w:ascii="宋体" w:hAnsi="宋体" w:eastAsia="宋体" w:cs="宋体"/>
          <w:color w:val="auto"/>
          <w:kern w:val="0"/>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日</w:t>
      </w:r>
    </w:p>
    <w:p w14:paraId="092BD5E6">
      <w:pPr>
        <w:pageBreakBefore w:val="0"/>
        <w:kinsoku/>
        <w:wordWrap w:val="0"/>
        <w:overflowPunct/>
        <w:topLinePunct w:val="0"/>
        <w:autoSpaceDE w:val="0"/>
        <w:autoSpaceDN w:val="0"/>
        <w:bidi w:val="0"/>
        <w:adjustRightInd w:val="0"/>
        <w:spacing w:line="400" w:lineRule="exact"/>
        <w:ind w:right="-34" w:rightChars="-16" w:firstLine="2698" w:firstLineChars="1285"/>
        <w:jc w:val="right"/>
        <w:outlineLvl w:val="9"/>
        <w:rPr>
          <w:rFonts w:hint="eastAsia" w:ascii="宋体" w:hAnsi="宋体" w:eastAsia="宋体" w:cs="宋体"/>
          <w:color w:val="auto"/>
          <w:kern w:val="0"/>
          <w:highlight w:val="none"/>
        </w:rPr>
      </w:pPr>
    </w:p>
    <w:p w14:paraId="6F3CDDE2">
      <w:pPr>
        <w:pageBreakBefore w:val="0"/>
        <w:kinsoku/>
        <w:wordWrap w:val="0"/>
        <w:overflowPunct/>
        <w:topLinePunct w:val="0"/>
        <w:autoSpaceDE w:val="0"/>
        <w:autoSpaceDN w:val="0"/>
        <w:bidi w:val="0"/>
        <w:adjustRightInd w:val="0"/>
        <w:spacing w:line="400" w:lineRule="exact"/>
        <w:ind w:right="-34" w:rightChars="-16" w:firstLine="1680" w:firstLineChars="800"/>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2081" w:name="_Toc19556"/>
      <w:bookmarkStart w:id="2082" w:name="_Toc492225550"/>
      <w:r>
        <w:rPr>
          <w:rFonts w:hint="eastAsia" w:ascii="宋体" w:hAnsi="宋体" w:eastAsia="宋体" w:cs="宋体"/>
          <w:b/>
          <w:color w:val="auto"/>
          <w:kern w:val="0"/>
          <w:sz w:val="32"/>
          <w:szCs w:val="21"/>
          <w:highlight w:val="none"/>
        </w:rPr>
        <w:t>三、附有法定代表人身份证明的授权委托书</w:t>
      </w:r>
      <w:bookmarkEnd w:id="2081"/>
      <w:bookmarkEnd w:id="2082"/>
    </w:p>
    <w:p w14:paraId="723D34CB">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highlight w:val="none"/>
        </w:rPr>
      </w:pPr>
    </w:p>
    <w:p w14:paraId="09FB6F0C">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highlight w:val="none"/>
        </w:rPr>
      </w:pPr>
    </w:p>
    <w:p w14:paraId="56C9F0B3">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highlight w:val="none"/>
        </w:rPr>
      </w:pPr>
    </w:p>
    <w:p w14:paraId="00910678">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本人 </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（姓名）系</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（投标人名称）的法定代表人，现委托</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签名</w:t>
      </w:r>
      <w:r>
        <w:rPr>
          <w:rFonts w:hint="eastAsia" w:ascii="宋体" w:hAnsi="宋体" w:eastAsia="宋体" w:cs="宋体"/>
          <w:color w:val="auto"/>
          <w:kern w:val="0"/>
          <w:highlight w:val="none"/>
        </w:rPr>
        <w:t>）为我方代理人。代理人根据授权，以我方名义签署、澄清、说明、补正、递交、撤回、修改</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（项目名称）施工投标文件、签订合同和处理有关事宜，其法律后果由我方承担。</w:t>
      </w:r>
    </w:p>
    <w:p w14:paraId="064ACE2F">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委托期限：</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w:t>
      </w:r>
    </w:p>
    <w:p w14:paraId="6153153C">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代理人无转委托权。</w:t>
      </w:r>
    </w:p>
    <w:p w14:paraId="630CA46B">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附：法定代表人</w:t>
      </w:r>
      <w:r>
        <w:rPr>
          <w:rFonts w:hint="eastAsia" w:ascii="宋体" w:hAnsi="宋体" w:eastAsia="宋体" w:cs="宋体"/>
          <w:color w:val="auto"/>
          <w:kern w:val="0"/>
          <w:highlight w:val="none"/>
          <w:lang w:eastAsia="zh-CN"/>
        </w:rPr>
        <w:t>及</w:t>
      </w:r>
      <w:r>
        <w:rPr>
          <w:rFonts w:hint="eastAsia" w:ascii="宋体" w:hAnsi="宋体" w:eastAsia="宋体" w:cs="宋体"/>
          <w:color w:val="auto"/>
          <w:kern w:val="0"/>
          <w:highlight w:val="none"/>
        </w:rPr>
        <w:t>代理人</w:t>
      </w:r>
      <w:r>
        <w:rPr>
          <w:rFonts w:hint="eastAsia" w:ascii="宋体" w:hAnsi="宋体" w:eastAsia="宋体" w:cs="宋体"/>
          <w:color w:val="auto"/>
          <w:kern w:val="0"/>
          <w:highlight w:val="none"/>
          <w:lang w:eastAsia="zh-CN"/>
        </w:rPr>
        <w:t>身份证复印件或扫描件</w:t>
      </w:r>
      <w:r>
        <w:rPr>
          <w:rFonts w:hint="eastAsia" w:ascii="宋体" w:hAnsi="宋体" w:eastAsia="宋体" w:cs="宋体"/>
          <w:color w:val="auto"/>
          <w:kern w:val="0"/>
          <w:highlight w:val="none"/>
        </w:rPr>
        <w:t>。</w:t>
      </w:r>
    </w:p>
    <w:p w14:paraId="1345B8B1">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p>
    <w:p w14:paraId="0DF6C94E">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p>
    <w:p w14:paraId="4FD54B63">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3238" w:firstLineChars="1542"/>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（盖单位章）</w:t>
      </w:r>
    </w:p>
    <w:p w14:paraId="0525C741">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3238" w:firstLineChars="1542"/>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（签字）</w:t>
      </w:r>
    </w:p>
    <w:p w14:paraId="78C9E54F">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3238" w:firstLineChars="1542"/>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身份证号码：</w:t>
      </w:r>
      <w:r>
        <w:rPr>
          <w:rFonts w:hint="eastAsia" w:ascii="宋体" w:hAnsi="宋体" w:eastAsia="宋体" w:cs="宋体"/>
          <w:color w:val="auto"/>
          <w:kern w:val="0"/>
          <w:highlight w:val="none"/>
          <w:u w:val="single"/>
        </w:rPr>
        <w:t xml:space="preserve">                                  </w:t>
      </w:r>
    </w:p>
    <w:p w14:paraId="76320C75">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3238" w:firstLineChars="1542"/>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委托代理人：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（签字）</w:t>
      </w:r>
    </w:p>
    <w:p w14:paraId="1567901E">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3238" w:firstLineChars="1542"/>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身份证号码：</w:t>
      </w:r>
      <w:r>
        <w:rPr>
          <w:rFonts w:hint="eastAsia" w:ascii="宋体" w:hAnsi="宋体" w:eastAsia="宋体" w:cs="宋体"/>
          <w:color w:val="auto"/>
          <w:kern w:val="0"/>
          <w:highlight w:val="none"/>
          <w:u w:val="single"/>
        </w:rPr>
        <w:t xml:space="preserve">                                   </w:t>
      </w:r>
    </w:p>
    <w:p w14:paraId="34E8FBBB">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3238" w:firstLineChars="1542"/>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日</w:t>
      </w:r>
    </w:p>
    <w:p w14:paraId="7426E802">
      <w:pPr>
        <w:pageBreakBefore w:val="0"/>
        <w:kinsoku/>
        <w:wordWrap w:val="0"/>
        <w:overflowPunct/>
        <w:topLinePunct w:val="0"/>
        <w:autoSpaceDE w:val="0"/>
        <w:autoSpaceDN w:val="0"/>
        <w:bidi w:val="0"/>
        <w:adjustRightInd w:val="0"/>
        <w:spacing w:before="240" w:beforeLines="100" w:after="240" w:afterLines="100" w:line="400" w:lineRule="exact"/>
        <w:ind w:right="-34" w:rightChars="-16" w:firstLine="3238" w:firstLineChars="1542"/>
        <w:jc w:val="left"/>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2083" w:name="_Toc492225551"/>
      <w:bookmarkStart w:id="2084" w:name="_Toc2532"/>
      <w:r>
        <w:rPr>
          <w:rFonts w:hint="eastAsia" w:ascii="宋体" w:hAnsi="宋体" w:eastAsia="宋体" w:cs="宋体"/>
          <w:b/>
          <w:color w:val="auto"/>
          <w:kern w:val="0"/>
          <w:sz w:val="32"/>
          <w:szCs w:val="21"/>
          <w:highlight w:val="none"/>
        </w:rPr>
        <w:t>四、投标保证金</w:t>
      </w:r>
      <w:bookmarkEnd w:id="2083"/>
      <w:bookmarkEnd w:id="2084"/>
    </w:p>
    <w:p w14:paraId="7CE692A2">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u w:val="single"/>
        </w:rPr>
      </w:pPr>
    </w:p>
    <w:p w14:paraId="344A92E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（招标人名称）：</w:t>
      </w:r>
    </w:p>
    <w:p w14:paraId="3412419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791FDB8D">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0FFB1E2D">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0CBE11E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509502E1">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4C86BCE2">
      <w:pPr>
        <w:pageBreakBefore w:val="0"/>
        <w:kinsoku/>
        <w:wordWrap w:val="0"/>
        <w:overflowPunct/>
        <w:topLinePunct w:val="0"/>
        <w:autoSpaceDE w:val="0"/>
        <w:autoSpaceDN w:val="0"/>
        <w:bidi w:val="0"/>
        <w:adjustRightInd w:val="0"/>
        <w:spacing w:line="400" w:lineRule="exact"/>
        <w:ind w:right="-34" w:rightChars="-16"/>
        <w:jc w:val="righ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投标人名称：</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（盖单位章）</w:t>
      </w:r>
    </w:p>
    <w:p w14:paraId="225387FE">
      <w:pPr>
        <w:pageBreakBefore w:val="0"/>
        <w:kinsoku/>
        <w:wordWrap w:val="0"/>
        <w:overflowPunct/>
        <w:topLinePunct w:val="0"/>
        <w:autoSpaceDE w:val="0"/>
        <w:autoSpaceDN w:val="0"/>
        <w:bidi w:val="0"/>
        <w:adjustRightInd w:val="0"/>
        <w:spacing w:line="400" w:lineRule="exact"/>
        <w:ind w:right="-34" w:rightChars="-16"/>
        <w:jc w:val="righ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法定代表人或其委托代理人：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（签字）</w:t>
      </w:r>
    </w:p>
    <w:p w14:paraId="609F3C37">
      <w:pPr>
        <w:pageBreakBefore w:val="0"/>
        <w:kinsoku/>
        <w:wordWrap w:val="0"/>
        <w:overflowPunct/>
        <w:topLinePunct w:val="0"/>
        <w:autoSpaceDE w:val="0"/>
        <w:autoSpaceDN w:val="0"/>
        <w:bidi w:val="0"/>
        <w:adjustRightInd w:val="0"/>
        <w:spacing w:line="400" w:lineRule="exact"/>
        <w:ind w:right="-34" w:rightChars="-16" w:firstLine="5124" w:firstLineChars="244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日</w:t>
      </w:r>
    </w:p>
    <w:p w14:paraId="5634B291">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18"/>
          <w:highlight w:val="none"/>
        </w:rPr>
      </w:pPr>
      <w:r>
        <w:rPr>
          <w:rFonts w:hint="eastAsia" w:ascii="宋体" w:hAnsi="宋体" w:eastAsia="宋体" w:cs="宋体"/>
          <w:color w:val="auto"/>
          <w:kern w:val="0"/>
          <w:sz w:val="18"/>
          <w:highlight w:val="none"/>
        </w:rPr>
        <mc:AlternateContent>
          <mc:Choice Requires="wps">
            <w:drawing>
              <wp:anchor distT="0" distB="0" distL="114300" distR="114300" simplePos="0" relativeHeight="251659264"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 name="直线 54"/>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wps:spPr>
                      <wps:bodyPr upright="1"/>
                    </wps:wsp>
                  </a:graphicData>
                </a:graphic>
              </wp:anchor>
            </w:drawing>
          </mc:Choice>
          <mc:Fallback>
            <w:pict>
              <v:line id="直线 54" o:spid="_x0000_s1026" o:spt="20" style="position:absolute;left:0pt;margin-left:-4.95pt;margin-top:14.45pt;height:0.75pt;width:442.7pt;z-index:251659264;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L&#10;4VpI1gAAAAgBAAAPAAAAAAAAAAEAIAAAACIAAABkcnMvZG93bnJldi54bWxQSwECFAAUAAAACACH&#10;TuJAwjut9+0BAADhAwAADgAAAAAAAAABACAAAAAlAQAAZHJzL2Uyb0RvYy54bWxQSwUGAAAAAAYA&#10;BgBZAQAAhAUAAAAA&#10;">
                <v:fill on="f" focussize="0,0"/>
                <v:stroke weight="2.5pt" color="#000000" joinstyle="round" dashstyle="1 1"/>
                <v:imagedata o:title=""/>
                <o:lock v:ext="edit" aspectratio="f"/>
              </v:line>
            </w:pict>
          </mc:Fallback>
        </mc:AlternateContent>
      </w:r>
    </w:p>
    <w:p w14:paraId="3D7FC27A">
      <w:pPr>
        <w:pStyle w:val="14"/>
        <w:pageBreakBefore w:val="0"/>
        <w:kinsoku/>
        <w:wordWrap w:val="0"/>
        <w:overflowPunct/>
        <w:topLinePunct w:val="0"/>
        <w:bidi w:val="0"/>
        <w:spacing w:line="400" w:lineRule="exact"/>
        <w:ind w:right="-34" w:rightChars="-16" w:firstLine="0"/>
        <w:jc w:val="center"/>
        <w:outlineLvl w:val="9"/>
        <w:rPr>
          <w:rFonts w:hint="eastAsia" w:ascii="宋体" w:hAnsi="宋体" w:eastAsia="宋体" w:cs="宋体"/>
          <w:b/>
          <w:color w:val="auto"/>
          <w:sz w:val="21"/>
          <w:highlight w:val="none"/>
        </w:rPr>
      </w:pPr>
      <w:r>
        <w:rPr>
          <w:rFonts w:hint="eastAsia" w:ascii="宋体" w:hAnsi="宋体" w:eastAsia="宋体" w:cs="宋体"/>
          <w:b/>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2" name="矩形 5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wps:spPr>
                      <wps:txbx>
                        <w:txbxContent>
                          <w:p w14:paraId="6CD3F736">
                            <w:pPr>
                              <w:jc w:val="center"/>
                              <w:rPr>
                                <w:rFonts w:hint="eastAsia"/>
                              </w:rPr>
                            </w:pPr>
                          </w:p>
                          <w:p w14:paraId="7335920F">
                            <w:pPr>
                              <w:jc w:val="center"/>
                              <w:rPr>
                                <w:rFonts w:hint="eastAsia"/>
                              </w:rPr>
                            </w:pPr>
                          </w:p>
                          <w:p w14:paraId="5EB586EB">
                            <w:pPr>
                              <w:jc w:val="center"/>
                              <w:rPr>
                                <w:rFonts w:hint="eastAsia"/>
                              </w:rPr>
                            </w:pPr>
                          </w:p>
                          <w:p w14:paraId="1E1A3B7F">
                            <w:pPr>
                              <w:jc w:val="center"/>
                              <w:rPr>
                                <w:rFonts w:hint="eastAsia"/>
                              </w:rPr>
                            </w:pPr>
                          </w:p>
                          <w:p w14:paraId="1B135535">
                            <w:pPr>
                              <w:jc w:val="center"/>
                              <w:rPr>
                                <w:rFonts w:hint="eastAsia"/>
                              </w:rPr>
                            </w:pPr>
                          </w:p>
                          <w:p w14:paraId="254609F4">
                            <w:pPr>
                              <w:jc w:val="center"/>
                              <w:rPr>
                                <w:rFonts w:hint="eastAsia"/>
                              </w:rPr>
                            </w:pPr>
                          </w:p>
                          <w:p w14:paraId="4146153B">
                            <w:pPr>
                              <w:jc w:val="center"/>
                              <w:rPr>
                                <w:rFonts w:hint="eastAsia"/>
                              </w:rPr>
                            </w:pPr>
                          </w:p>
                          <w:p w14:paraId="3E3EFE22">
                            <w:pPr>
                              <w:jc w:val="center"/>
                              <w:rPr>
                                <w:rFonts w:hint="eastAsia"/>
                                <w:b/>
                                <w:sz w:val="36"/>
                                <w:szCs w:val="15"/>
                              </w:rPr>
                            </w:pPr>
                            <w:r>
                              <w:rPr>
                                <w:rFonts w:hint="eastAsia"/>
                                <w:b/>
                                <w:sz w:val="36"/>
                                <w:szCs w:val="15"/>
                              </w:rPr>
                              <w:t>投标保证金有效证明资料</w:t>
                            </w:r>
                          </w:p>
                          <w:p w14:paraId="0A429308">
                            <w:pPr>
                              <w:jc w:val="center"/>
                              <w:rPr>
                                <w:rFonts w:hint="eastAsia"/>
                                <w:b/>
                                <w:sz w:val="36"/>
                                <w:szCs w:val="15"/>
                              </w:rPr>
                            </w:pPr>
                          </w:p>
                          <w:p w14:paraId="08D59CF0">
                            <w:pPr>
                              <w:jc w:val="center"/>
                              <w:rPr>
                                <w:rFonts w:hint="eastAsia"/>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b/>
                                <w:bCs/>
                                <w:sz w:val="36"/>
                                <w:szCs w:val="15"/>
                              </w:rPr>
                              <w:t>)</w:t>
                            </w:r>
                          </w:p>
                          <w:p w14:paraId="115CDD6A">
                            <w:pPr>
                              <w:jc w:val="center"/>
                              <w:rPr>
                                <w:rFonts w:hint="eastAsia"/>
                                <w:b/>
                                <w:sz w:val="48"/>
                              </w:rPr>
                            </w:pPr>
                          </w:p>
                          <w:p w14:paraId="119D8172">
                            <w:pPr>
                              <w:jc w:val="center"/>
                              <w:rPr>
                                <w:rFonts w:hint="eastAsia"/>
                                <w:b/>
                                <w:sz w:val="48"/>
                              </w:rPr>
                            </w:pPr>
                          </w:p>
                        </w:txbxContent>
                      </wps:txbx>
                      <wps:bodyPr wrap="square" upright="1"/>
                    </wps:wsp>
                  </a:graphicData>
                </a:graphic>
              </wp:anchor>
            </w:drawing>
          </mc:Choice>
          <mc:Fallback>
            <w:pict>
              <v:rect id="矩形 55" o:spid="_x0000_s1026" o:spt="1" style="position:absolute;left:0pt;margin-left:0.65pt;margin-top:3.9pt;height:249.6pt;width:432pt;z-index:251660288;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fqnPvXAAAABwEAAA8AAAAAAAAA&#10;AQAgAAAAIgAAAGRycy9kb3ducmV2LnhtbFBLAQIUABQAAAAIAIdO4kBcDK52EgIAADwEAAAOAAAA&#10;AAAAAAEAIAAAACYBAABkcnMvZTJvRG9jLnhtbFBLBQYAAAAABgAGAFkBAACqBQAAAAA=&#10;">
                <v:fill on="t" focussize="0,0"/>
                <v:stroke weight="1.5pt" color="#000000" joinstyle="miter" dashstyle="dashDot"/>
                <v:imagedata o:title=""/>
                <o:lock v:ext="edit" aspectratio="f"/>
                <v:textbox>
                  <w:txbxContent>
                    <w:p w14:paraId="6CD3F736">
                      <w:pPr>
                        <w:jc w:val="center"/>
                        <w:rPr>
                          <w:rFonts w:hint="eastAsia"/>
                        </w:rPr>
                      </w:pPr>
                    </w:p>
                    <w:p w14:paraId="7335920F">
                      <w:pPr>
                        <w:jc w:val="center"/>
                        <w:rPr>
                          <w:rFonts w:hint="eastAsia"/>
                        </w:rPr>
                      </w:pPr>
                    </w:p>
                    <w:p w14:paraId="5EB586EB">
                      <w:pPr>
                        <w:jc w:val="center"/>
                        <w:rPr>
                          <w:rFonts w:hint="eastAsia"/>
                        </w:rPr>
                      </w:pPr>
                    </w:p>
                    <w:p w14:paraId="1E1A3B7F">
                      <w:pPr>
                        <w:jc w:val="center"/>
                        <w:rPr>
                          <w:rFonts w:hint="eastAsia"/>
                        </w:rPr>
                      </w:pPr>
                    </w:p>
                    <w:p w14:paraId="1B135535">
                      <w:pPr>
                        <w:jc w:val="center"/>
                        <w:rPr>
                          <w:rFonts w:hint="eastAsia"/>
                        </w:rPr>
                      </w:pPr>
                    </w:p>
                    <w:p w14:paraId="254609F4">
                      <w:pPr>
                        <w:jc w:val="center"/>
                        <w:rPr>
                          <w:rFonts w:hint="eastAsia"/>
                        </w:rPr>
                      </w:pPr>
                    </w:p>
                    <w:p w14:paraId="4146153B">
                      <w:pPr>
                        <w:jc w:val="center"/>
                        <w:rPr>
                          <w:rFonts w:hint="eastAsia"/>
                        </w:rPr>
                      </w:pPr>
                    </w:p>
                    <w:p w14:paraId="3E3EFE22">
                      <w:pPr>
                        <w:jc w:val="center"/>
                        <w:rPr>
                          <w:rFonts w:hint="eastAsia"/>
                          <w:b/>
                          <w:sz w:val="36"/>
                          <w:szCs w:val="15"/>
                        </w:rPr>
                      </w:pPr>
                      <w:r>
                        <w:rPr>
                          <w:rFonts w:hint="eastAsia"/>
                          <w:b/>
                          <w:sz w:val="36"/>
                          <w:szCs w:val="15"/>
                        </w:rPr>
                        <w:t>投标保证金有效证明资料</w:t>
                      </w:r>
                    </w:p>
                    <w:p w14:paraId="0A429308">
                      <w:pPr>
                        <w:jc w:val="center"/>
                        <w:rPr>
                          <w:rFonts w:hint="eastAsia"/>
                          <w:b/>
                          <w:sz w:val="36"/>
                          <w:szCs w:val="15"/>
                        </w:rPr>
                      </w:pPr>
                    </w:p>
                    <w:p w14:paraId="08D59CF0">
                      <w:pPr>
                        <w:jc w:val="center"/>
                        <w:rPr>
                          <w:rFonts w:hint="eastAsia"/>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b/>
                          <w:bCs/>
                          <w:sz w:val="36"/>
                          <w:szCs w:val="15"/>
                        </w:rPr>
                        <w:t>)</w:t>
                      </w:r>
                    </w:p>
                    <w:p w14:paraId="115CDD6A">
                      <w:pPr>
                        <w:jc w:val="center"/>
                        <w:rPr>
                          <w:rFonts w:hint="eastAsia"/>
                          <w:b/>
                          <w:sz w:val="48"/>
                        </w:rPr>
                      </w:pPr>
                    </w:p>
                    <w:p w14:paraId="119D8172">
                      <w:pPr>
                        <w:jc w:val="center"/>
                        <w:rPr>
                          <w:rFonts w:hint="eastAsia"/>
                          <w:b/>
                          <w:sz w:val="48"/>
                        </w:rPr>
                      </w:pPr>
                    </w:p>
                  </w:txbxContent>
                </v:textbox>
              </v:rect>
            </w:pict>
          </mc:Fallback>
        </mc:AlternateContent>
      </w:r>
    </w:p>
    <w:p w14:paraId="65E8D470">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3DB41A3C">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51776CFE">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13D2BE2F">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36B2F8A4">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541D3ADF">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5EDACAC3">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6FB277DC">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138FD98A">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20C90496">
      <w:pPr>
        <w:pStyle w:val="14"/>
        <w:pageBreakBefore w:val="0"/>
        <w:kinsoku/>
        <w:wordWrap w:val="0"/>
        <w:overflowPunct/>
        <w:topLinePunct w:val="0"/>
        <w:bidi w:val="0"/>
        <w:spacing w:line="400" w:lineRule="exact"/>
        <w:ind w:right="-34" w:rightChars="-16" w:firstLine="0"/>
        <w:outlineLvl w:val="9"/>
        <w:rPr>
          <w:rFonts w:hint="eastAsia" w:ascii="宋体" w:hAnsi="宋体" w:eastAsia="宋体" w:cs="宋体"/>
          <w:b/>
          <w:color w:val="auto"/>
          <w:sz w:val="21"/>
          <w:highlight w:val="none"/>
        </w:rPr>
      </w:pPr>
    </w:p>
    <w:p w14:paraId="4302E8AE">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p>
    <w:p w14:paraId="5D6BBFE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p>
    <w:p w14:paraId="6BDBC0E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p>
    <w:p w14:paraId="1B73081E">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p>
    <w:p w14:paraId="58EF638C">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66F6C776">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55701364">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71BE12D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31F7DAF9">
      <w:pPr>
        <w:pageBreakBefore w:val="0"/>
        <w:kinsoku/>
        <w:wordWrap w:val="0"/>
        <w:overflowPunct/>
        <w:topLinePunct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rPr>
      </w:pPr>
      <w:bookmarkStart w:id="2085" w:name="_Toc15056"/>
      <w:r>
        <w:rPr>
          <w:rFonts w:hint="eastAsia" w:ascii="宋体" w:hAnsi="宋体" w:eastAsia="宋体" w:cs="宋体"/>
          <w:b/>
          <w:color w:val="auto"/>
          <w:kern w:val="0"/>
          <w:sz w:val="32"/>
          <w:szCs w:val="32"/>
          <w:highlight w:val="none"/>
        </w:rPr>
        <w:br w:type="page"/>
      </w:r>
      <w:bookmarkStart w:id="2086" w:name="_Toc17777"/>
      <w:bookmarkStart w:id="2087" w:name="_Toc5578"/>
      <w:bookmarkStart w:id="2088" w:name="_Toc24866"/>
      <w:bookmarkStart w:id="2089" w:name="_Toc500864541"/>
      <w:r>
        <w:rPr>
          <w:rFonts w:hint="eastAsia" w:ascii="宋体" w:hAnsi="宋体" w:eastAsia="宋体" w:cs="宋体"/>
          <w:b/>
          <w:color w:val="auto"/>
          <w:kern w:val="0"/>
          <w:sz w:val="32"/>
          <w:szCs w:val="21"/>
          <w:highlight w:val="none"/>
        </w:rPr>
        <w:t>五、已标价工程量清单</w:t>
      </w:r>
      <w:bookmarkEnd w:id="2066"/>
      <w:bookmarkEnd w:id="2067"/>
      <w:bookmarkEnd w:id="2068"/>
      <w:bookmarkEnd w:id="2069"/>
      <w:bookmarkEnd w:id="2070"/>
      <w:bookmarkEnd w:id="2071"/>
      <w:bookmarkEnd w:id="2072"/>
      <w:bookmarkEnd w:id="2073"/>
      <w:bookmarkEnd w:id="2074"/>
      <w:bookmarkEnd w:id="2075"/>
      <w:bookmarkEnd w:id="2085"/>
      <w:bookmarkEnd w:id="2086"/>
      <w:bookmarkEnd w:id="2087"/>
      <w:bookmarkEnd w:id="2088"/>
      <w:bookmarkEnd w:id="2089"/>
    </w:p>
    <w:p w14:paraId="2EFA86D1">
      <w:pPr>
        <w:pageBreakBefore w:val="0"/>
        <w:kinsoku/>
        <w:wordWrap w:val="0"/>
        <w:overflowPunct/>
        <w:topLinePunct w:val="0"/>
        <w:bidi w:val="0"/>
        <w:spacing w:line="400" w:lineRule="exact"/>
        <w:ind w:right="-34" w:rightChars="-16"/>
        <w:outlineLvl w:val="9"/>
        <w:rPr>
          <w:rFonts w:hint="eastAsia" w:ascii="宋体" w:hAnsi="宋体" w:eastAsia="宋体" w:cs="宋体"/>
          <w:color w:val="auto"/>
          <w:kern w:val="0"/>
          <w:sz w:val="28"/>
          <w:highlight w:val="none"/>
        </w:rPr>
      </w:pPr>
    </w:p>
    <w:p w14:paraId="4824E392">
      <w:pPr>
        <w:pageBreakBefore w:val="0"/>
        <w:kinsoku/>
        <w:wordWrap w:val="0"/>
        <w:overflowPunct/>
        <w:topLinePunct w:val="0"/>
        <w:bidi w:val="0"/>
        <w:spacing w:line="400" w:lineRule="exact"/>
        <w:ind w:right="-34" w:rightChars="-16" w:firstLine="420" w:firstLineChars="150"/>
        <w:outlineLvl w:val="9"/>
        <w:rPr>
          <w:rFonts w:hint="eastAsia" w:ascii="宋体" w:hAnsi="宋体" w:eastAsia="宋体" w:cs="宋体"/>
          <w:color w:val="auto"/>
          <w:kern w:val="0"/>
          <w:sz w:val="28"/>
          <w:szCs w:val="28"/>
          <w:highlight w:val="none"/>
        </w:rPr>
      </w:pPr>
    </w:p>
    <w:p w14:paraId="6AC5C804">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53C1BEE4">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55A763A1">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51E22FC8">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5A15A7BE">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12540D14">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52876978">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31EDF39D">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756928E7">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5F69672D">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414AAA09">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3E89BF8E">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52409DB4">
      <w:pPr>
        <w:pageBreakBefore w:val="0"/>
        <w:kinsoku/>
        <w:wordWrap w:val="0"/>
        <w:overflowPunct/>
        <w:topLinePunct w:val="0"/>
        <w:bidi w:val="0"/>
        <w:spacing w:line="400" w:lineRule="exact"/>
        <w:ind w:right="-34" w:rightChars="-16"/>
        <w:jc w:val="center"/>
        <w:outlineLvl w:val="9"/>
        <w:rPr>
          <w:rFonts w:hint="eastAsia" w:ascii="宋体" w:hAnsi="宋体" w:eastAsia="宋体" w:cs="宋体"/>
          <w:color w:val="auto"/>
          <w:sz w:val="52"/>
          <w:highlight w:val="none"/>
        </w:rPr>
      </w:pPr>
    </w:p>
    <w:p w14:paraId="3E907570">
      <w:pPr>
        <w:pageBreakBefore w:val="0"/>
        <w:kinsoku/>
        <w:wordWrap w:val="0"/>
        <w:overflowPunct/>
        <w:topLinePunct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lang w:eastAsia="zh-CN"/>
        </w:rPr>
      </w:pPr>
      <w:bookmarkStart w:id="2090" w:name="_Toc272772669"/>
      <w:bookmarkStart w:id="2091" w:name="_Toc228591610"/>
      <w:bookmarkStart w:id="2092" w:name="_Toc228591758"/>
      <w:bookmarkStart w:id="2093" w:name="_Toc228589264"/>
      <w:bookmarkStart w:id="2094" w:name="_Toc214433990"/>
      <w:bookmarkStart w:id="2095" w:name="_Toc228881250"/>
      <w:bookmarkStart w:id="2096" w:name="_Toc227657588"/>
      <w:bookmarkStart w:id="2097" w:name="_Toc228337199"/>
      <w:bookmarkStart w:id="2098" w:name="_Toc227492346"/>
      <w:r>
        <w:rPr>
          <w:rFonts w:hint="eastAsia" w:ascii="宋体" w:hAnsi="宋体" w:eastAsia="宋体" w:cs="宋体"/>
          <w:color w:val="auto"/>
          <w:sz w:val="52"/>
          <w:highlight w:val="none"/>
        </w:rPr>
        <w:br w:type="page"/>
      </w:r>
      <w:bookmarkEnd w:id="2090"/>
      <w:bookmarkEnd w:id="2091"/>
      <w:bookmarkEnd w:id="2092"/>
      <w:bookmarkEnd w:id="2093"/>
      <w:bookmarkEnd w:id="2094"/>
      <w:bookmarkEnd w:id="2095"/>
      <w:bookmarkEnd w:id="2096"/>
      <w:bookmarkEnd w:id="2097"/>
      <w:bookmarkEnd w:id="2098"/>
      <w:bookmarkStart w:id="2099" w:name="_Toc2200"/>
      <w:bookmarkStart w:id="2100" w:name="_Toc500864542"/>
      <w:bookmarkStart w:id="2101" w:name="_Toc11498"/>
      <w:bookmarkStart w:id="2102" w:name="_Toc14759"/>
      <w:bookmarkStart w:id="2103" w:name="_Toc3956"/>
      <w:r>
        <w:rPr>
          <w:rFonts w:hint="eastAsia" w:ascii="宋体" w:hAnsi="宋体" w:eastAsia="宋体" w:cs="宋体"/>
          <w:b/>
          <w:color w:val="auto"/>
          <w:kern w:val="0"/>
          <w:sz w:val="32"/>
          <w:szCs w:val="21"/>
          <w:highlight w:val="none"/>
        </w:rPr>
        <w:t>六、</w:t>
      </w:r>
      <w:bookmarkEnd w:id="2099"/>
      <w:bookmarkEnd w:id="2100"/>
      <w:bookmarkEnd w:id="2101"/>
      <w:bookmarkEnd w:id="2102"/>
      <w:bookmarkEnd w:id="2103"/>
      <w:r>
        <w:rPr>
          <w:rFonts w:hint="eastAsia" w:ascii="宋体" w:hAnsi="宋体" w:eastAsia="宋体" w:cs="宋体"/>
          <w:b/>
          <w:color w:val="auto"/>
          <w:kern w:val="0"/>
          <w:sz w:val="32"/>
          <w:szCs w:val="21"/>
          <w:highlight w:val="none"/>
          <w:lang w:eastAsia="zh-CN"/>
        </w:rPr>
        <w:t>施工组织设计</w:t>
      </w:r>
    </w:p>
    <w:p w14:paraId="57E2DEF1">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highlight w:val="none"/>
        </w:rPr>
      </w:pPr>
    </w:p>
    <w:p w14:paraId="7D19DF1C">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bookmarkStart w:id="2104" w:name="_Toc272772673"/>
      <w:bookmarkStart w:id="2105" w:name="_Toc454031617"/>
      <w:bookmarkStart w:id="2106" w:name="_Toc227492350"/>
      <w:bookmarkStart w:id="2107" w:name="_Toc228591614"/>
      <w:bookmarkStart w:id="2108" w:name="_Toc459289949"/>
      <w:bookmarkStart w:id="2109" w:name="_Toc434140867"/>
      <w:bookmarkStart w:id="2110" w:name="_Toc453573354"/>
      <w:bookmarkStart w:id="2111" w:name="_Toc13734"/>
      <w:bookmarkStart w:id="2112" w:name="_Toc228337203"/>
      <w:bookmarkStart w:id="2113" w:name="_Toc499891701"/>
      <w:bookmarkStart w:id="2114" w:name="_Toc431367143"/>
      <w:bookmarkStart w:id="2115" w:name="_Toc228591762"/>
      <w:bookmarkStart w:id="2116" w:name="_Toc227657592"/>
      <w:bookmarkStart w:id="2117" w:name="_Toc228589268"/>
      <w:bookmarkStart w:id="2118" w:name="_Toc228881254"/>
      <w:bookmarkStart w:id="2119" w:name="_Toc214433994"/>
      <w:r>
        <w:rPr>
          <w:rFonts w:hint="default" w:ascii="宋体" w:hAnsi="宋体" w:eastAsia="宋体" w:cs="宋体"/>
          <w:color w:val="auto"/>
          <w:kern w:val="0"/>
          <w:szCs w:val="21"/>
          <w:highlight w:val="none"/>
        </w:rPr>
        <w:t>1．投标人应根据招标文件和对现场的勘察情况，采用文字并结合图表形式，参考以下要点编制本工程的施工组织设计：</w:t>
      </w:r>
    </w:p>
    <w:p w14:paraId="51593403">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（1）主要施工方案与技术措施；</w:t>
      </w:r>
    </w:p>
    <w:p w14:paraId="7F4011AF">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（2）质量管理体系与措施；</w:t>
      </w:r>
    </w:p>
    <w:p w14:paraId="76581114">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（3）安全管理体系与措施；</w:t>
      </w:r>
    </w:p>
    <w:p w14:paraId="10F1B77E">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（4）文明施工、环境保护管理体系及施工现场扬尘治理措施；</w:t>
      </w:r>
    </w:p>
    <w:p w14:paraId="52EA75CF">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（5）工期保证措施；</w:t>
      </w:r>
    </w:p>
    <w:p w14:paraId="7F5B5BF2">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（6）拟投入资源配备计划措施；</w:t>
      </w:r>
    </w:p>
    <w:p w14:paraId="31261CB4">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（7）施工进度表与网络计划图；</w:t>
      </w:r>
    </w:p>
    <w:p w14:paraId="4D6059DE">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（8）施工总平面图布置；</w:t>
      </w:r>
    </w:p>
    <w:p w14:paraId="4D664FCD">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（9）建造方式的创新应用实施方案；</w:t>
      </w:r>
    </w:p>
    <w:p w14:paraId="7B4466D3">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（10）采用新工艺、新技术、新设备、新材料、BIM等的程度；</w:t>
      </w:r>
    </w:p>
    <w:p w14:paraId="62755D40">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（11）施工现场实施信息化监控和数据处理；</w:t>
      </w:r>
    </w:p>
    <w:p w14:paraId="3AD04FE5">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（12）风险管理措施；</w:t>
      </w:r>
    </w:p>
    <w:p w14:paraId="1734195A">
      <w:pPr>
        <w:pageBreakBefore w:val="0"/>
        <w:kinsoku/>
        <w:wordWrap w:val="0"/>
        <w:overflowPunct/>
        <w:topLinePunct w:val="0"/>
        <w:autoSpaceDE w:val="0"/>
        <w:autoSpaceDN w:val="0"/>
        <w:bidi w:val="0"/>
        <w:adjustRightInd w:val="0"/>
        <w:spacing w:line="420" w:lineRule="exact"/>
        <w:ind w:right="-34" w:rightChars="-16" w:firstLine="420" w:firstLineChars="200"/>
        <w:jc w:val="left"/>
        <w:outlineLvl w:val="9"/>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default" w:ascii="宋体" w:hAnsi="宋体" w:eastAsia="宋体" w:cs="宋体"/>
          <w:color w:val="auto"/>
          <w:kern w:val="0"/>
          <w:szCs w:val="21"/>
          <w:highlight w:val="none"/>
        </w:rPr>
        <w:t>．施工组织设计除采用文字表述外可附下列图表，图表及格式要求附后。</w:t>
      </w:r>
    </w:p>
    <w:p w14:paraId="64661D52">
      <w:pPr>
        <w:pageBreakBefore w:val="0"/>
        <w:kinsoku/>
        <w:wordWrap w:val="0"/>
        <w:overflowPunct/>
        <w:topLinePunct w:val="0"/>
        <w:autoSpaceDE w:val="0"/>
        <w:autoSpaceDN w:val="0"/>
        <w:bidi w:val="0"/>
        <w:adjustRightInd w:val="0"/>
        <w:spacing w:line="420" w:lineRule="exact"/>
        <w:ind w:right="-34" w:rightChars="-16" w:firstLine="539" w:firstLineChars="257"/>
        <w:jc w:val="left"/>
        <w:outlineLvl w:val="9"/>
        <w:rPr>
          <w:rFonts w:hint="eastAsia" w:ascii="宋体" w:hAnsi="宋体" w:eastAsia="宋体" w:cs="宋体"/>
          <w:color w:val="auto"/>
          <w:kern w:val="0"/>
          <w:szCs w:val="21"/>
          <w:highlight w:val="none"/>
        </w:rPr>
      </w:pPr>
    </w:p>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p w14:paraId="03E1862D">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03EE47A4">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3BF52A04">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6E1DBD5D">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6C2E04DC">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0BA75269">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2B3105FD">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155CD096">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7A1C8FD6">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4D0331F8">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rPr>
      </w:pPr>
    </w:p>
    <w:p w14:paraId="7FDABD82">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lang w:eastAsia="zh-CN"/>
        </w:rPr>
      </w:pPr>
    </w:p>
    <w:p w14:paraId="7D9B4305">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lang w:eastAsia="zh-CN"/>
        </w:rPr>
      </w:pPr>
    </w:p>
    <w:p w14:paraId="3232EDCF">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lang w:eastAsia="zh-CN"/>
        </w:rPr>
      </w:pPr>
    </w:p>
    <w:p w14:paraId="54808402">
      <w:pPr>
        <w:pageBreakBefore w:val="0"/>
        <w:kinsoku/>
        <w:wordWrap w:val="0"/>
        <w:overflowPunct/>
        <w:topLinePunct w:val="0"/>
        <w:bidi w:val="0"/>
        <w:rPr>
          <w:rFonts w:hint="eastAsia" w:ascii="宋体" w:hAnsi="宋体" w:eastAsia="宋体" w:cs="宋体"/>
          <w:color w:val="auto"/>
          <w:szCs w:val="21"/>
          <w:highlight w:val="none"/>
          <w:lang w:eastAsia="zh-CN"/>
        </w:rPr>
      </w:pPr>
    </w:p>
    <w:p w14:paraId="12F61475">
      <w:pPr>
        <w:pageBreakBefore w:val="0"/>
        <w:kinsoku/>
        <w:wordWrap w:val="0"/>
        <w:overflowPunct/>
        <w:topLinePunct w:val="0"/>
        <w:bidi w:val="0"/>
        <w:rPr>
          <w:rFonts w:hint="eastAsia" w:ascii="宋体" w:hAnsi="宋体" w:eastAsia="宋体" w:cs="宋体"/>
          <w:color w:val="auto"/>
          <w:szCs w:val="21"/>
          <w:highlight w:val="none"/>
          <w:lang w:eastAsia="zh-CN"/>
        </w:rPr>
      </w:pPr>
    </w:p>
    <w:p w14:paraId="06F65BE7">
      <w:pPr>
        <w:pageBreakBefore w:val="0"/>
        <w:kinsoku/>
        <w:wordWrap w:val="0"/>
        <w:overflowPunct/>
        <w:topLinePunct w:val="0"/>
        <w:bidi w:val="0"/>
        <w:rPr>
          <w:rFonts w:hint="eastAsia" w:ascii="宋体" w:hAnsi="宋体" w:eastAsia="宋体" w:cs="宋体"/>
          <w:color w:val="auto"/>
          <w:szCs w:val="21"/>
          <w:highlight w:val="none"/>
          <w:lang w:eastAsia="zh-CN"/>
        </w:rPr>
      </w:pPr>
    </w:p>
    <w:p w14:paraId="39814A2D">
      <w:pPr>
        <w:pStyle w:val="23"/>
        <w:pageBreakBefore w:val="0"/>
        <w:kinsoku/>
        <w:wordWrap w:val="0"/>
        <w:overflowPunct/>
        <w:topLinePunct w:val="0"/>
        <w:bidi w:val="0"/>
        <w:ind w:firstLine="200"/>
        <w:outlineLvl w:val="9"/>
        <w:rPr>
          <w:rFonts w:hint="eastAsia" w:ascii="宋体" w:hAnsi="宋体" w:eastAsia="宋体" w:cs="宋体"/>
          <w:color w:val="auto"/>
          <w:szCs w:val="21"/>
          <w:highlight w:val="none"/>
          <w:lang w:eastAsia="zh-CN"/>
        </w:rPr>
      </w:pPr>
    </w:p>
    <w:p w14:paraId="6AFC8B8B">
      <w:pPr>
        <w:pageBreakBefore w:val="0"/>
        <w:kinsoku/>
        <w:wordWrap w:val="0"/>
        <w:overflowPunct/>
        <w:topLinePunct w:val="0"/>
        <w:bidi w:val="0"/>
        <w:spacing w:line="400" w:lineRule="exact"/>
        <w:ind w:right="-34" w:rightChars="-16"/>
        <w:outlineLvl w:val="9"/>
        <w:rPr>
          <w:rFonts w:hint="eastAsia" w:ascii="宋体" w:hAnsi="宋体" w:eastAsia="宋体" w:cs="宋体"/>
          <w:b/>
          <w:bCs/>
          <w:color w:val="auto"/>
          <w:kern w:val="0"/>
          <w:szCs w:val="21"/>
          <w:highlight w:val="none"/>
        </w:rPr>
      </w:pPr>
      <w:bookmarkStart w:id="2120" w:name="_Toc26447500"/>
      <w:bookmarkStart w:id="2121" w:name="_Toc13320"/>
      <w:r>
        <w:rPr>
          <w:rFonts w:hint="eastAsia" w:ascii="宋体" w:hAnsi="宋体" w:eastAsia="宋体" w:cs="宋体"/>
          <w:b/>
          <w:bCs/>
          <w:color w:val="auto"/>
          <w:kern w:val="0"/>
          <w:szCs w:val="21"/>
          <w:highlight w:val="none"/>
        </w:rPr>
        <w:t>附表一：拟投入本项目的资源配备计划</w:t>
      </w:r>
      <w:bookmarkEnd w:id="2120"/>
      <w:bookmarkEnd w:id="2121"/>
    </w:p>
    <w:p w14:paraId="0A5FCC22">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0E15F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noWrap w:val="0"/>
            <w:vAlign w:val="center"/>
          </w:tcPr>
          <w:p w14:paraId="507ED4C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序号</w:t>
            </w:r>
          </w:p>
        </w:tc>
        <w:tc>
          <w:tcPr>
            <w:tcW w:w="1211" w:type="dxa"/>
            <w:noWrap w:val="0"/>
            <w:vAlign w:val="center"/>
          </w:tcPr>
          <w:p w14:paraId="140D83F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设备名称</w:t>
            </w:r>
          </w:p>
        </w:tc>
        <w:tc>
          <w:tcPr>
            <w:tcW w:w="931" w:type="dxa"/>
            <w:noWrap w:val="0"/>
            <w:vAlign w:val="center"/>
          </w:tcPr>
          <w:p w14:paraId="7CB8796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型号</w:t>
            </w:r>
          </w:p>
          <w:p w14:paraId="2C1567B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规格</w:t>
            </w:r>
          </w:p>
        </w:tc>
        <w:tc>
          <w:tcPr>
            <w:tcW w:w="931" w:type="dxa"/>
            <w:noWrap w:val="0"/>
            <w:vAlign w:val="center"/>
          </w:tcPr>
          <w:p w14:paraId="3D1CDA4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数量</w:t>
            </w:r>
          </w:p>
        </w:tc>
        <w:tc>
          <w:tcPr>
            <w:tcW w:w="932" w:type="dxa"/>
            <w:noWrap w:val="0"/>
            <w:vAlign w:val="center"/>
          </w:tcPr>
          <w:p w14:paraId="6371CD7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国别</w:t>
            </w:r>
          </w:p>
          <w:p w14:paraId="33D5B7F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产地</w:t>
            </w:r>
          </w:p>
        </w:tc>
        <w:tc>
          <w:tcPr>
            <w:tcW w:w="932" w:type="dxa"/>
            <w:noWrap w:val="0"/>
            <w:vAlign w:val="center"/>
          </w:tcPr>
          <w:p w14:paraId="2EE6FF6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制造</w:t>
            </w:r>
          </w:p>
          <w:p w14:paraId="1D31673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年份</w:t>
            </w:r>
          </w:p>
        </w:tc>
        <w:tc>
          <w:tcPr>
            <w:tcW w:w="1201" w:type="dxa"/>
            <w:noWrap w:val="0"/>
            <w:vAlign w:val="center"/>
          </w:tcPr>
          <w:p w14:paraId="4596982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额定功率</w:t>
            </w:r>
          </w:p>
          <w:p w14:paraId="4EE80C0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w:t>
            </w:r>
            <w:r>
              <w:rPr>
                <w:rFonts w:hint="eastAsia" w:ascii="宋体" w:hAnsi="宋体" w:eastAsia="宋体" w:cs="宋体"/>
                <w:b/>
                <w:color w:val="auto"/>
                <w:kern w:val="0"/>
                <w:highlight w:val="none"/>
              </w:rPr>
              <w:t>KW</w:t>
            </w:r>
            <w:r>
              <w:rPr>
                <w:rFonts w:hint="eastAsia" w:ascii="宋体" w:hAnsi="宋体" w:eastAsia="宋体" w:cs="宋体"/>
                <w:color w:val="auto"/>
                <w:kern w:val="0"/>
                <w:highlight w:val="none"/>
              </w:rPr>
              <w:t>）</w:t>
            </w:r>
          </w:p>
        </w:tc>
        <w:tc>
          <w:tcPr>
            <w:tcW w:w="662" w:type="dxa"/>
            <w:noWrap w:val="0"/>
            <w:vAlign w:val="center"/>
          </w:tcPr>
          <w:p w14:paraId="4E18F37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生产</w:t>
            </w:r>
          </w:p>
          <w:p w14:paraId="0CE8795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能力</w:t>
            </w:r>
          </w:p>
        </w:tc>
        <w:tc>
          <w:tcPr>
            <w:tcW w:w="932" w:type="dxa"/>
            <w:noWrap w:val="0"/>
            <w:vAlign w:val="center"/>
          </w:tcPr>
          <w:p w14:paraId="79F605A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用于施</w:t>
            </w:r>
          </w:p>
          <w:p w14:paraId="7B8DAC8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工部位</w:t>
            </w:r>
          </w:p>
        </w:tc>
        <w:tc>
          <w:tcPr>
            <w:tcW w:w="932" w:type="dxa"/>
            <w:noWrap w:val="0"/>
            <w:vAlign w:val="center"/>
          </w:tcPr>
          <w:p w14:paraId="42E5CE8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备注</w:t>
            </w:r>
          </w:p>
        </w:tc>
      </w:tr>
      <w:tr w14:paraId="3CA37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2BA6986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11" w:type="dxa"/>
            <w:noWrap w:val="0"/>
            <w:vAlign w:val="center"/>
          </w:tcPr>
          <w:p w14:paraId="0B5EE7A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7704C15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25A089E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0497BFE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39CCE86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01" w:type="dxa"/>
            <w:noWrap w:val="0"/>
            <w:vAlign w:val="center"/>
          </w:tcPr>
          <w:p w14:paraId="573FD5E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662" w:type="dxa"/>
            <w:noWrap w:val="0"/>
            <w:vAlign w:val="center"/>
          </w:tcPr>
          <w:p w14:paraId="63D9E40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620F884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02F3B13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68D7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41F4D97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11" w:type="dxa"/>
            <w:noWrap w:val="0"/>
            <w:vAlign w:val="center"/>
          </w:tcPr>
          <w:p w14:paraId="2237E51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01B20EE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7C5E4C6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7B9F4F2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00DC45A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01" w:type="dxa"/>
            <w:noWrap w:val="0"/>
            <w:vAlign w:val="center"/>
          </w:tcPr>
          <w:p w14:paraId="1377951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662" w:type="dxa"/>
            <w:noWrap w:val="0"/>
            <w:vAlign w:val="center"/>
          </w:tcPr>
          <w:p w14:paraId="1904698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4662C67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32434F4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6FDD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5B765C6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11" w:type="dxa"/>
            <w:noWrap w:val="0"/>
            <w:vAlign w:val="center"/>
          </w:tcPr>
          <w:p w14:paraId="2B35DF3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07E9783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4365856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0D2BFC9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0BD3FA2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01" w:type="dxa"/>
            <w:noWrap w:val="0"/>
            <w:vAlign w:val="center"/>
          </w:tcPr>
          <w:p w14:paraId="744E6AC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662" w:type="dxa"/>
            <w:noWrap w:val="0"/>
            <w:vAlign w:val="center"/>
          </w:tcPr>
          <w:p w14:paraId="26042D7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7D7DA7D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21C4084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5247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06ACC58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11" w:type="dxa"/>
            <w:noWrap w:val="0"/>
            <w:vAlign w:val="center"/>
          </w:tcPr>
          <w:p w14:paraId="5FFE56E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6AB7B69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61095CF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2BEBCCE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44210C1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01" w:type="dxa"/>
            <w:noWrap w:val="0"/>
            <w:vAlign w:val="center"/>
          </w:tcPr>
          <w:p w14:paraId="3763E3D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662" w:type="dxa"/>
            <w:noWrap w:val="0"/>
            <w:vAlign w:val="center"/>
          </w:tcPr>
          <w:p w14:paraId="3A8B5FC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3864927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59790D9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50E5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11E8D44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11" w:type="dxa"/>
            <w:noWrap w:val="0"/>
            <w:vAlign w:val="center"/>
          </w:tcPr>
          <w:p w14:paraId="45F53EA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31B7C2C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1" w:type="dxa"/>
            <w:noWrap w:val="0"/>
            <w:vAlign w:val="center"/>
          </w:tcPr>
          <w:p w14:paraId="50DC765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0D06CCE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6688802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01" w:type="dxa"/>
            <w:noWrap w:val="0"/>
            <w:vAlign w:val="center"/>
          </w:tcPr>
          <w:p w14:paraId="6418C32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662" w:type="dxa"/>
            <w:noWrap w:val="0"/>
            <w:vAlign w:val="center"/>
          </w:tcPr>
          <w:p w14:paraId="1EAA7F0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331A39F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32" w:type="dxa"/>
            <w:noWrap w:val="0"/>
            <w:vAlign w:val="center"/>
          </w:tcPr>
          <w:p w14:paraId="15D6A77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bl>
    <w:p w14:paraId="051E67FA">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p>
    <w:p w14:paraId="02C3FC2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5A5B310B">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3AFD816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0BB3B871">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6B35A51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6AA519BF">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509A90E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476F7481">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17A7D28E">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467A860D">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0D84020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0B2E7405">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67176415">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7DB34CDF">
      <w:pPr>
        <w:pStyle w:val="23"/>
        <w:pageBreakBefore w:val="0"/>
        <w:kinsoku/>
        <w:wordWrap w:val="0"/>
        <w:overflowPunct/>
        <w:topLinePunct w:val="0"/>
        <w:bidi w:val="0"/>
        <w:ind w:firstLine="200"/>
        <w:outlineLvl w:val="9"/>
        <w:rPr>
          <w:rFonts w:hint="eastAsia" w:ascii="宋体" w:hAnsi="宋体" w:eastAsia="宋体" w:cs="宋体"/>
          <w:color w:val="auto"/>
          <w:highlight w:val="none"/>
        </w:rPr>
      </w:pPr>
    </w:p>
    <w:p w14:paraId="6510546A">
      <w:pPr>
        <w:rPr>
          <w:rFonts w:hint="eastAsia" w:ascii="宋体" w:hAnsi="宋体" w:eastAsia="宋体" w:cs="宋体"/>
          <w:color w:val="auto"/>
          <w:highlight w:val="none"/>
        </w:rPr>
      </w:pPr>
    </w:p>
    <w:p w14:paraId="796937D1">
      <w:pPr>
        <w:pStyle w:val="23"/>
        <w:rPr>
          <w:rFonts w:hint="eastAsia"/>
          <w:color w:val="auto"/>
          <w:highlight w:val="none"/>
        </w:rPr>
      </w:pPr>
    </w:p>
    <w:p w14:paraId="2619CB3A">
      <w:pPr>
        <w:pStyle w:val="23"/>
        <w:pageBreakBefore w:val="0"/>
        <w:kinsoku/>
        <w:wordWrap w:val="0"/>
        <w:overflowPunct/>
        <w:topLinePunct w:val="0"/>
        <w:bidi w:val="0"/>
        <w:ind w:firstLine="200"/>
        <w:outlineLvl w:val="9"/>
        <w:rPr>
          <w:rFonts w:hint="eastAsia" w:ascii="宋体" w:hAnsi="宋体" w:eastAsia="宋体" w:cs="宋体"/>
          <w:color w:val="auto"/>
          <w:highlight w:val="none"/>
        </w:rPr>
      </w:pPr>
    </w:p>
    <w:p w14:paraId="6EFDDB89">
      <w:pPr>
        <w:pStyle w:val="23"/>
        <w:pageBreakBefore w:val="0"/>
        <w:kinsoku/>
        <w:wordWrap w:val="0"/>
        <w:overflowPunct/>
        <w:topLinePunct w:val="0"/>
        <w:bidi w:val="0"/>
        <w:ind w:firstLine="200"/>
        <w:outlineLvl w:val="9"/>
        <w:rPr>
          <w:rFonts w:hint="eastAsia" w:ascii="宋体" w:hAnsi="宋体" w:eastAsia="宋体" w:cs="宋体"/>
          <w:color w:val="auto"/>
          <w:highlight w:val="none"/>
        </w:rPr>
      </w:pPr>
    </w:p>
    <w:p w14:paraId="5A565C0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727E8D67">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b/>
          <w:bCs/>
          <w:color w:val="auto"/>
          <w:kern w:val="0"/>
          <w:szCs w:val="21"/>
          <w:highlight w:val="none"/>
        </w:rPr>
      </w:pPr>
      <w:bookmarkStart w:id="2122" w:name="_Toc25141813"/>
      <w:bookmarkStart w:id="2123" w:name="_Toc228881252"/>
      <w:bookmarkStart w:id="2124" w:name="_Toc228591760"/>
      <w:bookmarkStart w:id="2125" w:name="_Toc26447501"/>
      <w:bookmarkStart w:id="2126" w:name="_Toc227492348"/>
      <w:bookmarkStart w:id="2127" w:name="_Toc13120"/>
      <w:bookmarkStart w:id="2128" w:name="_Toc214433992"/>
      <w:bookmarkStart w:id="2129" w:name="_Toc272772671"/>
      <w:bookmarkStart w:id="2130" w:name="_Toc431367141"/>
      <w:bookmarkStart w:id="2131" w:name="_Toc228589266"/>
      <w:bookmarkStart w:id="2132" w:name="_Toc459289947"/>
      <w:bookmarkStart w:id="2133" w:name="_Toc228591612"/>
      <w:bookmarkStart w:id="2134" w:name="_Toc434140865"/>
      <w:bookmarkStart w:id="2135" w:name="_Toc227657590"/>
      <w:bookmarkStart w:id="2136" w:name="_Toc228337201"/>
      <w:bookmarkStart w:id="2137" w:name="_Toc13794"/>
      <w:bookmarkStart w:id="2138" w:name="_Toc454031615"/>
      <w:bookmarkStart w:id="2139" w:name="_Toc453573352"/>
      <w:r>
        <w:rPr>
          <w:rFonts w:hint="eastAsia" w:ascii="宋体" w:hAnsi="宋体" w:eastAsia="宋体" w:cs="宋体"/>
          <w:b/>
          <w:bCs/>
          <w:color w:val="auto"/>
          <w:kern w:val="0"/>
          <w:szCs w:val="21"/>
          <w:highlight w:val="none"/>
        </w:rPr>
        <w:t>附表二：拟配备本项目的试验和检测仪器设备表</w:t>
      </w:r>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p>
    <w:p w14:paraId="6C03B5EF">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0515E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noWrap w:val="0"/>
            <w:vAlign w:val="center"/>
          </w:tcPr>
          <w:p w14:paraId="1E05AC1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序号</w:t>
            </w:r>
          </w:p>
        </w:tc>
        <w:tc>
          <w:tcPr>
            <w:tcW w:w="1227" w:type="dxa"/>
            <w:noWrap w:val="0"/>
            <w:vAlign w:val="center"/>
          </w:tcPr>
          <w:p w14:paraId="4BD4CBF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仪器设备</w:t>
            </w:r>
          </w:p>
          <w:p w14:paraId="438E4C5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名称</w:t>
            </w:r>
          </w:p>
        </w:tc>
        <w:tc>
          <w:tcPr>
            <w:tcW w:w="1026" w:type="dxa"/>
            <w:noWrap w:val="0"/>
            <w:vAlign w:val="center"/>
          </w:tcPr>
          <w:p w14:paraId="1B7787F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型号</w:t>
            </w:r>
          </w:p>
          <w:p w14:paraId="0EC77D7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规格</w:t>
            </w:r>
          </w:p>
        </w:tc>
        <w:tc>
          <w:tcPr>
            <w:tcW w:w="1026" w:type="dxa"/>
            <w:noWrap w:val="0"/>
            <w:vAlign w:val="center"/>
          </w:tcPr>
          <w:p w14:paraId="03FEA74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数量</w:t>
            </w:r>
          </w:p>
        </w:tc>
        <w:tc>
          <w:tcPr>
            <w:tcW w:w="1025" w:type="dxa"/>
            <w:noWrap w:val="0"/>
            <w:vAlign w:val="center"/>
          </w:tcPr>
          <w:p w14:paraId="63A700A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国别</w:t>
            </w:r>
          </w:p>
          <w:p w14:paraId="7D56D1B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产地</w:t>
            </w:r>
          </w:p>
        </w:tc>
        <w:tc>
          <w:tcPr>
            <w:tcW w:w="884" w:type="dxa"/>
            <w:noWrap w:val="0"/>
            <w:vAlign w:val="center"/>
          </w:tcPr>
          <w:p w14:paraId="041205D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制造</w:t>
            </w:r>
          </w:p>
          <w:p w14:paraId="35624EE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年份</w:t>
            </w:r>
          </w:p>
        </w:tc>
        <w:tc>
          <w:tcPr>
            <w:tcW w:w="1166" w:type="dxa"/>
            <w:noWrap w:val="0"/>
            <w:vAlign w:val="center"/>
          </w:tcPr>
          <w:p w14:paraId="3ABD87D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已使用台</w:t>
            </w:r>
          </w:p>
          <w:p w14:paraId="2E6F226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时数</w:t>
            </w:r>
          </w:p>
        </w:tc>
        <w:tc>
          <w:tcPr>
            <w:tcW w:w="1026" w:type="dxa"/>
            <w:noWrap w:val="0"/>
            <w:vAlign w:val="center"/>
          </w:tcPr>
          <w:p w14:paraId="6CB8ACB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用途</w:t>
            </w:r>
          </w:p>
        </w:tc>
        <w:tc>
          <w:tcPr>
            <w:tcW w:w="1026" w:type="dxa"/>
            <w:noWrap w:val="0"/>
            <w:vAlign w:val="center"/>
          </w:tcPr>
          <w:p w14:paraId="778989B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备注</w:t>
            </w:r>
          </w:p>
        </w:tc>
      </w:tr>
      <w:tr w14:paraId="786E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noWrap w:val="0"/>
            <w:vAlign w:val="center"/>
          </w:tcPr>
          <w:p w14:paraId="0B86D3A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27" w:type="dxa"/>
            <w:noWrap w:val="0"/>
            <w:vAlign w:val="center"/>
          </w:tcPr>
          <w:p w14:paraId="2B64B7E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6065083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3438313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5" w:type="dxa"/>
            <w:noWrap w:val="0"/>
            <w:vAlign w:val="center"/>
          </w:tcPr>
          <w:p w14:paraId="1758728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884" w:type="dxa"/>
            <w:noWrap w:val="0"/>
            <w:vAlign w:val="center"/>
          </w:tcPr>
          <w:p w14:paraId="3546762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6" w:type="dxa"/>
            <w:noWrap w:val="0"/>
            <w:vAlign w:val="center"/>
          </w:tcPr>
          <w:p w14:paraId="1AB9909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2CA0E59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13DEE80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6DD2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4D96B01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27" w:type="dxa"/>
            <w:noWrap w:val="0"/>
            <w:vAlign w:val="center"/>
          </w:tcPr>
          <w:p w14:paraId="5E6CCD1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72222D5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0315930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5" w:type="dxa"/>
            <w:noWrap w:val="0"/>
            <w:vAlign w:val="center"/>
          </w:tcPr>
          <w:p w14:paraId="7AEEA2B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884" w:type="dxa"/>
            <w:noWrap w:val="0"/>
            <w:vAlign w:val="center"/>
          </w:tcPr>
          <w:p w14:paraId="2067EC1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6" w:type="dxa"/>
            <w:noWrap w:val="0"/>
            <w:vAlign w:val="center"/>
          </w:tcPr>
          <w:p w14:paraId="76DA8B9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7B57D0F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625C5B9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77B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698161A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27" w:type="dxa"/>
            <w:noWrap w:val="0"/>
            <w:vAlign w:val="center"/>
          </w:tcPr>
          <w:p w14:paraId="2497DEA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6F10FE9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53DD91B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5" w:type="dxa"/>
            <w:noWrap w:val="0"/>
            <w:vAlign w:val="center"/>
          </w:tcPr>
          <w:p w14:paraId="1E8FDF7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884" w:type="dxa"/>
            <w:noWrap w:val="0"/>
            <w:vAlign w:val="center"/>
          </w:tcPr>
          <w:p w14:paraId="5C61DDD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6" w:type="dxa"/>
            <w:noWrap w:val="0"/>
            <w:vAlign w:val="center"/>
          </w:tcPr>
          <w:p w14:paraId="34DE0DA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2FAD912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554B37B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6D63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0AC09B0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227" w:type="dxa"/>
            <w:noWrap w:val="0"/>
            <w:vAlign w:val="center"/>
          </w:tcPr>
          <w:p w14:paraId="2D99A09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76D31AE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50E3A1D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5" w:type="dxa"/>
            <w:noWrap w:val="0"/>
            <w:vAlign w:val="center"/>
          </w:tcPr>
          <w:p w14:paraId="09A5B1F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884" w:type="dxa"/>
            <w:noWrap w:val="0"/>
            <w:vAlign w:val="center"/>
          </w:tcPr>
          <w:p w14:paraId="69E0447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6" w:type="dxa"/>
            <w:noWrap w:val="0"/>
            <w:vAlign w:val="center"/>
          </w:tcPr>
          <w:p w14:paraId="130ACD5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4A9B649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26" w:type="dxa"/>
            <w:noWrap w:val="0"/>
            <w:vAlign w:val="center"/>
          </w:tcPr>
          <w:p w14:paraId="2461709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bl>
    <w:p w14:paraId="7808413F">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p>
    <w:p w14:paraId="13D6B42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p w14:paraId="1545A6FA">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18"/>
          <w:highlight w:val="none"/>
        </w:rPr>
      </w:pPr>
    </w:p>
    <w:p w14:paraId="108D87CA">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bookmarkStart w:id="2140" w:name="_Toc9600"/>
    </w:p>
    <w:p w14:paraId="029AF4B4">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0D35677">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B13E265">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C83CF0A">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1BE3C880">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A169189">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D91FC7D">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1B5D68FC">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D3361A6">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0EF9863">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D107C57">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7B65739">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2AA90E5">
      <w:pPr>
        <w:pStyle w:val="23"/>
        <w:pageBreakBefore w:val="0"/>
        <w:kinsoku/>
        <w:wordWrap w:val="0"/>
        <w:overflowPunct/>
        <w:topLinePunct w:val="0"/>
        <w:bidi w:val="0"/>
        <w:ind w:firstLine="280"/>
        <w:outlineLvl w:val="9"/>
        <w:rPr>
          <w:rFonts w:hint="eastAsia" w:ascii="宋体" w:hAnsi="宋体" w:eastAsia="宋体" w:cs="宋体"/>
          <w:color w:val="auto"/>
          <w:sz w:val="28"/>
          <w:highlight w:val="none"/>
        </w:rPr>
      </w:pPr>
    </w:p>
    <w:p w14:paraId="556D59D8">
      <w:pPr>
        <w:pStyle w:val="23"/>
        <w:pageBreakBefore w:val="0"/>
        <w:kinsoku/>
        <w:wordWrap w:val="0"/>
        <w:overflowPunct/>
        <w:topLinePunct w:val="0"/>
        <w:bidi w:val="0"/>
        <w:ind w:firstLine="280"/>
        <w:outlineLvl w:val="9"/>
        <w:rPr>
          <w:rFonts w:hint="eastAsia" w:ascii="宋体" w:hAnsi="宋体" w:eastAsia="宋体" w:cs="宋体"/>
          <w:color w:val="auto"/>
          <w:sz w:val="28"/>
          <w:highlight w:val="none"/>
        </w:rPr>
      </w:pPr>
    </w:p>
    <w:p w14:paraId="1CC782CB">
      <w:pPr>
        <w:pStyle w:val="23"/>
        <w:pageBreakBefore w:val="0"/>
        <w:kinsoku/>
        <w:wordWrap w:val="0"/>
        <w:overflowPunct/>
        <w:topLinePunct w:val="0"/>
        <w:bidi w:val="0"/>
        <w:ind w:firstLine="280"/>
        <w:outlineLvl w:val="9"/>
        <w:rPr>
          <w:rFonts w:hint="eastAsia" w:ascii="宋体" w:hAnsi="宋体" w:eastAsia="宋体" w:cs="宋体"/>
          <w:color w:val="auto"/>
          <w:sz w:val="28"/>
          <w:highlight w:val="none"/>
        </w:rPr>
      </w:pPr>
    </w:p>
    <w:p w14:paraId="06D60CD0">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CB38F6C">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b/>
          <w:bCs/>
          <w:color w:val="auto"/>
          <w:kern w:val="0"/>
          <w:szCs w:val="21"/>
          <w:highlight w:val="none"/>
        </w:rPr>
      </w:pPr>
      <w:bookmarkStart w:id="2141" w:name="_Toc26447502"/>
      <w:bookmarkStart w:id="2142" w:name="_Toc18402"/>
      <w:bookmarkStart w:id="2143" w:name="_Toc25141814"/>
      <w:r>
        <w:rPr>
          <w:rFonts w:hint="eastAsia" w:ascii="宋体" w:hAnsi="宋体" w:eastAsia="宋体" w:cs="宋体"/>
          <w:b/>
          <w:bCs/>
          <w:color w:val="auto"/>
          <w:kern w:val="0"/>
          <w:szCs w:val="21"/>
          <w:highlight w:val="none"/>
        </w:rPr>
        <w:t>附表三：施工进度计划表</w:t>
      </w:r>
      <w:bookmarkEnd w:id="2140"/>
      <w:bookmarkEnd w:id="2141"/>
      <w:bookmarkEnd w:id="2142"/>
      <w:bookmarkEnd w:id="2143"/>
    </w:p>
    <w:p w14:paraId="1E24B9DA">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p>
    <w:p w14:paraId="6AA4B1A9">
      <w:pPr>
        <w:pageBreakBefore w:val="0"/>
        <w:kinsoku/>
        <w:wordWrap w:val="0"/>
        <w:overflowPunct/>
        <w:topLinePunct w:val="0"/>
        <w:autoSpaceDE w:val="0"/>
        <w:autoSpaceDN w:val="0"/>
        <w:bidi w:val="0"/>
        <w:adjustRightInd w:val="0"/>
        <w:spacing w:line="400" w:lineRule="exact"/>
        <w:ind w:right="-34" w:rightChars="-16" w:firstLine="718" w:firstLineChars="342"/>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 投标人应递交施工进度网络图或施工进度表。</w:t>
      </w:r>
    </w:p>
    <w:p w14:paraId="646A7C1D">
      <w:pPr>
        <w:pageBreakBefore w:val="0"/>
        <w:kinsoku/>
        <w:wordWrap w:val="0"/>
        <w:overflowPunct/>
        <w:topLinePunct w:val="0"/>
        <w:autoSpaceDE w:val="0"/>
        <w:autoSpaceDN w:val="0"/>
        <w:bidi w:val="0"/>
        <w:adjustRightInd w:val="0"/>
        <w:spacing w:line="400" w:lineRule="exact"/>
        <w:ind w:right="-34" w:rightChars="-16" w:firstLine="718" w:firstLineChars="342"/>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 施工进度表可采用网络图</w:t>
      </w:r>
      <w:r>
        <w:rPr>
          <w:rFonts w:hint="eastAsia" w:ascii="宋体" w:hAnsi="宋体" w:eastAsia="宋体" w:cs="宋体"/>
          <w:color w:val="auto"/>
          <w:kern w:val="0"/>
          <w:szCs w:val="21"/>
          <w:highlight w:val="none"/>
          <w:lang w:val="en-US" w:eastAsia="zh-CN"/>
        </w:rPr>
        <w:t>和</w:t>
      </w:r>
      <w:r>
        <w:rPr>
          <w:rFonts w:hint="eastAsia" w:ascii="宋体" w:hAnsi="宋体" w:eastAsia="宋体" w:cs="宋体"/>
          <w:color w:val="auto"/>
          <w:kern w:val="0"/>
          <w:szCs w:val="21"/>
          <w:highlight w:val="none"/>
        </w:rPr>
        <w:t>横道图表示。</w:t>
      </w:r>
    </w:p>
    <w:p w14:paraId="08ABAFE6">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7611DCC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710E1DF5">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69C4F2F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0622BD3F">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2C3C8B7A">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2452309B">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6F7BA631">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7966E21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2381FB5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538CDB7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64C80262">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4B0E534F">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25DA84BD">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44030C0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4C6C28B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1AC633E4">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Cs w:val="21"/>
          <w:highlight w:val="none"/>
        </w:rPr>
      </w:pPr>
    </w:p>
    <w:p w14:paraId="0BD9D1FE">
      <w:pPr>
        <w:pageBreakBefore w:val="0"/>
        <w:kinsoku/>
        <w:wordWrap w:val="0"/>
        <w:overflowPunct/>
        <w:topLinePunct w:val="0"/>
        <w:bidi w:val="0"/>
        <w:spacing w:before="120" w:beforeLines="50" w:after="120" w:afterLines="50" w:line="420" w:lineRule="exact"/>
        <w:outlineLvl w:val="9"/>
        <w:rPr>
          <w:rFonts w:hint="eastAsia" w:ascii="宋体" w:hAnsi="宋体" w:eastAsia="宋体" w:cs="宋体"/>
          <w:color w:val="auto"/>
          <w:sz w:val="24"/>
          <w:highlight w:val="none"/>
        </w:rPr>
      </w:pPr>
    </w:p>
    <w:p w14:paraId="5D4561B4">
      <w:pPr>
        <w:pageBreakBefore w:val="0"/>
        <w:kinsoku/>
        <w:wordWrap w:val="0"/>
        <w:overflowPunct/>
        <w:topLinePunct w:val="0"/>
        <w:bidi w:val="0"/>
        <w:spacing w:before="120" w:beforeLines="50" w:after="120" w:afterLines="50" w:line="420" w:lineRule="exact"/>
        <w:outlineLvl w:val="9"/>
        <w:rPr>
          <w:rFonts w:hint="eastAsia" w:ascii="宋体" w:hAnsi="宋体" w:eastAsia="宋体" w:cs="宋体"/>
          <w:color w:val="auto"/>
          <w:sz w:val="24"/>
          <w:highlight w:val="none"/>
        </w:rPr>
      </w:pPr>
    </w:p>
    <w:p w14:paraId="0ADF6C7A">
      <w:pPr>
        <w:pageBreakBefore w:val="0"/>
        <w:kinsoku/>
        <w:wordWrap w:val="0"/>
        <w:overflowPunct/>
        <w:topLinePunct w:val="0"/>
        <w:bidi w:val="0"/>
        <w:spacing w:before="120" w:beforeLines="50" w:after="120" w:afterLines="50" w:line="420" w:lineRule="exact"/>
        <w:outlineLvl w:val="9"/>
        <w:rPr>
          <w:rFonts w:hint="eastAsia" w:ascii="宋体" w:hAnsi="宋体" w:eastAsia="宋体" w:cs="宋体"/>
          <w:color w:val="auto"/>
          <w:sz w:val="24"/>
          <w:highlight w:val="none"/>
        </w:rPr>
      </w:pPr>
    </w:p>
    <w:p w14:paraId="419AF986">
      <w:pPr>
        <w:pageBreakBefore w:val="0"/>
        <w:kinsoku/>
        <w:wordWrap w:val="0"/>
        <w:overflowPunct/>
        <w:topLinePunct w:val="0"/>
        <w:bidi w:val="0"/>
        <w:spacing w:before="120" w:beforeLines="50" w:after="120" w:afterLines="50" w:line="420" w:lineRule="exact"/>
        <w:outlineLvl w:val="9"/>
        <w:rPr>
          <w:rFonts w:hint="eastAsia" w:ascii="宋体" w:hAnsi="宋体" w:eastAsia="宋体" w:cs="宋体"/>
          <w:color w:val="auto"/>
          <w:sz w:val="24"/>
          <w:highlight w:val="none"/>
        </w:rPr>
      </w:pPr>
    </w:p>
    <w:p w14:paraId="3A7E575B">
      <w:pPr>
        <w:pageBreakBefore w:val="0"/>
        <w:kinsoku/>
        <w:wordWrap w:val="0"/>
        <w:overflowPunct/>
        <w:topLinePunct w:val="0"/>
        <w:bidi w:val="0"/>
        <w:spacing w:before="120" w:beforeLines="50" w:after="120" w:afterLines="50" w:line="420" w:lineRule="exact"/>
        <w:outlineLvl w:val="9"/>
        <w:rPr>
          <w:rFonts w:hint="eastAsia" w:ascii="宋体" w:hAnsi="宋体" w:eastAsia="宋体" w:cs="宋体"/>
          <w:color w:val="auto"/>
          <w:sz w:val="24"/>
          <w:highlight w:val="none"/>
        </w:rPr>
      </w:pPr>
    </w:p>
    <w:p w14:paraId="0FAFEB76">
      <w:pPr>
        <w:pageBreakBefore w:val="0"/>
        <w:kinsoku/>
        <w:wordWrap w:val="0"/>
        <w:overflowPunct/>
        <w:topLinePunct w:val="0"/>
        <w:bidi w:val="0"/>
        <w:spacing w:before="120" w:beforeLines="50" w:after="120" w:afterLines="50" w:line="420" w:lineRule="exact"/>
        <w:outlineLvl w:val="9"/>
        <w:rPr>
          <w:rFonts w:hint="eastAsia" w:ascii="宋体" w:hAnsi="宋体" w:eastAsia="宋体" w:cs="宋体"/>
          <w:color w:val="auto"/>
          <w:sz w:val="24"/>
          <w:highlight w:val="none"/>
        </w:rPr>
      </w:pPr>
    </w:p>
    <w:p w14:paraId="2644EE89">
      <w:pPr>
        <w:pageBreakBefore w:val="0"/>
        <w:kinsoku/>
        <w:wordWrap w:val="0"/>
        <w:overflowPunct/>
        <w:topLinePunct w:val="0"/>
        <w:bidi w:val="0"/>
        <w:spacing w:before="120" w:beforeLines="50" w:after="120" w:afterLines="50" w:line="420" w:lineRule="exact"/>
        <w:outlineLvl w:val="9"/>
        <w:rPr>
          <w:rFonts w:hint="eastAsia" w:ascii="宋体" w:hAnsi="宋体" w:eastAsia="宋体" w:cs="宋体"/>
          <w:color w:val="auto"/>
          <w:sz w:val="24"/>
          <w:highlight w:val="none"/>
        </w:rPr>
      </w:pPr>
    </w:p>
    <w:p w14:paraId="223B854D">
      <w:pPr>
        <w:pStyle w:val="23"/>
        <w:pageBreakBefore w:val="0"/>
        <w:kinsoku/>
        <w:wordWrap w:val="0"/>
        <w:overflowPunct/>
        <w:topLinePunct w:val="0"/>
        <w:bidi w:val="0"/>
        <w:ind w:firstLine="240"/>
        <w:outlineLvl w:val="9"/>
        <w:rPr>
          <w:rFonts w:hint="eastAsia" w:ascii="宋体" w:hAnsi="宋体" w:eastAsia="宋体" w:cs="宋体"/>
          <w:color w:val="auto"/>
          <w:sz w:val="24"/>
          <w:highlight w:val="none"/>
        </w:rPr>
      </w:pPr>
    </w:p>
    <w:p w14:paraId="15D48BD6">
      <w:pPr>
        <w:pStyle w:val="23"/>
        <w:pageBreakBefore w:val="0"/>
        <w:kinsoku/>
        <w:wordWrap w:val="0"/>
        <w:overflowPunct/>
        <w:topLinePunct w:val="0"/>
        <w:bidi w:val="0"/>
        <w:ind w:firstLine="240"/>
        <w:outlineLvl w:val="9"/>
        <w:rPr>
          <w:rFonts w:hint="eastAsia" w:ascii="宋体" w:hAnsi="宋体" w:eastAsia="宋体" w:cs="宋体"/>
          <w:color w:val="auto"/>
          <w:sz w:val="24"/>
          <w:highlight w:val="none"/>
        </w:rPr>
      </w:pPr>
    </w:p>
    <w:p w14:paraId="12B6ED60">
      <w:pPr>
        <w:pStyle w:val="23"/>
        <w:pageBreakBefore w:val="0"/>
        <w:kinsoku/>
        <w:wordWrap w:val="0"/>
        <w:overflowPunct/>
        <w:topLinePunct w:val="0"/>
        <w:bidi w:val="0"/>
        <w:ind w:firstLine="240"/>
        <w:outlineLvl w:val="9"/>
        <w:rPr>
          <w:rFonts w:hint="eastAsia" w:ascii="宋体" w:hAnsi="宋体" w:eastAsia="宋体" w:cs="宋体"/>
          <w:color w:val="auto"/>
          <w:sz w:val="24"/>
          <w:highlight w:val="none"/>
        </w:rPr>
      </w:pPr>
    </w:p>
    <w:p w14:paraId="37FA77D4">
      <w:pPr>
        <w:pageBreakBefore w:val="0"/>
        <w:kinsoku/>
        <w:wordWrap w:val="0"/>
        <w:overflowPunct/>
        <w:topLinePunct w:val="0"/>
        <w:bidi w:val="0"/>
        <w:spacing w:before="120" w:beforeLines="50" w:after="120" w:afterLines="50" w:line="420" w:lineRule="exact"/>
        <w:outlineLvl w:val="9"/>
        <w:rPr>
          <w:rFonts w:hint="eastAsia" w:ascii="宋体" w:hAnsi="宋体" w:eastAsia="宋体" w:cs="宋体"/>
          <w:b/>
          <w:color w:val="auto"/>
          <w:sz w:val="28"/>
          <w:szCs w:val="28"/>
          <w:highlight w:val="none"/>
        </w:rPr>
      </w:pPr>
      <w:bookmarkStart w:id="2144" w:name="_Toc29605"/>
      <w:bookmarkStart w:id="2145" w:name="_Toc26447503"/>
      <w:r>
        <w:rPr>
          <w:rFonts w:hint="eastAsia" w:ascii="宋体" w:hAnsi="宋体" w:eastAsia="宋体" w:cs="宋体"/>
          <w:b/>
          <w:bCs/>
          <w:color w:val="auto"/>
          <w:kern w:val="0"/>
          <w:szCs w:val="21"/>
          <w:highlight w:val="none"/>
        </w:rPr>
        <w:t>附表四：劳动力计划表</w:t>
      </w:r>
      <w:bookmarkEnd w:id="2144"/>
      <w:bookmarkEnd w:id="2145"/>
    </w:p>
    <w:p w14:paraId="5DCD77C2">
      <w:pPr>
        <w:pageBreakBefore w:val="0"/>
        <w:kinsoku/>
        <w:wordWrap w:val="0"/>
        <w:overflowPunct/>
        <w:topLinePunct w:val="0"/>
        <w:bidi w:val="0"/>
        <w:spacing w:line="420" w:lineRule="exact"/>
        <w:jc w:val="righ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单位：人   </w:t>
      </w:r>
    </w:p>
    <w:tbl>
      <w:tblPr>
        <w:tblStyle w:val="4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6FD1B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3DC81BE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工种</w:t>
            </w:r>
          </w:p>
        </w:tc>
        <w:tc>
          <w:tcPr>
            <w:tcW w:w="7796" w:type="dxa"/>
            <w:gridSpan w:val="7"/>
            <w:noWrap w:val="0"/>
            <w:vAlign w:val="center"/>
          </w:tcPr>
          <w:p w14:paraId="4DD54B7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按工程施工阶段投入劳动力情况</w:t>
            </w:r>
          </w:p>
        </w:tc>
      </w:tr>
      <w:tr w14:paraId="1874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128159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755AD08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B6703A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A860CD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EC270D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808A05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A10534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B48084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6210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CD443C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4404A33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7297F8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DC4AFC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159FB4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78FD96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892A7C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1EB42A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762DB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0305AD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0574B10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03F1D8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D8985F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C7B49E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70B16B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93DE4F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0481DE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1660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675F97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5440946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756176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032429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D76F02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0176FF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9D3EB5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FE46ED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7246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2D38DD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309D574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64BCB8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DEB234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C935C1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90094A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40553C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0CA2F9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7047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ACF3F0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5931C7D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EADA6C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D70932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3404D4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F7948E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5D7D75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FC01AA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1D60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FF76DE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67CD6B0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591AC4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1343B1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5E76F1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7C03D9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FEEA1B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78C6C9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37C8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2BB3E0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7105A8F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7FD0E1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277A28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A2928B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E00FE3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79D357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19F234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080B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C720FE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421B168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C68195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B2568F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FCC314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B655CC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2C01C3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85EE5D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5603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7948D1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47A407B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0B3166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8FBFE6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5CC794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C7F2BC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BDFCAC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6A6CC6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2C43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36551B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54B34F9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BB9B7F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B3858F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6F2678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590515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38837C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517730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5D08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B529D5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29342A1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2C1935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3060ED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218CCB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7DAE69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675495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05F5DE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4ABF6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73A8EB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17E23EC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AE825B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64C8B5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BA2A01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C6E014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14738B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7BA4E9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6927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6E6348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46E7ED8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23FC51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35A7B4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48C6DC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A1BA89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FBBF61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AC008F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57FE5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74CA73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207CE07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CDAA82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2EDCFA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613A16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FB9DB9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71C795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6EB717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7B91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333423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7DB90FE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C1CDCE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08541D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0BA575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799685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A5E242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B8D4EE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3F4F3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FB2F2A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413D69A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D0A0C4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7EEDFD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2B0CD2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CAAC79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535DB5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F1B3DC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45F7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7B3C87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4B1BC3F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251888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5B450A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DC76C9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9810E4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246F00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A8A19C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5931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B5DBA4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4A15952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8B37E2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44535B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572026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BF164C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C10513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881FB4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30AB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0E72A6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12B79D9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361065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9905A2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429DA6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14A9FF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33FC32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5B47F6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10BA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8442D0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09C74966">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3BCBCC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50F0AD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F5E937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567429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01098F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107DCE7">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3D4A1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FE035A0">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7191872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DE25AC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F4AB58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9B3004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C32748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BD9F33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E38BC2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749D9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0A2F8C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1648338A">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E41AC8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147AFE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75F0B4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45F5B5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5F3CBF8">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C95F11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6A638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584347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29313B62">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32972E9F">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252402C9">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5273B39E">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28FFC8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461D29F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0BF8E25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r w14:paraId="058FE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61E7DD1">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418" w:type="dxa"/>
            <w:noWrap w:val="0"/>
            <w:vAlign w:val="center"/>
          </w:tcPr>
          <w:p w14:paraId="71BA2C8C">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6409B9E4">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72FC575">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F18D24B">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F5AA03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18D9A61D">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c>
          <w:tcPr>
            <w:tcW w:w="1063" w:type="dxa"/>
            <w:noWrap w:val="0"/>
            <w:vAlign w:val="center"/>
          </w:tcPr>
          <w:p w14:paraId="72778F33">
            <w:pPr>
              <w:keepNext w:val="0"/>
              <w:keepLines w:val="0"/>
              <w:pageBreakBefore w:val="0"/>
              <w:suppressLineNumbers w:val="0"/>
              <w:kinsoku/>
              <w:wordWrap w:val="0"/>
              <w:overflowPunct/>
              <w:topLinePunct w:val="0"/>
              <w:bidi w:val="0"/>
              <w:spacing w:before="0" w:beforeAutospacing="0" w:after="0" w:afterAutospacing="0"/>
              <w:ind w:left="0" w:right="0"/>
              <w:jc w:val="center"/>
              <w:outlineLvl w:val="9"/>
              <w:rPr>
                <w:rFonts w:hint="eastAsia" w:ascii="宋体" w:hAnsi="宋体" w:eastAsia="宋体" w:cs="宋体"/>
                <w:color w:val="auto"/>
                <w:szCs w:val="21"/>
                <w:highlight w:val="none"/>
              </w:rPr>
            </w:pPr>
          </w:p>
        </w:tc>
      </w:tr>
    </w:tbl>
    <w:p w14:paraId="4303CD15">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Cs w:val="21"/>
          <w:highlight w:val="none"/>
        </w:rPr>
      </w:pPr>
      <w:bookmarkStart w:id="2146" w:name="_Toc272772674"/>
      <w:bookmarkStart w:id="2147" w:name="_Toc453573355"/>
      <w:bookmarkStart w:id="2148" w:name="_Toc454031618"/>
      <w:bookmarkStart w:id="2149" w:name="_Toc228337204"/>
      <w:bookmarkStart w:id="2150" w:name="_Toc214433995"/>
      <w:bookmarkStart w:id="2151" w:name="_Toc27419"/>
      <w:bookmarkStart w:id="2152" w:name="_Toc26447504"/>
      <w:bookmarkStart w:id="2153" w:name="_Toc434140868"/>
      <w:bookmarkStart w:id="2154" w:name="_Toc228881255"/>
      <w:bookmarkStart w:id="2155" w:name="_Toc228591763"/>
      <w:bookmarkStart w:id="2156" w:name="_Toc228591615"/>
      <w:bookmarkStart w:id="2157" w:name="_Toc228589269"/>
      <w:bookmarkStart w:id="2158" w:name="_Toc431367144"/>
      <w:bookmarkStart w:id="2159" w:name="_Toc227657593"/>
      <w:bookmarkStart w:id="2160" w:name="_Toc227492351"/>
      <w:bookmarkStart w:id="2161" w:name="_Toc459289950"/>
    </w:p>
    <w:p w14:paraId="083F84D9">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Cs w:val="21"/>
          <w:highlight w:val="none"/>
        </w:rPr>
      </w:pPr>
    </w:p>
    <w:p w14:paraId="6D401611">
      <w:pPr>
        <w:pStyle w:val="87"/>
        <w:pageBreakBefore w:val="0"/>
        <w:kinsoku/>
        <w:wordWrap w:val="0"/>
        <w:overflowPunct/>
        <w:topLinePunct w:val="0"/>
        <w:bidi w:val="0"/>
        <w:outlineLvl w:val="9"/>
        <w:rPr>
          <w:rFonts w:hint="eastAsia" w:ascii="宋体" w:hAnsi="宋体" w:eastAsia="宋体" w:cs="宋体"/>
          <w:color w:val="auto"/>
          <w:highlight w:val="none"/>
        </w:rPr>
      </w:pPr>
    </w:p>
    <w:p w14:paraId="216DE5FD">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bookmarkStart w:id="2162" w:name="_Toc4551"/>
      <w:r>
        <w:rPr>
          <w:rFonts w:hint="eastAsia" w:ascii="宋体" w:hAnsi="宋体" w:eastAsia="宋体" w:cs="宋体"/>
          <w:b/>
          <w:bCs/>
          <w:color w:val="auto"/>
          <w:kern w:val="0"/>
          <w:szCs w:val="21"/>
          <w:highlight w:val="none"/>
        </w:rPr>
        <w:t>附表五：施工总平面图</w:t>
      </w:r>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p>
    <w:p w14:paraId="44CFE1D1">
      <w:pPr>
        <w:pageBreakBefore w:val="0"/>
        <w:kinsoku/>
        <w:wordWrap w:val="0"/>
        <w:overflowPunct/>
        <w:topLinePunct w:val="0"/>
        <w:autoSpaceDE w:val="0"/>
        <w:autoSpaceDN w:val="0"/>
        <w:bidi w:val="0"/>
        <w:adjustRightInd w:val="0"/>
        <w:spacing w:before="240" w:beforeLines="100" w:line="400" w:lineRule="exact"/>
        <w:ind w:right="-34" w:rightChars="-16"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投标人应递交一份施工总平面图，绘出现场临时设施布置图表并附文字说明，说明临时设施、加工车间、现场办公、设备及仓储、供电、供水、卫生、生活、道路、消防等设施的情况和布置。</w:t>
      </w:r>
    </w:p>
    <w:p w14:paraId="70222EC5">
      <w:pPr>
        <w:pageBreakBefore w:val="0"/>
        <w:kinsoku/>
        <w:wordWrap w:val="0"/>
        <w:overflowPunct/>
        <w:topLinePunct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32"/>
          <w:szCs w:val="21"/>
          <w:highlight w:val="none"/>
        </w:rPr>
      </w:pPr>
      <w:r>
        <w:rPr>
          <w:rFonts w:hint="eastAsia" w:ascii="宋体" w:hAnsi="宋体" w:eastAsia="宋体" w:cs="宋体"/>
          <w:color w:val="auto"/>
          <w:kern w:val="0"/>
          <w:szCs w:val="21"/>
          <w:highlight w:val="none"/>
        </w:rPr>
        <w:br w:type="page"/>
      </w:r>
      <w:bookmarkStart w:id="2163" w:name="_Toc7095"/>
      <w:bookmarkStart w:id="2164" w:name="_Toc16144"/>
      <w:bookmarkStart w:id="2165" w:name="_Toc500864547"/>
      <w:bookmarkStart w:id="2166" w:name="_Toc1713"/>
      <w:bookmarkStart w:id="2167" w:name="_Toc414"/>
      <w:r>
        <w:rPr>
          <w:rFonts w:hint="eastAsia" w:ascii="宋体" w:hAnsi="宋体" w:eastAsia="宋体" w:cs="宋体"/>
          <w:b/>
          <w:color w:val="auto"/>
          <w:kern w:val="0"/>
          <w:sz w:val="32"/>
          <w:szCs w:val="21"/>
          <w:highlight w:val="none"/>
        </w:rPr>
        <w:t>七、技术标准和要求</w:t>
      </w:r>
      <w:bookmarkEnd w:id="2163"/>
      <w:bookmarkEnd w:id="2164"/>
      <w:bookmarkEnd w:id="2165"/>
      <w:bookmarkEnd w:id="2166"/>
      <w:bookmarkEnd w:id="2167"/>
    </w:p>
    <w:p w14:paraId="223377FA">
      <w:pPr>
        <w:pageBreakBefore w:val="0"/>
        <w:kinsoku/>
        <w:wordWrap w:val="0"/>
        <w:overflowPunct/>
        <w:topLinePunct w:val="0"/>
        <w:autoSpaceDE w:val="0"/>
        <w:autoSpaceDN w:val="0"/>
        <w:bidi w:val="0"/>
        <w:adjustRightInd w:val="0"/>
        <w:spacing w:before="240" w:beforeLines="100" w:line="400" w:lineRule="exact"/>
        <w:ind w:right="-34" w:rightChars="-16" w:firstLine="420" w:firstLineChars="200"/>
        <w:outlineLvl w:val="9"/>
        <w:rPr>
          <w:rFonts w:hint="eastAsia" w:ascii="宋体" w:hAnsi="宋体" w:eastAsia="宋体" w:cs="宋体"/>
          <w:color w:val="auto"/>
          <w:kern w:val="0"/>
          <w:szCs w:val="21"/>
          <w:highlight w:val="none"/>
        </w:rPr>
      </w:pPr>
      <w:bookmarkStart w:id="2168" w:name="_Toc499891704"/>
      <w:bookmarkStart w:id="2169" w:name="_Toc454031619"/>
      <w:bookmarkStart w:id="2170" w:name="_Toc7250"/>
      <w:bookmarkStart w:id="2171" w:name="_Toc368902869"/>
      <w:bookmarkStart w:id="2172" w:name="_Toc372286579"/>
      <w:bookmarkStart w:id="2173" w:name="_Toc418520827"/>
      <w:bookmarkStart w:id="2174" w:name="_Toc21689"/>
      <w:bookmarkStart w:id="2175" w:name="_Toc436583943"/>
      <w:bookmarkStart w:id="2176" w:name="_Toc21640"/>
      <w:bookmarkStart w:id="2177" w:name="_Toc369620623"/>
      <w:bookmarkStart w:id="2178" w:name="_Toc459289952"/>
      <w:bookmarkStart w:id="2179" w:name="_Toc16949"/>
      <w:bookmarkStart w:id="2180" w:name="_Toc500864548"/>
      <w:bookmarkStart w:id="2181" w:name="_Toc499892895"/>
      <w:bookmarkStart w:id="2182" w:name="_Toc463776623"/>
      <w:bookmarkStart w:id="2183" w:name="_Toc453573356"/>
      <w:bookmarkStart w:id="2184" w:name="_Toc500865938"/>
      <w:r>
        <w:rPr>
          <w:rFonts w:hint="eastAsia" w:ascii="宋体" w:hAnsi="宋体" w:eastAsia="宋体" w:cs="宋体"/>
          <w:color w:val="auto"/>
          <w:kern w:val="0"/>
          <w:szCs w:val="21"/>
          <w:highlight w:val="none"/>
        </w:rPr>
        <w:t>投标人在本招标工程项目中的工程建设标准、规范等技术要求应符合招标文件“第</w:t>
      </w:r>
      <w:r>
        <w:rPr>
          <w:rFonts w:hint="eastAsia" w:ascii="宋体" w:hAnsi="宋体" w:eastAsia="宋体" w:cs="宋体"/>
          <w:color w:val="auto"/>
          <w:kern w:val="0"/>
          <w:szCs w:val="21"/>
          <w:highlight w:val="none"/>
          <w:lang w:val="en-US" w:eastAsia="zh-CN"/>
        </w:rPr>
        <w:t>八</w:t>
      </w:r>
      <w:r>
        <w:rPr>
          <w:rFonts w:hint="eastAsia" w:ascii="宋体" w:hAnsi="宋体" w:eastAsia="宋体" w:cs="宋体"/>
          <w:color w:val="auto"/>
          <w:kern w:val="0"/>
          <w:szCs w:val="21"/>
          <w:highlight w:val="none"/>
        </w:rPr>
        <w:t>章技术标准和要求”。</w:t>
      </w:r>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p>
    <w:p w14:paraId="1F61E88A">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93C1C6B">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192CE8A9">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8B1605E">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259FC83">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7CB5189">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4DF14AC">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62F1BC6">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3F8EEBE">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48AB919">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06F853B">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83A052C">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35F7324">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704CC7A">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1A36A56D">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18188D5F">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E790821">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B55DF3B">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720E484">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C3D6F92">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4D1FA3F">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E7A0725">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DDE0D13">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FF06838">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B7CA07A">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72DCA85">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AA318C8">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B77B682">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230D5B3">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1A32F943">
      <w:pPr>
        <w:pStyle w:val="46"/>
        <w:pageBreakBefore w:val="0"/>
        <w:kinsoku/>
        <w:wordWrap w:val="0"/>
        <w:overflowPunct/>
        <w:topLinePunct w:val="0"/>
        <w:bidi w:val="0"/>
        <w:outlineLvl w:val="1"/>
        <w:rPr>
          <w:rFonts w:hint="eastAsia" w:ascii="宋体" w:hAnsi="宋体" w:eastAsia="宋体" w:cs="宋体"/>
          <w:color w:val="auto"/>
          <w:kern w:val="0"/>
          <w:sz w:val="28"/>
          <w:szCs w:val="28"/>
          <w:highlight w:val="none"/>
        </w:rPr>
      </w:pPr>
      <w:bookmarkStart w:id="2185" w:name="_Toc228881257"/>
      <w:bookmarkStart w:id="2186" w:name="_Toc214433997"/>
      <w:bookmarkStart w:id="2187" w:name="_Toc228589271"/>
      <w:bookmarkStart w:id="2188" w:name="_Toc228591765"/>
      <w:bookmarkStart w:id="2189" w:name="_Toc227492353"/>
      <w:bookmarkStart w:id="2190" w:name="_Toc228337206"/>
      <w:bookmarkStart w:id="2191" w:name="_Toc228591617"/>
      <w:bookmarkStart w:id="2192" w:name="_Toc227657595"/>
      <w:bookmarkStart w:id="2193" w:name="_Toc272772676"/>
      <w:bookmarkStart w:id="2194" w:name="_Toc431367152"/>
      <w:r>
        <w:rPr>
          <w:rFonts w:hint="eastAsia" w:ascii="宋体" w:hAnsi="宋体" w:eastAsia="宋体" w:cs="宋体"/>
          <w:color w:val="auto"/>
          <w:kern w:val="0"/>
          <w:highlight w:val="none"/>
        </w:rPr>
        <w:br w:type="page"/>
      </w:r>
      <w:bookmarkStart w:id="2195" w:name="_Toc9072"/>
      <w:r>
        <w:rPr>
          <w:rFonts w:hint="eastAsia" w:ascii="宋体" w:hAnsi="宋体" w:eastAsia="宋体" w:cs="宋体"/>
          <w:color w:val="auto"/>
          <w:kern w:val="0"/>
          <w:sz w:val="32"/>
          <w:szCs w:val="21"/>
          <w:highlight w:val="none"/>
        </w:rPr>
        <w:t>八、</w:t>
      </w:r>
      <w:bookmarkEnd w:id="2185"/>
      <w:bookmarkEnd w:id="2186"/>
      <w:bookmarkEnd w:id="2187"/>
      <w:bookmarkEnd w:id="2188"/>
      <w:bookmarkEnd w:id="2189"/>
      <w:bookmarkEnd w:id="2190"/>
      <w:bookmarkEnd w:id="2191"/>
      <w:bookmarkEnd w:id="2192"/>
      <w:r>
        <w:rPr>
          <w:rFonts w:hint="eastAsia" w:ascii="宋体" w:hAnsi="宋体" w:eastAsia="宋体" w:cs="宋体"/>
          <w:color w:val="auto"/>
          <w:kern w:val="0"/>
          <w:sz w:val="32"/>
          <w:szCs w:val="21"/>
          <w:highlight w:val="none"/>
        </w:rPr>
        <w:t>项目管理机构</w:t>
      </w:r>
      <w:bookmarkEnd w:id="2193"/>
      <w:bookmarkEnd w:id="2194"/>
      <w:bookmarkEnd w:id="2195"/>
    </w:p>
    <w:p w14:paraId="0A0FB3A9">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p>
    <w:p w14:paraId="61BE0467">
      <w:pPr>
        <w:pageBreakBefore w:val="0"/>
        <w:kinsoku/>
        <w:wordWrap w:val="0"/>
        <w:overflowPunct/>
        <w:topLinePunct w:val="0"/>
        <w:autoSpaceDE w:val="0"/>
        <w:autoSpaceDN w:val="0"/>
        <w:bidi w:val="0"/>
        <w:adjustRightInd w:val="0"/>
        <w:spacing w:line="400" w:lineRule="exact"/>
        <w:ind w:left="0" w:leftChars="0" w:right="-34" w:rightChars="-16" w:firstLine="0" w:firstLineChars="0"/>
        <w:jc w:val="left"/>
        <w:outlineLvl w:val="9"/>
        <w:rPr>
          <w:rFonts w:hint="eastAsia" w:ascii="宋体" w:hAnsi="宋体" w:eastAsia="宋体" w:cs="宋体"/>
          <w:b/>
          <w:bCs/>
          <w:color w:val="auto"/>
          <w:kern w:val="0"/>
          <w:sz w:val="28"/>
          <w:highlight w:val="none"/>
        </w:rPr>
      </w:pPr>
      <w:bookmarkStart w:id="2196" w:name="_Toc499892896"/>
      <w:bookmarkStart w:id="2197" w:name="_Toc228591618"/>
      <w:bookmarkStart w:id="2198" w:name="_Toc227492354"/>
      <w:bookmarkStart w:id="2199" w:name="_Toc228337207"/>
      <w:bookmarkStart w:id="2200" w:name="_Toc272772677"/>
      <w:bookmarkStart w:id="2201" w:name="_Toc228881258"/>
      <w:bookmarkStart w:id="2202" w:name="_Toc20437"/>
      <w:bookmarkStart w:id="2203" w:name="_Toc228591766"/>
      <w:bookmarkStart w:id="2204" w:name="_Toc227657596"/>
      <w:bookmarkStart w:id="2205" w:name="_Toc228589272"/>
      <w:bookmarkStart w:id="2206" w:name="_Toc500865939"/>
      <w:bookmarkStart w:id="2207" w:name="_Toc27018"/>
      <w:bookmarkStart w:id="2208" w:name="_Toc214433998"/>
      <w:bookmarkStart w:id="2209" w:name="_Toc8362"/>
      <w:bookmarkStart w:id="2210" w:name="_Toc431367153"/>
      <w:bookmarkStart w:id="2211" w:name="_Toc499891705"/>
      <w:bookmarkStart w:id="2212" w:name="_Toc500864549"/>
      <w:r>
        <w:rPr>
          <w:rFonts w:hint="eastAsia" w:ascii="宋体" w:hAnsi="宋体" w:eastAsia="宋体" w:cs="宋体"/>
          <w:b/>
          <w:bCs/>
          <w:color w:val="auto"/>
          <w:kern w:val="0"/>
          <w:sz w:val="28"/>
          <w:highlight w:val="none"/>
        </w:rPr>
        <w:t>（一）项目管理机构组成表</w:t>
      </w:r>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p>
    <w:p w14:paraId="38EDDEFF">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68E1B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08B005A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姓名</w:t>
            </w:r>
          </w:p>
        </w:tc>
        <w:tc>
          <w:tcPr>
            <w:tcW w:w="1034" w:type="dxa"/>
            <w:vMerge w:val="restart"/>
            <w:noWrap w:val="0"/>
            <w:vAlign w:val="center"/>
          </w:tcPr>
          <w:p w14:paraId="0702CB8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职务</w:t>
            </w:r>
          </w:p>
        </w:tc>
        <w:tc>
          <w:tcPr>
            <w:tcW w:w="1035" w:type="dxa"/>
            <w:vMerge w:val="restart"/>
            <w:noWrap w:val="0"/>
            <w:vAlign w:val="center"/>
          </w:tcPr>
          <w:p w14:paraId="1A380AC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职称</w:t>
            </w:r>
          </w:p>
        </w:tc>
        <w:tc>
          <w:tcPr>
            <w:tcW w:w="5309" w:type="dxa"/>
            <w:gridSpan w:val="5"/>
            <w:noWrap w:val="0"/>
            <w:vAlign w:val="center"/>
          </w:tcPr>
          <w:p w14:paraId="5A5D480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执业或职业资格证明</w:t>
            </w:r>
          </w:p>
        </w:tc>
      </w:tr>
      <w:tr w14:paraId="16474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2946298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vMerge w:val="continue"/>
            <w:noWrap w:val="0"/>
            <w:vAlign w:val="center"/>
          </w:tcPr>
          <w:p w14:paraId="4B74FE3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vMerge w:val="continue"/>
            <w:noWrap w:val="0"/>
            <w:vAlign w:val="center"/>
          </w:tcPr>
          <w:p w14:paraId="273C50F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6A7309B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证书名称</w:t>
            </w:r>
          </w:p>
        </w:tc>
        <w:tc>
          <w:tcPr>
            <w:tcW w:w="913" w:type="dxa"/>
            <w:noWrap w:val="0"/>
            <w:vAlign w:val="center"/>
          </w:tcPr>
          <w:p w14:paraId="3299440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级别</w:t>
            </w:r>
          </w:p>
        </w:tc>
        <w:tc>
          <w:tcPr>
            <w:tcW w:w="1035" w:type="dxa"/>
            <w:noWrap w:val="0"/>
            <w:vAlign w:val="center"/>
          </w:tcPr>
          <w:p w14:paraId="178D141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证号</w:t>
            </w:r>
          </w:p>
        </w:tc>
        <w:tc>
          <w:tcPr>
            <w:tcW w:w="1035" w:type="dxa"/>
            <w:noWrap w:val="0"/>
            <w:vAlign w:val="center"/>
          </w:tcPr>
          <w:p w14:paraId="52140C0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专业</w:t>
            </w:r>
          </w:p>
        </w:tc>
        <w:tc>
          <w:tcPr>
            <w:tcW w:w="1169" w:type="dxa"/>
            <w:noWrap w:val="0"/>
            <w:vAlign w:val="center"/>
          </w:tcPr>
          <w:p w14:paraId="101F500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备注</w:t>
            </w:r>
          </w:p>
        </w:tc>
      </w:tr>
      <w:tr w14:paraId="0D302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2E2D4A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1A84F54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6376D6A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42CEDA8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2C5C853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1720A7A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0A1C806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68D2EEC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249B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1F934B1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7070756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114F020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0F41AE7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2E87D6A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174042B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3CA23EE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2C4FA70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68AE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32E882A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7671600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4DB7F19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26EC450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341A77C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04955DB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3445949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2C4AC8F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4B89E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1E006B9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2B73110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0178C86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6B822D8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3809D84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2F57DE9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0D5B5A6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49113A7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14532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42091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63E8656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00D18E1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03A36E6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33FE2A8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0CDF786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2853ADD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6C3E9AA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F5ED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3350B5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559A581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73D4B24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6C49977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781483E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4031013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2BD6D59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73DF9E2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0AE0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AAE0BB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6615A8F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12FC555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68BC62F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10A29F5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68A5CDA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256F933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64770CC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59BDA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4148734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50A4242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672714A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4ACEA89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5E3E347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311DFA6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6B7D721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338569A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455C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D767D2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2CD8287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150A859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6BA5219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1491A47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76AA3A1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6351D78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431D4AB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24C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34C1443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4" w:type="dxa"/>
            <w:noWrap w:val="0"/>
            <w:vAlign w:val="center"/>
          </w:tcPr>
          <w:p w14:paraId="117E0DC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1438211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57" w:type="dxa"/>
            <w:noWrap w:val="0"/>
            <w:vAlign w:val="center"/>
          </w:tcPr>
          <w:p w14:paraId="06E7D91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913" w:type="dxa"/>
            <w:noWrap w:val="0"/>
            <w:vAlign w:val="center"/>
          </w:tcPr>
          <w:p w14:paraId="062E25E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0A2ACD6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035" w:type="dxa"/>
            <w:noWrap w:val="0"/>
            <w:vAlign w:val="center"/>
          </w:tcPr>
          <w:p w14:paraId="31EBB48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69" w:type="dxa"/>
            <w:noWrap w:val="0"/>
            <w:vAlign w:val="center"/>
          </w:tcPr>
          <w:p w14:paraId="4AC3722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bl>
    <w:p w14:paraId="459A2E0B">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p>
    <w:p w14:paraId="241F2FA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bookmarkStart w:id="2213" w:name="_Toc228591767"/>
      <w:bookmarkStart w:id="2214" w:name="_Toc228589273"/>
      <w:bookmarkStart w:id="2215" w:name="_Toc431367154"/>
      <w:bookmarkStart w:id="2216" w:name="_Toc227492355"/>
      <w:bookmarkStart w:id="2217" w:name="_Toc228337208"/>
      <w:bookmarkStart w:id="2218" w:name="_Toc228881259"/>
      <w:bookmarkStart w:id="2219" w:name="_Toc227657597"/>
      <w:bookmarkStart w:id="2220" w:name="_Toc228591619"/>
      <w:bookmarkStart w:id="2221" w:name="_Toc272772678"/>
      <w:bookmarkStart w:id="2222" w:name="_Toc214433999"/>
    </w:p>
    <w:p w14:paraId="2892B37D">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r>
        <w:rPr>
          <w:rFonts w:hint="eastAsia" w:ascii="宋体" w:hAnsi="宋体" w:eastAsia="宋体" w:cs="宋体"/>
          <w:b/>
          <w:bCs/>
          <w:color w:val="auto"/>
          <w:kern w:val="0"/>
          <w:sz w:val="28"/>
          <w:szCs w:val="22"/>
          <w:highlight w:val="none"/>
        </w:rPr>
        <w:t>（二）主要人员简历表</w:t>
      </w:r>
      <w:bookmarkEnd w:id="2213"/>
      <w:bookmarkEnd w:id="2214"/>
      <w:bookmarkEnd w:id="2215"/>
      <w:bookmarkEnd w:id="2216"/>
      <w:bookmarkEnd w:id="2217"/>
      <w:bookmarkEnd w:id="2218"/>
      <w:bookmarkEnd w:id="2219"/>
      <w:bookmarkEnd w:id="2220"/>
      <w:bookmarkEnd w:id="2221"/>
      <w:bookmarkEnd w:id="2222"/>
    </w:p>
    <w:p w14:paraId="0D0FC8A1">
      <w:pPr>
        <w:pageBreakBefore w:val="0"/>
        <w:kinsoku/>
        <w:wordWrap w:val="0"/>
        <w:overflowPunct/>
        <w:topLinePunct w:val="0"/>
        <w:autoSpaceDE w:val="0"/>
        <w:autoSpaceDN w:val="0"/>
        <w:bidi w:val="0"/>
        <w:adjustRightInd w:val="0"/>
        <w:spacing w:line="400" w:lineRule="exact"/>
        <w:ind w:right="-34" w:rightChars="-16" w:firstLine="420" w:firstLineChars="200"/>
        <w:jc w:val="left"/>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“主要人员简历表”中的项目经理附</w:t>
      </w:r>
      <w:r>
        <w:rPr>
          <w:rFonts w:hint="eastAsia" w:ascii="宋体" w:hAnsi="宋体" w:eastAsia="宋体" w:cs="宋体"/>
          <w:color w:val="auto"/>
          <w:kern w:val="0"/>
          <w:highlight w:val="none"/>
          <w:lang w:eastAsia="zh-CN"/>
        </w:rPr>
        <w:t>注册</w:t>
      </w:r>
      <w:r>
        <w:rPr>
          <w:rFonts w:hint="eastAsia" w:ascii="宋体" w:hAnsi="宋体" w:eastAsia="宋体" w:cs="宋体"/>
          <w:color w:val="auto"/>
          <w:kern w:val="0"/>
          <w:highlight w:val="none"/>
        </w:rPr>
        <w:t>资格证书等复印件；技术负责人附职称证等复印件；其他主要人员附职称证（执业证或上岗证书）复印件。</w:t>
      </w:r>
    </w:p>
    <w:p w14:paraId="207CEC73">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highlight w:val="none"/>
        </w:rPr>
      </w:pPr>
    </w:p>
    <w:tbl>
      <w:tblPr>
        <w:tblStyle w:val="49"/>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1551"/>
        <w:gridCol w:w="520"/>
        <w:gridCol w:w="1890"/>
        <w:gridCol w:w="697"/>
        <w:gridCol w:w="893"/>
        <w:gridCol w:w="950"/>
        <w:gridCol w:w="1263"/>
      </w:tblGrid>
      <w:tr w14:paraId="707F9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7D0F7D2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姓 名</w:t>
            </w:r>
          </w:p>
        </w:tc>
        <w:tc>
          <w:tcPr>
            <w:tcW w:w="1551" w:type="dxa"/>
            <w:noWrap w:val="0"/>
            <w:vAlign w:val="center"/>
          </w:tcPr>
          <w:p w14:paraId="224CBE4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520" w:type="dxa"/>
            <w:noWrap w:val="0"/>
            <w:vAlign w:val="center"/>
          </w:tcPr>
          <w:p w14:paraId="523040A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年 龄</w:t>
            </w:r>
          </w:p>
        </w:tc>
        <w:tc>
          <w:tcPr>
            <w:tcW w:w="2587" w:type="dxa"/>
            <w:gridSpan w:val="2"/>
            <w:noWrap w:val="0"/>
            <w:vAlign w:val="center"/>
          </w:tcPr>
          <w:p w14:paraId="15FBF79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43" w:type="dxa"/>
            <w:gridSpan w:val="2"/>
            <w:noWrap w:val="0"/>
            <w:vAlign w:val="center"/>
          </w:tcPr>
          <w:p w14:paraId="2E430C4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学 历</w:t>
            </w:r>
          </w:p>
        </w:tc>
        <w:tc>
          <w:tcPr>
            <w:tcW w:w="1263" w:type="dxa"/>
            <w:noWrap w:val="0"/>
            <w:vAlign w:val="center"/>
          </w:tcPr>
          <w:p w14:paraId="2B9E895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09F0C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2D83A21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职 称</w:t>
            </w:r>
          </w:p>
        </w:tc>
        <w:tc>
          <w:tcPr>
            <w:tcW w:w="1551" w:type="dxa"/>
            <w:noWrap w:val="0"/>
            <w:vAlign w:val="center"/>
          </w:tcPr>
          <w:p w14:paraId="36635BD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520" w:type="dxa"/>
            <w:noWrap w:val="0"/>
            <w:vAlign w:val="center"/>
          </w:tcPr>
          <w:p w14:paraId="2CBB0BC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职 务</w:t>
            </w:r>
          </w:p>
        </w:tc>
        <w:tc>
          <w:tcPr>
            <w:tcW w:w="2587" w:type="dxa"/>
            <w:gridSpan w:val="2"/>
            <w:noWrap w:val="0"/>
            <w:vAlign w:val="center"/>
          </w:tcPr>
          <w:p w14:paraId="447241D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43" w:type="dxa"/>
            <w:gridSpan w:val="2"/>
            <w:noWrap w:val="0"/>
            <w:vAlign w:val="center"/>
          </w:tcPr>
          <w:p w14:paraId="127340B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拟在本合同任职</w:t>
            </w:r>
          </w:p>
        </w:tc>
        <w:tc>
          <w:tcPr>
            <w:tcW w:w="1263" w:type="dxa"/>
            <w:noWrap w:val="0"/>
            <w:vAlign w:val="center"/>
          </w:tcPr>
          <w:p w14:paraId="27638BC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1CE27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738A9D7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主要工作经历</w:t>
            </w:r>
          </w:p>
        </w:tc>
      </w:tr>
      <w:tr w14:paraId="291A0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550" w:type="dxa"/>
            <w:noWrap w:val="0"/>
            <w:vAlign w:val="center"/>
          </w:tcPr>
          <w:p w14:paraId="77FE771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时 间</w:t>
            </w:r>
          </w:p>
        </w:tc>
        <w:tc>
          <w:tcPr>
            <w:tcW w:w="2071" w:type="dxa"/>
            <w:gridSpan w:val="2"/>
            <w:noWrap w:val="0"/>
            <w:vAlign w:val="center"/>
          </w:tcPr>
          <w:p w14:paraId="5FDB840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参加过的类似项目</w:t>
            </w:r>
          </w:p>
        </w:tc>
        <w:tc>
          <w:tcPr>
            <w:tcW w:w="1890" w:type="dxa"/>
            <w:noWrap w:val="0"/>
            <w:vAlign w:val="center"/>
          </w:tcPr>
          <w:p w14:paraId="3736DF5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担任职务</w:t>
            </w:r>
          </w:p>
        </w:tc>
        <w:tc>
          <w:tcPr>
            <w:tcW w:w="1590" w:type="dxa"/>
            <w:gridSpan w:val="2"/>
            <w:noWrap w:val="0"/>
            <w:vAlign w:val="center"/>
          </w:tcPr>
          <w:p w14:paraId="2C8D2FC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工程概况说明</w:t>
            </w:r>
          </w:p>
        </w:tc>
        <w:tc>
          <w:tcPr>
            <w:tcW w:w="2213" w:type="dxa"/>
            <w:gridSpan w:val="2"/>
            <w:noWrap w:val="0"/>
            <w:vAlign w:val="center"/>
          </w:tcPr>
          <w:p w14:paraId="34216B6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发包人及联系电话</w:t>
            </w:r>
          </w:p>
        </w:tc>
      </w:tr>
      <w:tr w14:paraId="0E7A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550" w:type="dxa"/>
            <w:noWrap w:val="0"/>
            <w:vAlign w:val="center"/>
          </w:tcPr>
          <w:p w14:paraId="3EC192E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071" w:type="dxa"/>
            <w:gridSpan w:val="2"/>
            <w:noWrap w:val="0"/>
            <w:vAlign w:val="center"/>
          </w:tcPr>
          <w:p w14:paraId="34B8C8E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90" w:type="dxa"/>
            <w:noWrap w:val="0"/>
            <w:vAlign w:val="center"/>
          </w:tcPr>
          <w:p w14:paraId="172BCC8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590" w:type="dxa"/>
            <w:gridSpan w:val="2"/>
            <w:noWrap w:val="0"/>
            <w:vAlign w:val="center"/>
          </w:tcPr>
          <w:p w14:paraId="32DD203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213" w:type="dxa"/>
            <w:gridSpan w:val="2"/>
            <w:noWrap w:val="0"/>
            <w:vAlign w:val="center"/>
          </w:tcPr>
          <w:p w14:paraId="2BAAB77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6894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550" w:type="dxa"/>
            <w:noWrap w:val="0"/>
            <w:vAlign w:val="center"/>
          </w:tcPr>
          <w:p w14:paraId="24F89CF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071" w:type="dxa"/>
            <w:gridSpan w:val="2"/>
            <w:noWrap w:val="0"/>
            <w:vAlign w:val="center"/>
          </w:tcPr>
          <w:p w14:paraId="3D66D30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90" w:type="dxa"/>
            <w:noWrap w:val="0"/>
            <w:vAlign w:val="center"/>
          </w:tcPr>
          <w:p w14:paraId="7B930EB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590" w:type="dxa"/>
            <w:gridSpan w:val="2"/>
            <w:noWrap w:val="0"/>
            <w:vAlign w:val="center"/>
          </w:tcPr>
          <w:p w14:paraId="40146CA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213" w:type="dxa"/>
            <w:gridSpan w:val="2"/>
            <w:noWrap w:val="0"/>
            <w:vAlign w:val="center"/>
          </w:tcPr>
          <w:p w14:paraId="200E036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15D8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550" w:type="dxa"/>
            <w:noWrap w:val="0"/>
            <w:vAlign w:val="center"/>
          </w:tcPr>
          <w:p w14:paraId="3BA062C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071" w:type="dxa"/>
            <w:gridSpan w:val="2"/>
            <w:noWrap w:val="0"/>
            <w:vAlign w:val="center"/>
          </w:tcPr>
          <w:p w14:paraId="1D8BFF8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90" w:type="dxa"/>
            <w:noWrap w:val="0"/>
            <w:vAlign w:val="center"/>
          </w:tcPr>
          <w:p w14:paraId="01849B0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590" w:type="dxa"/>
            <w:gridSpan w:val="2"/>
            <w:noWrap w:val="0"/>
            <w:vAlign w:val="center"/>
          </w:tcPr>
          <w:p w14:paraId="54252B2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213" w:type="dxa"/>
            <w:gridSpan w:val="2"/>
            <w:noWrap w:val="0"/>
            <w:vAlign w:val="center"/>
          </w:tcPr>
          <w:p w14:paraId="3317D3D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557A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550" w:type="dxa"/>
            <w:noWrap w:val="0"/>
            <w:vAlign w:val="center"/>
          </w:tcPr>
          <w:p w14:paraId="6DAC5B5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071" w:type="dxa"/>
            <w:gridSpan w:val="2"/>
            <w:noWrap w:val="0"/>
            <w:vAlign w:val="center"/>
          </w:tcPr>
          <w:p w14:paraId="3A49172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90" w:type="dxa"/>
            <w:noWrap w:val="0"/>
            <w:vAlign w:val="center"/>
          </w:tcPr>
          <w:p w14:paraId="37EB2C7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590" w:type="dxa"/>
            <w:gridSpan w:val="2"/>
            <w:noWrap w:val="0"/>
            <w:vAlign w:val="center"/>
          </w:tcPr>
          <w:p w14:paraId="4C1EF43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213" w:type="dxa"/>
            <w:gridSpan w:val="2"/>
            <w:noWrap w:val="0"/>
            <w:vAlign w:val="center"/>
          </w:tcPr>
          <w:p w14:paraId="594F5DD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5D74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550" w:type="dxa"/>
            <w:noWrap w:val="0"/>
            <w:vAlign w:val="center"/>
          </w:tcPr>
          <w:p w14:paraId="4B4032B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071" w:type="dxa"/>
            <w:gridSpan w:val="2"/>
            <w:noWrap w:val="0"/>
            <w:vAlign w:val="center"/>
          </w:tcPr>
          <w:p w14:paraId="73BAA8B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90" w:type="dxa"/>
            <w:noWrap w:val="0"/>
            <w:vAlign w:val="center"/>
          </w:tcPr>
          <w:p w14:paraId="21F3921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590" w:type="dxa"/>
            <w:gridSpan w:val="2"/>
            <w:noWrap w:val="0"/>
            <w:vAlign w:val="center"/>
          </w:tcPr>
          <w:p w14:paraId="50765F4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213" w:type="dxa"/>
            <w:gridSpan w:val="2"/>
            <w:noWrap w:val="0"/>
            <w:vAlign w:val="center"/>
          </w:tcPr>
          <w:p w14:paraId="137F919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1ED6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550" w:type="dxa"/>
            <w:noWrap w:val="0"/>
            <w:vAlign w:val="center"/>
          </w:tcPr>
          <w:p w14:paraId="0065E06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071" w:type="dxa"/>
            <w:gridSpan w:val="2"/>
            <w:noWrap w:val="0"/>
            <w:vAlign w:val="center"/>
          </w:tcPr>
          <w:p w14:paraId="20F29A9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90" w:type="dxa"/>
            <w:noWrap w:val="0"/>
            <w:vAlign w:val="center"/>
          </w:tcPr>
          <w:p w14:paraId="2D00AB8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590" w:type="dxa"/>
            <w:gridSpan w:val="2"/>
            <w:noWrap w:val="0"/>
            <w:vAlign w:val="center"/>
          </w:tcPr>
          <w:p w14:paraId="63C37D6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213" w:type="dxa"/>
            <w:gridSpan w:val="2"/>
            <w:noWrap w:val="0"/>
            <w:vAlign w:val="center"/>
          </w:tcPr>
          <w:p w14:paraId="3A81E06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6A8DB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550" w:type="dxa"/>
            <w:noWrap w:val="0"/>
            <w:vAlign w:val="center"/>
          </w:tcPr>
          <w:p w14:paraId="426BC76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071" w:type="dxa"/>
            <w:gridSpan w:val="2"/>
            <w:noWrap w:val="0"/>
            <w:vAlign w:val="center"/>
          </w:tcPr>
          <w:p w14:paraId="5DC601B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90" w:type="dxa"/>
            <w:noWrap w:val="0"/>
            <w:vAlign w:val="center"/>
          </w:tcPr>
          <w:p w14:paraId="48B44FF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590" w:type="dxa"/>
            <w:gridSpan w:val="2"/>
            <w:noWrap w:val="0"/>
            <w:vAlign w:val="center"/>
          </w:tcPr>
          <w:p w14:paraId="1FA545C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213" w:type="dxa"/>
            <w:gridSpan w:val="2"/>
            <w:noWrap w:val="0"/>
            <w:vAlign w:val="center"/>
          </w:tcPr>
          <w:p w14:paraId="4B88E3C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1E40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550" w:type="dxa"/>
            <w:noWrap w:val="0"/>
            <w:vAlign w:val="center"/>
          </w:tcPr>
          <w:p w14:paraId="3D49BEE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071" w:type="dxa"/>
            <w:gridSpan w:val="2"/>
            <w:noWrap w:val="0"/>
            <w:vAlign w:val="center"/>
          </w:tcPr>
          <w:p w14:paraId="37142AC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890" w:type="dxa"/>
            <w:noWrap w:val="0"/>
            <w:vAlign w:val="center"/>
          </w:tcPr>
          <w:p w14:paraId="5C6F1A1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1590" w:type="dxa"/>
            <w:gridSpan w:val="2"/>
            <w:noWrap w:val="0"/>
            <w:vAlign w:val="center"/>
          </w:tcPr>
          <w:p w14:paraId="6554150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c>
          <w:tcPr>
            <w:tcW w:w="2213" w:type="dxa"/>
            <w:gridSpan w:val="2"/>
            <w:noWrap w:val="0"/>
            <w:vAlign w:val="center"/>
          </w:tcPr>
          <w:p w14:paraId="33C0B4F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bl>
    <w:p w14:paraId="799D7295">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18"/>
          <w:highlight w:val="none"/>
        </w:rPr>
      </w:pPr>
    </w:p>
    <w:p w14:paraId="5C3F854B">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bookmarkStart w:id="2223" w:name="_Toc31751"/>
      <w:bookmarkStart w:id="2224" w:name="_Toc499891706"/>
      <w:bookmarkStart w:id="2225" w:name="_Toc20836"/>
      <w:bookmarkStart w:id="2226" w:name="_Toc7422"/>
      <w:bookmarkStart w:id="2227" w:name="_Toc500865940"/>
      <w:bookmarkStart w:id="2228" w:name="_Toc272772679"/>
      <w:bookmarkStart w:id="2229" w:name="_Toc431367155"/>
      <w:bookmarkStart w:id="2230" w:name="_Toc499892897"/>
      <w:bookmarkStart w:id="2231" w:name="_Toc500864550"/>
    </w:p>
    <w:p w14:paraId="0575F554">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586A0C2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5B582A4F">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13393D00">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5E2E180E">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246688D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26D2FD9A">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6D1D193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766EE7D1">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1495514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p>
    <w:p w14:paraId="3190EDF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（三）其他</w:t>
      </w:r>
      <w:bookmarkEnd w:id="2223"/>
      <w:bookmarkEnd w:id="2224"/>
      <w:bookmarkEnd w:id="2225"/>
      <w:bookmarkEnd w:id="2226"/>
      <w:bookmarkEnd w:id="2227"/>
      <w:bookmarkEnd w:id="2228"/>
      <w:bookmarkEnd w:id="2229"/>
      <w:bookmarkEnd w:id="2230"/>
      <w:bookmarkEnd w:id="2231"/>
    </w:p>
    <w:p w14:paraId="2FAE17B2">
      <w:pPr>
        <w:pageBreakBefore w:val="0"/>
        <w:kinsoku/>
        <w:wordWrap w:val="0"/>
        <w:overflowPunct/>
        <w:topLinePunct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sz w:val="28"/>
          <w:highlight w:val="none"/>
        </w:rPr>
        <w:br w:type="page"/>
      </w:r>
      <w:bookmarkStart w:id="2232" w:name="_Toc500864551"/>
      <w:bookmarkStart w:id="2233" w:name="_Toc13019"/>
      <w:bookmarkStart w:id="2234" w:name="_Toc228591621"/>
      <w:bookmarkStart w:id="2235" w:name="_Toc228881261"/>
      <w:bookmarkStart w:id="2236" w:name="_Toc214434001"/>
      <w:bookmarkStart w:id="2237" w:name="_Toc21435"/>
      <w:bookmarkStart w:id="2238" w:name="_Toc227657599"/>
      <w:bookmarkStart w:id="2239" w:name="_Toc431367156"/>
      <w:bookmarkStart w:id="2240" w:name="_Toc228337210"/>
      <w:bookmarkStart w:id="2241" w:name="_Toc227492357"/>
      <w:bookmarkStart w:id="2242" w:name="_Toc228589275"/>
      <w:bookmarkStart w:id="2243" w:name="_Toc228591769"/>
      <w:bookmarkStart w:id="2244" w:name="_Toc12047"/>
      <w:bookmarkStart w:id="2245" w:name="_Toc272772681"/>
      <w:bookmarkStart w:id="2246" w:name="_Toc32234"/>
      <w:r>
        <w:rPr>
          <w:rFonts w:hint="eastAsia" w:ascii="宋体" w:hAnsi="宋体" w:eastAsia="宋体" w:cs="宋体"/>
          <w:b/>
          <w:color w:val="auto"/>
          <w:kern w:val="0"/>
          <w:sz w:val="32"/>
          <w:szCs w:val="21"/>
          <w:highlight w:val="none"/>
        </w:rPr>
        <w:t>九、资格审查资料</w:t>
      </w:r>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p>
    <w:p w14:paraId="468EAB05">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bookmarkStart w:id="2247" w:name="_Toc7144"/>
      <w:bookmarkStart w:id="2248" w:name="_Toc500864552"/>
      <w:bookmarkStart w:id="2249" w:name="_Toc228881262"/>
      <w:bookmarkStart w:id="2250" w:name="_Toc214434002"/>
      <w:bookmarkStart w:id="2251" w:name="_Toc228591622"/>
      <w:bookmarkStart w:id="2252" w:name="_Toc228591770"/>
      <w:bookmarkStart w:id="2253" w:name="_Toc521"/>
      <w:bookmarkStart w:id="2254" w:name="_Toc500865942"/>
      <w:bookmarkStart w:id="2255" w:name="_Toc228589276"/>
      <w:bookmarkStart w:id="2256" w:name="_Toc228337211"/>
      <w:bookmarkStart w:id="2257" w:name="_Toc272772682"/>
      <w:bookmarkStart w:id="2258" w:name="_Toc32399"/>
      <w:bookmarkStart w:id="2259" w:name="_Toc431367157"/>
      <w:bookmarkStart w:id="2260" w:name="_Toc227492358"/>
      <w:bookmarkStart w:id="2261" w:name="_Toc227657600"/>
    </w:p>
    <w:p w14:paraId="5DA2D3E3">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（一）投标人基本情况表</w:t>
      </w:r>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p>
    <w:tbl>
      <w:tblPr>
        <w:tblStyle w:val="49"/>
        <w:tblW w:w="9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1AF3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5BCD288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投标人名称</w:t>
            </w:r>
          </w:p>
        </w:tc>
        <w:tc>
          <w:tcPr>
            <w:tcW w:w="7761" w:type="dxa"/>
            <w:gridSpan w:val="7"/>
            <w:noWrap w:val="0"/>
            <w:vAlign w:val="center"/>
          </w:tcPr>
          <w:p w14:paraId="258F67E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4B2F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3A936D1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注册地址</w:t>
            </w:r>
          </w:p>
        </w:tc>
        <w:tc>
          <w:tcPr>
            <w:tcW w:w="3768" w:type="dxa"/>
            <w:gridSpan w:val="3"/>
            <w:noWrap w:val="0"/>
            <w:vAlign w:val="center"/>
          </w:tcPr>
          <w:p w14:paraId="24D0A3B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331" w:type="dxa"/>
            <w:gridSpan w:val="2"/>
            <w:noWrap w:val="0"/>
            <w:vAlign w:val="center"/>
          </w:tcPr>
          <w:p w14:paraId="71F2680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邮政编码</w:t>
            </w:r>
          </w:p>
        </w:tc>
        <w:tc>
          <w:tcPr>
            <w:tcW w:w="2662" w:type="dxa"/>
            <w:gridSpan w:val="2"/>
            <w:noWrap w:val="0"/>
            <w:vAlign w:val="center"/>
          </w:tcPr>
          <w:p w14:paraId="3706D80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575A6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4647D98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联系方式</w:t>
            </w:r>
          </w:p>
        </w:tc>
        <w:tc>
          <w:tcPr>
            <w:tcW w:w="1107" w:type="dxa"/>
            <w:noWrap w:val="0"/>
            <w:vAlign w:val="center"/>
          </w:tcPr>
          <w:p w14:paraId="52244BF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联系人</w:t>
            </w:r>
          </w:p>
        </w:tc>
        <w:tc>
          <w:tcPr>
            <w:tcW w:w="2661" w:type="dxa"/>
            <w:gridSpan w:val="2"/>
            <w:noWrap w:val="0"/>
            <w:vAlign w:val="center"/>
          </w:tcPr>
          <w:p w14:paraId="380D74B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331" w:type="dxa"/>
            <w:gridSpan w:val="2"/>
            <w:noWrap w:val="0"/>
            <w:vAlign w:val="center"/>
          </w:tcPr>
          <w:p w14:paraId="5A77193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电 话</w:t>
            </w:r>
          </w:p>
        </w:tc>
        <w:tc>
          <w:tcPr>
            <w:tcW w:w="2662" w:type="dxa"/>
            <w:gridSpan w:val="2"/>
            <w:noWrap w:val="0"/>
            <w:vAlign w:val="center"/>
          </w:tcPr>
          <w:p w14:paraId="5CF8E07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3D810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4F25288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07" w:type="dxa"/>
            <w:noWrap w:val="0"/>
            <w:vAlign w:val="center"/>
          </w:tcPr>
          <w:p w14:paraId="4A3473C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highlight w:val="none"/>
                <w:lang w:val="en-US" w:eastAsia="zh-CN"/>
              </w:rPr>
              <w:t>网 址</w:t>
            </w:r>
          </w:p>
        </w:tc>
        <w:tc>
          <w:tcPr>
            <w:tcW w:w="2661" w:type="dxa"/>
            <w:gridSpan w:val="2"/>
            <w:noWrap w:val="0"/>
            <w:vAlign w:val="center"/>
          </w:tcPr>
          <w:p w14:paraId="5E4DA84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331" w:type="dxa"/>
            <w:gridSpan w:val="2"/>
            <w:noWrap w:val="0"/>
            <w:vAlign w:val="center"/>
          </w:tcPr>
          <w:p w14:paraId="09BF70C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传 真</w:t>
            </w:r>
          </w:p>
        </w:tc>
        <w:tc>
          <w:tcPr>
            <w:tcW w:w="2662" w:type="dxa"/>
            <w:gridSpan w:val="2"/>
            <w:noWrap w:val="0"/>
            <w:vAlign w:val="center"/>
          </w:tcPr>
          <w:p w14:paraId="43B772B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2B9E1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4AE0718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组织结构</w:t>
            </w:r>
          </w:p>
        </w:tc>
        <w:tc>
          <w:tcPr>
            <w:tcW w:w="7761" w:type="dxa"/>
            <w:gridSpan w:val="7"/>
            <w:noWrap w:val="0"/>
            <w:vAlign w:val="center"/>
          </w:tcPr>
          <w:p w14:paraId="157FED8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28C97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46480BD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法定代表人</w:t>
            </w:r>
          </w:p>
        </w:tc>
        <w:tc>
          <w:tcPr>
            <w:tcW w:w="1107" w:type="dxa"/>
            <w:noWrap w:val="0"/>
            <w:vAlign w:val="center"/>
          </w:tcPr>
          <w:p w14:paraId="36A7B1F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姓名</w:t>
            </w:r>
          </w:p>
        </w:tc>
        <w:tc>
          <w:tcPr>
            <w:tcW w:w="1330" w:type="dxa"/>
            <w:noWrap w:val="0"/>
            <w:vAlign w:val="center"/>
          </w:tcPr>
          <w:p w14:paraId="68F310E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331" w:type="dxa"/>
            <w:noWrap w:val="0"/>
            <w:vAlign w:val="center"/>
          </w:tcPr>
          <w:p w14:paraId="0802593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职</w:t>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rPr>
              <w:t>称</w:t>
            </w:r>
          </w:p>
        </w:tc>
        <w:tc>
          <w:tcPr>
            <w:tcW w:w="1331" w:type="dxa"/>
            <w:gridSpan w:val="2"/>
            <w:noWrap w:val="0"/>
            <w:vAlign w:val="center"/>
          </w:tcPr>
          <w:p w14:paraId="0E31DB0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331" w:type="dxa"/>
            <w:noWrap w:val="0"/>
            <w:vAlign w:val="center"/>
          </w:tcPr>
          <w:p w14:paraId="5800171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电</w:t>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rPr>
              <w:t>话</w:t>
            </w:r>
          </w:p>
        </w:tc>
        <w:tc>
          <w:tcPr>
            <w:tcW w:w="1331" w:type="dxa"/>
            <w:noWrap w:val="0"/>
            <w:vAlign w:val="center"/>
          </w:tcPr>
          <w:p w14:paraId="635A9E7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54BD4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3110551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技术负责人</w:t>
            </w:r>
          </w:p>
        </w:tc>
        <w:tc>
          <w:tcPr>
            <w:tcW w:w="1107" w:type="dxa"/>
            <w:noWrap w:val="0"/>
            <w:vAlign w:val="center"/>
          </w:tcPr>
          <w:p w14:paraId="18E8CD9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姓名</w:t>
            </w:r>
          </w:p>
        </w:tc>
        <w:tc>
          <w:tcPr>
            <w:tcW w:w="1330" w:type="dxa"/>
            <w:noWrap w:val="0"/>
            <w:vAlign w:val="center"/>
          </w:tcPr>
          <w:p w14:paraId="5593DFF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331" w:type="dxa"/>
            <w:noWrap w:val="0"/>
            <w:vAlign w:val="center"/>
          </w:tcPr>
          <w:p w14:paraId="7B6B197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职称</w:t>
            </w:r>
          </w:p>
        </w:tc>
        <w:tc>
          <w:tcPr>
            <w:tcW w:w="1331" w:type="dxa"/>
            <w:gridSpan w:val="2"/>
            <w:noWrap w:val="0"/>
            <w:vAlign w:val="center"/>
          </w:tcPr>
          <w:p w14:paraId="0358817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331" w:type="dxa"/>
            <w:noWrap w:val="0"/>
            <w:vAlign w:val="center"/>
          </w:tcPr>
          <w:p w14:paraId="00F4094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电</w:t>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rPr>
              <w:t>话</w:t>
            </w:r>
          </w:p>
        </w:tc>
        <w:tc>
          <w:tcPr>
            <w:tcW w:w="1331" w:type="dxa"/>
            <w:noWrap w:val="0"/>
            <w:vAlign w:val="center"/>
          </w:tcPr>
          <w:p w14:paraId="790838D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B1B9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4C94A6A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成立时间</w:t>
            </w:r>
          </w:p>
        </w:tc>
        <w:tc>
          <w:tcPr>
            <w:tcW w:w="3768" w:type="dxa"/>
            <w:gridSpan w:val="3"/>
            <w:noWrap w:val="0"/>
            <w:vAlign w:val="center"/>
          </w:tcPr>
          <w:p w14:paraId="4A4A029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3993" w:type="dxa"/>
            <w:gridSpan w:val="4"/>
            <w:noWrap w:val="0"/>
            <w:vAlign w:val="center"/>
          </w:tcPr>
          <w:p w14:paraId="3DC986B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员工总人数：</w:t>
            </w:r>
          </w:p>
        </w:tc>
      </w:tr>
      <w:tr w14:paraId="6FFD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17C6CEA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企业资质等级</w:t>
            </w:r>
          </w:p>
        </w:tc>
        <w:tc>
          <w:tcPr>
            <w:tcW w:w="3768" w:type="dxa"/>
            <w:gridSpan w:val="3"/>
            <w:noWrap w:val="0"/>
            <w:vAlign w:val="center"/>
          </w:tcPr>
          <w:p w14:paraId="4B578EF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06" w:type="dxa"/>
            <w:vMerge w:val="restart"/>
            <w:noWrap w:val="0"/>
            <w:vAlign w:val="center"/>
          </w:tcPr>
          <w:p w14:paraId="093A710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其中</w:t>
            </w:r>
          </w:p>
        </w:tc>
        <w:tc>
          <w:tcPr>
            <w:tcW w:w="1556" w:type="dxa"/>
            <w:gridSpan w:val="2"/>
            <w:noWrap w:val="0"/>
            <w:vAlign w:val="center"/>
          </w:tcPr>
          <w:p w14:paraId="31E98A0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项目经理</w:t>
            </w:r>
          </w:p>
        </w:tc>
        <w:tc>
          <w:tcPr>
            <w:tcW w:w="1331" w:type="dxa"/>
            <w:noWrap w:val="0"/>
            <w:vAlign w:val="center"/>
          </w:tcPr>
          <w:p w14:paraId="6FBCB3E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DA9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0FBCCF8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营业执照号</w:t>
            </w:r>
          </w:p>
        </w:tc>
        <w:tc>
          <w:tcPr>
            <w:tcW w:w="3768" w:type="dxa"/>
            <w:gridSpan w:val="3"/>
            <w:noWrap w:val="0"/>
            <w:vAlign w:val="center"/>
          </w:tcPr>
          <w:p w14:paraId="25FDB34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06" w:type="dxa"/>
            <w:vMerge w:val="continue"/>
            <w:noWrap w:val="0"/>
            <w:vAlign w:val="center"/>
          </w:tcPr>
          <w:p w14:paraId="33C79F6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556" w:type="dxa"/>
            <w:gridSpan w:val="2"/>
            <w:noWrap w:val="0"/>
            <w:vAlign w:val="center"/>
          </w:tcPr>
          <w:p w14:paraId="1B5BC48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高级职称人员</w:t>
            </w:r>
          </w:p>
        </w:tc>
        <w:tc>
          <w:tcPr>
            <w:tcW w:w="1331" w:type="dxa"/>
            <w:noWrap w:val="0"/>
            <w:vAlign w:val="center"/>
          </w:tcPr>
          <w:p w14:paraId="49A8A9A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658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584971A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注册资金</w:t>
            </w:r>
          </w:p>
        </w:tc>
        <w:tc>
          <w:tcPr>
            <w:tcW w:w="3768" w:type="dxa"/>
            <w:gridSpan w:val="3"/>
            <w:noWrap w:val="0"/>
            <w:vAlign w:val="center"/>
          </w:tcPr>
          <w:p w14:paraId="5447F11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06" w:type="dxa"/>
            <w:vMerge w:val="continue"/>
            <w:noWrap w:val="0"/>
            <w:vAlign w:val="center"/>
          </w:tcPr>
          <w:p w14:paraId="6FFA0F4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556" w:type="dxa"/>
            <w:gridSpan w:val="2"/>
            <w:noWrap w:val="0"/>
            <w:vAlign w:val="center"/>
          </w:tcPr>
          <w:p w14:paraId="3D80AF8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中级职称人员</w:t>
            </w:r>
          </w:p>
        </w:tc>
        <w:tc>
          <w:tcPr>
            <w:tcW w:w="1331" w:type="dxa"/>
            <w:noWrap w:val="0"/>
            <w:vAlign w:val="center"/>
          </w:tcPr>
          <w:p w14:paraId="53DF044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2AB4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160BE1A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开户银行</w:t>
            </w:r>
          </w:p>
        </w:tc>
        <w:tc>
          <w:tcPr>
            <w:tcW w:w="3768" w:type="dxa"/>
            <w:gridSpan w:val="3"/>
            <w:noWrap w:val="0"/>
            <w:vAlign w:val="center"/>
          </w:tcPr>
          <w:p w14:paraId="2B54385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06" w:type="dxa"/>
            <w:vMerge w:val="continue"/>
            <w:noWrap w:val="0"/>
            <w:vAlign w:val="center"/>
          </w:tcPr>
          <w:p w14:paraId="6D38FCC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556" w:type="dxa"/>
            <w:gridSpan w:val="2"/>
            <w:noWrap w:val="0"/>
            <w:vAlign w:val="center"/>
          </w:tcPr>
          <w:p w14:paraId="7A9DD751">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初级职称人员</w:t>
            </w:r>
          </w:p>
        </w:tc>
        <w:tc>
          <w:tcPr>
            <w:tcW w:w="1331" w:type="dxa"/>
            <w:noWrap w:val="0"/>
            <w:vAlign w:val="center"/>
          </w:tcPr>
          <w:p w14:paraId="31773D4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0962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6DFB929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账号</w:t>
            </w:r>
          </w:p>
        </w:tc>
        <w:tc>
          <w:tcPr>
            <w:tcW w:w="3768" w:type="dxa"/>
            <w:gridSpan w:val="3"/>
            <w:noWrap w:val="0"/>
            <w:vAlign w:val="center"/>
          </w:tcPr>
          <w:p w14:paraId="22F6682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106" w:type="dxa"/>
            <w:vMerge w:val="continue"/>
            <w:noWrap w:val="0"/>
            <w:vAlign w:val="center"/>
          </w:tcPr>
          <w:p w14:paraId="4B19780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c>
          <w:tcPr>
            <w:tcW w:w="1556" w:type="dxa"/>
            <w:gridSpan w:val="2"/>
            <w:noWrap w:val="0"/>
            <w:vAlign w:val="center"/>
          </w:tcPr>
          <w:p w14:paraId="5F5F43A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技 工</w:t>
            </w:r>
          </w:p>
        </w:tc>
        <w:tc>
          <w:tcPr>
            <w:tcW w:w="1331" w:type="dxa"/>
            <w:noWrap w:val="0"/>
            <w:vAlign w:val="center"/>
          </w:tcPr>
          <w:p w14:paraId="5EFA208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66E2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6" w:hRule="atLeast"/>
          <w:jc w:val="center"/>
        </w:trPr>
        <w:tc>
          <w:tcPr>
            <w:tcW w:w="1552" w:type="dxa"/>
            <w:noWrap w:val="0"/>
            <w:vAlign w:val="center"/>
          </w:tcPr>
          <w:p w14:paraId="395E22D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经营范围</w:t>
            </w:r>
          </w:p>
        </w:tc>
        <w:tc>
          <w:tcPr>
            <w:tcW w:w="7761" w:type="dxa"/>
            <w:gridSpan w:val="7"/>
            <w:noWrap w:val="0"/>
            <w:vAlign w:val="center"/>
          </w:tcPr>
          <w:p w14:paraId="117F540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r w14:paraId="70E69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6A2DCB4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备注</w:t>
            </w:r>
          </w:p>
        </w:tc>
        <w:tc>
          <w:tcPr>
            <w:tcW w:w="7761" w:type="dxa"/>
            <w:gridSpan w:val="7"/>
            <w:noWrap w:val="0"/>
            <w:vAlign w:val="center"/>
          </w:tcPr>
          <w:p w14:paraId="4AAA6DF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sz w:val="24"/>
                <w:highlight w:val="none"/>
              </w:rPr>
            </w:pPr>
          </w:p>
        </w:tc>
      </w:tr>
    </w:tbl>
    <w:p w14:paraId="7408094F">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bookmarkStart w:id="2262" w:name="_Toc228881263"/>
      <w:bookmarkStart w:id="2263" w:name="_Toc228591771"/>
      <w:bookmarkStart w:id="2264" w:name="_Toc214434003"/>
      <w:bookmarkStart w:id="2265" w:name="_Toc431367158"/>
      <w:bookmarkStart w:id="2266" w:name="_Toc272772683"/>
      <w:bookmarkStart w:id="2267" w:name="_Toc228589277"/>
      <w:bookmarkStart w:id="2268" w:name="_Toc227657601"/>
      <w:bookmarkStart w:id="2269" w:name="_Toc228591623"/>
      <w:bookmarkStart w:id="2270" w:name="_Toc227492359"/>
      <w:bookmarkStart w:id="2271" w:name="_Toc228337212"/>
    </w:p>
    <w:p w14:paraId="2BCBF117">
      <w:pPr>
        <w:pageBreakBefore w:val="0"/>
        <w:kinsoku/>
        <w:wordWrap w:val="0"/>
        <w:overflowPunct/>
        <w:topLinePunct w:val="0"/>
        <w:autoSpaceDE w:val="0"/>
        <w:autoSpaceDN w:val="0"/>
        <w:bidi w:val="0"/>
        <w:adjustRightInd w:val="0"/>
        <w:spacing w:line="400" w:lineRule="exact"/>
        <w:ind w:right="-34" w:rightChars="-16"/>
        <w:jc w:val="left"/>
        <w:outlineLvl w:val="9"/>
        <w:rPr>
          <w:rFonts w:hint="default" w:ascii="宋体" w:hAnsi="宋体" w:eastAsia="宋体" w:cs="宋体"/>
          <w:color w:val="auto"/>
          <w:kern w:val="0"/>
          <w:highlight w:val="none"/>
        </w:rPr>
      </w:pPr>
      <w:bookmarkStart w:id="2272" w:name="_Toc500864553"/>
      <w:bookmarkStart w:id="2273" w:name="_Toc26612"/>
      <w:bookmarkStart w:id="2274" w:name="_Toc500865943"/>
      <w:r>
        <w:rPr>
          <w:rFonts w:hint="default" w:ascii="宋体" w:hAnsi="宋体" w:eastAsia="宋体" w:cs="宋体"/>
          <w:color w:val="auto"/>
          <w:kern w:val="0"/>
          <w:highlight w:val="none"/>
        </w:rPr>
        <w:t>注：本表后应附营业执照、投标人资质证书副本和安全生产许可等材料的复印件或扫描件。</w:t>
      </w:r>
    </w:p>
    <w:p w14:paraId="6D83E85E">
      <w:pPr>
        <w:pageBreakBefore w:val="0"/>
        <w:kinsoku/>
        <w:wordWrap w:val="0"/>
        <w:overflowPunct/>
        <w:topLinePunct w:val="0"/>
        <w:bidi w:val="0"/>
        <w:rPr>
          <w:rFonts w:hint="default" w:ascii="Times New Roman" w:hAnsi="Times New Roman" w:cs="Times New Roman"/>
          <w:color w:val="auto"/>
          <w:szCs w:val="21"/>
          <w:highlight w:val="none"/>
        </w:rPr>
        <w:sectPr>
          <w:headerReference r:id="rId14" w:type="default"/>
          <w:footerReference r:id="rId15" w:type="default"/>
          <w:pgSz w:w="11906" w:h="16838"/>
          <w:pgMar w:top="1588" w:right="1701" w:bottom="1418" w:left="1701" w:header="851" w:footer="851" w:gutter="0"/>
          <w:pgBorders>
            <w:top w:val="none" w:sz="0" w:space="0"/>
            <w:left w:val="none" w:sz="0" w:space="0"/>
            <w:bottom w:val="none" w:sz="0" w:space="0"/>
            <w:right w:val="none" w:sz="0" w:space="0"/>
          </w:pgBorders>
          <w:pgNumType w:fmt="decimal"/>
          <w:cols w:space="720" w:num="1"/>
          <w:docGrid w:linePitch="312" w:charSpace="0"/>
        </w:sectPr>
      </w:pPr>
    </w:p>
    <w:p w14:paraId="581E5388">
      <w:pPr>
        <w:pStyle w:val="23"/>
        <w:pageBreakBefore w:val="0"/>
        <w:kinsoku/>
        <w:wordWrap w:val="0"/>
        <w:overflowPunct/>
        <w:topLinePunct w:val="0"/>
        <w:bidi w:val="0"/>
        <w:ind w:firstLine="280"/>
        <w:outlineLvl w:val="9"/>
        <w:rPr>
          <w:rFonts w:hint="eastAsia" w:ascii="宋体" w:hAnsi="宋体" w:eastAsia="宋体" w:cs="宋体"/>
          <w:color w:val="auto"/>
          <w:sz w:val="28"/>
          <w:highlight w:val="none"/>
        </w:rPr>
      </w:pPr>
    </w:p>
    <w:p w14:paraId="586A287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bookmarkStart w:id="2275" w:name="_Toc24159"/>
      <w:bookmarkStart w:id="2276" w:name="_Toc30407"/>
      <w:r>
        <w:rPr>
          <w:rFonts w:hint="eastAsia" w:ascii="宋体" w:hAnsi="宋体" w:eastAsia="宋体" w:cs="宋体"/>
          <w:b/>
          <w:bCs/>
          <w:color w:val="auto"/>
          <w:kern w:val="0"/>
          <w:sz w:val="28"/>
          <w:highlight w:val="none"/>
        </w:rPr>
        <w:t>（二）近年财务状况表</w:t>
      </w:r>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p>
    <w:p w14:paraId="176870B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br w:type="page"/>
      </w:r>
      <w:bookmarkStart w:id="2277" w:name="_Toc227657602"/>
      <w:bookmarkStart w:id="2278" w:name="_Toc228337213"/>
      <w:bookmarkStart w:id="2279" w:name="_Toc272772684"/>
      <w:bookmarkStart w:id="2280" w:name="_Toc500865944"/>
      <w:bookmarkStart w:id="2281" w:name="_Toc227492360"/>
      <w:bookmarkStart w:id="2282" w:name="_Toc500864554"/>
      <w:bookmarkStart w:id="2283" w:name="_Toc228591624"/>
      <w:bookmarkStart w:id="2284" w:name="_Toc14199"/>
      <w:bookmarkStart w:id="2285" w:name="_Toc12036"/>
      <w:bookmarkStart w:id="2286" w:name="_Toc228589278"/>
      <w:bookmarkStart w:id="2287" w:name="_Toc228881264"/>
      <w:bookmarkStart w:id="2288" w:name="_Toc31406"/>
      <w:bookmarkStart w:id="2289" w:name="_Toc228591772"/>
      <w:bookmarkStart w:id="2290" w:name="_Toc431367159"/>
      <w:bookmarkStart w:id="2291" w:name="_Toc214434004"/>
    </w:p>
    <w:p w14:paraId="6384BA98">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（三）近年完成的类似项目情况表</w:t>
      </w:r>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p>
    <w:tbl>
      <w:tblPr>
        <w:tblStyle w:val="49"/>
        <w:tblW w:w="89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6289"/>
      </w:tblGrid>
      <w:tr w14:paraId="6A01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4014E34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项目名称</w:t>
            </w:r>
          </w:p>
        </w:tc>
        <w:tc>
          <w:tcPr>
            <w:tcW w:w="6289" w:type="dxa"/>
            <w:noWrap w:val="0"/>
            <w:vAlign w:val="center"/>
          </w:tcPr>
          <w:p w14:paraId="5B328F9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7F37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7104BB2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项目所在地</w:t>
            </w:r>
          </w:p>
        </w:tc>
        <w:tc>
          <w:tcPr>
            <w:tcW w:w="6289" w:type="dxa"/>
            <w:noWrap w:val="0"/>
            <w:vAlign w:val="center"/>
          </w:tcPr>
          <w:p w14:paraId="0E4510F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5C152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23DA446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发包人名称</w:t>
            </w:r>
          </w:p>
        </w:tc>
        <w:tc>
          <w:tcPr>
            <w:tcW w:w="6289" w:type="dxa"/>
            <w:noWrap w:val="0"/>
            <w:vAlign w:val="center"/>
          </w:tcPr>
          <w:p w14:paraId="1BC7071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07556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428283A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发包人地址</w:t>
            </w:r>
          </w:p>
        </w:tc>
        <w:tc>
          <w:tcPr>
            <w:tcW w:w="6289" w:type="dxa"/>
            <w:noWrap w:val="0"/>
            <w:vAlign w:val="center"/>
          </w:tcPr>
          <w:p w14:paraId="0201C2F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525E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36CB604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发包人电话</w:t>
            </w:r>
          </w:p>
        </w:tc>
        <w:tc>
          <w:tcPr>
            <w:tcW w:w="6289" w:type="dxa"/>
            <w:noWrap w:val="0"/>
            <w:vAlign w:val="center"/>
          </w:tcPr>
          <w:p w14:paraId="25CB036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5E343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1A1887E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合同价格</w:t>
            </w:r>
          </w:p>
        </w:tc>
        <w:tc>
          <w:tcPr>
            <w:tcW w:w="6289" w:type="dxa"/>
            <w:noWrap w:val="0"/>
            <w:vAlign w:val="center"/>
          </w:tcPr>
          <w:p w14:paraId="2B26200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1A292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500D80A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开工日期</w:t>
            </w:r>
          </w:p>
        </w:tc>
        <w:tc>
          <w:tcPr>
            <w:tcW w:w="6289" w:type="dxa"/>
            <w:noWrap w:val="0"/>
            <w:vAlign w:val="center"/>
          </w:tcPr>
          <w:p w14:paraId="6EF4703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77DB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5398BF0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竣工日期</w:t>
            </w:r>
          </w:p>
        </w:tc>
        <w:tc>
          <w:tcPr>
            <w:tcW w:w="6289" w:type="dxa"/>
            <w:noWrap w:val="0"/>
            <w:vAlign w:val="center"/>
          </w:tcPr>
          <w:p w14:paraId="0BA2BE1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48097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5C174A0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承担的工作</w:t>
            </w:r>
          </w:p>
        </w:tc>
        <w:tc>
          <w:tcPr>
            <w:tcW w:w="6289" w:type="dxa"/>
            <w:noWrap w:val="0"/>
            <w:vAlign w:val="center"/>
          </w:tcPr>
          <w:p w14:paraId="1BB4FB2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2252E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27C5F6B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工程质量</w:t>
            </w:r>
          </w:p>
        </w:tc>
        <w:tc>
          <w:tcPr>
            <w:tcW w:w="6289" w:type="dxa"/>
            <w:noWrap w:val="0"/>
            <w:vAlign w:val="center"/>
          </w:tcPr>
          <w:p w14:paraId="3B10096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0E91D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6680810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项目经理</w:t>
            </w:r>
          </w:p>
        </w:tc>
        <w:tc>
          <w:tcPr>
            <w:tcW w:w="6289" w:type="dxa"/>
            <w:noWrap w:val="0"/>
            <w:vAlign w:val="center"/>
          </w:tcPr>
          <w:p w14:paraId="51E196B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0D56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0901C02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技术负责人</w:t>
            </w:r>
          </w:p>
        </w:tc>
        <w:tc>
          <w:tcPr>
            <w:tcW w:w="6289" w:type="dxa"/>
            <w:noWrap w:val="0"/>
            <w:vAlign w:val="center"/>
          </w:tcPr>
          <w:p w14:paraId="1BBC8AF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676F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7C15697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总监理工程师及电话</w:t>
            </w:r>
          </w:p>
        </w:tc>
        <w:tc>
          <w:tcPr>
            <w:tcW w:w="6289" w:type="dxa"/>
            <w:noWrap w:val="0"/>
            <w:vAlign w:val="center"/>
          </w:tcPr>
          <w:p w14:paraId="1E47524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69EF4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5" w:hRule="atLeast"/>
        </w:trPr>
        <w:tc>
          <w:tcPr>
            <w:tcW w:w="2678" w:type="dxa"/>
            <w:noWrap w:val="0"/>
            <w:vAlign w:val="center"/>
          </w:tcPr>
          <w:p w14:paraId="107B4CB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项目描述</w:t>
            </w:r>
          </w:p>
        </w:tc>
        <w:tc>
          <w:tcPr>
            <w:tcW w:w="6289" w:type="dxa"/>
            <w:noWrap w:val="0"/>
            <w:vAlign w:val="center"/>
          </w:tcPr>
          <w:p w14:paraId="75836D63">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70B6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60988FC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备注</w:t>
            </w:r>
          </w:p>
        </w:tc>
        <w:tc>
          <w:tcPr>
            <w:tcW w:w="6289" w:type="dxa"/>
            <w:noWrap w:val="0"/>
            <w:vAlign w:val="center"/>
          </w:tcPr>
          <w:p w14:paraId="3DCFE14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bl>
    <w:p w14:paraId="2DF7F5BD">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bookmarkStart w:id="2292" w:name="_Toc228337214"/>
      <w:bookmarkStart w:id="2293" w:name="_Toc214434005"/>
      <w:bookmarkStart w:id="2294" w:name="_Toc228591625"/>
      <w:bookmarkStart w:id="2295" w:name="_Toc228881265"/>
      <w:bookmarkStart w:id="2296" w:name="_Toc228589279"/>
      <w:bookmarkStart w:id="2297" w:name="_Toc227657603"/>
      <w:bookmarkStart w:id="2298" w:name="_Toc431367160"/>
      <w:bookmarkStart w:id="2299" w:name="_Toc272772685"/>
      <w:bookmarkStart w:id="2300" w:name="_Toc228591773"/>
      <w:bookmarkStart w:id="2301" w:name="_Toc227492361"/>
    </w:p>
    <w:p w14:paraId="65838F7C">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r>
        <w:rPr>
          <w:rFonts w:hint="eastAsia" w:ascii="宋体" w:hAnsi="宋体" w:eastAsia="宋体" w:cs="宋体"/>
          <w:color w:val="auto"/>
          <w:kern w:val="0"/>
          <w:highlight w:val="none"/>
          <w:lang w:val="en-US" w:eastAsia="zh-CN"/>
        </w:rPr>
        <w:t>注：</w:t>
      </w:r>
      <w:r>
        <w:rPr>
          <w:rFonts w:hint="eastAsia" w:ascii="宋体" w:hAnsi="宋体" w:eastAsia="宋体" w:cs="宋体"/>
          <w:color w:val="auto"/>
          <w:kern w:val="0"/>
          <w:highlight w:val="none"/>
        </w:rPr>
        <w:t>每张表格只填写一个项目，并标明序号。</w:t>
      </w:r>
      <w:r>
        <w:rPr>
          <w:rFonts w:hint="eastAsia" w:ascii="宋体" w:hAnsi="宋体" w:eastAsia="宋体" w:cs="宋体"/>
          <w:color w:val="auto"/>
          <w:kern w:val="0"/>
          <w:sz w:val="28"/>
          <w:highlight w:val="none"/>
        </w:rPr>
        <w:br w:type="page"/>
      </w:r>
      <w:bookmarkStart w:id="2302" w:name="_Toc500864555"/>
      <w:bookmarkStart w:id="2303" w:name="_Toc28490"/>
      <w:bookmarkStart w:id="2304" w:name="_Toc27879"/>
      <w:bookmarkStart w:id="2305" w:name="_Toc500865945"/>
      <w:bookmarkStart w:id="2306" w:name="_Toc22601"/>
    </w:p>
    <w:p w14:paraId="6B8A1837">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（四）正在施工的和新承接的项目情况表</w:t>
      </w:r>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p>
    <w:tbl>
      <w:tblPr>
        <w:tblStyle w:val="49"/>
        <w:tblpPr w:leftFromText="180" w:rightFromText="180" w:vertAnchor="text" w:horzAnchor="margin" w:tblpY="258"/>
        <w:tblW w:w="9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6342"/>
      </w:tblGrid>
      <w:tr w14:paraId="7CA2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0A10DD37">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项目名称</w:t>
            </w:r>
          </w:p>
        </w:tc>
        <w:tc>
          <w:tcPr>
            <w:tcW w:w="6342" w:type="dxa"/>
            <w:noWrap w:val="0"/>
            <w:vAlign w:val="center"/>
          </w:tcPr>
          <w:p w14:paraId="6D38DA2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7B226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78B4E7F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项目所在地</w:t>
            </w:r>
          </w:p>
        </w:tc>
        <w:tc>
          <w:tcPr>
            <w:tcW w:w="6342" w:type="dxa"/>
            <w:noWrap w:val="0"/>
            <w:vAlign w:val="center"/>
          </w:tcPr>
          <w:p w14:paraId="0CFEA7B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24F68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26461F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发包人名称</w:t>
            </w:r>
          </w:p>
        </w:tc>
        <w:tc>
          <w:tcPr>
            <w:tcW w:w="6342" w:type="dxa"/>
            <w:noWrap w:val="0"/>
            <w:vAlign w:val="center"/>
          </w:tcPr>
          <w:p w14:paraId="21A8CC52">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0B71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50F8988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发包人地址</w:t>
            </w:r>
          </w:p>
        </w:tc>
        <w:tc>
          <w:tcPr>
            <w:tcW w:w="6342" w:type="dxa"/>
            <w:noWrap w:val="0"/>
            <w:vAlign w:val="center"/>
          </w:tcPr>
          <w:p w14:paraId="3C7329FA">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46546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4C18C95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发包人电话</w:t>
            </w:r>
          </w:p>
        </w:tc>
        <w:tc>
          <w:tcPr>
            <w:tcW w:w="6342" w:type="dxa"/>
            <w:noWrap w:val="0"/>
            <w:vAlign w:val="center"/>
          </w:tcPr>
          <w:p w14:paraId="5797481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7B080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79F9A4C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签约合同价</w:t>
            </w:r>
          </w:p>
        </w:tc>
        <w:tc>
          <w:tcPr>
            <w:tcW w:w="6342" w:type="dxa"/>
            <w:noWrap w:val="0"/>
            <w:vAlign w:val="center"/>
          </w:tcPr>
          <w:p w14:paraId="41F2A2B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4C3F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C3EB584">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开工日期</w:t>
            </w:r>
          </w:p>
        </w:tc>
        <w:tc>
          <w:tcPr>
            <w:tcW w:w="6342" w:type="dxa"/>
            <w:noWrap w:val="0"/>
            <w:vAlign w:val="center"/>
          </w:tcPr>
          <w:p w14:paraId="7D4BC2D0">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2533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2F2414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计划竣工日期</w:t>
            </w:r>
          </w:p>
        </w:tc>
        <w:tc>
          <w:tcPr>
            <w:tcW w:w="6342" w:type="dxa"/>
            <w:noWrap w:val="0"/>
            <w:vAlign w:val="center"/>
          </w:tcPr>
          <w:p w14:paraId="3B695DA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5E3C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11CFC9E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承担的工作</w:t>
            </w:r>
          </w:p>
        </w:tc>
        <w:tc>
          <w:tcPr>
            <w:tcW w:w="6342" w:type="dxa"/>
            <w:noWrap w:val="0"/>
            <w:vAlign w:val="center"/>
          </w:tcPr>
          <w:p w14:paraId="434FBCA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6E8FC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DF4B30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工程质量</w:t>
            </w:r>
          </w:p>
        </w:tc>
        <w:tc>
          <w:tcPr>
            <w:tcW w:w="6342" w:type="dxa"/>
            <w:noWrap w:val="0"/>
            <w:vAlign w:val="center"/>
          </w:tcPr>
          <w:p w14:paraId="2A34BEC8">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7CC84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497688D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项目经理</w:t>
            </w:r>
          </w:p>
        </w:tc>
        <w:tc>
          <w:tcPr>
            <w:tcW w:w="6342" w:type="dxa"/>
            <w:noWrap w:val="0"/>
            <w:vAlign w:val="center"/>
          </w:tcPr>
          <w:p w14:paraId="4892DF09">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7B70B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518884D">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技术负责人</w:t>
            </w:r>
          </w:p>
        </w:tc>
        <w:tc>
          <w:tcPr>
            <w:tcW w:w="6342" w:type="dxa"/>
            <w:noWrap w:val="0"/>
            <w:vAlign w:val="center"/>
          </w:tcPr>
          <w:p w14:paraId="5D8114AB">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2E81E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29AC1FAE">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总监理工程师及电话</w:t>
            </w:r>
          </w:p>
        </w:tc>
        <w:tc>
          <w:tcPr>
            <w:tcW w:w="6342" w:type="dxa"/>
            <w:noWrap w:val="0"/>
            <w:vAlign w:val="center"/>
          </w:tcPr>
          <w:p w14:paraId="57942516">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13E4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1" w:hRule="atLeast"/>
        </w:trPr>
        <w:tc>
          <w:tcPr>
            <w:tcW w:w="2687" w:type="dxa"/>
            <w:noWrap w:val="0"/>
            <w:vAlign w:val="center"/>
          </w:tcPr>
          <w:p w14:paraId="1AC4F0A5">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项目描述</w:t>
            </w:r>
          </w:p>
        </w:tc>
        <w:tc>
          <w:tcPr>
            <w:tcW w:w="6342" w:type="dxa"/>
            <w:noWrap w:val="0"/>
            <w:vAlign w:val="center"/>
          </w:tcPr>
          <w:p w14:paraId="752083C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r w14:paraId="7019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36432D9F">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r>
              <w:rPr>
                <w:rFonts w:hint="eastAsia" w:ascii="宋体" w:hAnsi="宋体" w:eastAsia="宋体" w:cs="宋体"/>
                <w:color w:val="auto"/>
                <w:kern w:val="0"/>
                <w:highlight w:val="none"/>
              </w:rPr>
              <w:t>备注</w:t>
            </w:r>
          </w:p>
        </w:tc>
        <w:tc>
          <w:tcPr>
            <w:tcW w:w="6342" w:type="dxa"/>
            <w:noWrap w:val="0"/>
            <w:vAlign w:val="center"/>
          </w:tcPr>
          <w:p w14:paraId="564B0D4C">
            <w:pPr>
              <w:keepNext w:val="0"/>
              <w:keepLines w:val="0"/>
              <w:pageBreakBefore w:val="0"/>
              <w:suppressLineNumbers w:val="0"/>
              <w:kinsoku/>
              <w:wordWrap w:val="0"/>
              <w:overflowPunct/>
              <w:topLinePunct w:val="0"/>
              <w:autoSpaceDE w:val="0"/>
              <w:autoSpaceDN w:val="0"/>
              <w:bidi w:val="0"/>
              <w:adjustRightInd w:val="0"/>
              <w:spacing w:before="0" w:beforeAutospacing="0" w:after="0" w:afterAutospacing="0" w:line="400" w:lineRule="exact"/>
              <w:ind w:left="0" w:right="-34" w:rightChars="-16"/>
              <w:jc w:val="center"/>
              <w:outlineLvl w:val="9"/>
              <w:rPr>
                <w:rFonts w:hint="eastAsia" w:ascii="宋体" w:hAnsi="宋体" w:eastAsia="宋体" w:cs="宋体"/>
                <w:color w:val="auto"/>
                <w:kern w:val="0"/>
                <w:highlight w:val="none"/>
              </w:rPr>
            </w:pPr>
          </w:p>
        </w:tc>
      </w:tr>
    </w:tbl>
    <w:p w14:paraId="0649BB28">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highlight w:val="none"/>
        </w:rPr>
      </w:pPr>
      <w:bookmarkStart w:id="2307" w:name="_Toc214434006"/>
      <w:bookmarkStart w:id="2308" w:name="_Toc500864556"/>
      <w:bookmarkStart w:id="2309" w:name="_Toc431367161"/>
      <w:bookmarkStart w:id="2310" w:name="_Toc272772686"/>
      <w:bookmarkStart w:id="2311" w:name="_Toc228591626"/>
      <w:bookmarkStart w:id="2312" w:name="_Toc228591774"/>
      <w:bookmarkStart w:id="2313" w:name="_Toc228589280"/>
      <w:bookmarkStart w:id="2314" w:name="_Toc227492362"/>
      <w:bookmarkStart w:id="2315" w:name="_Toc5240"/>
      <w:bookmarkStart w:id="2316" w:name="_Toc20613"/>
      <w:bookmarkStart w:id="2317" w:name="_Toc500865946"/>
      <w:bookmarkStart w:id="2318" w:name="_Toc228881266"/>
      <w:bookmarkStart w:id="2319" w:name="_Toc228337215"/>
      <w:bookmarkStart w:id="2320" w:name="_Toc227657604"/>
      <w:r>
        <w:rPr>
          <w:rFonts w:hint="eastAsia" w:ascii="宋体" w:hAnsi="宋体" w:eastAsia="宋体" w:cs="宋体"/>
          <w:color w:val="auto"/>
          <w:kern w:val="0"/>
          <w:highlight w:val="none"/>
        </w:rPr>
        <w:t>注：本表后附中标通知书或合同协议书复印件或扫描件。每张表格只填写一个项目，并标明序号。</w:t>
      </w:r>
    </w:p>
    <w:p w14:paraId="019616A5">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bCs/>
          <w:color w:val="auto"/>
          <w:kern w:val="0"/>
          <w:sz w:val="28"/>
          <w:highlight w:val="none"/>
        </w:rPr>
      </w:pPr>
    </w:p>
    <w:p w14:paraId="5B6D3F6E">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bCs/>
          <w:color w:val="auto"/>
          <w:kern w:val="0"/>
          <w:sz w:val="28"/>
          <w:highlight w:val="none"/>
        </w:rPr>
      </w:pPr>
    </w:p>
    <w:p w14:paraId="5A9605F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bCs/>
          <w:color w:val="auto"/>
          <w:kern w:val="0"/>
          <w:sz w:val="28"/>
          <w:highlight w:val="none"/>
        </w:rPr>
      </w:pPr>
    </w:p>
    <w:p w14:paraId="76B5D86A">
      <w:pPr>
        <w:pageBreakBefore w:val="0"/>
        <w:kinsoku/>
        <w:wordWrap w:val="0"/>
        <w:overflowPunct/>
        <w:topLinePunct w:val="0"/>
        <w:autoSpaceDE w:val="0"/>
        <w:autoSpaceDN w:val="0"/>
        <w:bidi w:val="0"/>
        <w:adjustRightInd w:val="0"/>
        <w:spacing w:line="400" w:lineRule="exact"/>
        <w:ind w:right="-34" w:rightChars="-16"/>
        <w:jc w:val="left"/>
        <w:outlineLvl w:val="9"/>
        <w:rPr>
          <w:rFonts w:hint="eastAsia" w:ascii="宋体" w:hAnsi="宋体" w:eastAsia="宋体" w:cs="宋体"/>
          <w:b/>
          <w:bCs/>
          <w:color w:val="auto"/>
          <w:kern w:val="0"/>
          <w:sz w:val="28"/>
          <w:highlight w:val="none"/>
        </w:rPr>
      </w:pPr>
      <w:bookmarkStart w:id="2321" w:name="_Toc29969"/>
      <w:r>
        <w:rPr>
          <w:rFonts w:hint="eastAsia" w:ascii="宋体" w:hAnsi="宋体" w:eastAsia="宋体" w:cs="宋体"/>
          <w:b/>
          <w:bCs/>
          <w:color w:val="auto"/>
          <w:kern w:val="0"/>
          <w:sz w:val="28"/>
          <w:highlight w:val="none"/>
        </w:rPr>
        <w:t>（五）近年发生的诉讼及仲裁情况</w:t>
      </w:r>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p>
    <w:p w14:paraId="12CB447E">
      <w:pPr>
        <w:pageBreakBefore w:val="0"/>
        <w:kinsoku/>
        <w:wordWrap w:val="0"/>
        <w:overflowPunct/>
        <w:topLinePunct w:val="0"/>
        <w:autoSpaceDE w:val="0"/>
        <w:autoSpaceDN w:val="0"/>
        <w:bidi w:val="0"/>
        <w:adjustRightInd w:val="0"/>
        <w:spacing w:line="400" w:lineRule="exact"/>
        <w:ind w:right="-34" w:rightChars="-16" w:firstLine="440" w:firstLineChars="200"/>
        <w:jc w:val="left"/>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sz w:val="22"/>
          <w:szCs w:val="21"/>
          <w:highlight w:val="none"/>
        </w:rPr>
        <w:t>说明：近年（年份要求见投标人须知前附表）发生的诉讼和仲裁情况仅限于投标人败诉的，且与履行施工承包合同有关的案件，不包括调解结案以及未裁决的仲裁或未终审判决的诉讼。</w:t>
      </w:r>
      <w:r>
        <w:rPr>
          <w:rFonts w:hint="eastAsia" w:ascii="宋体" w:hAnsi="宋体" w:eastAsia="宋体" w:cs="宋体"/>
          <w:color w:val="auto"/>
          <w:kern w:val="0"/>
          <w:sz w:val="22"/>
          <w:szCs w:val="21"/>
          <w:highlight w:val="none"/>
        </w:rPr>
        <w:br w:type="page"/>
      </w:r>
      <w:bookmarkStart w:id="2322" w:name="_Toc28181"/>
      <w:bookmarkStart w:id="2323" w:name="_Toc3139"/>
      <w:bookmarkStart w:id="2324" w:name="_Toc18626"/>
      <w:bookmarkStart w:id="2325" w:name="_Toc431367174"/>
      <w:bookmarkStart w:id="2326" w:name="_Toc24409"/>
      <w:bookmarkStart w:id="2327" w:name="_Toc500864557"/>
      <w:r>
        <w:rPr>
          <w:rFonts w:hint="eastAsia" w:ascii="宋体" w:hAnsi="宋体" w:eastAsia="宋体" w:cs="宋体"/>
          <w:b/>
          <w:color w:val="auto"/>
          <w:kern w:val="0"/>
          <w:sz w:val="32"/>
          <w:szCs w:val="21"/>
          <w:highlight w:val="none"/>
        </w:rPr>
        <w:t>十、其他材料</w:t>
      </w:r>
      <w:bookmarkEnd w:id="2322"/>
      <w:bookmarkEnd w:id="2323"/>
      <w:bookmarkEnd w:id="2324"/>
      <w:bookmarkEnd w:id="2325"/>
      <w:bookmarkEnd w:id="2326"/>
      <w:bookmarkEnd w:id="2327"/>
    </w:p>
    <w:p w14:paraId="0AA8400B">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4"/>
          <w:szCs w:val="18"/>
          <w:highlight w:val="none"/>
        </w:rPr>
      </w:pPr>
      <w:r>
        <w:rPr>
          <w:rFonts w:hint="eastAsia" w:ascii="宋体" w:hAnsi="宋体" w:eastAsia="宋体" w:cs="宋体"/>
          <w:b/>
          <w:color w:val="auto"/>
          <w:kern w:val="0"/>
          <w:sz w:val="28"/>
          <w:szCs w:val="28"/>
          <w:highlight w:val="none"/>
        </w:rPr>
        <w:t>（一）投标活动承诺书</w:t>
      </w:r>
    </w:p>
    <w:p w14:paraId="27B0CCB0">
      <w:pPr>
        <w:pageBreakBefore w:val="0"/>
        <w:kinsoku/>
        <w:wordWrap w:val="0"/>
        <w:overflowPunct/>
        <w:topLinePunct w:val="0"/>
        <w:autoSpaceDE w:val="0"/>
        <w:autoSpaceDN w:val="0"/>
        <w:bidi w:val="0"/>
        <w:adjustRightInd w:val="0"/>
        <w:ind w:right="-34" w:rightChars="-16"/>
        <w:jc w:val="center"/>
        <w:outlineLvl w:val="9"/>
        <w:rPr>
          <w:rFonts w:hint="eastAsia" w:ascii="宋体" w:hAnsi="宋体" w:eastAsia="宋体" w:cs="宋体"/>
          <w:b/>
          <w:color w:val="auto"/>
          <w:kern w:val="0"/>
          <w:sz w:val="28"/>
          <w:szCs w:val="28"/>
          <w:highlight w:val="none"/>
        </w:rPr>
      </w:pPr>
      <w:bookmarkStart w:id="2328" w:name="_Toc20268"/>
      <w:bookmarkStart w:id="2329" w:name="_Toc601"/>
      <w:r>
        <w:rPr>
          <w:rFonts w:hint="eastAsia" w:ascii="宋体" w:hAnsi="宋体" w:eastAsia="宋体" w:cs="宋体"/>
          <w:b/>
          <w:color w:val="auto"/>
          <w:kern w:val="0"/>
          <w:sz w:val="28"/>
          <w:szCs w:val="28"/>
          <w:highlight w:val="none"/>
        </w:rPr>
        <w:t>承诺书</w:t>
      </w:r>
      <w:bookmarkEnd w:id="2328"/>
      <w:bookmarkEnd w:id="2329"/>
    </w:p>
    <w:p w14:paraId="03D41266">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4"/>
          <w:szCs w:val="24"/>
          <w:highlight w:val="none"/>
        </w:rPr>
      </w:pPr>
    </w:p>
    <w:p w14:paraId="12E152CF">
      <w:pPr>
        <w:pStyle w:val="45"/>
        <w:pageBreakBefore w:val="0"/>
        <w:kinsoku/>
        <w:wordWrap w:val="0"/>
        <w:overflowPunct/>
        <w:topLinePunct w:val="0"/>
        <w:bidi w:val="0"/>
        <w:spacing w:before="0" w:beforeAutospacing="0" w:after="0" w:afterAutospacing="0"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2CE2F557">
      <w:pPr>
        <w:pStyle w:val="45"/>
        <w:pageBreakBefore w:val="0"/>
        <w:kinsoku/>
        <w:wordWrap w:val="0"/>
        <w:overflowPunct/>
        <w:topLinePunct w:val="0"/>
        <w:bidi w:val="0"/>
        <w:spacing w:before="0" w:beforeAutospacing="0" w:after="0" w:afterAutospacing="0"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一、遵循公开、公正和诚实信用的原则自愿参加本项目的投标，所提供的一切材料都是真实、有效、合法的；</w:t>
      </w:r>
    </w:p>
    <w:p w14:paraId="52B5030F">
      <w:pPr>
        <w:pStyle w:val="45"/>
        <w:pageBreakBefore w:val="0"/>
        <w:kinsoku/>
        <w:wordWrap w:val="0"/>
        <w:overflowPunct/>
        <w:topLinePunct w:val="0"/>
        <w:bidi w:val="0"/>
        <w:spacing w:before="0" w:beforeAutospacing="0" w:after="0" w:afterAutospacing="0"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二、不存在投标报价明显低于成本价或高于招标文件设定的最高投标限价，恶意扰乱市场正常秩序；</w:t>
      </w:r>
    </w:p>
    <w:p w14:paraId="58A51338">
      <w:pPr>
        <w:pStyle w:val="45"/>
        <w:pageBreakBefore w:val="0"/>
        <w:kinsoku/>
        <w:wordWrap w:val="0"/>
        <w:overflowPunct/>
        <w:topLinePunct w:val="0"/>
        <w:bidi w:val="0"/>
        <w:spacing w:before="0" w:beforeAutospacing="0" w:after="0" w:afterAutospacing="0" w:line="360" w:lineRule="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三、不存在出租（出借）或转让资格、资质证书供他人投标的情况，不借用、挂靠他人资质证书，不存在以他人名义投标或者以其他方式弄虚作假（含不实承诺）骗取中标情形</w:t>
      </w:r>
      <w:r>
        <w:rPr>
          <w:rFonts w:hint="eastAsia" w:eastAsia="宋体" w:cs="宋体"/>
          <w:color w:val="auto"/>
          <w:sz w:val="24"/>
          <w:szCs w:val="24"/>
          <w:highlight w:val="none"/>
          <w:lang w:eastAsia="zh-CN"/>
        </w:rPr>
        <w:t>；</w:t>
      </w:r>
    </w:p>
    <w:p w14:paraId="1212CA22">
      <w:pPr>
        <w:pStyle w:val="45"/>
        <w:pageBreakBefore w:val="0"/>
        <w:kinsoku/>
        <w:wordWrap w:val="0"/>
        <w:overflowPunct/>
        <w:topLinePunct w:val="0"/>
        <w:bidi w:val="0"/>
        <w:spacing w:before="0" w:beforeAutospacing="0" w:after="0" w:afterAutospacing="0"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6849B5BE">
      <w:pPr>
        <w:pStyle w:val="45"/>
        <w:pageBreakBefore w:val="0"/>
        <w:kinsoku/>
        <w:wordWrap w:val="0"/>
        <w:overflowPunct/>
        <w:topLinePunct w:val="0"/>
        <w:bidi w:val="0"/>
        <w:spacing w:before="0" w:beforeAutospacing="0" w:after="0" w:afterAutospacing="0" w:line="360" w:lineRule="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五、不与招标人、招标代理机构或其他投标人串通投标，损害国家利益、社会公共利益或者他人的合法权益</w:t>
      </w:r>
      <w:r>
        <w:rPr>
          <w:rFonts w:hint="eastAsia" w:eastAsia="宋体" w:cs="宋体"/>
          <w:color w:val="auto"/>
          <w:sz w:val="24"/>
          <w:szCs w:val="24"/>
          <w:highlight w:val="none"/>
          <w:lang w:eastAsia="zh-CN"/>
        </w:rPr>
        <w:t>；</w:t>
      </w:r>
    </w:p>
    <w:p w14:paraId="28B0346D">
      <w:pPr>
        <w:pStyle w:val="45"/>
        <w:pageBreakBefore w:val="0"/>
        <w:kinsoku/>
        <w:wordWrap w:val="0"/>
        <w:overflowPunct/>
        <w:topLinePunct w:val="0"/>
        <w:bidi w:val="0"/>
        <w:spacing w:before="0" w:beforeAutospacing="0" w:after="0" w:afterAutospacing="0"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六、严格遵守开标现场纪律，服从监管人员管理;</w:t>
      </w:r>
    </w:p>
    <w:p w14:paraId="4B372689">
      <w:pPr>
        <w:pStyle w:val="45"/>
        <w:pageBreakBefore w:val="0"/>
        <w:kinsoku/>
        <w:wordWrap w:val="0"/>
        <w:overflowPunct/>
        <w:topLinePunct w:val="0"/>
        <w:bidi w:val="0"/>
        <w:spacing w:before="0" w:beforeAutospacing="0" w:after="0" w:afterAutospacing="0"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67BC9395">
      <w:pPr>
        <w:pStyle w:val="45"/>
        <w:pageBreakBefore w:val="0"/>
        <w:kinsoku/>
        <w:wordWrap w:val="0"/>
        <w:overflowPunct/>
        <w:topLinePunct w:val="0"/>
        <w:bidi w:val="0"/>
        <w:spacing w:before="0" w:beforeAutospacing="0" w:after="0" w:afterAutospacing="0" w:line="360" w:lineRule="auto"/>
        <w:jc w:val="right"/>
        <w:outlineLvl w:val="9"/>
        <w:rPr>
          <w:rFonts w:hint="eastAsia" w:ascii="宋体" w:hAnsi="宋体" w:eastAsia="宋体" w:cs="宋体"/>
          <w:color w:val="auto"/>
          <w:sz w:val="24"/>
          <w:szCs w:val="24"/>
          <w:highlight w:val="none"/>
        </w:rPr>
      </w:pPr>
    </w:p>
    <w:p w14:paraId="23A2DB5A">
      <w:pPr>
        <w:pStyle w:val="45"/>
        <w:pageBreakBefore w:val="0"/>
        <w:kinsoku/>
        <w:wordWrap w:val="0"/>
        <w:overflowPunct/>
        <w:topLinePunct w:val="0"/>
        <w:bidi w:val="0"/>
        <w:spacing w:before="0" w:beforeAutospacing="0" w:after="0" w:afterAutospacing="0" w:line="360" w:lineRule="auto"/>
        <w:ind w:right="640" w:firstLine="3360" w:firstLineChars="14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 诺 人：（公章）</w:t>
      </w:r>
    </w:p>
    <w:p w14:paraId="0684D876">
      <w:pPr>
        <w:pStyle w:val="45"/>
        <w:pageBreakBefore w:val="0"/>
        <w:kinsoku/>
        <w:wordWrap w:val="0"/>
        <w:overflowPunct/>
        <w:topLinePunct w:val="0"/>
        <w:bidi w:val="0"/>
        <w:spacing w:before="0" w:beforeAutospacing="0" w:after="0" w:afterAutospacing="0" w:line="360" w:lineRule="auto"/>
        <w:ind w:right="640" w:firstLine="3360" w:firstLineChars="14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65511E3F">
      <w:pPr>
        <w:pStyle w:val="45"/>
        <w:pageBreakBefore w:val="0"/>
        <w:kinsoku/>
        <w:wordWrap w:val="0"/>
        <w:overflowPunct/>
        <w:topLinePunct w:val="0"/>
        <w:bidi w:val="0"/>
        <w:spacing w:before="0" w:beforeAutospacing="0" w:after="0" w:afterAutospacing="0" w:line="360" w:lineRule="auto"/>
        <w:ind w:right="640" w:firstLine="1200" w:firstLineChars="5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w:t>
      </w:r>
    </w:p>
    <w:p w14:paraId="68C5DC2B">
      <w:pPr>
        <w:pStyle w:val="45"/>
        <w:pageBreakBefore w:val="0"/>
        <w:kinsoku/>
        <w:wordWrap w:val="0"/>
        <w:overflowPunct/>
        <w:topLinePunct w:val="0"/>
        <w:bidi w:val="0"/>
        <w:spacing w:before="0" w:beforeAutospacing="0" w:after="0" w:afterAutospacing="0" w:line="360" w:lineRule="auto"/>
        <w:ind w:right="640"/>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p>
    <w:p w14:paraId="75DBB521">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br w:type="page"/>
      </w:r>
      <w:bookmarkStart w:id="2330" w:name="_Toc500865955"/>
      <w:bookmarkStart w:id="2331" w:name="_Toc500864565"/>
      <w:bookmarkStart w:id="2332" w:name="_Toc3679"/>
      <w:bookmarkStart w:id="2333" w:name="_Toc4392"/>
    </w:p>
    <w:p w14:paraId="4494DA6C">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0"/>
          <w:szCs w:val="30"/>
          <w:highlight w:val="none"/>
        </w:rPr>
      </w:pPr>
      <w:r>
        <w:rPr>
          <w:rFonts w:hint="eastAsia" w:ascii="宋体" w:hAnsi="宋体" w:eastAsia="宋体" w:cs="宋体"/>
          <w:b/>
          <w:bCs/>
          <w:color w:val="auto"/>
          <w:kern w:val="0"/>
          <w:sz w:val="28"/>
          <w:szCs w:val="28"/>
          <w:highlight w:val="none"/>
        </w:rPr>
        <w:t>（二）</w:t>
      </w:r>
      <w:bookmarkEnd w:id="2330"/>
      <w:bookmarkEnd w:id="2331"/>
      <w:r>
        <w:rPr>
          <w:rFonts w:hint="eastAsia" w:ascii="宋体" w:hAnsi="宋体" w:eastAsia="宋体" w:cs="宋体"/>
          <w:b/>
          <w:bCs/>
          <w:color w:val="auto"/>
          <w:sz w:val="28"/>
          <w:szCs w:val="28"/>
          <w:highlight w:val="none"/>
        </w:rPr>
        <w:t>投标人认为有必要提供的其他材料</w:t>
      </w:r>
      <w:bookmarkEnd w:id="2332"/>
      <w:bookmarkEnd w:id="2333"/>
    </w:p>
    <w:p w14:paraId="2EDF91E2">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highlight w:val="none"/>
        </w:rPr>
      </w:pPr>
    </w:p>
    <w:p w14:paraId="7DF59529">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b/>
          <w:color w:val="auto"/>
          <w:kern w:val="0"/>
          <w:sz w:val="28"/>
          <w:highlight w:val="none"/>
        </w:rPr>
      </w:pPr>
    </w:p>
    <w:p w14:paraId="7F283800">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b/>
          <w:color w:val="auto"/>
          <w:kern w:val="0"/>
          <w:sz w:val="30"/>
          <w:szCs w:val="30"/>
          <w:highlight w:val="none"/>
        </w:rPr>
      </w:pPr>
    </w:p>
    <w:p w14:paraId="2AC909AA">
      <w:pPr>
        <w:pageBreakBefore w:val="0"/>
        <w:kinsoku/>
        <w:wordWrap w:val="0"/>
        <w:overflowPunct/>
        <w:topLinePunct w:val="0"/>
        <w:autoSpaceDE w:val="0"/>
        <w:autoSpaceDN w:val="0"/>
        <w:bidi w:val="0"/>
        <w:adjustRightInd w:val="0"/>
        <w:spacing w:line="400" w:lineRule="exact"/>
        <w:ind w:right="-34" w:rightChars="-16"/>
        <w:outlineLvl w:val="9"/>
        <w:rPr>
          <w:rFonts w:hint="eastAsia" w:ascii="宋体" w:hAnsi="宋体" w:eastAsia="宋体" w:cs="宋体"/>
          <w:b/>
          <w:color w:val="auto"/>
          <w:kern w:val="0"/>
          <w:sz w:val="30"/>
          <w:szCs w:val="30"/>
          <w:highlight w:val="none"/>
        </w:rPr>
      </w:pPr>
    </w:p>
    <w:p w14:paraId="1D7E0AA0">
      <w:pPr>
        <w:pageBreakBefore w:val="0"/>
        <w:kinsoku/>
        <w:wordWrap w:val="0"/>
        <w:overflowPunct/>
        <w:topLinePunct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highlight w:val="none"/>
        </w:rPr>
      </w:pPr>
    </w:p>
    <w:sectPr>
      <w:footerReference r:id="rId17" w:type="first"/>
      <w:footerReference r:id="rId16" w:type="default"/>
      <w:pgSz w:w="11905" w:h="16838"/>
      <w:pgMar w:top="1531" w:right="1587" w:bottom="1531" w:left="1587" w:header="1304" w:footer="1134" w:gutter="0"/>
      <w:pgNumType w:fmt="decimal"/>
      <w:cols w:space="72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宋体"/>
    <w:panose1 w:val="03000509000000000000"/>
    <w:charset w:val="86"/>
    <w:family w:val="script"/>
    <w:pitch w:val="default"/>
    <w:sig w:usb0="00000000" w:usb1="0000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84B8">
    <w:pPr>
      <w:pStyle w:val="3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C9C214">
                          <w:pPr>
                            <w:pStyle w:val="3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文本框 108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tE9TMoBAACdAwAADgAAAAAAAAABACAAAAAeAQAAZHJzL2Uyb0Rv&#10;Yy54bWxQSwUGAAAAAAYABgBZAQAAWgUAAAAA&#10;">
              <v:fill on="f" focussize="0,0"/>
              <v:stroke on="f"/>
              <v:imagedata o:title=""/>
              <o:lock v:ext="edit" aspectratio="f"/>
              <v:textbox inset="0mm,0mm,0mm,0mm" style="mso-fit-shape-to-text:t;">
                <w:txbxContent>
                  <w:p w14:paraId="1AC9C214">
                    <w:pPr>
                      <w:pStyle w:val="3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E2516">
    <w:pPr>
      <w:pStyle w:val="34"/>
      <w:rPr>
        <w:rFonts w:hint="eastAsia"/>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4B9EF9">
                          <w:pPr>
                            <w:pStyle w:val="34"/>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89"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obKc398BAADAAwAADgAAAAAA&#10;AAABACAAAAAeAQAAZHJzL2Uyb0RvYy54bWxQSwUGAAAAAAYABgBZAQAAbwUAAAAA&#10;">
              <v:fill on="f" focussize="0,0"/>
              <v:stroke on="f"/>
              <v:imagedata o:title=""/>
              <o:lock v:ext="edit" aspectratio="f"/>
              <v:textbox inset="0mm,0mm,0mm,0mm" style="mso-fit-shape-to-text:t;">
                <w:txbxContent>
                  <w:p w14:paraId="7F4B9EF9">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F563C">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85713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28</w:t>
                          </w:r>
                          <w:r>
                            <w:rPr>
                              <w:rFonts w:ascii="Times New Roman" w:hAnsi="Times New Roman" w:eastAsia="宋体" w:cs="Times New Roman"/>
                              <w:kern w:val="2"/>
                              <w:sz w:val="18"/>
                              <w:szCs w:val="18"/>
                              <w:lang w:val="en-US" w:eastAsia="zh-CN" w:bidi="ar-SA"/>
                            </w:rP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H9VrZDdAQAAvwMAAA4AAAAAAAAA&#10;AQAgAAAAHgEAAGRycy9lMm9Eb2MueG1sUEsFBgAAAAAGAAYAWQEAAG0FAAAAAA==&#10;">
              <v:fill on="f" focussize="0,0"/>
              <v:stroke on="f"/>
              <v:imagedata o:title=""/>
              <o:lock v:ext="edit" aspectratio="f"/>
              <v:textbox inset="0mm,0mm,0mm,0mm" style="mso-fit-shape-to-text:t;">
                <w:txbxContent>
                  <w:p w14:paraId="5D85713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28</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33784">
    <w:pPr>
      <w:pStyle w:val="34"/>
      <w:jc w:val="center"/>
      <w:rPr>
        <w:rFonts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59883B">
                          <w:pPr>
                            <w:pStyle w:val="34"/>
                          </w:pPr>
                          <w:r>
                            <w:fldChar w:fldCharType="begin"/>
                          </w:r>
                          <w:r>
                            <w:instrText xml:space="preserve"> PAGE  \* MERGEFORMAT </w:instrText>
                          </w:r>
                          <w:r>
                            <w:fldChar w:fldCharType="separate"/>
                          </w:r>
                          <w:r>
                            <w:t>27</w:t>
                          </w:r>
                          <w:r>
                            <w:fldChar w:fldCharType="end"/>
                          </w:r>
                        </w:p>
                      </w:txbxContent>
                    </wps:txbx>
                    <wps:bodyPr vert="horz" wrap="none" lIns="0" tIns="0" rIns="0" bIns="0" anchor="t" anchorCtr="0" upright="0">
                      <a:spAutoFit/>
                    </wps:bodyPr>
                  </wps:wsp>
                </a:graphicData>
              </a:graphic>
            </wp:anchor>
          </w:drawing>
        </mc:Choice>
        <mc:Fallback>
          <w:pict>
            <v:shape id="文本框 7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TCRYY3gEAAL8DAAAOAAAAAAAA&#10;AAEAIAAAAB4BAABkcnMvZTJvRG9jLnhtbFBLBQYAAAAABgAGAFkBAABuBQAAAAA=&#10;">
              <v:fill on="f" focussize="0,0"/>
              <v:stroke on="f"/>
              <v:imagedata o:title=""/>
              <o:lock v:ext="edit" aspectratio="f"/>
              <v:textbox inset="0mm,0mm,0mm,0mm" style="mso-fit-shape-to-text:t;">
                <w:txbxContent>
                  <w:p w14:paraId="3359883B">
                    <w:pPr>
                      <w:pStyle w:val="34"/>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44DE">
    <w:pPr>
      <w:jc w:val="center"/>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DD8AFA">
                          <w:pPr>
                            <w:pStyle w:val="34"/>
                          </w:pPr>
                          <w:r>
                            <w:fldChar w:fldCharType="begin"/>
                          </w:r>
                          <w:r>
                            <w:instrText xml:space="preserve"> PAGE  \* MERGEFORMAT </w:instrText>
                          </w:r>
                          <w:r>
                            <w:fldChar w:fldCharType="separate"/>
                          </w:r>
                          <w:r>
                            <w:t>25</w:t>
                          </w:r>
                          <w:r>
                            <w:fldChar w:fldCharType="end"/>
                          </w:r>
                        </w:p>
                      </w:txbxContent>
                    </wps:txbx>
                    <wps:bodyPr vert="horz" wrap="none" lIns="0" tIns="0" rIns="0" bIns="0" anchor="t" anchorCtr="0" upright="0">
                      <a:spAutoFit/>
                    </wps:bodyPr>
                  </wps:wsp>
                </a:graphicData>
              </a:graphic>
            </wp:anchor>
          </w:drawing>
        </mc:Choice>
        <mc:Fallback>
          <w:pict>
            <v:shape id="文本框 8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OaT7ZDdAQAAvwMAAA4AAAAAAAAA&#10;AQAgAAAAHgEAAGRycy9lMm9Eb2MueG1sUEsFBgAAAAAGAAYAWQEAAG0FAAAAAA==&#10;">
              <v:fill on="f" focussize="0,0"/>
              <v:stroke on="f"/>
              <v:imagedata o:title=""/>
              <o:lock v:ext="edit" aspectratio="f"/>
              <v:textbox inset="0mm,0mm,0mm,0mm" style="mso-fit-shape-to-text:t;">
                <w:txbxContent>
                  <w:p w14:paraId="06DD8AFA">
                    <w:pPr>
                      <w:pStyle w:val="34"/>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9319C">
    <w:pPr>
      <w:pStyle w:val="34"/>
      <w:jc w:val="center"/>
      <w:rPr>
        <w:rFonts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3FCCBF">
                          <w:pPr>
                            <w:pStyle w:val="34"/>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8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hzDex3gEAAL8DAAAOAAAAAAAA&#10;AAEAIAAAAB4BAABkcnMvZTJvRG9jLnhtbFBLBQYAAAAABgAGAFkBAABuBQAAAAA=&#10;">
              <v:fill on="f" focussize="0,0"/>
              <v:stroke on="f"/>
              <v:imagedata o:title=""/>
              <o:lock v:ext="edit" aspectratio="f"/>
              <v:textbox inset="0mm,0mm,0mm,0mm" style="mso-fit-shape-to-text:t;">
                <w:txbxContent>
                  <w:p w14:paraId="693FCCBF">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4BF34">
    <w:pPr>
      <w:jc w:val="center"/>
      <w:rPr>
        <w:rFonts w:hint="eastAsia"/>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8A6FC2">
                          <w:pPr>
                            <w:pStyle w:val="34"/>
                          </w:pPr>
                          <w:r>
                            <w:fldChar w:fldCharType="begin"/>
                          </w:r>
                          <w:r>
                            <w:instrText xml:space="preserve"> PAGE  \* MERGEFORMAT </w:instrText>
                          </w:r>
                          <w:r>
                            <w:fldChar w:fldCharType="separate"/>
                          </w:r>
                          <w:r>
                            <w:t>68</w:t>
                          </w:r>
                          <w:r>
                            <w:fldChar w:fldCharType="end"/>
                          </w:r>
                        </w:p>
                      </w:txbxContent>
                    </wps:txbx>
                    <wps:bodyPr vert="horz" wrap="none" lIns="0" tIns="0" rIns="0" bIns="0" anchor="t" anchorCtr="0" upright="0">
                      <a:spAutoFit/>
                    </wps:bodyPr>
                  </wps:wsp>
                </a:graphicData>
              </a:graphic>
            </wp:anchor>
          </w:drawing>
        </mc:Choice>
        <mc:Fallback>
          <w:pict>
            <v:shape id="文本框 82"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R3NLl3gEAAMADAAAOAAAAAAAA&#10;AAEAIAAAAB4BAABkcnMvZTJvRG9jLnhtbFBLBQYAAAAABgAGAFkBAABuBQAAAAA=&#10;">
              <v:fill on="f" focussize="0,0"/>
              <v:stroke on="f"/>
              <v:imagedata o:title=""/>
              <o:lock v:ext="edit" aspectratio="f"/>
              <v:textbox inset="0mm,0mm,0mm,0mm" style="mso-fit-shape-to-text:t;">
                <w:txbxContent>
                  <w:p w14:paraId="388A6FC2">
                    <w:pPr>
                      <w:pStyle w:val="34"/>
                    </w:pPr>
                    <w:r>
                      <w:fldChar w:fldCharType="begin"/>
                    </w:r>
                    <w:r>
                      <w:instrText xml:space="preserve"> PAGE  \* MERGEFORMAT </w:instrText>
                    </w:r>
                    <w:r>
                      <w:fldChar w:fldCharType="separate"/>
                    </w:r>
                    <w:r>
                      <w:t>68</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2550795</wp:posOffset>
              </wp:positionH>
              <wp:positionV relativeFrom="paragraph">
                <wp:posOffset>0</wp:posOffset>
              </wp:positionV>
              <wp:extent cx="748665" cy="167640"/>
              <wp:effectExtent l="0" t="0" r="0" b="0"/>
              <wp:wrapNone/>
              <wp:docPr id="5" name="文本框 1054"/>
              <wp:cNvGraphicFramePr/>
              <a:graphic xmlns:a="http://schemas.openxmlformats.org/drawingml/2006/main">
                <a:graphicData uri="http://schemas.microsoft.com/office/word/2010/wordprocessingShape">
                  <wps:wsp>
                    <wps:cNvSpPr txBox="1"/>
                    <wps:spPr>
                      <a:xfrm>
                        <a:off x="0" y="0"/>
                        <a:ext cx="748665" cy="167640"/>
                      </a:xfrm>
                      <a:prstGeom prst="rect">
                        <a:avLst/>
                      </a:prstGeom>
                      <a:noFill/>
                      <a:ln>
                        <a:noFill/>
                      </a:ln>
                    </wps:spPr>
                    <wps:txbx>
                      <w:txbxContent>
                        <w:p w14:paraId="3BDBC2A9">
                          <w:pPr>
                            <w:jc w:val="center"/>
                          </w:pPr>
                        </w:p>
                      </w:txbxContent>
                    </wps:txbx>
                    <wps:bodyPr wrap="square" lIns="0" tIns="0" rIns="0" bIns="0" upright="0"/>
                  </wps:wsp>
                </a:graphicData>
              </a:graphic>
            </wp:anchor>
          </w:drawing>
        </mc:Choice>
        <mc:Fallback>
          <w:pict>
            <v:shape id="文本框 1054" o:spid="_x0000_s1026" o:spt="202" type="#_x0000_t202" style="position:absolute;left:0pt;margin-left:200.85pt;margin-top:0pt;height:13.2pt;width:58.95pt;mso-position-horizontal-relative:margin;z-index:251659264;mso-width-relative:page;mso-height-relative:page;" filled="f" stroked="f" coordsize="21600,21600" o:gfxdata="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tLwJ2NYAAAAHAQAADwAAAAAAAAABACAAAAAiAAAAZHJzL2Rvd25y&#10;ZXYueG1sUEsBAhQAFAAAAAgAh07iQNu2BgzHAQAAggMAAA4AAAAAAAAAAQAgAAAAJQEAAGRycy9l&#10;Mm9Eb2MueG1sUEsFBgAAAAAGAAYAWQEAAF4FAAAAAA==&#10;">
              <v:fill on="f" focussize="0,0"/>
              <v:stroke on="f"/>
              <v:imagedata o:title=""/>
              <o:lock v:ext="edit" aspectratio="f"/>
              <v:textbox inset="0mm,0mm,0mm,0mm">
                <w:txbxContent>
                  <w:p w14:paraId="3BDBC2A9">
                    <w:pPr>
                      <w:jc w:val="cente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95029">
    <w:pPr>
      <w:pStyle w:val="34"/>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E495E5">
                          <w:pPr>
                            <w:pStyle w:val="34"/>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w:t>
                          </w:r>
                        </w:p>
                      </w:txbxContent>
                    </wps:txbx>
                    <wps:bodyPr vert="horz" wrap="none" lIns="0" tIns="0" rIns="0" bIns="0" anchor="t" anchorCtr="0" upright="0">
                      <a:spAutoFit/>
                    </wps:bodyPr>
                  </wps:wsp>
                </a:graphicData>
              </a:graphic>
            </wp:anchor>
          </w:drawing>
        </mc:Choice>
        <mc:Fallback>
          <w:pict>
            <v:shape id="文本框 8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MUMc13gEAAL8DAAAOAAAAAAAA&#10;AAEAIAAAAB4BAABkcnMvZTJvRG9jLnhtbFBLBQYAAAAABgAGAFkBAABuBQAAAAA=&#10;">
              <v:fill on="f" focussize="0,0"/>
              <v:stroke on="f"/>
              <v:imagedata o:title=""/>
              <o:lock v:ext="edit" aspectratio="f"/>
              <v:textbox inset="0mm,0mm,0mm,0mm" style="mso-fit-shape-to-text:t;">
                <w:txbxContent>
                  <w:p w14:paraId="42E495E5">
                    <w:pPr>
                      <w:pStyle w:val="34"/>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CA5B8">
    <w:pPr>
      <w:pStyle w:val="34"/>
      <w:rPr>
        <w:rFonts w:hint="eastAsi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FA8B58">
                          <w:pPr>
                            <w:pStyle w:val="34"/>
                          </w:pPr>
                          <w:r>
                            <w:fldChar w:fldCharType="begin"/>
                          </w:r>
                          <w:r>
                            <w:instrText xml:space="preserve"> PAGE  \* MERGEFORMAT </w:instrText>
                          </w:r>
                          <w:r>
                            <w:fldChar w:fldCharType="separate"/>
                          </w:r>
                          <w:r>
                            <w:t>70</w:t>
                          </w:r>
                          <w:r>
                            <w:fldChar w:fldCharType="end"/>
                          </w:r>
                        </w:p>
                      </w:txbxContent>
                    </wps:txbx>
                    <wps:bodyPr vert="horz" wrap="none" lIns="0" tIns="0" rIns="0" bIns="0" anchor="t" anchorCtr="0" upright="0">
                      <a:spAutoFit/>
                    </wps:bodyPr>
                  </wps:wsp>
                </a:graphicData>
              </a:graphic>
            </wp:anchor>
          </w:drawing>
        </mc:Choice>
        <mc:Fallback>
          <w:pict>
            <v:shape id="文本框 8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1oMIxN8BAADAAwAADgAAAAAA&#10;AAABACAAAAAeAQAAZHJzL2Uyb0RvYy54bWxQSwUGAAAAAAYABgBZAQAAbwUAAAAA&#10;">
              <v:fill on="f" focussize="0,0"/>
              <v:stroke on="f"/>
              <v:imagedata o:title=""/>
              <o:lock v:ext="edit" aspectratio="f"/>
              <v:textbox inset="0mm,0mm,0mm,0mm" style="mso-fit-shape-to-text:t;">
                <w:txbxContent>
                  <w:p w14:paraId="0CFA8B58">
                    <w:pPr>
                      <w:pStyle w:val="34"/>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46D18">
    <w:pPr>
      <w:pStyle w:val="34"/>
      <w:rPr>
        <w:rFonts w:hint="default"/>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FE13AA">
                          <w:pPr>
                            <w:pStyle w:val="34"/>
                          </w:pPr>
                          <w:r>
                            <w:fldChar w:fldCharType="begin"/>
                          </w:r>
                          <w:r>
                            <w:instrText xml:space="preserve"> PAGE  \* MERGEFORMAT </w:instrText>
                          </w:r>
                          <w:r>
                            <w:fldChar w:fldCharType="separate"/>
                          </w:r>
                          <w:r>
                            <w:t>69</w:t>
                          </w:r>
                          <w:r>
                            <w:fldChar w:fldCharType="end"/>
                          </w:r>
                        </w:p>
                      </w:txbxContent>
                    </wps:txbx>
                    <wps:bodyPr vert="horz" wrap="none" lIns="0" tIns="0" rIns="0" bIns="0" anchor="t" anchorCtr="0" upright="0">
                      <a:spAutoFit/>
                    </wps:bodyPr>
                  </wps:wsp>
                </a:graphicData>
              </a:graphic>
            </wp:anchor>
          </w:drawing>
        </mc:Choice>
        <mc:Fallback>
          <w:pict>
            <v:shape id="文本框 84"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Ax8PId8BAADAAwAADgAAAAAA&#10;AAABACAAAAAeAQAAZHJzL2Uyb0RvYy54bWxQSwUGAAAAAAYABgBZAQAAbwUAAAAA&#10;">
              <v:fill on="f" focussize="0,0"/>
              <v:stroke on="f"/>
              <v:imagedata o:title=""/>
              <o:lock v:ext="edit" aspectratio="f"/>
              <v:textbox inset="0mm,0mm,0mm,0mm" style="mso-fit-shape-to-text:t;">
                <w:txbxContent>
                  <w:p w14:paraId="19FE13AA">
                    <w:pPr>
                      <w:pStyle w:val="3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792FA">
    <w:pPr>
      <w:pStyle w:val="36"/>
      <w:pBdr>
        <w:top w:val="none" w:color="auto" w:sz="0" w:space="0"/>
        <w:left w:val="none" w:color="auto" w:sz="0" w:space="0"/>
        <w:bottom w:val="none" w:color="auto" w:sz="0" w:space="1"/>
        <w:right w:val="none" w:color="auto" w:sz="0" w:space="0"/>
        <w:between w:val="none" w:color="auto" w:sz="0" w:space="0"/>
      </w:pBdr>
      <w:tabs>
        <w:tab w:val="left" w:pos="2589"/>
        <w:tab w:val="left" w:pos="3272"/>
        <w:tab w:val="clear" w:pos="4153"/>
      </w:tabs>
      <w:jc w:val="left"/>
      <w:rPr>
        <w:rFonts w:hint="eastAsia" w:eastAsia="宋体"/>
        <w:lang w:eastAsia="zh-CN"/>
      </w:rPr>
    </w:pPr>
    <w:r>
      <w:rPr>
        <w:rFonts w:hint="eastAsia"/>
        <w:lang w:eastAsia="zh-CN"/>
      </w:rPr>
      <w:tab/>
    </w:r>
    <w:r>
      <w:rPr>
        <w:rFonts w:hint="eastAsia"/>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B188D">
    <w:pPr>
      <w:widowControl w:val="0"/>
      <w:pBdr>
        <w:bottom w:val="none" w:color="auto" w:sz="0" w:space="0"/>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BAD91">
    <w:pPr>
      <w:pStyle w:val="3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8EF9E">
    <w:pPr>
      <w:pStyle w:val="36"/>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40CC6">
    <w:pPr>
      <w:pStyle w:val="36"/>
      <w:pBdr>
        <w:bottom w:val="none" w:color="auto" w:sz="0" w:space="1"/>
      </w:pBdr>
      <w:ind w:firstLine="360" w:firstLineChars="200"/>
      <w:jc w:val="left"/>
      <w:rPr>
        <w:rFonts w:hint="eastAsia" w:eastAsia="楷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D9CF9B"/>
    <w:multiLevelType w:val="singleLevel"/>
    <w:tmpl w:val="C1D9CF9B"/>
    <w:lvl w:ilvl="0" w:tentative="0">
      <w:start w:val="1"/>
      <w:numFmt w:val="decimal"/>
      <w:lvlText w:val="%1."/>
      <w:lvlJc w:val="left"/>
      <w:pPr>
        <w:ind w:left="425" w:hanging="425"/>
      </w:pPr>
      <w:rPr>
        <w:rFonts w:hint="default"/>
      </w:rPr>
    </w:lvl>
  </w:abstractNum>
  <w:abstractNum w:abstractNumId="1">
    <w:nsid w:val="683A9F77"/>
    <w:multiLevelType w:val="singleLevel"/>
    <w:tmpl w:val="683A9F77"/>
    <w:lvl w:ilvl="0" w:tentative="0">
      <w:start w:val="6"/>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28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yNTM1ZWVjOTMxM2Y2NDMwMzU1MjAzM2EyOTAwYmMifQ=="/>
    <w:docVar w:name="KSO_WPS_MARK_KEY" w:val="4fa6ad55-e5fb-4c37-aca4-84e9afb7329c"/>
  </w:docVars>
  <w:rsids>
    <w:rsidRoot w:val="00172A27"/>
    <w:rsid w:val="000009A9"/>
    <w:rsid w:val="00000BC5"/>
    <w:rsid w:val="00003122"/>
    <w:rsid w:val="00003BA3"/>
    <w:rsid w:val="00003CC9"/>
    <w:rsid w:val="00003EAE"/>
    <w:rsid w:val="000049A2"/>
    <w:rsid w:val="00004D77"/>
    <w:rsid w:val="0000518D"/>
    <w:rsid w:val="00005617"/>
    <w:rsid w:val="00005AC9"/>
    <w:rsid w:val="00005CA7"/>
    <w:rsid w:val="00006071"/>
    <w:rsid w:val="000068F1"/>
    <w:rsid w:val="00006CA9"/>
    <w:rsid w:val="00007AB0"/>
    <w:rsid w:val="000104BA"/>
    <w:rsid w:val="00010B4D"/>
    <w:rsid w:val="00010E7C"/>
    <w:rsid w:val="00010EAE"/>
    <w:rsid w:val="0001171E"/>
    <w:rsid w:val="000118DA"/>
    <w:rsid w:val="00011E13"/>
    <w:rsid w:val="0001224C"/>
    <w:rsid w:val="0001282F"/>
    <w:rsid w:val="00012FF4"/>
    <w:rsid w:val="00013033"/>
    <w:rsid w:val="000130B7"/>
    <w:rsid w:val="00013256"/>
    <w:rsid w:val="00013F18"/>
    <w:rsid w:val="00014583"/>
    <w:rsid w:val="00015C0F"/>
    <w:rsid w:val="00015F7D"/>
    <w:rsid w:val="00016025"/>
    <w:rsid w:val="00016345"/>
    <w:rsid w:val="000166CB"/>
    <w:rsid w:val="000166FC"/>
    <w:rsid w:val="000167EA"/>
    <w:rsid w:val="000168D5"/>
    <w:rsid w:val="00016F23"/>
    <w:rsid w:val="00016FB5"/>
    <w:rsid w:val="00017725"/>
    <w:rsid w:val="00017AB0"/>
    <w:rsid w:val="00017D1B"/>
    <w:rsid w:val="00017EAC"/>
    <w:rsid w:val="000203FD"/>
    <w:rsid w:val="00020538"/>
    <w:rsid w:val="00020EBF"/>
    <w:rsid w:val="00020EEF"/>
    <w:rsid w:val="000214A6"/>
    <w:rsid w:val="000215D6"/>
    <w:rsid w:val="000215DA"/>
    <w:rsid w:val="00022339"/>
    <w:rsid w:val="00022B7F"/>
    <w:rsid w:val="0002302D"/>
    <w:rsid w:val="00024334"/>
    <w:rsid w:val="000247DF"/>
    <w:rsid w:val="00024F2C"/>
    <w:rsid w:val="000251EB"/>
    <w:rsid w:val="000258A1"/>
    <w:rsid w:val="000258DE"/>
    <w:rsid w:val="0002678D"/>
    <w:rsid w:val="000267C3"/>
    <w:rsid w:val="00026A2D"/>
    <w:rsid w:val="00027A2D"/>
    <w:rsid w:val="00027E4F"/>
    <w:rsid w:val="0003001B"/>
    <w:rsid w:val="00030C81"/>
    <w:rsid w:val="00031838"/>
    <w:rsid w:val="00031B47"/>
    <w:rsid w:val="000321E3"/>
    <w:rsid w:val="00032277"/>
    <w:rsid w:val="000323A8"/>
    <w:rsid w:val="00032B6C"/>
    <w:rsid w:val="00033DD1"/>
    <w:rsid w:val="00033EEE"/>
    <w:rsid w:val="000365CA"/>
    <w:rsid w:val="00036C95"/>
    <w:rsid w:val="0003712D"/>
    <w:rsid w:val="000373AB"/>
    <w:rsid w:val="00037416"/>
    <w:rsid w:val="000376CF"/>
    <w:rsid w:val="00037848"/>
    <w:rsid w:val="0004012A"/>
    <w:rsid w:val="0004035C"/>
    <w:rsid w:val="00040505"/>
    <w:rsid w:val="0004072C"/>
    <w:rsid w:val="000407CE"/>
    <w:rsid w:val="00040AF5"/>
    <w:rsid w:val="0004161C"/>
    <w:rsid w:val="00042464"/>
    <w:rsid w:val="000425AA"/>
    <w:rsid w:val="00042EF1"/>
    <w:rsid w:val="0004319D"/>
    <w:rsid w:val="00043427"/>
    <w:rsid w:val="000434B0"/>
    <w:rsid w:val="00043D2C"/>
    <w:rsid w:val="00043DF8"/>
    <w:rsid w:val="00044182"/>
    <w:rsid w:val="000441AC"/>
    <w:rsid w:val="000452CD"/>
    <w:rsid w:val="00046DD7"/>
    <w:rsid w:val="00047537"/>
    <w:rsid w:val="00047A5C"/>
    <w:rsid w:val="00047B19"/>
    <w:rsid w:val="00047BFE"/>
    <w:rsid w:val="00047E05"/>
    <w:rsid w:val="00050201"/>
    <w:rsid w:val="000503B6"/>
    <w:rsid w:val="00050572"/>
    <w:rsid w:val="00051063"/>
    <w:rsid w:val="00051332"/>
    <w:rsid w:val="00051983"/>
    <w:rsid w:val="00051AD3"/>
    <w:rsid w:val="0005236F"/>
    <w:rsid w:val="00052601"/>
    <w:rsid w:val="00052756"/>
    <w:rsid w:val="00052ABC"/>
    <w:rsid w:val="00052DAB"/>
    <w:rsid w:val="00053118"/>
    <w:rsid w:val="000535D4"/>
    <w:rsid w:val="000536D4"/>
    <w:rsid w:val="0005420C"/>
    <w:rsid w:val="00054449"/>
    <w:rsid w:val="000547BC"/>
    <w:rsid w:val="00054D47"/>
    <w:rsid w:val="00055AC9"/>
    <w:rsid w:val="00055D67"/>
    <w:rsid w:val="000561C5"/>
    <w:rsid w:val="00056440"/>
    <w:rsid w:val="00056B5D"/>
    <w:rsid w:val="00056F1B"/>
    <w:rsid w:val="00057104"/>
    <w:rsid w:val="000574C6"/>
    <w:rsid w:val="00057807"/>
    <w:rsid w:val="00057E18"/>
    <w:rsid w:val="000607CD"/>
    <w:rsid w:val="000615F1"/>
    <w:rsid w:val="00061999"/>
    <w:rsid w:val="000628FD"/>
    <w:rsid w:val="00062B2B"/>
    <w:rsid w:val="00062F54"/>
    <w:rsid w:val="00062FBE"/>
    <w:rsid w:val="000636BD"/>
    <w:rsid w:val="00063E7F"/>
    <w:rsid w:val="00064638"/>
    <w:rsid w:val="00064739"/>
    <w:rsid w:val="000647F9"/>
    <w:rsid w:val="00064951"/>
    <w:rsid w:val="000653F9"/>
    <w:rsid w:val="00065AD3"/>
    <w:rsid w:val="00065B72"/>
    <w:rsid w:val="00065CD2"/>
    <w:rsid w:val="00066877"/>
    <w:rsid w:val="00066F79"/>
    <w:rsid w:val="000675CB"/>
    <w:rsid w:val="000676F8"/>
    <w:rsid w:val="00070556"/>
    <w:rsid w:val="0007056F"/>
    <w:rsid w:val="00070EAC"/>
    <w:rsid w:val="000713E7"/>
    <w:rsid w:val="00071952"/>
    <w:rsid w:val="00071FAF"/>
    <w:rsid w:val="00072024"/>
    <w:rsid w:val="000747D7"/>
    <w:rsid w:val="00074895"/>
    <w:rsid w:val="00074898"/>
    <w:rsid w:val="00075392"/>
    <w:rsid w:val="000753F7"/>
    <w:rsid w:val="0007563C"/>
    <w:rsid w:val="00076268"/>
    <w:rsid w:val="000765C7"/>
    <w:rsid w:val="000769A1"/>
    <w:rsid w:val="00076BDC"/>
    <w:rsid w:val="0007771A"/>
    <w:rsid w:val="0007791F"/>
    <w:rsid w:val="00077923"/>
    <w:rsid w:val="00077C22"/>
    <w:rsid w:val="00080324"/>
    <w:rsid w:val="000803B4"/>
    <w:rsid w:val="00080854"/>
    <w:rsid w:val="000808A5"/>
    <w:rsid w:val="00080FBB"/>
    <w:rsid w:val="00081392"/>
    <w:rsid w:val="000813CB"/>
    <w:rsid w:val="00081510"/>
    <w:rsid w:val="000815AA"/>
    <w:rsid w:val="00081C5D"/>
    <w:rsid w:val="00082096"/>
    <w:rsid w:val="0008218E"/>
    <w:rsid w:val="00082325"/>
    <w:rsid w:val="00082DAC"/>
    <w:rsid w:val="0008337B"/>
    <w:rsid w:val="000837A6"/>
    <w:rsid w:val="000837A9"/>
    <w:rsid w:val="00083DD0"/>
    <w:rsid w:val="00085459"/>
    <w:rsid w:val="000856A3"/>
    <w:rsid w:val="0008582D"/>
    <w:rsid w:val="00085A16"/>
    <w:rsid w:val="00085A1F"/>
    <w:rsid w:val="00085A8F"/>
    <w:rsid w:val="00085ED0"/>
    <w:rsid w:val="00085F29"/>
    <w:rsid w:val="000865BC"/>
    <w:rsid w:val="00086EA7"/>
    <w:rsid w:val="00087117"/>
    <w:rsid w:val="00087ECA"/>
    <w:rsid w:val="000906FB"/>
    <w:rsid w:val="00090AEE"/>
    <w:rsid w:val="000910A0"/>
    <w:rsid w:val="00091513"/>
    <w:rsid w:val="000917B1"/>
    <w:rsid w:val="00091B12"/>
    <w:rsid w:val="00091BC2"/>
    <w:rsid w:val="0009275B"/>
    <w:rsid w:val="000927E9"/>
    <w:rsid w:val="00092DF3"/>
    <w:rsid w:val="00092E7F"/>
    <w:rsid w:val="00093015"/>
    <w:rsid w:val="000933BB"/>
    <w:rsid w:val="00093AE7"/>
    <w:rsid w:val="00093E7B"/>
    <w:rsid w:val="000946C0"/>
    <w:rsid w:val="00094868"/>
    <w:rsid w:val="00094D68"/>
    <w:rsid w:val="00095F80"/>
    <w:rsid w:val="00095FA2"/>
    <w:rsid w:val="000965E5"/>
    <w:rsid w:val="00096763"/>
    <w:rsid w:val="00096825"/>
    <w:rsid w:val="00096C56"/>
    <w:rsid w:val="00096FD3"/>
    <w:rsid w:val="000975C3"/>
    <w:rsid w:val="00097B7A"/>
    <w:rsid w:val="000A03D9"/>
    <w:rsid w:val="000A06D4"/>
    <w:rsid w:val="000A073A"/>
    <w:rsid w:val="000A0B8C"/>
    <w:rsid w:val="000A0FC8"/>
    <w:rsid w:val="000A14A7"/>
    <w:rsid w:val="000A1DE2"/>
    <w:rsid w:val="000A1E00"/>
    <w:rsid w:val="000A2509"/>
    <w:rsid w:val="000A3654"/>
    <w:rsid w:val="000A3D9E"/>
    <w:rsid w:val="000A3E79"/>
    <w:rsid w:val="000A3FB0"/>
    <w:rsid w:val="000A4300"/>
    <w:rsid w:val="000A4518"/>
    <w:rsid w:val="000A4A7A"/>
    <w:rsid w:val="000A4F3B"/>
    <w:rsid w:val="000A4FF3"/>
    <w:rsid w:val="000A5061"/>
    <w:rsid w:val="000A5CAD"/>
    <w:rsid w:val="000A5E9C"/>
    <w:rsid w:val="000A5F43"/>
    <w:rsid w:val="000A65CA"/>
    <w:rsid w:val="000A6B8E"/>
    <w:rsid w:val="000A6BAF"/>
    <w:rsid w:val="000A72C5"/>
    <w:rsid w:val="000B0C3D"/>
    <w:rsid w:val="000B0C97"/>
    <w:rsid w:val="000B0E4E"/>
    <w:rsid w:val="000B1022"/>
    <w:rsid w:val="000B18F7"/>
    <w:rsid w:val="000B231E"/>
    <w:rsid w:val="000B2C9E"/>
    <w:rsid w:val="000B2CED"/>
    <w:rsid w:val="000B3E7A"/>
    <w:rsid w:val="000B4178"/>
    <w:rsid w:val="000B47CD"/>
    <w:rsid w:val="000B4950"/>
    <w:rsid w:val="000B5356"/>
    <w:rsid w:val="000B5B7A"/>
    <w:rsid w:val="000B5FFD"/>
    <w:rsid w:val="000B642B"/>
    <w:rsid w:val="000B7D60"/>
    <w:rsid w:val="000C01D2"/>
    <w:rsid w:val="000C03AA"/>
    <w:rsid w:val="000C08BD"/>
    <w:rsid w:val="000C0B9F"/>
    <w:rsid w:val="000C162B"/>
    <w:rsid w:val="000C1687"/>
    <w:rsid w:val="000C1DAF"/>
    <w:rsid w:val="000C2DE6"/>
    <w:rsid w:val="000C3AB5"/>
    <w:rsid w:val="000C3BDC"/>
    <w:rsid w:val="000C42F6"/>
    <w:rsid w:val="000C606B"/>
    <w:rsid w:val="000C6B89"/>
    <w:rsid w:val="000C6F76"/>
    <w:rsid w:val="000C7D83"/>
    <w:rsid w:val="000D0651"/>
    <w:rsid w:val="000D0721"/>
    <w:rsid w:val="000D074B"/>
    <w:rsid w:val="000D0750"/>
    <w:rsid w:val="000D076C"/>
    <w:rsid w:val="000D07C8"/>
    <w:rsid w:val="000D170C"/>
    <w:rsid w:val="000D1908"/>
    <w:rsid w:val="000D1BEF"/>
    <w:rsid w:val="000D278C"/>
    <w:rsid w:val="000D2849"/>
    <w:rsid w:val="000D3622"/>
    <w:rsid w:val="000D37CF"/>
    <w:rsid w:val="000D39AC"/>
    <w:rsid w:val="000D4513"/>
    <w:rsid w:val="000D4F4A"/>
    <w:rsid w:val="000D56DE"/>
    <w:rsid w:val="000D5EDD"/>
    <w:rsid w:val="000D60E3"/>
    <w:rsid w:val="000D6176"/>
    <w:rsid w:val="000D6179"/>
    <w:rsid w:val="000D6860"/>
    <w:rsid w:val="000D695A"/>
    <w:rsid w:val="000D6CDC"/>
    <w:rsid w:val="000D744C"/>
    <w:rsid w:val="000D79F7"/>
    <w:rsid w:val="000D7CE4"/>
    <w:rsid w:val="000D7CEA"/>
    <w:rsid w:val="000E0750"/>
    <w:rsid w:val="000E0776"/>
    <w:rsid w:val="000E0DF3"/>
    <w:rsid w:val="000E0E67"/>
    <w:rsid w:val="000E12B0"/>
    <w:rsid w:val="000E1382"/>
    <w:rsid w:val="000E198B"/>
    <w:rsid w:val="000E1AC5"/>
    <w:rsid w:val="000E215B"/>
    <w:rsid w:val="000E24F0"/>
    <w:rsid w:val="000E258C"/>
    <w:rsid w:val="000E3732"/>
    <w:rsid w:val="000E3A1E"/>
    <w:rsid w:val="000E3D9C"/>
    <w:rsid w:val="000E42D1"/>
    <w:rsid w:val="000E44D5"/>
    <w:rsid w:val="000E4EA0"/>
    <w:rsid w:val="000E5823"/>
    <w:rsid w:val="000E589C"/>
    <w:rsid w:val="000E5BEC"/>
    <w:rsid w:val="000E628E"/>
    <w:rsid w:val="000E64F8"/>
    <w:rsid w:val="000E670A"/>
    <w:rsid w:val="000E672F"/>
    <w:rsid w:val="000E7101"/>
    <w:rsid w:val="000E777F"/>
    <w:rsid w:val="000E77D1"/>
    <w:rsid w:val="000E7888"/>
    <w:rsid w:val="000E7B24"/>
    <w:rsid w:val="000E7E98"/>
    <w:rsid w:val="000F0155"/>
    <w:rsid w:val="000F0362"/>
    <w:rsid w:val="000F055F"/>
    <w:rsid w:val="000F05F0"/>
    <w:rsid w:val="000F0A80"/>
    <w:rsid w:val="000F0C95"/>
    <w:rsid w:val="000F1002"/>
    <w:rsid w:val="000F1358"/>
    <w:rsid w:val="000F169A"/>
    <w:rsid w:val="000F3010"/>
    <w:rsid w:val="000F448F"/>
    <w:rsid w:val="000F493A"/>
    <w:rsid w:val="000F4DA0"/>
    <w:rsid w:val="000F4DDC"/>
    <w:rsid w:val="000F5DBC"/>
    <w:rsid w:val="000F6298"/>
    <w:rsid w:val="000F68FE"/>
    <w:rsid w:val="000F73A7"/>
    <w:rsid w:val="000F7549"/>
    <w:rsid w:val="00100353"/>
    <w:rsid w:val="00100499"/>
    <w:rsid w:val="0010067E"/>
    <w:rsid w:val="001007AA"/>
    <w:rsid w:val="001018FE"/>
    <w:rsid w:val="00101902"/>
    <w:rsid w:val="00101B4C"/>
    <w:rsid w:val="00101D56"/>
    <w:rsid w:val="00101DB8"/>
    <w:rsid w:val="001027B3"/>
    <w:rsid w:val="001030D1"/>
    <w:rsid w:val="0010341A"/>
    <w:rsid w:val="0010349B"/>
    <w:rsid w:val="001037DA"/>
    <w:rsid w:val="00103AEA"/>
    <w:rsid w:val="00103DA5"/>
    <w:rsid w:val="0010430D"/>
    <w:rsid w:val="00104333"/>
    <w:rsid w:val="0010467A"/>
    <w:rsid w:val="001050C6"/>
    <w:rsid w:val="001051C5"/>
    <w:rsid w:val="001063D3"/>
    <w:rsid w:val="001064CB"/>
    <w:rsid w:val="00106FC1"/>
    <w:rsid w:val="00107315"/>
    <w:rsid w:val="001075D1"/>
    <w:rsid w:val="00107B1D"/>
    <w:rsid w:val="00107EF2"/>
    <w:rsid w:val="00110055"/>
    <w:rsid w:val="001111FD"/>
    <w:rsid w:val="00111226"/>
    <w:rsid w:val="00111670"/>
    <w:rsid w:val="00111DC9"/>
    <w:rsid w:val="00112787"/>
    <w:rsid w:val="00112E57"/>
    <w:rsid w:val="00112F79"/>
    <w:rsid w:val="00113404"/>
    <w:rsid w:val="001135AA"/>
    <w:rsid w:val="0011444C"/>
    <w:rsid w:val="00114B4E"/>
    <w:rsid w:val="00115843"/>
    <w:rsid w:val="00115A78"/>
    <w:rsid w:val="00115D73"/>
    <w:rsid w:val="00115E73"/>
    <w:rsid w:val="00116D36"/>
    <w:rsid w:val="00116D80"/>
    <w:rsid w:val="00116FC2"/>
    <w:rsid w:val="00117107"/>
    <w:rsid w:val="001171D9"/>
    <w:rsid w:val="00117415"/>
    <w:rsid w:val="00117575"/>
    <w:rsid w:val="00117B16"/>
    <w:rsid w:val="00120082"/>
    <w:rsid w:val="00120A08"/>
    <w:rsid w:val="00120CFF"/>
    <w:rsid w:val="00120DDB"/>
    <w:rsid w:val="00121FE2"/>
    <w:rsid w:val="001222BC"/>
    <w:rsid w:val="00122450"/>
    <w:rsid w:val="001224C3"/>
    <w:rsid w:val="00122729"/>
    <w:rsid w:val="00122C18"/>
    <w:rsid w:val="00122C95"/>
    <w:rsid w:val="00122DA9"/>
    <w:rsid w:val="00122F66"/>
    <w:rsid w:val="001238E7"/>
    <w:rsid w:val="00123A78"/>
    <w:rsid w:val="00123E17"/>
    <w:rsid w:val="00124151"/>
    <w:rsid w:val="00124A5C"/>
    <w:rsid w:val="0012527F"/>
    <w:rsid w:val="001261AB"/>
    <w:rsid w:val="00126344"/>
    <w:rsid w:val="00126557"/>
    <w:rsid w:val="0012769E"/>
    <w:rsid w:val="00127B3D"/>
    <w:rsid w:val="00127C11"/>
    <w:rsid w:val="00130BAA"/>
    <w:rsid w:val="00130C65"/>
    <w:rsid w:val="0013114D"/>
    <w:rsid w:val="00131742"/>
    <w:rsid w:val="00131E21"/>
    <w:rsid w:val="00132D33"/>
    <w:rsid w:val="00132E10"/>
    <w:rsid w:val="00133231"/>
    <w:rsid w:val="0013340B"/>
    <w:rsid w:val="00134718"/>
    <w:rsid w:val="0013549D"/>
    <w:rsid w:val="00135B94"/>
    <w:rsid w:val="00136104"/>
    <w:rsid w:val="001367A9"/>
    <w:rsid w:val="00137651"/>
    <w:rsid w:val="001377D7"/>
    <w:rsid w:val="00137CF7"/>
    <w:rsid w:val="00140182"/>
    <w:rsid w:val="00140C7A"/>
    <w:rsid w:val="00141B96"/>
    <w:rsid w:val="00141E74"/>
    <w:rsid w:val="00142181"/>
    <w:rsid w:val="00142864"/>
    <w:rsid w:val="00143018"/>
    <w:rsid w:val="0014314F"/>
    <w:rsid w:val="001439F3"/>
    <w:rsid w:val="00144051"/>
    <w:rsid w:val="00144D91"/>
    <w:rsid w:val="00144E3D"/>
    <w:rsid w:val="001450CB"/>
    <w:rsid w:val="00145794"/>
    <w:rsid w:val="00145915"/>
    <w:rsid w:val="001462B8"/>
    <w:rsid w:val="00146382"/>
    <w:rsid w:val="00146FBC"/>
    <w:rsid w:val="0014720E"/>
    <w:rsid w:val="001474C1"/>
    <w:rsid w:val="001477D9"/>
    <w:rsid w:val="001504A1"/>
    <w:rsid w:val="001504B3"/>
    <w:rsid w:val="0015074D"/>
    <w:rsid w:val="00150D8F"/>
    <w:rsid w:val="00150DE9"/>
    <w:rsid w:val="001511FD"/>
    <w:rsid w:val="001514AE"/>
    <w:rsid w:val="00151508"/>
    <w:rsid w:val="00152613"/>
    <w:rsid w:val="001529A4"/>
    <w:rsid w:val="00152AA2"/>
    <w:rsid w:val="00152ADE"/>
    <w:rsid w:val="00152E1B"/>
    <w:rsid w:val="00152F98"/>
    <w:rsid w:val="0015386C"/>
    <w:rsid w:val="00153E9D"/>
    <w:rsid w:val="0015431C"/>
    <w:rsid w:val="00154591"/>
    <w:rsid w:val="00154D5A"/>
    <w:rsid w:val="001555DA"/>
    <w:rsid w:val="00155EE4"/>
    <w:rsid w:val="00155FB2"/>
    <w:rsid w:val="001560A5"/>
    <w:rsid w:val="0015633F"/>
    <w:rsid w:val="001567DB"/>
    <w:rsid w:val="0015699D"/>
    <w:rsid w:val="00156BE2"/>
    <w:rsid w:val="00156FFC"/>
    <w:rsid w:val="00157F89"/>
    <w:rsid w:val="00160259"/>
    <w:rsid w:val="00160380"/>
    <w:rsid w:val="0016068C"/>
    <w:rsid w:val="00160690"/>
    <w:rsid w:val="00160AF3"/>
    <w:rsid w:val="001617C0"/>
    <w:rsid w:val="001620F5"/>
    <w:rsid w:val="00162B0D"/>
    <w:rsid w:val="00162D07"/>
    <w:rsid w:val="00162D1E"/>
    <w:rsid w:val="00163637"/>
    <w:rsid w:val="00163A0B"/>
    <w:rsid w:val="0016426A"/>
    <w:rsid w:val="001645B8"/>
    <w:rsid w:val="00164954"/>
    <w:rsid w:val="00164ACE"/>
    <w:rsid w:val="0016525C"/>
    <w:rsid w:val="00165AD4"/>
    <w:rsid w:val="00165BC2"/>
    <w:rsid w:val="0016609F"/>
    <w:rsid w:val="00166364"/>
    <w:rsid w:val="001663F9"/>
    <w:rsid w:val="00166FEA"/>
    <w:rsid w:val="001675C1"/>
    <w:rsid w:val="001677A2"/>
    <w:rsid w:val="00167B3F"/>
    <w:rsid w:val="001700CE"/>
    <w:rsid w:val="001707F4"/>
    <w:rsid w:val="00170A71"/>
    <w:rsid w:val="00172219"/>
    <w:rsid w:val="001728EF"/>
    <w:rsid w:val="00173B29"/>
    <w:rsid w:val="00173B8E"/>
    <w:rsid w:val="001740B4"/>
    <w:rsid w:val="0017467E"/>
    <w:rsid w:val="001746AB"/>
    <w:rsid w:val="0017532D"/>
    <w:rsid w:val="00176996"/>
    <w:rsid w:val="00176EAD"/>
    <w:rsid w:val="00177641"/>
    <w:rsid w:val="00177975"/>
    <w:rsid w:val="00180021"/>
    <w:rsid w:val="00180B29"/>
    <w:rsid w:val="00180B97"/>
    <w:rsid w:val="0018132D"/>
    <w:rsid w:val="00181630"/>
    <w:rsid w:val="0018209B"/>
    <w:rsid w:val="00182D41"/>
    <w:rsid w:val="00183028"/>
    <w:rsid w:val="0018337E"/>
    <w:rsid w:val="00183597"/>
    <w:rsid w:val="00183714"/>
    <w:rsid w:val="00183A48"/>
    <w:rsid w:val="00183A50"/>
    <w:rsid w:val="00183A8B"/>
    <w:rsid w:val="001841C4"/>
    <w:rsid w:val="00184F3D"/>
    <w:rsid w:val="00185155"/>
    <w:rsid w:val="0018544D"/>
    <w:rsid w:val="0018596A"/>
    <w:rsid w:val="00185A85"/>
    <w:rsid w:val="00185CFB"/>
    <w:rsid w:val="00186CFD"/>
    <w:rsid w:val="0018720B"/>
    <w:rsid w:val="001873E9"/>
    <w:rsid w:val="001878D1"/>
    <w:rsid w:val="00187ADE"/>
    <w:rsid w:val="00187CA4"/>
    <w:rsid w:val="001900E9"/>
    <w:rsid w:val="0019289E"/>
    <w:rsid w:val="0019294A"/>
    <w:rsid w:val="00192FC8"/>
    <w:rsid w:val="00192FF2"/>
    <w:rsid w:val="00193066"/>
    <w:rsid w:val="001930C0"/>
    <w:rsid w:val="00193AB5"/>
    <w:rsid w:val="00193F44"/>
    <w:rsid w:val="001940E8"/>
    <w:rsid w:val="001945A9"/>
    <w:rsid w:val="001946BD"/>
    <w:rsid w:val="00194A8F"/>
    <w:rsid w:val="0019551D"/>
    <w:rsid w:val="0019592B"/>
    <w:rsid w:val="001959A1"/>
    <w:rsid w:val="001961B7"/>
    <w:rsid w:val="0019708D"/>
    <w:rsid w:val="0019762F"/>
    <w:rsid w:val="00197A7F"/>
    <w:rsid w:val="00197F67"/>
    <w:rsid w:val="001A0D4A"/>
    <w:rsid w:val="001A14BE"/>
    <w:rsid w:val="001A1570"/>
    <w:rsid w:val="001A1EDC"/>
    <w:rsid w:val="001A1FD9"/>
    <w:rsid w:val="001A23CD"/>
    <w:rsid w:val="001A2BB5"/>
    <w:rsid w:val="001A2E35"/>
    <w:rsid w:val="001A30AB"/>
    <w:rsid w:val="001A332C"/>
    <w:rsid w:val="001A39ED"/>
    <w:rsid w:val="001A3D40"/>
    <w:rsid w:val="001A4167"/>
    <w:rsid w:val="001A4715"/>
    <w:rsid w:val="001A480D"/>
    <w:rsid w:val="001A49E5"/>
    <w:rsid w:val="001A4BC7"/>
    <w:rsid w:val="001A51EF"/>
    <w:rsid w:val="001A5300"/>
    <w:rsid w:val="001A537D"/>
    <w:rsid w:val="001A65EA"/>
    <w:rsid w:val="001A671D"/>
    <w:rsid w:val="001A6FD9"/>
    <w:rsid w:val="001A7176"/>
    <w:rsid w:val="001A792B"/>
    <w:rsid w:val="001A7A0C"/>
    <w:rsid w:val="001A7DAA"/>
    <w:rsid w:val="001B0751"/>
    <w:rsid w:val="001B1159"/>
    <w:rsid w:val="001B1883"/>
    <w:rsid w:val="001B1908"/>
    <w:rsid w:val="001B1DE8"/>
    <w:rsid w:val="001B222E"/>
    <w:rsid w:val="001B2700"/>
    <w:rsid w:val="001B3546"/>
    <w:rsid w:val="001B398A"/>
    <w:rsid w:val="001B4065"/>
    <w:rsid w:val="001B40A6"/>
    <w:rsid w:val="001B4A2B"/>
    <w:rsid w:val="001B5BDB"/>
    <w:rsid w:val="001B6BFE"/>
    <w:rsid w:val="001B7140"/>
    <w:rsid w:val="001B76FF"/>
    <w:rsid w:val="001B79B5"/>
    <w:rsid w:val="001C04D3"/>
    <w:rsid w:val="001C05F4"/>
    <w:rsid w:val="001C0702"/>
    <w:rsid w:val="001C09DD"/>
    <w:rsid w:val="001C11C5"/>
    <w:rsid w:val="001C144B"/>
    <w:rsid w:val="001C16EA"/>
    <w:rsid w:val="001C17E9"/>
    <w:rsid w:val="001C186C"/>
    <w:rsid w:val="001C1A54"/>
    <w:rsid w:val="001C2342"/>
    <w:rsid w:val="001C235C"/>
    <w:rsid w:val="001C23F9"/>
    <w:rsid w:val="001C25E1"/>
    <w:rsid w:val="001C28B2"/>
    <w:rsid w:val="001C2D12"/>
    <w:rsid w:val="001C382B"/>
    <w:rsid w:val="001C3ABF"/>
    <w:rsid w:val="001C4006"/>
    <w:rsid w:val="001C427C"/>
    <w:rsid w:val="001C5039"/>
    <w:rsid w:val="001C5069"/>
    <w:rsid w:val="001C5AD6"/>
    <w:rsid w:val="001C5B0B"/>
    <w:rsid w:val="001C64F5"/>
    <w:rsid w:val="001C6F97"/>
    <w:rsid w:val="001C722F"/>
    <w:rsid w:val="001C7577"/>
    <w:rsid w:val="001D04A2"/>
    <w:rsid w:val="001D08FB"/>
    <w:rsid w:val="001D1321"/>
    <w:rsid w:val="001D1919"/>
    <w:rsid w:val="001D1C10"/>
    <w:rsid w:val="001D1DD5"/>
    <w:rsid w:val="001D236F"/>
    <w:rsid w:val="001D2437"/>
    <w:rsid w:val="001D2590"/>
    <w:rsid w:val="001D26D1"/>
    <w:rsid w:val="001D2747"/>
    <w:rsid w:val="001D2FAA"/>
    <w:rsid w:val="001D36C2"/>
    <w:rsid w:val="001D3B29"/>
    <w:rsid w:val="001D3D54"/>
    <w:rsid w:val="001D3E77"/>
    <w:rsid w:val="001D579A"/>
    <w:rsid w:val="001D6A13"/>
    <w:rsid w:val="001D6EDB"/>
    <w:rsid w:val="001D7485"/>
    <w:rsid w:val="001D765A"/>
    <w:rsid w:val="001D797A"/>
    <w:rsid w:val="001D7C8A"/>
    <w:rsid w:val="001D7F4F"/>
    <w:rsid w:val="001E0D21"/>
    <w:rsid w:val="001E13C1"/>
    <w:rsid w:val="001E169A"/>
    <w:rsid w:val="001E196A"/>
    <w:rsid w:val="001E1B37"/>
    <w:rsid w:val="001E1CC2"/>
    <w:rsid w:val="001E1F5B"/>
    <w:rsid w:val="001E23AC"/>
    <w:rsid w:val="001E2736"/>
    <w:rsid w:val="001E32B1"/>
    <w:rsid w:val="001E4240"/>
    <w:rsid w:val="001E4293"/>
    <w:rsid w:val="001E42D9"/>
    <w:rsid w:val="001E4382"/>
    <w:rsid w:val="001E4B5A"/>
    <w:rsid w:val="001E528C"/>
    <w:rsid w:val="001E58FD"/>
    <w:rsid w:val="001E5D6F"/>
    <w:rsid w:val="001E61BB"/>
    <w:rsid w:val="001E653B"/>
    <w:rsid w:val="001E6635"/>
    <w:rsid w:val="001E682C"/>
    <w:rsid w:val="001E6EAF"/>
    <w:rsid w:val="001E6F58"/>
    <w:rsid w:val="001E71C1"/>
    <w:rsid w:val="001E7C2A"/>
    <w:rsid w:val="001E7DAF"/>
    <w:rsid w:val="001F0482"/>
    <w:rsid w:val="001F04AA"/>
    <w:rsid w:val="001F096A"/>
    <w:rsid w:val="001F0A13"/>
    <w:rsid w:val="001F1A32"/>
    <w:rsid w:val="001F270B"/>
    <w:rsid w:val="001F2B97"/>
    <w:rsid w:val="001F2E5D"/>
    <w:rsid w:val="001F3676"/>
    <w:rsid w:val="001F3BA2"/>
    <w:rsid w:val="001F3D01"/>
    <w:rsid w:val="001F43AE"/>
    <w:rsid w:val="001F4509"/>
    <w:rsid w:val="001F4C94"/>
    <w:rsid w:val="001F58AC"/>
    <w:rsid w:val="001F59CE"/>
    <w:rsid w:val="001F5C25"/>
    <w:rsid w:val="001F5C56"/>
    <w:rsid w:val="001F5CEF"/>
    <w:rsid w:val="001F7029"/>
    <w:rsid w:val="001F7256"/>
    <w:rsid w:val="001F7FEE"/>
    <w:rsid w:val="002002AE"/>
    <w:rsid w:val="0020043E"/>
    <w:rsid w:val="00200B73"/>
    <w:rsid w:val="00201785"/>
    <w:rsid w:val="00201AF2"/>
    <w:rsid w:val="00201B99"/>
    <w:rsid w:val="00202EA2"/>
    <w:rsid w:val="00203416"/>
    <w:rsid w:val="00203941"/>
    <w:rsid w:val="002039FB"/>
    <w:rsid w:val="00203A04"/>
    <w:rsid w:val="00204E0B"/>
    <w:rsid w:val="00204E67"/>
    <w:rsid w:val="00205116"/>
    <w:rsid w:val="00205144"/>
    <w:rsid w:val="0020516F"/>
    <w:rsid w:val="00205386"/>
    <w:rsid w:val="002057CD"/>
    <w:rsid w:val="002057EA"/>
    <w:rsid w:val="00205EF9"/>
    <w:rsid w:val="002060B8"/>
    <w:rsid w:val="00206646"/>
    <w:rsid w:val="00206871"/>
    <w:rsid w:val="00206A28"/>
    <w:rsid w:val="002103CC"/>
    <w:rsid w:val="00210489"/>
    <w:rsid w:val="002109D1"/>
    <w:rsid w:val="002109F1"/>
    <w:rsid w:val="00210BBF"/>
    <w:rsid w:val="00211B6D"/>
    <w:rsid w:val="002126F3"/>
    <w:rsid w:val="00212787"/>
    <w:rsid w:val="00212BCB"/>
    <w:rsid w:val="00212F42"/>
    <w:rsid w:val="00213240"/>
    <w:rsid w:val="002139A0"/>
    <w:rsid w:val="002149C1"/>
    <w:rsid w:val="00214B6C"/>
    <w:rsid w:val="00215C84"/>
    <w:rsid w:val="0021647D"/>
    <w:rsid w:val="00217561"/>
    <w:rsid w:val="0021761B"/>
    <w:rsid w:val="00217AA2"/>
    <w:rsid w:val="002202E7"/>
    <w:rsid w:val="00220A57"/>
    <w:rsid w:val="0022101D"/>
    <w:rsid w:val="002213AB"/>
    <w:rsid w:val="002213C6"/>
    <w:rsid w:val="002218C0"/>
    <w:rsid w:val="00222448"/>
    <w:rsid w:val="002240E8"/>
    <w:rsid w:val="002242E5"/>
    <w:rsid w:val="0022432A"/>
    <w:rsid w:val="002246A0"/>
    <w:rsid w:val="00224866"/>
    <w:rsid w:val="002252C9"/>
    <w:rsid w:val="00225A4C"/>
    <w:rsid w:val="00226085"/>
    <w:rsid w:val="00226C08"/>
    <w:rsid w:val="00226D33"/>
    <w:rsid w:val="00227094"/>
    <w:rsid w:val="00227467"/>
    <w:rsid w:val="0022798A"/>
    <w:rsid w:val="002279CC"/>
    <w:rsid w:val="00227ADF"/>
    <w:rsid w:val="00230141"/>
    <w:rsid w:val="002303D6"/>
    <w:rsid w:val="00230690"/>
    <w:rsid w:val="00230933"/>
    <w:rsid w:val="00230967"/>
    <w:rsid w:val="002318D7"/>
    <w:rsid w:val="00232106"/>
    <w:rsid w:val="00232735"/>
    <w:rsid w:val="002340BD"/>
    <w:rsid w:val="002346BB"/>
    <w:rsid w:val="002350F7"/>
    <w:rsid w:val="002355B8"/>
    <w:rsid w:val="002356EB"/>
    <w:rsid w:val="002357BF"/>
    <w:rsid w:val="00235B26"/>
    <w:rsid w:val="00235FE8"/>
    <w:rsid w:val="00236473"/>
    <w:rsid w:val="002369D6"/>
    <w:rsid w:val="00236A1E"/>
    <w:rsid w:val="00236BDA"/>
    <w:rsid w:val="0023788D"/>
    <w:rsid w:val="0024116C"/>
    <w:rsid w:val="00241383"/>
    <w:rsid w:val="00241ADC"/>
    <w:rsid w:val="002422CA"/>
    <w:rsid w:val="002423B7"/>
    <w:rsid w:val="002428F3"/>
    <w:rsid w:val="002430B3"/>
    <w:rsid w:val="00243295"/>
    <w:rsid w:val="002439E8"/>
    <w:rsid w:val="00243BC1"/>
    <w:rsid w:val="00244544"/>
    <w:rsid w:val="0024476A"/>
    <w:rsid w:val="002449B6"/>
    <w:rsid w:val="00244D7C"/>
    <w:rsid w:val="00245269"/>
    <w:rsid w:val="002453D8"/>
    <w:rsid w:val="0024568D"/>
    <w:rsid w:val="002456DF"/>
    <w:rsid w:val="002458C2"/>
    <w:rsid w:val="00245AB9"/>
    <w:rsid w:val="00245E9F"/>
    <w:rsid w:val="002467E5"/>
    <w:rsid w:val="00246C72"/>
    <w:rsid w:val="0024709A"/>
    <w:rsid w:val="00247A3C"/>
    <w:rsid w:val="00250935"/>
    <w:rsid w:val="00250ACF"/>
    <w:rsid w:val="00250F3E"/>
    <w:rsid w:val="002521FB"/>
    <w:rsid w:val="002522EF"/>
    <w:rsid w:val="00254C36"/>
    <w:rsid w:val="00255732"/>
    <w:rsid w:val="0025597B"/>
    <w:rsid w:val="00256284"/>
    <w:rsid w:val="0025633F"/>
    <w:rsid w:val="00256386"/>
    <w:rsid w:val="00256932"/>
    <w:rsid w:val="00256BB6"/>
    <w:rsid w:val="002572F8"/>
    <w:rsid w:val="0025774D"/>
    <w:rsid w:val="00257B28"/>
    <w:rsid w:val="00257F0E"/>
    <w:rsid w:val="002611D4"/>
    <w:rsid w:val="002612E0"/>
    <w:rsid w:val="00261D6B"/>
    <w:rsid w:val="002625AB"/>
    <w:rsid w:val="00262A42"/>
    <w:rsid w:val="00262DBC"/>
    <w:rsid w:val="00263589"/>
    <w:rsid w:val="00264132"/>
    <w:rsid w:val="002645AB"/>
    <w:rsid w:val="00264630"/>
    <w:rsid w:val="002647E3"/>
    <w:rsid w:val="00265720"/>
    <w:rsid w:val="002666BD"/>
    <w:rsid w:val="00266BE1"/>
    <w:rsid w:val="002670BC"/>
    <w:rsid w:val="00267F3A"/>
    <w:rsid w:val="00267F90"/>
    <w:rsid w:val="002708D2"/>
    <w:rsid w:val="00271129"/>
    <w:rsid w:val="0027148D"/>
    <w:rsid w:val="002716F1"/>
    <w:rsid w:val="0027197E"/>
    <w:rsid w:val="00271DAC"/>
    <w:rsid w:val="00271EED"/>
    <w:rsid w:val="00272873"/>
    <w:rsid w:val="00272C1D"/>
    <w:rsid w:val="00272FB1"/>
    <w:rsid w:val="00273523"/>
    <w:rsid w:val="00273C38"/>
    <w:rsid w:val="0027425B"/>
    <w:rsid w:val="00274636"/>
    <w:rsid w:val="00274C9F"/>
    <w:rsid w:val="0027522A"/>
    <w:rsid w:val="0027593F"/>
    <w:rsid w:val="00275C81"/>
    <w:rsid w:val="00275CA0"/>
    <w:rsid w:val="00276BE4"/>
    <w:rsid w:val="002770A2"/>
    <w:rsid w:val="0027719A"/>
    <w:rsid w:val="0027730E"/>
    <w:rsid w:val="00277C4E"/>
    <w:rsid w:val="00277D53"/>
    <w:rsid w:val="00280013"/>
    <w:rsid w:val="00280175"/>
    <w:rsid w:val="002803E7"/>
    <w:rsid w:val="00280855"/>
    <w:rsid w:val="00280B5D"/>
    <w:rsid w:val="00281CE0"/>
    <w:rsid w:val="00281CF6"/>
    <w:rsid w:val="002820A3"/>
    <w:rsid w:val="00282163"/>
    <w:rsid w:val="00282398"/>
    <w:rsid w:val="002825E6"/>
    <w:rsid w:val="0028346B"/>
    <w:rsid w:val="00283705"/>
    <w:rsid w:val="00283E2E"/>
    <w:rsid w:val="00283F93"/>
    <w:rsid w:val="002845A8"/>
    <w:rsid w:val="00285453"/>
    <w:rsid w:val="0028546A"/>
    <w:rsid w:val="002856B9"/>
    <w:rsid w:val="002856F0"/>
    <w:rsid w:val="00285F1D"/>
    <w:rsid w:val="00286C64"/>
    <w:rsid w:val="002874D0"/>
    <w:rsid w:val="00287676"/>
    <w:rsid w:val="0029039C"/>
    <w:rsid w:val="00290ABA"/>
    <w:rsid w:val="00290BE5"/>
    <w:rsid w:val="00290D6B"/>
    <w:rsid w:val="00291176"/>
    <w:rsid w:val="002912CC"/>
    <w:rsid w:val="00291A16"/>
    <w:rsid w:val="00291D21"/>
    <w:rsid w:val="0029224F"/>
    <w:rsid w:val="00292721"/>
    <w:rsid w:val="00292A61"/>
    <w:rsid w:val="00292F75"/>
    <w:rsid w:val="002932C0"/>
    <w:rsid w:val="00293700"/>
    <w:rsid w:val="0029388F"/>
    <w:rsid w:val="002938AF"/>
    <w:rsid w:val="002938DC"/>
    <w:rsid w:val="00293E57"/>
    <w:rsid w:val="002943FB"/>
    <w:rsid w:val="0029488F"/>
    <w:rsid w:val="00294E7E"/>
    <w:rsid w:val="00295C7C"/>
    <w:rsid w:val="00296159"/>
    <w:rsid w:val="0029652E"/>
    <w:rsid w:val="002971B4"/>
    <w:rsid w:val="002972CC"/>
    <w:rsid w:val="002978BE"/>
    <w:rsid w:val="002A049E"/>
    <w:rsid w:val="002A0779"/>
    <w:rsid w:val="002A128B"/>
    <w:rsid w:val="002A12DD"/>
    <w:rsid w:val="002A181E"/>
    <w:rsid w:val="002A19B5"/>
    <w:rsid w:val="002A2C31"/>
    <w:rsid w:val="002A4499"/>
    <w:rsid w:val="002A4E28"/>
    <w:rsid w:val="002A5698"/>
    <w:rsid w:val="002A5AFF"/>
    <w:rsid w:val="002A5D5D"/>
    <w:rsid w:val="002A6091"/>
    <w:rsid w:val="002A6506"/>
    <w:rsid w:val="002A654F"/>
    <w:rsid w:val="002A6C0E"/>
    <w:rsid w:val="002A6C33"/>
    <w:rsid w:val="002A6F70"/>
    <w:rsid w:val="002A78AA"/>
    <w:rsid w:val="002A79EC"/>
    <w:rsid w:val="002B0030"/>
    <w:rsid w:val="002B0456"/>
    <w:rsid w:val="002B067F"/>
    <w:rsid w:val="002B0821"/>
    <w:rsid w:val="002B105D"/>
    <w:rsid w:val="002B2447"/>
    <w:rsid w:val="002B2590"/>
    <w:rsid w:val="002B2809"/>
    <w:rsid w:val="002B3295"/>
    <w:rsid w:val="002B339A"/>
    <w:rsid w:val="002B364D"/>
    <w:rsid w:val="002B3B2E"/>
    <w:rsid w:val="002B4478"/>
    <w:rsid w:val="002B500B"/>
    <w:rsid w:val="002B50ED"/>
    <w:rsid w:val="002B5195"/>
    <w:rsid w:val="002B537B"/>
    <w:rsid w:val="002B580D"/>
    <w:rsid w:val="002B584E"/>
    <w:rsid w:val="002B6275"/>
    <w:rsid w:val="002B656B"/>
    <w:rsid w:val="002B69D4"/>
    <w:rsid w:val="002B6C2B"/>
    <w:rsid w:val="002B6EEA"/>
    <w:rsid w:val="002B70B2"/>
    <w:rsid w:val="002B72B4"/>
    <w:rsid w:val="002C003E"/>
    <w:rsid w:val="002C06A5"/>
    <w:rsid w:val="002C0A63"/>
    <w:rsid w:val="002C0DD8"/>
    <w:rsid w:val="002C0E8B"/>
    <w:rsid w:val="002C0FC0"/>
    <w:rsid w:val="002C130C"/>
    <w:rsid w:val="002C14D0"/>
    <w:rsid w:val="002C1F62"/>
    <w:rsid w:val="002C20A5"/>
    <w:rsid w:val="002C255A"/>
    <w:rsid w:val="002C291D"/>
    <w:rsid w:val="002C2BE8"/>
    <w:rsid w:val="002C2EC5"/>
    <w:rsid w:val="002C2FAB"/>
    <w:rsid w:val="002C315A"/>
    <w:rsid w:val="002C320D"/>
    <w:rsid w:val="002C3345"/>
    <w:rsid w:val="002C4381"/>
    <w:rsid w:val="002C567D"/>
    <w:rsid w:val="002C5C47"/>
    <w:rsid w:val="002C6ACB"/>
    <w:rsid w:val="002C6C9B"/>
    <w:rsid w:val="002C6E40"/>
    <w:rsid w:val="002C6F5E"/>
    <w:rsid w:val="002C7088"/>
    <w:rsid w:val="002C74E4"/>
    <w:rsid w:val="002D13EA"/>
    <w:rsid w:val="002D15A2"/>
    <w:rsid w:val="002D1902"/>
    <w:rsid w:val="002D1D13"/>
    <w:rsid w:val="002D1EF4"/>
    <w:rsid w:val="002D2005"/>
    <w:rsid w:val="002D2474"/>
    <w:rsid w:val="002D2A2F"/>
    <w:rsid w:val="002D2BC5"/>
    <w:rsid w:val="002D31BE"/>
    <w:rsid w:val="002D3951"/>
    <w:rsid w:val="002D4039"/>
    <w:rsid w:val="002D509A"/>
    <w:rsid w:val="002D5D7B"/>
    <w:rsid w:val="002D5DFB"/>
    <w:rsid w:val="002D65A1"/>
    <w:rsid w:val="002D6B19"/>
    <w:rsid w:val="002D718D"/>
    <w:rsid w:val="002D7E99"/>
    <w:rsid w:val="002E021D"/>
    <w:rsid w:val="002E07D4"/>
    <w:rsid w:val="002E0B48"/>
    <w:rsid w:val="002E14EE"/>
    <w:rsid w:val="002E184E"/>
    <w:rsid w:val="002E29CC"/>
    <w:rsid w:val="002E2CFB"/>
    <w:rsid w:val="002E32D3"/>
    <w:rsid w:val="002E38A3"/>
    <w:rsid w:val="002E38BD"/>
    <w:rsid w:val="002E498C"/>
    <w:rsid w:val="002E49E4"/>
    <w:rsid w:val="002E4B3B"/>
    <w:rsid w:val="002E4C39"/>
    <w:rsid w:val="002E4DF5"/>
    <w:rsid w:val="002E53FD"/>
    <w:rsid w:val="002E5D77"/>
    <w:rsid w:val="002E712E"/>
    <w:rsid w:val="002E7444"/>
    <w:rsid w:val="002E7B78"/>
    <w:rsid w:val="002F0182"/>
    <w:rsid w:val="002F02CA"/>
    <w:rsid w:val="002F07C0"/>
    <w:rsid w:val="002F1763"/>
    <w:rsid w:val="002F1F6C"/>
    <w:rsid w:val="002F242F"/>
    <w:rsid w:val="002F269C"/>
    <w:rsid w:val="002F3FA5"/>
    <w:rsid w:val="002F5108"/>
    <w:rsid w:val="002F54E7"/>
    <w:rsid w:val="002F739F"/>
    <w:rsid w:val="002F742B"/>
    <w:rsid w:val="002F7B0B"/>
    <w:rsid w:val="002F7B95"/>
    <w:rsid w:val="00300395"/>
    <w:rsid w:val="00300442"/>
    <w:rsid w:val="00300877"/>
    <w:rsid w:val="00301091"/>
    <w:rsid w:val="003010C6"/>
    <w:rsid w:val="0030169C"/>
    <w:rsid w:val="00301721"/>
    <w:rsid w:val="00301733"/>
    <w:rsid w:val="0030198E"/>
    <w:rsid w:val="0030224E"/>
    <w:rsid w:val="00302472"/>
    <w:rsid w:val="003026AD"/>
    <w:rsid w:val="00302A56"/>
    <w:rsid w:val="00303692"/>
    <w:rsid w:val="003036D7"/>
    <w:rsid w:val="0030458E"/>
    <w:rsid w:val="00304834"/>
    <w:rsid w:val="0030531C"/>
    <w:rsid w:val="00305548"/>
    <w:rsid w:val="00305FF6"/>
    <w:rsid w:val="003068AF"/>
    <w:rsid w:val="0031014E"/>
    <w:rsid w:val="003102B6"/>
    <w:rsid w:val="003103AE"/>
    <w:rsid w:val="0031089A"/>
    <w:rsid w:val="00310CFC"/>
    <w:rsid w:val="0031177C"/>
    <w:rsid w:val="00311BB6"/>
    <w:rsid w:val="00311F05"/>
    <w:rsid w:val="00312341"/>
    <w:rsid w:val="00312C85"/>
    <w:rsid w:val="00313682"/>
    <w:rsid w:val="00313CEA"/>
    <w:rsid w:val="00313DC3"/>
    <w:rsid w:val="00313EE2"/>
    <w:rsid w:val="00314547"/>
    <w:rsid w:val="003145B0"/>
    <w:rsid w:val="003145D3"/>
    <w:rsid w:val="00314A21"/>
    <w:rsid w:val="00314C35"/>
    <w:rsid w:val="00314D54"/>
    <w:rsid w:val="003151F4"/>
    <w:rsid w:val="00315565"/>
    <w:rsid w:val="0031611A"/>
    <w:rsid w:val="00316590"/>
    <w:rsid w:val="00317F16"/>
    <w:rsid w:val="003201AD"/>
    <w:rsid w:val="00320A16"/>
    <w:rsid w:val="003210B2"/>
    <w:rsid w:val="00322F0A"/>
    <w:rsid w:val="003230F0"/>
    <w:rsid w:val="003234F8"/>
    <w:rsid w:val="003235E6"/>
    <w:rsid w:val="00323BB9"/>
    <w:rsid w:val="00323CAD"/>
    <w:rsid w:val="00323F3C"/>
    <w:rsid w:val="00324183"/>
    <w:rsid w:val="003243AB"/>
    <w:rsid w:val="00324625"/>
    <w:rsid w:val="003248AE"/>
    <w:rsid w:val="00324E00"/>
    <w:rsid w:val="00324E2E"/>
    <w:rsid w:val="00324EC2"/>
    <w:rsid w:val="003253EC"/>
    <w:rsid w:val="00325713"/>
    <w:rsid w:val="00325C85"/>
    <w:rsid w:val="00325D30"/>
    <w:rsid w:val="00325EC6"/>
    <w:rsid w:val="003260C0"/>
    <w:rsid w:val="0032650A"/>
    <w:rsid w:val="00326860"/>
    <w:rsid w:val="00326916"/>
    <w:rsid w:val="00326AAA"/>
    <w:rsid w:val="00327243"/>
    <w:rsid w:val="003278AD"/>
    <w:rsid w:val="003279D5"/>
    <w:rsid w:val="003300AF"/>
    <w:rsid w:val="0033054F"/>
    <w:rsid w:val="00331062"/>
    <w:rsid w:val="003313D5"/>
    <w:rsid w:val="003317E0"/>
    <w:rsid w:val="00332329"/>
    <w:rsid w:val="003325D5"/>
    <w:rsid w:val="00332CC4"/>
    <w:rsid w:val="0033394B"/>
    <w:rsid w:val="00334606"/>
    <w:rsid w:val="0033573D"/>
    <w:rsid w:val="00335F55"/>
    <w:rsid w:val="00336499"/>
    <w:rsid w:val="00337302"/>
    <w:rsid w:val="0033731A"/>
    <w:rsid w:val="0033751E"/>
    <w:rsid w:val="00337544"/>
    <w:rsid w:val="003400F9"/>
    <w:rsid w:val="003404F4"/>
    <w:rsid w:val="0034099D"/>
    <w:rsid w:val="00340EFC"/>
    <w:rsid w:val="00341195"/>
    <w:rsid w:val="00341313"/>
    <w:rsid w:val="00341588"/>
    <w:rsid w:val="003417AD"/>
    <w:rsid w:val="00341B9E"/>
    <w:rsid w:val="00341DDE"/>
    <w:rsid w:val="00342828"/>
    <w:rsid w:val="00342BF1"/>
    <w:rsid w:val="00342D32"/>
    <w:rsid w:val="00342F04"/>
    <w:rsid w:val="00343CEF"/>
    <w:rsid w:val="003444B7"/>
    <w:rsid w:val="00344694"/>
    <w:rsid w:val="00344A9B"/>
    <w:rsid w:val="00344FA8"/>
    <w:rsid w:val="00345126"/>
    <w:rsid w:val="003467C3"/>
    <w:rsid w:val="003468D7"/>
    <w:rsid w:val="00346ABF"/>
    <w:rsid w:val="00346C27"/>
    <w:rsid w:val="00346C4A"/>
    <w:rsid w:val="00346CE6"/>
    <w:rsid w:val="00346CFF"/>
    <w:rsid w:val="003470E7"/>
    <w:rsid w:val="00347587"/>
    <w:rsid w:val="00347FB4"/>
    <w:rsid w:val="00350105"/>
    <w:rsid w:val="00350BE0"/>
    <w:rsid w:val="003519DA"/>
    <w:rsid w:val="00351F1C"/>
    <w:rsid w:val="00351FE9"/>
    <w:rsid w:val="0035231C"/>
    <w:rsid w:val="00352937"/>
    <w:rsid w:val="00352997"/>
    <w:rsid w:val="00353558"/>
    <w:rsid w:val="00353571"/>
    <w:rsid w:val="003535AD"/>
    <w:rsid w:val="0035475B"/>
    <w:rsid w:val="00354B55"/>
    <w:rsid w:val="00354EC6"/>
    <w:rsid w:val="0035544E"/>
    <w:rsid w:val="003554DD"/>
    <w:rsid w:val="00355FEB"/>
    <w:rsid w:val="00357958"/>
    <w:rsid w:val="00357FE7"/>
    <w:rsid w:val="00360709"/>
    <w:rsid w:val="00360734"/>
    <w:rsid w:val="00360CEC"/>
    <w:rsid w:val="00360E53"/>
    <w:rsid w:val="00360EEA"/>
    <w:rsid w:val="003610CC"/>
    <w:rsid w:val="003611EA"/>
    <w:rsid w:val="0036140F"/>
    <w:rsid w:val="00361637"/>
    <w:rsid w:val="0036231A"/>
    <w:rsid w:val="00362493"/>
    <w:rsid w:val="00362A69"/>
    <w:rsid w:val="00362B42"/>
    <w:rsid w:val="00363219"/>
    <w:rsid w:val="00363296"/>
    <w:rsid w:val="003638FD"/>
    <w:rsid w:val="00363AF5"/>
    <w:rsid w:val="00364B22"/>
    <w:rsid w:val="00364CDF"/>
    <w:rsid w:val="00364EA6"/>
    <w:rsid w:val="00364EF4"/>
    <w:rsid w:val="003662D9"/>
    <w:rsid w:val="00366861"/>
    <w:rsid w:val="00366920"/>
    <w:rsid w:val="00367557"/>
    <w:rsid w:val="003678ED"/>
    <w:rsid w:val="00367FFD"/>
    <w:rsid w:val="0037098C"/>
    <w:rsid w:val="003718BF"/>
    <w:rsid w:val="00371AF6"/>
    <w:rsid w:val="00371B56"/>
    <w:rsid w:val="00371EAA"/>
    <w:rsid w:val="00371EE4"/>
    <w:rsid w:val="00372125"/>
    <w:rsid w:val="00372322"/>
    <w:rsid w:val="00372B5C"/>
    <w:rsid w:val="00372D10"/>
    <w:rsid w:val="00373213"/>
    <w:rsid w:val="00373F02"/>
    <w:rsid w:val="003742CA"/>
    <w:rsid w:val="003748E3"/>
    <w:rsid w:val="003748EB"/>
    <w:rsid w:val="00374EA0"/>
    <w:rsid w:val="0037558F"/>
    <w:rsid w:val="00375994"/>
    <w:rsid w:val="00375B2F"/>
    <w:rsid w:val="00375C9B"/>
    <w:rsid w:val="00375CE6"/>
    <w:rsid w:val="00375F55"/>
    <w:rsid w:val="003760D1"/>
    <w:rsid w:val="0037643B"/>
    <w:rsid w:val="0037699A"/>
    <w:rsid w:val="00377217"/>
    <w:rsid w:val="003772C1"/>
    <w:rsid w:val="00377460"/>
    <w:rsid w:val="0037779E"/>
    <w:rsid w:val="00377C7B"/>
    <w:rsid w:val="00380242"/>
    <w:rsid w:val="0038085A"/>
    <w:rsid w:val="00380B7A"/>
    <w:rsid w:val="00380BD9"/>
    <w:rsid w:val="0038110F"/>
    <w:rsid w:val="00381363"/>
    <w:rsid w:val="0038152E"/>
    <w:rsid w:val="003816C2"/>
    <w:rsid w:val="00381D7E"/>
    <w:rsid w:val="00382E5B"/>
    <w:rsid w:val="00382FEF"/>
    <w:rsid w:val="00383258"/>
    <w:rsid w:val="00383361"/>
    <w:rsid w:val="003841E2"/>
    <w:rsid w:val="003844C2"/>
    <w:rsid w:val="00384748"/>
    <w:rsid w:val="00384B9F"/>
    <w:rsid w:val="00384C83"/>
    <w:rsid w:val="003858B6"/>
    <w:rsid w:val="00386724"/>
    <w:rsid w:val="0038680F"/>
    <w:rsid w:val="00386A5F"/>
    <w:rsid w:val="00386D56"/>
    <w:rsid w:val="00387A94"/>
    <w:rsid w:val="00387AFC"/>
    <w:rsid w:val="003902A7"/>
    <w:rsid w:val="00390EA9"/>
    <w:rsid w:val="003911B8"/>
    <w:rsid w:val="00391819"/>
    <w:rsid w:val="00391C54"/>
    <w:rsid w:val="00391E52"/>
    <w:rsid w:val="003920A6"/>
    <w:rsid w:val="00392959"/>
    <w:rsid w:val="003935E1"/>
    <w:rsid w:val="0039392B"/>
    <w:rsid w:val="00395816"/>
    <w:rsid w:val="00395855"/>
    <w:rsid w:val="00396092"/>
    <w:rsid w:val="00396E2B"/>
    <w:rsid w:val="003975F4"/>
    <w:rsid w:val="003A0498"/>
    <w:rsid w:val="003A054E"/>
    <w:rsid w:val="003A146D"/>
    <w:rsid w:val="003A15F8"/>
    <w:rsid w:val="003A2359"/>
    <w:rsid w:val="003A23D2"/>
    <w:rsid w:val="003A2522"/>
    <w:rsid w:val="003A299E"/>
    <w:rsid w:val="003A2F58"/>
    <w:rsid w:val="003A3C8A"/>
    <w:rsid w:val="003A4194"/>
    <w:rsid w:val="003A487B"/>
    <w:rsid w:val="003A4EB6"/>
    <w:rsid w:val="003A5334"/>
    <w:rsid w:val="003A566C"/>
    <w:rsid w:val="003A593B"/>
    <w:rsid w:val="003A5D69"/>
    <w:rsid w:val="003A63C3"/>
    <w:rsid w:val="003A658A"/>
    <w:rsid w:val="003A6FD9"/>
    <w:rsid w:val="003A73D4"/>
    <w:rsid w:val="003A773E"/>
    <w:rsid w:val="003A7781"/>
    <w:rsid w:val="003B0236"/>
    <w:rsid w:val="003B0865"/>
    <w:rsid w:val="003B09D5"/>
    <w:rsid w:val="003B0A32"/>
    <w:rsid w:val="003B1232"/>
    <w:rsid w:val="003B1E6C"/>
    <w:rsid w:val="003B3297"/>
    <w:rsid w:val="003B3953"/>
    <w:rsid w:val="003B3B97"/>
    <w:rsid w:val="003B4C8C"/>
    <w:rsid w:val="003B4D52"/>
    <w:rsid w:val="003B4D68"/>
    <w:rsid w:val="003B56E5"/>
    <w:rsid w:val="003B59D0"/>
    <w:rsid w:val="003B5A40"/>
    <w:rsid w:val="003B5B05"/>
    <w:rsid w:val="003B628C"/>
    <w:rsid w:val="003B774B"/>
    <w:rsid w:val="003B7B40"/>
    <w:rsid w:val="003B7EBE"/>
    <w:rsid w:val="003C0483"/>
    <w:rsid w:val="003C079B"/>
    <w:rsid w:val="003C0961"/>
    <w:rsid w:val="003C0C06"/>
    <w:rsid w:val="003C0C17"/>
    <w:rsid w:val="003C0DB0"/>
    <w:rsid w:val="003C1768"/>
    <w:rsid w:val="003C191A"/>
    <w:rsid w:val="003C1A93"/>
    <w:rsid w:val="003C22E5"/>
    <w:rsid w:val="003C23F4"/>
    <w:rsid w:val="003C2E70"/>
    <w:rsid w:val="003C3277"/>
    <w:rsid w:val="003C349A"/>
    <w:rsid w:val="003C34BE"/>
    <w:rsid w:val="003C39D1"/>
    <w:rsid w:val="003C3B67"/>
    <w:rsid w:val="003C3D3C"/>
    <w:rsid w:val="003C4874"/>
    <w:rsid w:val="003C4A9F"/>
    <w:rsid w:val="003C64B2"/>
    <w:rsid w:val="003C6771"/>
    <w:rsid w:val="003C6A67"/>
    <w:rsid w:val="003C6B3F"/>
    <w:rsid w:val="003C6BD4"/>
    <w:rsid w:val="003C712D"/>
    <w:rsid w:val="003C7773"/>
    <w:rsid w:val="003D014F"/>
    <w:rsid w:val="003D0215"/>
    <w:rsid w:val="003D0D39"/>
    <w:rsid w:val="003D1619"/>
    <w:rsid w:val="003D1630"/>
    <w:rsid w:val="003D1A56"/>
    <w:rsid w:val="003D1EEA"/>
    <w:rsid w:val="003D236F"/>
    <w:rsid w:val="003D23F0"/>
    <w:rsid w:val="003D2736"/>
    <w:rsid w:val="003D28B9"/>
    <w:rsid w:val="003D2D82"/>
    <w:rsid w:val="003D3217"/>
    <w:rsid w:val="003D358F"/>
    <w:rsid w:val="003D3713"/>
    <w:rsid w:val="003D3A06"/>
    <w:rsid w:val="003D44C0"/>
    <w:rsid w:val="003D450D"/>
    <w:rsid w:val="003D53B6"/>
    <w:rsid w:val="003D55CE"/>
    <w:rsid w:val="003D5A13"/>
    <w:rsid w:val="003D5A3E"/>
    <w:rsid w:val="003D5F41"/>
    <w:rsid w:val="003D5F56"/>
    <w:rsid w:val="003D69F5"/>
    <w:rsid w:val="003D7027"/>
    <w:rsid w:val="003D70A7"/>
    <w:rsid w:val="003D70B0"/>
    <w:rsid w:val="003D7706"/>
    <w:rsid w:val="003D7D30"/>
    <w:rsid w:val="003E015E"/>
    <w:rsid w:val="003E0B79"/>
    <w:rsid w:val="003E0F6F"/>
    <w:rsid w:val="003E1BAF"/>
    <w:rsid w:val="003E2425"/>
    <w:rsid w:val="003E24DA"/>
    <w:rsid w:val="003E2E48"/>
    <w:rsid w:val="003E3B5B"/>
    <w:rsid w:val="003E3F2C"/>
    <w:rsid w:val="003E40B5"/>
    <w:rsid w:val="003E4170"/>
    <w:rsid w:val="003E4268"/>
    <w:rsid w:val="003E42B0"/>
    <w:rsid w:val="003E4716"/>
    <w:rsid w:val="003E5BF2"/>
    <w:rsid w:val="003E656C"/>
    <w:rsid w:val="003E728D"/>
    <w:rsid w:val="003E7303"/>
    <w:rsid w:val="003E730D"/>
    <w:rsid w:val="003E77D4"/>
    <w:rsid w:val="003E7E3B"/>
    <w:rsid w:val="003F0132"/>
    <w:rsid w:val="003F02E0"/>
    <w:rsid w:val="003F04E1"/>
    <w:rsid w:val="003F0613"/>
    <w:rsid w:val="003F11BB"/>
    <w:rsid w:val="003F148C"/>
    <w:rsid w:val="003F14B4"/>
    <w:rsid w:val="003F2A34"/>
    <w:rsid w:val="003F2A35"/>
    <w:rsid w:val="003F2B30"/>
    <w:rsid w:val="003F2B5E"/>
    <w:rsid w:val="003F319B"/>
    <w:rsid w:val="003F31B4"/>
    <w:rsid w:val="003F3384"/>
    <w:rsid w:val="003F3775"/>
    <w:rsid w:val="003F3895"/>
    <w:rsid w:val="003F4180"/>
    <w:rsid w:val="003F45BD"/>
    <w:rsid w:val="003F464F"/>
    <w:rsid w:val="003F51AA"/>
    <w:rsid w:val="003F54D0"/>
    <w:rsid w:val="003F554F"/>
    <w:rsid w:val="003F60A3"/>
    <w:rsid w:val="003F657F"/>
    <w:rsid w:val="003F69D1"/>
    <w:rsid w:val="003F78C8"/>
    <w:rsid w:val="003F7E31"/>
    <w:rsid w:val="00400449"/>
    <w:rsid w:val="0040114F"/>
    <w:rsid w:val="004017AC"/>
    <w:rsid w:val="0040180D"/>
    <w:rsid w:val="004025A5"/>
    <w:rsid w:val="00403277"/>
    <w:rsid w:val="0040367B"/>
    <w:rsid w:val="00403927"/>
    <w:rsid w:val="00403C45"/>
    <w:rsid w:val="00405563"/>
    <w:rsid w:val="004056D8"/>
    <w:rsid w:val="00405D8E"/>
    <w:rsid w:val="004060A9"/>
    <w:rsid w:val="004065CC"/>
    <w:rsid w:val="00406E4B"/>
    <w:rsid w:val="00407123"/>
    <w:rsid w:val="00410173"/>
    <w:rsid w:val="0041052A"/>
    <w:rsid w:val="00410B9E"/>
    <w:rsid w:val="00410F9F"/>
    <w:rsid w:val="0041190E"/>
    <w:rsid w:val="00411C03"/>
    <w:rsid w:val="00411DC3"/>
    <w:rsid w:val="00411E9C"/>
    <w:rsid w:val="0041225F"/>
    <w:rsid w:val="00412279"/>
    <w:rsid w:val="0041256D"/>
    <w:rsid w:val="00412C44"/>
    <w:rsid w:val="004137F7"/>
    <w:rsid w:val="004139D4"/>
    <w:rsid w:val="0041409B"/>
    <w:rsid w:val="0041418B"/>
    <w:rsid w:val="00414591"/>
    <w:rsid w:val="00414E15"/>
    <w:rsid w:val="0041532E"/>
    <w:rsid w:val="004154FA"/>
    <w:rsid w:val="00415C24"/>
    <w:rsid w:val="00416139"/>
    <w:rsid w:val="004168B7"/>
    <w:rsid w:val="00416931"/>
    <w:rsid w:val="00416AAC"/>
    <w:rsid w:val="0041704D"/>
    <w:rsid w:val="0041785E"/>
    <w:rsid w:val="0041797F"/>
    <w:rsid w:val="00417B92"/>
    <w:rsid w:val="00417D63"/>
    <w:rsid w:val="00417EFD"/>
    <w:rsid w:val="00417FA0"/>
    <w:rsid w:val="00420960"/>
    <w:rsid w:val="00420BD8"/>
    <w:rsid w:val="00420EDC"/>
    <w:rsid w:val="0042111B"/>
    <w:rsid w:val="0042145A"/>
    <w:rsid w:val="00421899"/>
    <w:rsid w:val="00421C16"/>
    <w:rsid w:val="00421ED6"/>
    <w:rsid w:val="00421F4B"/>
    <w:rsid w:val="00422769"/>
    <w:rsid w:val="004228B3"/>
    <w:rsid w:val="00422C0E"/>
    <w:rsid w:val="00423393"/>
    <w:rsid w:val="004235AE"/>
    <w:rsid w:val="00423DE7"/>
    <w:rsid w:val="004243D6"/>
    <w:rsid w:val="00424FD9"/>
    <w:rsid w:val="00425114"/>
    <w:rsid w:val="00425387"/>
    <w:rsid w:val="00425F25"/>
    <w:rsid w:val="004260FD"/>
    <w:rsid w:val="0042637E"/>
    <w:rsid w:val="00426719"/>
    <w:rsid w:val="00426A5A"/>
    <w:rsid w:val="00427131"/>
    <w:rsid w:val="00427225"/>
    <w:rsid w:val="004277E3"/>
    <w:rsid w:val="00427A2C"/>
    <w:rsid w:val="00427D47"/>
    <w:rsid w:val="00430408"/>
    <w:rsid w:val="004306C9"/>
    <w:rsid w:val="00430B2E"/>
    <w:rsid w:val="00431108"/>
    <w:rsid w:val="004314A1"/>
    <w:rsid w:val="00431776"/>
    <w:rsid w:val="00431AD0"/>
    <w:rsid w:val="004323A5"/>
    <w:rsid w:val="0043256B"/>
    <w:rsid w:val="00432B05"/>
    <w:rsid w:val="00432B4E"/>
    <w:rsid w:val="004332B8"/>
    <w:rsid w:val="004333D9"/>
    <w:rsid w:val="004336C8"/>
    <w:rsid w:val="00433718"/>
    <w:rsid w:val="0043373B"/>
    <w:rsid w:val="00433A89"/>
    <w:rsid w:val="00433E0E"/>
    <w:rsid w:val="004342F4"/>
    <w:rsid w:val="004344A0"/>
    <w:rsid w:val="00434D61"/>
    <w:rsid w:val="004352DC"/>
    <w:rsid w:val="0043595F"/>
    <w:rsid w:val="00435A44"/>
    <w:rsid w:val="00435D53"/>
    <w:rsid w:val="00435E1D"/>
    <w:rsid w:val="004361C5"/>
    <w:rsid w:val="0043648C"/>
    <w:rsid w:val="004368B8"/>
    <w:rsid w:val="0043699F"/>
    <w:rsid w:val="00436C1C"/>
    <w:rsid w:val="00436E32"/>
    <w:rsid w:val="00437012"/>
    <w:rsid w:val="004370F0"/>
    <w:rsid w:val="00437204"/>
    <w:rsid w:val="00440D29"/>
    <w:rsid w:val="00441021"/>
    <w:rsid w:val="00441143"/>
    <w:rsid w:val="00441768"/>
    <w:rsid w:val="0044265C"/>
    <w:rsid w:val="00443020"/>
    <w:rsid w:val="00443C37"/>
    <w:rsid w:val="0044462D"/>
    <w:rsid w:val="004452A5"/>
    <w:rsid w:val="004452D9"/>
    <w:rsid w:val="00445572"/>
    <w:rsid w:val="00446460"/>
    <w:rsid w:val="004466D6"/>
    <w:rsid w:val="004467A3"/>
    <w:rsid w:val="00446AF3"/>
    <w:rsid w:val="0044731C"/>
    <w:rsid w:val="00447CEB"/>
    <w:rsid w:val="00447F96"/>
    <w:rsid w:val="00450050"/>
    <w:rsid w:val="004502FC"/>
    <w:rsid w:val="004505CF"/>
    <w:rsid w:val="004517AA"/>
    <w:rsid w:val="00452CC9"/>
    <w:rsid w:val="004530FA"/>
    <w:rsid w:val="00453128"/>
    <w:rsid w:val="00453719"/>
    <w:rsid w:val="0045398C"/>
    <w:rsid w:val="00453B83"/>
    <w:rsid w:val="00453FDF"/>
    <w:rsid w:val="004544D0"/>
    <w:rsid w:val="00454649"/>
    <w:rsid w:val="00454A1A"/>
    <w:rsid w:val="00455782"/>
    <w:rsid w:val="004559AF"/>
    <w:rsid w:val="00455A15"/>
    <w:rsid w:val="00455FDC"/>
    <w:rsid w:val="0045626D"/>
    <w:rsid w:val="00456A99"/>
    <w:rsid w:val="00456C6C"/>
    <w:rsid w:val="00456CBF"/>
    <w:rsid w:val="00456D31"/>
    <w:rsid w:val="00456E2F"/>
    <w:rsid w:val="00457068"/>
    <w:rsid w:val="00457557"/>
    <w:rsid w:val="00457909"/>
    <w:rsid w:val="00460B36"/>
    <w:rsid w:val="004612C4"/>
    <w:rsid w:val="0046190D"/>
    <w:rsid w:val="00462621"/>
    <w:rsid w:val="00463288"/>
    <w:rsid w:val="004651B9"/>
    <w:rsid w:val="00465EB5"/>
    <w:rsid w:val="00465F25"/>
    <w:rsid w:val="00466171"/>
    <w:rsid w:val="00466AF3"/>
    <w:rsid w:val="00466CC1"/>
    <w:rsid w:val="00467095"/>
    <w:rsid w:val="0046719D"/>
    <w:rsid w:val="00467634"/>
    <w:rsid w:val="00467D43"/>
    <w:rsid w:val="004700B5"/>
    <w:rsid w:val="0047030A"/>
    <w:rsid w:val="00470686"/>
    <w:rsid w:val="00470695"/>
    <w:rsid w:val="00470BF0"/>
    <w:rsid w:val="00470E47"/>
    <w:rsid w:val="00471321"/>
    <w:rsid w:val="0047164D"/>
    <w:rsid w:val="004716F3"/>
    <w:rsid w:val="00471967"/>
    <w:rsid w:val="0047211B"/>
    <w:rsid w:val="00472C50"/>
    <w:rsid w:val="00473AF9"/>
    <w:rsid w:val="00473C4E"/>
    <w:rsid w:val="00473F75"/>
    <w:rsid w:val="00474326"/>
    <w:rsid w:val="0047487E"/>
    <w:rsid w:val="00474D04"/>
    <w:rsid w:val="00474DAB"/>
    <w:rsid w:val="00474E66"/>
    <w:rsid w:val="00474FBC"/>
    <w:rsid w:val="004759ED"/>
    <w:rsid w:val="00475A7F"/>
    <w:rsid w:val="00475DB8"/>
    <w:rsid w:val="00476B34"/>
    <w:rsid w:val="00476FF1"/>
    <w:rsid w:val="0047765D"/>
    <w:rsid w:val="004779BB"/>
    <w:rsid w:val="0048024C"/>
    <w:rsid w:val="00480253"/>
    <w:rsid w:val="00480457"/>
    <w:rsid w:val="00480941"/>
    <w:rsid w:val="00480B0B"/>
    <w:rsid w:val="00480DC3"/>
    <w:rsid w:val="0048100F"/>
    <w:rsid w:val="00481218"/>
    <w:rsid w:val="004824BF"/>
    <w:rsid w:val="00482AC9"/>
    <w:rsid w:val="004836FD"/>
    <w:rsid w:val="00484370"/>
    <w:rsid w:val="00484976"/>
    <w:rsid w:val="00485358"/>
    <w:rsid w:val="00485CB6"/>
    <w:rsid w:val="00486F32"/>
    <w:rsid w:val="0048742F"/>
    <w:rsid w:val="0049011A"/>
    <w:rsid w:val="00490A6B"/>
    <w:rsid w:val="00490CD1"/>
    <w:rsid w:val="00491DD1"/>
    <w:rsid w:val="004924BB"/>
    <w:rsid w:val="004929A7"/>
    <w:rsid w:val="004931AA"/>
    <w:rsid w:val="004956FC"/>
    <w:rsid w:val="004962F5"/>
    <w:rsid w:val="004967FA"/>
    <w:rsid w:val="00496B3F"/>
    <w:rsid w:val="00497895"/>
    <w:rsid w:val="004979AA"/>
    <w:rsid w:val="00497E7E"/>
    <w:rsid w:val="004A00CB"/>
    <w:rsid w:val="004A0796"/>
    <w:rsid w:val="004A154D"/>
    <w:rsid w:val="004A1B6C"/>
    <w:rsid w:val="004A23E4"/>
    <w:rsid w:val="004A3190"/>
    <w:rsid w:val="004A3430"/>
    <w:rsid w:val="004A3B97"/>
    <w:rsid w:val="004A44D4"/>
    <w:rsid w:val="004A472A"/>
    <w:rsid w:val="004A4A2D"/>
    <w:rsid w:val="004A4B44"/>
    <w:rsid w:val="004A4D6A"/>
    <w:rsid w:val="004A51AD"/>
    <w:rsid w:val="004A64E7"/>
    <w:rsid w:val="004A6D6B"/>
    <w:rsid w:val="004A7170"/>
    <w:rsid w:val="004A74F3"/>
    <w:rsid w:val="004A7682"/>
    <w:rsid w:val="004A7736"/>
    <w:rsid w:val="004B0CA3"/>
    <w:rsid w:val="004B0DBD"/>
    <w:rsid w:val="004B0EC0"/>
    <w:rsid w:val="004B1196"/>
    <w:rsid w:val="004B11DF"/>
    <w:rsid w:val="004B1515"/>
    <w:rsid w:val="004B184F"/>
    <w:rsid w:val="004B1B19"/>
    <w:rsid w:val="004B1F0E"/>
    <w:rsid w:val="004B1F93"/>
    <w:rsid w:val="004B2201"/>
    <w:rsid w:val="004B2A16"/>
    <w:rsid w:val="004B3425"/>
    <w:rsid w:val="004B372B"/>
    <w:rsid w:val="004B4252"/>
    <w:rsid w:val="004B54F8"/>
    <w:rsid w:val="004B5EDC"/>
    <w:rsid w:val="004B5F65"/>
    <w:rsid w:val="004B6259"/>
    <w:rsid w:val="004B656D"/>
    <w:rsid w:val="004B6909"/>
    <w:rsid w:val="004B6E78"/>
    <w:rsid w:val="004B740D"/>
    <w:rsid w:val="004C0389"/>
    <w:rsid w:val="004C04A9"/>
    <w:rsid w:val="004C1656"/>
    <w:rsid w:val="004C2152"/>
    <w:rsid w:val="004C243B"/>
    <w:rsid w:val="004C2D19"/>
    <w:rsid w:val="004C2ECB"/>
    <w:rsid w:val="004C31E1"/>
    <w:rsid w:val="004C386A"/>
    <w:rsid w:val="004C3A0C"/>
    <w:rsid w:val="004C3D67"/>
    <w:rsid w:val="004C3FC9"/>
    <w:rsid w:val="004C4077"/>
    <w:rsid w:val="004C4190"/>
    <w:rsid w:val="004C5ACA"/>
    <w:rsid w:val="004C5BEC"/>
    <w:rsid w:val="004C6249"/>
    <w:rsid w:val="004C6645"/>
    <w:rsid w:val="004C664A"/>
    <w:rsid w:val="004C676A"/>
    <w:rsid w:val="004C6988"/>
    <w:rsid w:val="004C6C63"/>
    <w:rsid w:val="004C7037"/>
    <w:rsid w:val="004C72DF"/>
    <w:rsid w:val="004C7821"/>
    <w:rsid w:val="004C7C3F"/>
    <w:rsid w:val="004D00AF"/>
    <w:rsid w:val="004D056D"/>
    <w:rsid w:val="004D0A3E"/>
    <w:rsid w:val="004D10BF"/>
    <w:rsid w:val="004D13A4"/>
    <w:rsid w:val="004D15E3"/>
    <w:rsid w:val="004D1C72"/>
    <w:rsid w:val="004D1CBA"/>
    <w:rsid w:val="004D221A"/>
    <w:rsid w:val="004D24D9"/>
    <w:rsid w:val="004D2C1E"/>
    <w:rsid w:val="004D2E0D"/>
    <w:rsid w:val="004D30F6"/>
    <w:rsid w:val="004D3FC0"/>
    <w:rsid w:val="004D4274"/>
    <w:rsid w:val="004D44A6"/>
    <w:rsid w:val="004D4693"/>
    <w:rsid w:val="004D4905"/>
    <w:rsid w:val="004D4B13"/>
    <w:rsid w:val="004D4B5D"/>
    <w:rsid w:val="004D4E78"/>
    <w:rsid w:val="004D4E91"/>
    <w:rsid w:val="004D513B"/>
    <w:rsid w:val="004D5621"/>
    <w:rsid w:val="004D579A"/>
    <w:rsid w:val="004D58D9"/>
    <w:rsid w:val="004D7B19"/>
    <w:rsid w:val="004E01DF"/>
    <w:rsid w:val="004E07E6"/>
    <w:rsid w:val="004E0B34"/>
    <w:rsid w:val="004E0EE5"/>
    <w:rsid w:val="004E111C"/>
    <w:rsid w:val="004E174D"/>
    <w:rsid w:val="004E1B28"/>
    <w:rsid w:val="004E1F00"/>
    <w:rsid w:val="004E224D"/>
    <w:rsid w:val="004E252C"/>
    <w:rsid w:val="004E315F"/>
    <w:rsid w:val="004E330D"/>
    <w:rsid w:val="004E3767"/>
    <w:rsid w:val="004E37C3"/>
    <w:rsid w:val="004E3809"/>
    <w:rsid w:val="004E455D"/>
    <w:rsid w:val="004E568D"/>
    <w:rsid w:val="004E5944"/>
    <w:rsid w:val="004E5DB2"/>
    <w:rsid w:val="004E655A"/>
    <w:rsid w:val="004E6F76"/>
    <w:rsid w:val="004E79C6"/>
    <w:rsid w:val="004E7AEB"/>
    <w:rsid w:val="004E7E8D"/>
    <w:rsid w:val="004F26C1"/>
    <w:rsid w:val="004F26EE"/>
    <w:rsid w:val="004F271D"/>
    <w:rsid w:val="004F2770"/>
    <w:rsid w:val="004F27B2"/>
    <w:rsid w:val="004F2C8F"/>
    <w:rsid w:val="004F3E5B"/>
    <w:rsid w:val="004F5BD0"/>
    <w:rsid w:val="004F67AC"/>
    <w:rsid w:val="004F6AA2"/>
    <w:rsid w:val="004F718F"/>
    <w:rsid w:val="004F72C5"/>
    <w:rsid w:val="004F79E9"/>
    <w:rsid w:val="00500177"/>
    <w:rsid w:val="00500622"/>
    <w:rsid w:val="0050068B"/>
    <w:rsid w:val="00500705"/>
    <w:rsid w:val="00500AC7"/>
    <w:rsid w:val="005010A8"/>
    <w:rsid w:val="00501295"/>
    <w:rsid w:val="00501593"/>
    <w:rsid w:val="00501BD1"/>
    <w:rsid w:val="00502116"/>
    <w:rsid w:val="0050256D"/>
    <w:rsid w:val="005025A7"/>
    <w:rsid w:val="00502C8F"/>
    <w:rsid w:val="005032CE"/>
    <w:rsid w:val="00503C08"/>
    <w:rsid w:val="00503FC6"/>
    <w:rsid w:val="0050418E"/>
    <w:rsid w:val="005047EF"/>
    <w:rsid w:val="00504D65"/>
    <w:rsid w:val="005051CD"/>
    <w:rsid w:val="005054A9"/>
    <w:rsid w:val="00505548"/>
    <w:rsid w:val="0050593F"/>
    <w:rsid w:val="00505D2C"/>
    <w:rsid w:val="00505F4F"/>
    <w:rsid w:val="005065AA"/>
    <w:rsid w:val="00506916"/>
    <w:rsid w:val="005069F3"/>
    <w:rsid w:val="00506B4E"/>
    <w:rsid w:val="005077D1"/>
    <w:rsid w:val="00507C43"/>
    <w:rsid w:val="00507CFF"/>
    <w:rsid w:val="00507D57"/>
    <w:rsid w:val="00510227"/>
    <w:rsid w:val="005107D6"/>
    <w:rsid w:val="00510911"/>
    <w:rsid w:val="0051106C"/>
    <w:rsid w:val="00511ADA"/>
    <w:rsid w:val="005120FC"/>
    <w:rsid w:val="00512D0C"/>
    <w:rsid w:val="005137C6"/>
    <w:rsid w:val="00513DEA"/>
    <w:rsid w:val="00513E10"/>
    <w:rsid w:val="00514230"/>
    <w:rsid w:val="0051452F"/>
    <w:rsid w:val="00515AB6"/>
    <w:rsid w:val="00515BD4"/>
    <w:rsid w:val="0051689D"/>
    <w:rsid w:val="005168F6"/>
    <w:rsid w:val="005169AD"/>
    <w:rsid w:val="00517211"/>
    <w:rsid w:val="00517505"/>
    <w:rsid w:val="005178AA"/>
    <w:rsid w:val="00520132"/>
    <w:rsid w:val="00520C07"/>
    <w:rsid w:val="00521AF7"/>
    <w:rsid w:val="00522FEC"/>
    <w:rsid w:val="00523258"/>
    <w:rsid w:val="00523508"/>
    <w:rsid w:val="00523EFD"/>
    <w:rsid w:val="005243E1"/>
    <w:rsid w:val="00525020"/>
    <w:rsid w:val="0052525E"/>
    <w:rsid w:val="00525843"/>
    <w:rsid w:val="005261A1"/>
    <w:rsid w:val="00526783"/>
    <w:rsid w:val="00527540"/>
    <w:rsid w:val="00527C72"/>
    <w:rsid w:val="0053037C"/>
    <w:rsid w:val="00531407"/>
    <w:rsid w:val="005319C9"/>
    <w:rsid w:val="00531A12"/>
    <w:rsid w:val="00532705"/>
    <w:rsid w:val="0053317C"/>
    <w:rsid w:val="00533995"/>
    <w:rsid w:val="00533CCA"/>
    <w:rsid w:val="00534517"/>
    <w:rsid w:val="00534909"/>
    <w:rsid w:val="00534ABB"/>
    <w:rsid w:val="00534FD3"/>
    <w:rsid w:val="00535022"/>
    <w:rsid w:val="0053550E"/>
    <w:rsid w:val="00535D1F"/>
    <w:rsid w:val="00535FFC"/>
    <w:rsid w:val="005360E3"/>
    <w:rsid w:val="005362EF"/>
    <w:rsid w:val="0053630D"/>
    <w:rsid w:val="005368D7"/>
    <w:rsid w:val="00536CCD"/>
    <w:rsid w:val="00536EC5"/>
    <w:rsid w:val="00537318"/>
    <w:rsid w:val="005373DC"/>
    <w:rsid w:val="00537508"/>
    <w:rsid w:val="00537AD5"/>
    <w:rsid w:val="00540861"/>
    <w:rsid w:val="00540DFD"/>
    <w:rsid w:val="00541279"/>
    <w:rsid w:val="00541962"/>
    <w:rsid w:val="00541E59"/>
    <w:rsid w:val="00542E5D"/>
    <w:rsid w:val="005432D4"/>
    <w:rsid w:val="00543730"/>
    <w:rsid w:val="0054440F"/>
    <w:rsid w:val="00544549"/>
    <w:rsid w:val="005445E1"/>
    <w:rsid w:val="005446E4"/>
    <w:rsid w:val="00544AAF"/>
    <w:rsid w:val="00544CF2"/>
    <w:rsid w:val="005451D0"/>
    <w:rsid w:val="00545896"/>
    <w:rsid w:val="0054597D"/>
    <w:rsid w:val="005459CA"/>
    <w:rsid w:val="00545C5F"/>
    <w:rsid w:val="0054667B"/>
    <w:rsid w:val="005473C4"/>
    <w:rsid w:val="005501BF"/>
    <w:rsid w:val="005510EE"/>
    <w:rsid w:val="0055179E"/>
    <w:rsid w:val="00551807"/>
    <w:rsid w:val="0055209C"/>
    <w:rsid w:val="00552493"/>
    <w:rsid w:val="0055333E"/>
    <w:rsid w:val="0055466B"/>
    <w:rsid w:val="00554838"/>
    <w:rsid w:val="00555AD4"/>
    <w:rsid w:val="00555D07"/>
    <w:rsid w:val="0055604E"/>
    <w:rsid w:val="00556331"/>
    <w:rsid w:val="005578C6"/>
    <w:rsid w:val="00557CDE"/>
    <w:rsid w:val="00560455"/>
    <w:rsid w:val="0056215B"/>
    <w:rsid w:val="00562882"/>
    <w:rsid w:val="00563510"/>
    <w:rsid w:val="00563D44"/>
    <w:rsid w:val="005643A4"/>
    <w:rsid w:val="005646A7"/>
    <w:rsid w:val="00565A95"/>
    <w:rsid w:val="00565D85"/>
    <w:rsid w:val="00565EC0"/>
    <w:rsid w:val="00566309"/>
    <w:rsid w:val="005664EF"/>
    <w:rsid w:val="005666E6"/>
    <w:rsid w:val="005669C5"/>
    <w:rsid w:val="00566BB8"/>
    <w:rsid w:val="00566C85"/>
    <w:rsid w:val="00567219"/>
    <w:rsid w:val="005677AD"/>
    <w:rsid w:val="005700B6"/>
    <w:rsid w:val="00570663"/>
    <w:rsid w:val="005707B1"/>
    <w:rsid w:val="00570A8A"/>
    <w:rsid w:val="005710F7"/>
    <w:rsid w:val="00571516"/>
    <w:rsid w:val="0057171B"/>
    <w:rsid w:val="00571B95"/>
    <w:rsid w:val="00571BB2"/>
    <w:rsid w:val="00571BCD"/>
    <w:rsid w:val="005725E1"/>
    <w:rsid w:val="00572957"/>
    <w:rsid w:val="00573068"/>
    <w:rsid w:val="0057313E"/>
    <w:rsid w:val="005732E6"/>
    <w:rsid w:val="00573B9F"/>
    <w:rsid w:val="00573EB6"/>
    <w:rsid w:val="0057432E"/>
    <w:rsid w:val="00574625"/>
    <w:rsid w:val="00574765"/>
    <w:rsid w:val="00574D55"/>
    <w:rsid w:val="005750ED"/>
    <w:rsid w:val="00575254"/>
    <w:rsid w:val="0057558F"/>
    <w:rsid w:val="00575726"/>
    <w:rsid w:val="0057578B"/>
    <w:rsid w:val="005758EC"/>
    <w:rsid w:val="00575B38"/>
    <w:rsid w:val="00576889"/>
    <w:rsid w:val="00576A9D"/>
    <w:rsid w:val="00576AD3"/>
    <w:rsid w:val="00576B39"/>
    <w:rsid w:val="00577057"/>
    <w:rsid w:val="00577678"/>
    <w:rsid w:val="00577B81"/>
    <w:rsid w:val="00577DA8"/>
    <w:rsid w:val="00580544"/>
    <w:rsid w:val="0058080F"/>
    <w:rsid w:val="00581069"/>
    <w:rsid w:val="00581642"/>
    <w:rsid w:val="0058199F"/>
    <w:rsid w:val="00581E3D"/>
    <w:rsid w:val="005820A9"/>
    <w:rsid w:val="00582A2D"/>
    <w:rsid w:val="00582F10"/>
    <w:rsid w:val="0058340A"/>
    <w:rsid w:val="005841A6"/>
    <w:rsid w:val="005844E8"/>
    <w:rsid w:val="005849D5"/>
    <w:rsid w:val="00584C02"/>
    <w:rsid w:val="005854AC"/>
    <w:rsid w:val="00585FA5"/>
    <w:rsid w:val="00586329"/>
    <w:rsid w:val="00586C90"/>
    <w:rsid w:val="005875C5"/>
    <w:rsid w:val="00587B8A"/>
    <w:rsid w:val="00587C43"/>
    <w:rsid w:val="00587FBF"/>
    <w:rsid w:val="0059004A"/>
    <w:rsid w:val="00590672"/>
    <w:rsid w:val="005909B4"/>
    <w:rsid w:val="005909C3"/>
    <w:rsid w:val="00591156"/>
    <w:rsid w:val="005917EB"/>
    <w:rsid w:val="00591CBF"/>
    <w:rsid w:val="00591F9D"/>
    <w:rsid w:val="00592E73"/>
    <w:rsid w:val="005931DB"/>
    <w:rsid w:val="00593497"/>
    <w:rsid w:val="0059429C"/>
    <w:rsid w:val="0059527D"/>
    <w:rsid w:val="005956FD"/>
    <w:rsid w:val="00595D80"/>
    <w:rsid w:val="005969DA"/>
    <w:rsid w:val="00596E5E"/>
    <w:rsid w:val="005977F8"/>
    <w:rsid w:val="0059799A"/>
    <w:rsid w:val="00597D78"/>
    <w:rsid w:val="00597E5D"/>
    <w:rsid w:val="005A0A3A"/>
    <w:rsid w:val="005A17A7"/>
    <w:rsid w:val="005A18D7"/>
    <w:rsid w:val="005A1E7A"/>
    <w:rsid w:val="005A2027"/>
    <w:rsid w:val="005A228E"/>
    <w:rsid w:val="005A22E0"/>
    <w:rsid w:val="005A2C45"/>
    <w:rsid w:val="005A2C71"/>
    <w:rsid w:val="005A37A2"/>
    <w:rsid w:val="005A3984"/>
    <w:rsid w:val="005A49F8"/>
    <w:rsid w:val="005A4CDF"/>
    <w:rsid w:val="005A533E"/>
    <w:rsid w:val="005A611E"/>
    <w:rsid w:val="005A6341"/>
    <w:rsid w:val="005A63FE"/>
    <w:rsid w:val="005A6981"/>
    <w:rsid w:val="005A720D"/>
    <w:rsid w:val="005A7CC6"/>
    <w:rsid w:val="005A7EF7"/>
    <w:rsid w:val="005B121E"/>
    <w:rsid w:val="005B1E6B"/>
    <w:rsid w:val="005B2374"/>
    <w:rsid w:val="005B2473"/>
    <w:rsid w:val="005B2824"/>
    <w:rsid w:val="005B42DF"/>
    <w:rsid w:val="005B46B1"/>
    <w:rsid w:val="005B46DB"/>
    <w:rsid w:val="005B4A7B"/>
    <w:rsid w:val="005B4A83"/>
    <w:rsid w:val="005B4CC2"/>
    <w:rsid w:val="005B4D85"/>
    <w:rsid w:val="005B4E30"/>
    <w:rsid w:val="005B5F72"/>
    <w:rsid w:val="005B64B4"/>
    <w:rsid w:val="005B6EAF"/>
    <w:rsid w:val="005B7F5A"/>
    <w:rsid w:val="005C05B7"/>
    <w:rsid w:val="005C0801"/>
    <w:rsid w:val="005C08BE"/>
    <w:rsid w:val="005C09E1"/>
    <w:rsid w:val="005C1B02"/>
    <w:rsid w:val="005C1D2B"/>
    <w:rsid w:val="005C1F89"/>
    <w:rsid w:val="005C26BF"/>
    <w:rsid w:val="005C2A4F"/>
    <w:rsid w:val="005C3255"/>
    <w:rsid w:val="005C36C3"/>
    <w:rsid w:val="005C3A67"/>
    <w:rsid w:val="005C3CA7"/>
    <w:rsid w:val="005C3D28"/>
    <w:rsid w:val="005C49C9"/>
    <w:rsid w:val="005C56AF"/>
    <w:rsid w:val="005C5D40"/>
    <w:rsid w:val="005C683F"/>
    <w:rsid w:val="005C6A19"/>
    <w:rsid w:val="005C7006"/>
    <w:rsid w:val="005C7076"/>
    <w:rsid w:val="005D097B"/>
    <w:rsid w:val="005D0FD2"/>
    <w:rsid w:val="005D0FFD"/>
    <w:rsid w:val="005D104F"/>
    <w:rsid w:val="005D1361"/>
    <w:rsid w:val="005D1551"/>
    <w:rsid w:val="005D1748"/>
    <w:rsid w:val="005D3190"/>
    <w:rsid w:val="005D3263"/>
    <w:rsid w:val="005D33E0"/>
    <w:rsid w:val="005D3441"/>
    <w:rsid w:val="005D3709"/>
    <w:rsid w:val="005D382E"/>
    <w:rsid w:val="005D38FB"/>
    <w:rsid w:val="005D4971"/>
    <w:rsid w:val="005D4EE7"/>
    <w:rsid w:val="005D54A3"/>
    <w:rsid w:val="005D58C8"/>
    <w:rsid w:val="005D5A33"/>
    <w:rsid w:val="005D5DCA"/>
    <w:rsid w:val="005D6023"/>
    <w:rsid w:val="005D6590"/>
    <w:rsid w:val="005D713C"/>
    <w:rsid w:val="005D7CEB"/>
    <w:rsid w:val="005E01F7"/>
    <w:rsid w:val="005E02E7"/>
    <w:rsid w:val="005E04CD"/>
    <w:rsid w:val="005E04D8"/>
    <w:rsid w:val="005E0D01"/>
    <w:rsid w:val="005E1649"/>
    <w:rsid w:val="005E1690"/>
    <w:rsid w:val="005E1C39"/>
    <w:rsid w:val="005E28EE"/>
    <w:rsid w:val="005E391F"/>
    <w:rsid w:val="005E3B95"/>
    <w:rsid w:val="005E3F55"/>
    <w:rsid w:val="005E5AAD"/>
    <w:rsid w:val="005E63F1"/>
    <w:rsid w:val="005E6801"/>
    <w:rsid w:val="005E6C8F"/>
    <w:rsid w:val="005E6E4E"/>
    <w:rsid w:val="005E7297"/>
    <w:rsid w:val="005F08A1"/>
    <w:rsid w:val="005F0C58"/>
    <w:rsid w:val="005F14DB"/>
    <w:rsid w:val="005F1659"/>
    <w:rsid w:val="005F174D"/>
    <w:rsid w:val="005F1945"/>
    <w:rsid w:val="005F1B02"/>
    <w:rsid w:val="005F1C4E"/>
    <w:rsid w:val="005F1F3E"/>
    <w:rsid w:val="005F2148"/>
    <w:rsid w:val="005F2679"/>
    <w:rsid w:val="005F2CC2"/>
    <w:rsid w:val="005F2D2D"/>
    <w:rsid w:val="005F2FB4"/>
    <w:rsid w:val="005F32B0"/>
    <w:rsid w:val="005F34B8"/>
    <w:rsid w:val="005F3AA5"/>
    <w:rsid w:val="005F3C78"/>
    <w:rsid w:val="005F406A"/>
    <w:rsid w:val="005F51F2"/>
    <w:rsid w:val="005F545E"/>
    <w:rsid w:val="005F54EE"/>
    <w:rsid w:val="005F58F9"/>
    <w:rsid w:val="005F61B7"/>
    <w:rsid w:val="005F68E7"/>
    <w:rsid w:val="005F690B"/>
    <w:rsid w:val="005F6A6C"/>
    <w:rsid w:val="005F6DC9"/>
    <w:rsid w:val="005F753C"/>
    <w:rsid w:val="005F77A7"/>
    <w:rsid w:val="005F7CC1"/>
    <w:rsid w:val="006001CA"/>
    <w:rsid w:val="00600267"/>
    <w:rsid w:val="0060149D"/>
    <w:rsid w:val="0060150B"/>
    <w:rsid w:val="006016E7"/>
    <w:rsid w:val="00601849"/>
    <w:rsid w:val="00601939"/>
    <w:rsid w:val="006019BD"/>
    <w:rsid w:val="00602ADA"/>
    <w:rsid w:val="00602F30"/>
    <w:rsid w:val="00603F6B"/>
    <w:rsid w:val="0060403A"/>
    <w:rsid w:val="00604572"/>
    <w:rsid w:val="006046CA"/>
    <w:rsid w:val="00604EB4"/>
    <w:rsid w:val="0060533C"/>
    <w:rsid w:val="00605524"/>
    <w:rsid w:val="0060593C"/>
    <w:rsid w:val="00605C6B"/>
    <w:rsid w:val="0060638E"/>
    <w:rsid w:val="00607A5A"/>
    <w:rsid w:val="0061009A"/>
    <w:rsid w:val="0061039D"/>
    <w:rsid w:val="006105A2"/>
    <w:rsid w:val="006106F6"/>
    <w:rsid w:val="00610846"/>
    <w:rsid w:val="0061109C"/>
    <w:rsid w:val="0061130B"/>
    <w:rsid w:val="00611499"/>
    <w:rsid w:val="00611693"/>
    <w:rsid w:val="006119C7"/>
    <w:rsid w:val="00612140"/>
    <w:rsid w:val="00612432"/>
    <w:rsid w:val="00612458"/>
    <w:rsid w:val="0061255D"/>
    <w:rsid w:val="006127BF"/>
    <w:rsid w:val="00612D93"/>
    <w:rsid w:val="00613781"/>
    <w:rsid w:val="006140AE"/>
    <w:rsid w:val="006141F5"/>
    <w:rsid w:val="0061439B"/>
    <w:rsid w:val="006146F9"/>
    <w:rsid w:val="006148FF"/>
    <w:rsid w:val="00614B3B"/>
    <w:rsid w:val="00614BAB"/>
    <w:rsid w:val="00614D5A"/>
    <w:rsid w:val="0061525A"/>
    <w:rsid w:val="00615322"/>
    <w:rsid w:val="00615563"/>
    <w:rsid w:val="006158D1"/>
    <w:rsid w:val="0061607C"/>
    <w:rsid w:val="00616CBB"/>
    <w:rsid w:val="0061705C"/>
    <w:rsid w:val="00617998"/>
    <w:rsid w:val="00620AF5"/>
    <w:rsid w:val="00621064"/>
    <w:rsid w:val="00621578"/>
    <w:rsid w:val="00621954"/>
    <w:rsid w:val="00621B26"/>
    <w:rsid w:val="00621C7D"/>
    <w:rsid w:val="00621DFE"/>
    <w:rsid w:val="00621FB1"/>
    <w:rsid w:val="00622F68"/>
    <w:rsid w:val="00622F8B"/>
    <w:rsid w:val="00622FE0"/>
    <w:rsid w:val="006232C1"/>
    <w:rsid w:val="00623415"/>
    <w:rsid w:val="00623C2C"/>
    <w:rsid w:val="00623C75"/>
    <w:rsid w:val="00623E37"/>
    <w:rsid w:val="006241D9"/>
    <w:rsid w:val="00624502"/>
    <w:rsid w:val="00625B2D"/>
    <w:rsid w:val="00626025"/>
    <w:rsid w:val="00626D08"/>
    <w:rsid w:val="00627700"/>
    <w:rsid w:val="00630B85"/>
    <w:rsid w:val="0063114E"/>
    <w:rsid w:val="00631706"/>
    <w:rsid w:val="00631AF4"/>
    <w:rsid w:val="00631F99"/>
    <w:rsid w:val="0063450D"/>
    <w:rsid w:val="00634B5A"/>
    <w:rsid w:val="0063553B"/>
    <w:rsid w:val="0063560D"/>
    <w:rsid w:val="00635968"/>
    <w:rsid w:val="00635C4A"/>
    <w:rsid w:val="00635C4D"/>
    <w:rsid w:val="00636034"/>
    <w:rsid w:val="00636C77"/>
    <w:rsid w:val="00636F13"/>
    <w:rsid w:val="006375CB"/>
    <w:rsid w:val="00637696"/>
    <w:rsid w:val="00637886"/>
    <w:rsid w:val="00637F40"/>
    <w:rsid w:val="0064019F"/>
    <w:rsid w:val="00640292"/>
    <w:rsid w:val="0064076D"/>
    <w:rsid w:val="00640C16"/>
    <w:rsid w:val="006415FF"/>
    <w:rsid w:val="0064286E"/>
    <w:rsid w:val="0064290F"/>
    <w:rsid w:val="00642D51"/>
    <w:rsid w:val="0064364E"/>
    <w:rsid w:val="00643EFF"/>
    <w:rsid w:val="00643F3C"/>
    <w:rsid w:val="0064401E"/>
    <w:rsid w:val="006441EB"/>
    <w:rsid w:val="00644E62"/>
    <w:rsid w:val="0064547A"/>
    <w:rsid w:val="006460EE"/>
    <w:rsid w:val="0064631E"/>
    <w:rsid w:val="006465E6"/>
    <w:rsid w:val="00646C63"/>
    <w:rsid w:val="00647602"/>
    <w:rsid w:val="00647C3E"/>
    <w:rsid w:val="00647DB0"/>
    <w:rsid w:val="0065008F"/>
    <w:rsid w:val="00650809"/>
    <w:rsid w:val="00650A38"/>
    <w:rsid w:val="006511D1"/>
    <w:rsid w:val="006514D9"/>
    <w:rsid w:val="00651AED"/>
    <w:rsid w:val="00651B0E"/>
    <w:rsid w:val="00652626"/>
    <w:rsid w:val="0065321C"/>
    <w:rsid w:val="0065326B"/>
    <w:rsid w:val="0065363E"/>
    <w:rsid w:val="00653DDD"/>
    <w:rsid w:val="00654300"/>
    <w:rsid w:val="0065433D"/>
    <w:rsid w:val="00654737"/>
    <w:rsid w:val="00655AA3"/>
    <w:rsid w:val="00655C26"/>
    <w:rsid w:val="00656049"/>
    <w:rsid w:val="006562D0"/>
    <w:rsid w:val="00656AB0"/>
    <w:rsid w:val="00656B67"/>
    <w:rsid w:val="00656F6A"/>
    <w:rsid w:val="006571C0"/>
    <w:rsid w:val="00660E75"/>
    <w:rsid w:val="00660FDF"/>
    <w:rsid w:val="00661469"/>
    <w:rsid w:val="00661A4C"/>
    <w:rsid w:val="0066279A"/>
    <w:rsid w:val="00662815"/>
    <w:rsid w:val="0066298A"/>
    <w:rsid w:val="00662DB1"/>
    <w:rsid w:val="00663041"/>
    <w:rsid w:val="00663159"/>
    <w:rsid w:val="00663277"/>
    <w:rsid w:val="00663531"/>
    <w:rsid w:val="0066392F"/>
    <w:rsid w:val="00663E2A"/>
    <w:rsid w:val="0066557B"/>
    <w:rsid w:val="00665CE3"/>
    <w:rsid w:val="00666892"/>
    <w:rsid w:val="00666ED7"/>
    <w:rsid w:val="00666FE4"/>
    <w:rsid w:val="0066753A"/>
    <w:rsid w:val="00667830"/>
    <w:rsid w:val="00667AC5"/>
    <w:rsid w:val="0067023D"/>
    <w:rsid w:val="0067072C"/>
    <w:rsid w:val="006708AD"/>
    <w:rsid w:val="006717C3"/>
    <w:rsid w:val="0067211F"/>
    <w:rsid w:val="0067223E"/>
    <w:rsid w:val="0067349C"/>
    <w:rsid w:val="0067351C"/>
    <w:rsid w:val="00673791"/>
    <w:rsid w:val="0067383D"/>
    <w:rsid w:val="00673868"/>
    <w:rsid w:val="006739E7"/>
    <w:rsid w:val="00673D97"/>
    <w:rsid w:val="00674607"/>
    <w:rsid w:val="00674A50"/>
    <w:rsid w:val="00674FCF"/>
    <w:rsid w:val="00675206"/>
    <w:rsid w:val="00675481"/>
    <w:rsid w:val="00675D49"/>
    <w:rsid w:val="00676624"/>
    <w:rsid w:val="00676A3A"/>
    <w:rsid w:val="0067734A"/>
    <w:rsid w:val="00677A35"/>
    <w:rsid w:val="00677A99"/>
    <w:rsid w:val="00680935"/>
    <w:rsid w:val="006810FD"/>
    <w:rsid w:val="0068140C"/>
    <w:rsid w:val="006817E2"/>
    <w:rsid w:val="00681BC8"/>
    <w:rsid w:val="006820C6"/>
    <w:rsid w:val="0068239B"/>
    <w:rsid w:val="006824DD"/>
    <w:rsid w:val="006825F4"/>
    <w:rsid w:val="0068281C"/>
    <w:rsid w:val="00684E5B"/>
    <w:rsid w:val="006854A5"/>
    <w:rsid w:val="00685A67"/>
    <w:rsid w:val="00685BCE"/>
    <w:rsid w:val="00685C9A"/>
    <w:rsid w:val="00685ED9"/>
    <w:rsid w:val="006861F0"/>
    <w:rsid w:val="0068628D"/>
    <w:rsid w:val="00690978"/>
    <w:rsid w:val="00690A6F"/>
    <w:rsid w:val="0069119F"/>
    <w:rsid w:val="006917BB"/>
    <w:rsid w:val="00691B60"/>
    <w:rsid w:val="006921A3"/>
    <w:rsid w:val="006923CE"/>
    <w:rsid w:val="006927CB"/>
    <w:rsid w:val="00692F99"/>
    <w:rsid w:val="006936DE"/>
    <w:rsid w:val="00693DA7"/>
    <w:rsid w:val="0069439D"/>
    <w:rsid w:val="00694B36"/>
    <w:rsid w:val="00694DAD"/>
    <w:rsid w:val="00694E5D"/>
    <w:rsid w:val="00694EC5"/>
    <w:rsid w:val="0069508B"/>
    <w:rsid w:val="00695D8F"/>
    <w:rsid w:val="006966C6"/>
    <w:rsid w:val="00696E35"/>
    <w:rsid w:val="0069779C"/>
    <w:rsid w:val="00697B75"/>
    <w:rsid w:val="00697B84"/>
    <w:rsid w:val="006A019C"/>
    <w:rsid w:val="006A0770"/>
    <w:rsid w:val="006A07EE"/>
    <w:rsid w:val="006A0A9C"/>
    <w:rsid w:val="006A0B7C"/>
    <w:rsid w:val="006A116A"/>
    <w:rsid w:val="006A11C3"/>
    <w:rsid w:val="006A1324"/>
    <w:rsid w:val="006A1F18"/>
    <w:rsid w:val="006A22E9"/>
    <w:rsid w:val="006A30C6"/>
    <w:rsid w:val="006A3283"/>
    <w:rsid w:val="006A34FD"/>
    <w:rsid w:val="006A4774"/>
    <w:rsid w:val="006A4D81"/>
    <w:rsid w:val="006A5808"/>
    <w:rsid w:val="006A5CDD"/>
    <w:rsid w:val="006A648B"/>
    <w:rsid w:val="006A6576"/>
    <w:rsid w:val="006A6AAD"/>
    <w:rsid w:val="006A6CB5"/>
    <w:rsid w:val="006A7C46"/>
    <w:rsid w:val="006B0612"/>
    <w:rsid w:val="006B0A02"/>
    <w:rsid w:val="006B0C79"/>
    <w:rsid w:val="006B0CD2"/>
    <w:rsid w:val="006B1242"/>
    <w:rsid w:val="006B132A"/>
    <w:rsid w:val="006B1BD7"/>
    <w:rsid w:val="006B217B"/>
    <w:rsid w:val="006B2AD5"/>
    <w:rsid w:val="006B2CFB"/>
    <w:rsid w:val="006B3005"/>
    <w:rsid w:val="006B3A47"/>
    <w:rsid w:val="006B3D35"/>
    <w:rsid w:val="006B48EE"/>
    <w:rsid w:val="006B58EC"/>
    <w:rsid w:val="006B60D2"/>
    <w:rsid w:val="006B632F"/>
    <w:rsid w:val="006B6F1D"/>
    <w:rsid w:val="006B7474"/>
    <w:rsid w:val="006B78AA"/>
    <w:rsid w:val="006B7FE9"/>
    <w:rsid w:val="006C0034"/>
    <w:rsid w:val="006C0438"/>
    <w:rsid w:val="006C1389"/>
    <w:rsid w:val="006C17BB"/>
    <w:rsid w:val="006C17DA"/>
    <w:rsid w:val="006C1BBF"/>
    <w:rsid w:val="006C1C55"/>
    <w:rsid w:val="006C325A"/>
    <w:rsid w:val="006C3F04"/>
    <w:rsid w:val="006C40D3"/>
    <w:rsid w:val="006C486D"/>
    <w:rsid w:val="006C5A76"/>
    <w:rsid w:val="006C647D"/>
    <w:rsid w:val="006C7054"/>
    <w:rsid w:val="006C7867"/>
    <w:rsid w:val="006C7B5B"/>
    <w:rsid w:val="006D0B28"/>
    <w:rsid w:val="006D0B43"/>
    <w:rsid w:val="006D0C35"/>
    <w:rsid w:val="006D0F50"/>
    <w:rsid w:val="006D169D"/>
    <w:rsid w:val="006D1748"/>
    <w:rsid w:val="006D2A59"/>
    <w:rsid w:val="006D3136"/>
    <w:rsid w:val="006D32F1"/>
    <w:rsid w:val="006D3312"/>
    <w:rsid w:val="006D3FAE"/>
    <w:rsid w:val="006D409C"/>
    <w:rsid w:val="006D41B2"/>
    <w:rsid w:val="006D4AD1"/>
    <w:rsid w:val="006D5146"/>
    <w:rsid w:val="006D52F1"/>
    <w:rsid w:val="006D53AD"/>
    <w:rsid w:val="006D5E55"/>
    <w:rsid w:val="006D6205"/>
    <w:rsid w:val="006D6601"/>
    <w:rsid w:val="006D665C"/>
    <w:rsid w:val="006D71B2"/>
    <w:rsid w:val="006D748D"/>
    <w:rsid w:val="006D74E6"/>
    <w:rsid w:val="006D75C3"/>
    <w:rsid w:val="006D7E9E"/>
    <w:rsid w:val="006E02A4"/>
    <w:rsid w:val="006E045A"/>
    <w:rsid w:val="006E122E"/>
    <w:rsid w:val="006E1D88"/>
    <w:rsid w:val="006E2542"/>
    <w:rsid w:val="006E2C58"/>
    <w:rsid w:val="006E2E48"/>
    <w:rsid w:val="006E3484"/>
    <w:rsid w:val="006E366C"/>
    <w:rsid w:val="006E3C26"/>
    <w:rsid w:val="006E4E77"/>
    <w:rsid w:val="006E4FCD"/>
    <w:rsid w:val="006E5446"/>
    <w:rsid w:val="006E5DC2"/>
    <w:rsid w:val="006E62F1"/>
    <w:rsid w:val="006E6317"/>
    <w:rsid w:val="006E6A42"/>
    <w:rsid w:val="006E6C9B"/>
    <w:rsid w:val="006E752B"/>
    <w:rsid w:val="006E753F"/>
    <w:rsid w:val="006E7586"/>
    <w:rsid w:val="006E7E75"/>
    <w:rsid w:val="006F050C"/>
    <w:rsid w:val="006F0869"/>
    <w:rsid w:val="006F0FB6"/>
    <w:rsid w:val="006F1B7E"/>
    <w:rsid w:val="006F2387"/>
    <w:rsid w:val="006F2B89"/>
    <w:rsid w:val="006F2D02"/>
    <w:rsid w:val="006F31A3"/>
    <w:rsid w:val="006F3381"/>
    <w:rsid w:val="006F33B1"/>
    <w:rsid w:val="006F3523"/>
    <w:rsid w:val="006F37E7"/>
    <w:rsid w:val="006F3B46"/>
    <w:rsid w:val="006F3C3C"/>
    <w:rsid w:val="006F41AF"/>
    <w:rsid w:val="006F4200"/>
    <w:rsid w:val="006F4B04"/>
    <w:rsid w:val="006F4D1B"/>
    <w:rsid w:val="006F4E93"/>
    <w:rsid w:val="006F5239"/>
    <w:rsid w:val="006F61C0"/>
    <w:rsid w:val="006F6387"/>
    <w:rsid w:val="006F6E5F"/>
    <w:rsid w:val="006F6FA4"/>
    <w:rsid w:val="006F7077"/>
    <w:rsid w:val="006F76B7"/>
    <w:rsid w:val="006F7E07"/>
    <w:rsid w:val="007003B9"/>
    <w:rsid w:val="007004AC"/>
    <w:rsid w:val="00700621"/>
    <w:rsid w:val="007006F6"/>
    <w:rsid w:val="00700709"/>
    <w:rsid w:val="00700909"/>
    <w:rsid w:val="00700DBC"/>
    <w:rsid w:val="00701E2B"/>
    <w:rsid w:val="00701F20"/>
    <w:rsid w:val="007020BC"/>
    <w:rsid w:val="00702BAC"/>
    <w:rsid w:val="00702D98"/>
    <w:rsid w:val="00703249"/>
    <w:rsid w:val="007034AE"/>
    <w:rsid w:val="00703687"/>
    <w:rsid w:val="00703B4D"/>
    <w:rsid w:val="0070407F"/>
    <w:rsid w:val="007050DD"/>
    <w:rsid w:val="0070559B"/>
    <w:rsid w:val="00705868"/>
    <w:rsid w:val="0070651C"/>
    <w:rsid w:val="00706F88"/>
    <w:rsid w:val="00707792"/>
    <w:rsid w:val="007077D0"/>
    <w:rsid w:val="00707B91"/>
    <w:rsid w:val="00711672"/>
    <w:rsid w:val="0071180D"/>
    <w:rsid w:val="00711A64"/>
    <w:rsid w:val="00712055"/>
    <w:rsid w:val="00712110"/>
    <w:rsid w:val="00712B18"/>
    <w:rsid w:val="00712C24"/>
    <w:rsid w:val="00712E12"/>
    <w:rsid w:val="007130AC"/>
    <w:rsid w:val="0071326E"/>
    <w:rsid w:val="0071377F"/>
    <w:rsid w:val="0071380C"/>
    <w:rsid w:val="00713A23"/>
    <w:rsid w:val="007145F4"/>
    <w:rsid w:val="00714780"/>
    <w:rsid w:val="00714792"/>
    <w:rsid w:val="007148AD"/>
    <w:rsid w:val="00715441"/>
    <w:rsid w:val="00715C01"/>
    <w:rsid w:val="00715DAB"/>
    <w:rsid w:val="0071622E"/>
    <w:rsid w:val="007165A7"/>
    <w:rsid w:val="00716607"/>
    <w:rsid w:val="007167CF"/>
    <w:rsid w:val="0071723D"/>
    <w:rsid w:val="00717D8A"/>
    <w:rsid w:val="00717E25"/>
    <w:rsid w:val="0072012B"/>
    <w:rsid w:val="007203D5"/>
    <w:rsid w:val="007210CE"/>
    <w:rsid w:val="0072120E"/>
    <w:rsid w:val="007216E0"/>
    <w:rsid w:val="00721B35"/>
    <w:rsid w:val="00721B9C"/>
    <w:rsid w:val="00721C9E"/>
    <w:rsid w:val="00721F62"/>
    <w:rsid w:val="0072268A"/>
    <w:rsid w:val="007226D0"/>
    <w:rsid w:val="007228A0"/>
    <w:rsid w:val="0072302D"/>
    <w:rsid w:val="00723CAB"/>
    <w:rsid w:val="00724D22"/>
    <w:rsid w:val="00725B12"/>
    <w:rsid w:val="00725E93"/>
    <w:rsid w:val="00725FA7"/>
    <w:rsid w:val="00725FB3"/>
    <w:rsid w:val="007305A0"/>
    <w:rsid w:val="00731308"/>
    <w:rsid w:val="00731B48"/>
    <w:rsid w:val="0073229B"/>
    <w:rsid w:val="00732A78"/>
    <w:rsid w:val="00732CB1"/>
    <w:rsid w:val="00732F94"/>
    <w:rsid w:val="007339CA"/>
    <w:rsid w:val="00733A8D"/>
    <w:rsid w:val="00733BF6"/>
    <w:rsid w:val="00734E39"/>
    <w:rsid w:val="00735FCB"/>
    <w:rsid w:val="00736770"/>
    <w:rsid w:val="0073682A"/>
    <w:rsid w:val="00736B00"/>
    <w:rsid w:val="00737530"/>
    <w:rsid w:val="007378F2"/>
    <w:rsid w:val="00737C0B"/>
    <w:rsid w:val="00737FD1"/>
    <w:rsid w:val="0074005D"/>
    <w:rsid w:val="00740341"/>
    <w:rsid w:val="007409AF"/>
    <w:rsid w:val="00740FAE"/>
    <w:rsid w:val="0074119F"/>
    <w:rsid w:val="00741C24"/>
    <w:rsid w:val="007426B8"/>
    <w:rsid w:val="00743014"/>
    <w:rsid w:val="007436DB"/>
    <w:rsid w:val="00743CB1"/>
    <w:rsid w:val="007446EE"/>
    <w:rsid w:val="007448EC"/>
    <w:rsid w:val="00744A18"/>
    <w:rsid w:val="007455DB"/>
    <w:rsid w:val="0074591C"/>
    <w:rsid w:val="00746442"/>
    <w:rsid w:val="00747B4F"/>
    <w:rsid w:val="00747F69"/>
    <w:rsid w:val="00750381"/>
    <w:rsid w:val="007504AD"/>
    <w:rsid w:val="00750C39"/>
    <w:rsid w:val="00750DFE"/>
    <w:rsid w:val="00751030"/>
    <w:rsid w:val="007514DE"/>
    <w:rsid w:val="00752143"/>
    <w:rsid w:val="00752359"/>
    <w:rsid w:val="00752FCC"/>
    <w:rsid w:val="007532C6"/>
    <w:rsid w:val="00753368"/>
    <w:rsid w:val="0075382B"/>
    <w:rsid w:val="00753DF0"/>
    <w:rsid w:val="00753F6C"/>
    <w:rsid w:val="00754279"/>
    <w:rsid w:val="00754405"/>
    <w:rsid w:val="00754EE9"/>
    <w:rsid w:val="0075547F"/>
    <w:rsid w:val="007562DE"/>
    <w:rsid w:val="00756458"/>
    <w:rsid w:val="0075673A"/>
    <w:rsid w:val="00756976"/>
    <w:rsid w:val="00756E4F"/>
    <w:rsid w:val="00757384"/>
    <w:rsid w:val="00757615"/>
    <w:rsid w:val="00757663"/>
    <w:rsid w:val="007600E9"/>
    <w:rsid w:val="00760226"/>
    <w:rsid w:val="007603F6"/>
    <w:rsid w:val="007607AF"/>
    <w:rsid w:val="00760ABA"/>
    <w:rsid w:val="00760B1E"/>
    <w:rsid w:val="00760D2D"/>
    <w:rsid w:val="0076200F"/>
    <w:rsid w:val="00762641"/>
    <w:rsid w:val="007629D9"/>
    <w:rsid w:val="00762AD9"/>
    <w:rsid w:val="00763440"/>
    <w:rsid w:val="00764176"/>
    <w:rsid w:val="0076425B"/>
    <w:rsid w:val="00765C03"/>
    <w:rsid w:val="007660C2"/>
    <w:rsid w:val="0076619A"/>
    <w:rsid w:val="00766CE8"/>
    <w:rsid w:val="00767425"/>
    <w:rsid w:val="007674EC"/>
    <w:rsid w:val="00767671"/>
    <w:rsid w:val="0076771F"/>
    <w:rsid w:val="00767762"/>
    <w:rsid w:val="007678FA"/>
    <w:rsid w:val="00767EEA"/>
    <w:rsid w:val="00770934"/>
    <w:rsid w:val="00771A04"/>
    <w:rsid w:val="007720DF"/>
    <w:rsid w:val="00772217"/>
    <w:rsid w:val="00772962"/>
    <w:rsid w:val="0077303C"/>
    <w:rsid w:val="00773437"/>
    <w:rsid w:val="00773AF5"/>
    <w:rsid w:val="00774028"/>
    <w:rsid w:val="007740E0"/>
    <w:rsid w:val="00774FB0"/>
    <w:rsid w:val="00775E65"/>
    <w:rsid w:val="007769C4"/>
    <w:rsid w:val="00776EF4"/>
    <w:rsid w:val="007770AB"/>
    <w:rsid w:val="00777242"/>
    <w:rsid w:val="0077775D"/>
    <w:rsid w:val="00777E6D"/>
    <w:rsid w:val="0078043A"/>
    <w:rsid w:val="007813FE"/>
    <w:rsid w:val="007814CD"/>
    <w:rsid w:val="0078162F"/>
    <w:rsid w:val="00781DB8"/>
    <w:rsid w:val="00782B15"/>
    <w:rsid w:val="00782B33"/>
    <w:rsid w:val="007830C5"/>
    <w:rsid w:val="007835C4"/>
    <w:rsid w:val="00783C58"/>
    <w:rsid w:val="00783D22"/>
    <w:rsid w:val="00784D01"/>
    <w:rsid w:val="00785139"/>
    <w:rsid w:val="0078528C"/>
    <w:rsid w:val="00786925"/>
    <w:rsid w:val="00787589"/>
    <w:rsid w:val="00787688"/>
    <w:rsid w:val="00787E45"/>
    <w:rsid w:val="007901BA"/>
    <w:rsid w:val="00790BDE"/>
    <w:rsid w:val="00791871"/>
    <w:rsid w:val="00791B61"/>
    <w:rsid w:val="0079213B"/>
    <w:rsid w:val="00792916"/>
    <w:rsid w:val="00793018"/>
    <w:rsid w:val="007931BA"/>
    <w:rsid w:val="00793699"/>
    <w:rsid w:val="0079394C"/>
    <w:rsid w:val="00793A92"/>
    <w:rsid w:val="00794174"/>
    <w:rsid w:val="00794504"/>
    <w:rsid w:val="00794E5B"/>
    <w:rsid w:val="00795087"/>
    <w:rsid w:val="00795BC0"/>
    <w:rsid w:val="00795E66"/>
    <w:rsid w:val="00795F46"/>
    <w:rsid w:val="007963D9"/>
    <w:rsid w:val="007963F4"/>
    <w:rsid w:val="007970EA"/>
    <w:rsid w:val="00797844"/>
    <w:rsid w:val="007A002B"/>
    <w:rsid w:val="007A0753"/>
    <w:rsid w:val="007A1A37"/>
    <w:rsid w:val="007A1C7E"/>
    <w:rsid w:val="007A1D54"/>
    <w:rsid w:val="007A2311"/>
    <w:rsid w:val="007A2384"/>
    <w:rsid w:val="007A29A5"/>
    <w:rsid w:val="007A2C77"/>
    <w:rsid w:val="007A2D59"/>
    <w:rsid w:val="007A2F17"/>
    <w:rsid w:val="007A30F6"/>
    <w:rsid w:val="007A3CE0"/>
    <w:rsid w:val="007A3D4D"/>
    <w:rsid w:val="007A4534"/>
    <w:rsid w:val="007A49CE"/>
    <w:rsid w:val="007A57D6"/>
    <w:rsid w:val="007A5DFE"/>
    <w:rsid w:val="007A6498"/>
    <w:rsid w:val="007A64D6"/>
    <w:rsid w:val="007A688E"/>
    <w:rsid w:val="007A6DD6"/>
    <w:rsid w:val="007A6E35"/>
    <w:rsid w:val="007A6F20"/>
    <w:rsid w:val="007A7212"/>
    <w:rsid w:val="007A7675"/>
    <w:rsid w:val="007A76A0"/>
    <w:rsid w:val="007A76D8"/>
    <w:rsid w:val="007A7BBD"/>
    <w:rsid w:val="007B0659"/>
    <w:rsid w:val="007B0AF0"/>
    <w:rsid w:val="007B146D"/>
    <w:rsid w:val="007B1C8B"/>
    <w:rsid w:val="007B2083"/>
    <w:rsid w:val="007B23CE"/>
    <w:rsid w:val="007B2B6E"/>
    <w:rsid w:val="007B2D1F"/>
    <w:rsid w:val="007B2F73"/>
    <w:rsid w:val="007B3679"/>
    <w:rsid w:val="007B37B5"/>
    <w:rsid w:val="007B55F0"/>
    <w:rsid w:val="007B6447"/>
    <w:rsid w:val="007B6466"/>
    <w:rsid w:val="007B752E"/>
    <w:rsid w:val="007B77BF"/>
    <w:rsid w:val="007B7878"/>
    <w:rsid w:val="007B7A36"/>
    <w:rsid w:val="007B7C46"/>
    <w:rsid w:val="007C0011"/>
    <w:rsid w:val="007C02F4"/>
    <w:rsid w:val="007C0890"/>
    <w:rsid w:val="007C1173"/>
    <w:rsid w:val="007C1376"/>
    <w:rsid w:val="007C1528"/>
    <w:rsid w:val="007C29BD"/>
    <w:rsid w:val="007C2FCC"/>
    <w:rsid w:val="007C3254"/>
    <w:rsid w:val="007C33DB"/>
    <w:rsid w:val="007C4354"/>
    <w:rsid w:val="007C4C5A"/>
    <w:rsid w:val="007C5126"/>
    <w:rsid w:val="007C5325"/>
    <w:rsid w:val="007C541F"/>
    <w:rsid w:val="007C557A"/>
    <w:rsid w:val="007C5978"/>
    <w:rsid w:val="007C5A0B"/>
    <w:rsid w:val="007C67D0"/>
    <w:rsid w:val="007C71F3"/>
    <w:rsid w:val="007C75F7"/>
    <w:rsid w:val="007C76A0"/>
    <w:rsid w:val="007C7B4B"/>
    <w:rsid w:val="007C7D44"/>
    <w:rsid w:val="007D075F"/>
    <w:rsid w:val="007D0784"/>
    <w:rsid w:val="007D0924"/>
    <w:rsid w:val="007D0E16"/>
    <w:rsid w:val="007D120F"/>
    <w:rsid w:val="007D1DCD"/>
    <w:rsid w:val="007D2554"/>
    <w:rsid w:val="007D31E4"/>
    <w:rsid w:val="007D39DB"/>
    <w:rsid w:val="007D3CED"/>
    <w:rsid w:val="007D402F"/>
    <w:rsid w:val="007D47DF"/>
    <w:rsid w:val="007D5C5A"/>
    <w:rsid w:val="007D5DD3"/>
    <w:rsid w:val="007D61E7"/>
    <w:rsid w:val="007D6349"/>
    <w:rsid w:val="007D6D41"/>
    <w:rsid w:val="007D6DE8"/>
    <w:rsid w:val="007D6EBB"/>
    <w:rsid w:val="007D7E1B"/>
    <w:rsid w:val="007E0543"/>
    <w:rsid w:val="007E0AE5"/>
    <w:rsid w:val="007E0DA3"/>
    <w:rsid w:val="007E0E87"/>
    <w:rsid w:val="007E1115"/>
    <w:rsid w:val="007E1259"/>
    <w:rsid w:val="007E16F5"/>
    <w:rsid w:val="007E1765"/>
    <w:rsid w:val="007E2026"/>
    <w:rsid w:val="007E20D2"/>
    <w:rsid w:val="007E346B"/>
    <w:rsid w:val="007E3749"/>
    <w:rsid w:val="007E3FC9"/>
    <w:rsid w:val="007E46C1"/>
    <w:rsid w:val="007E4B92"/>
    <w:rsid w:val="007E4D70"/>
    <w:rsid w:val="007E5535"/>
    <w:rsid w:val="007E575F"/>
    <w:rsid w:val="007E585B"/>
    <w:rsid w:val="007E5A91"/>
    <w:rsid w:val="007E5C46"/>
    <w:rsid w:val="007E5F36"/>
    <w:rsid w:val="007E656F"/>
    <w:rsid w:val="007E6B30"/>
    <w:rsid w:val="007E7559"/>
    <w:rsid w:val="007E7C40"/>
    <w:rsid w:val="007F0144"/>
    <w:rsid w:val="007F1014"/>
    <w:rsid w:val="007F1597"/>
    <w:rsid w:val="007F1611"/>
    <w:rsid w:val="007F22C1"/>
    <w:rsid w:val="007F257D"/>
    <w:rsid w:val="007F2651"/>
    <w:rsid w:val="007F26BB"/>
    <w:rsid w:val="007F311B"/>
    <w:rsid w:val="007F3DD3"/>
    <w:rsid w:val="007F4949"/>
    <w:rsid w:val="007F4D2C"/>
    <w:rsid w:val="007F4F70"/>
    <w:rsid w:val="007F5AD9"/>
    <w:rsid w:val="007F5C94"/>
    <w:rsid w:val="007F5E13"/>
    <w:rsid w:val="007F6350"/>
    <w:rsid w:val="007F6561"/>
    <w:rsid w:val="007F796A"/>
    <w:rsid w:val="0080004D"/>
    <w:rsid w:val="00800E82"/>
    <w:rsid w:val="00801326"/>
    <w:rsid w:val="0080198F"/>
    <w:rsid w:val="00801B9A"/>
    <w:rsid w:val="00801D3E"/>
    <w:rsid w:val="00801E41"/>
    <w:rsid w:val="00801FF4"/>
    <w:rsid w:val="00802721"/>
    <w:rsid w:val="00803E48"/>
    <w:rsid w:val="008041C3"/>
    <w:rsid w:val="00804F03"/>
    <w:rsid w:val="00805363"/>
    <w:rsid w:val="00805FB0"/>
    <w:rsid w:val="00806241"/>
    <w:rsid w:val="008062E0"/>
    <w:rsid w:val="0080638F"/>
    <w:rsid w:val="00807848"/>
    <w:rsid w:val="0080793F"/>
    <w:rsid w:val="008101CB"/>
    <w:rsid w:val="00810B41"/>
    <w:rsid w:val="00810C20"/>
    <w:rsid w:val="00811ACA"/>
    <w:rsid w:val="00812040"/>
    <w:rsid w:val="008120A8"/>
    <w:rsid w:val="008120D1"/>
    <w:rsid w:val="00812681"/>
    <w:rsid w:val="00812CD5"/>
    <w:rsid w:val="00812F5C"/>
    <w:rsid w:val="0081321B"/>
    <w:rsid w:val="008135DA"/>
    <w:rsid w:val="00813A0A"/>
    <w:rsid w:val="00813CC0"/>
    <w:rsid w:val="00813CE1"/>
    <w:rsid w:val="008146F2"/>
    <w:rsid w:val="008147C1"/>
    <w:rsid w:val="008149EA"/>
    <w:rsid w:val="00814B4A"/>
    <w:rsid w:val="00814D52"/>
    <w:rsid w:val="00814EA7"/>
    <w:rsid w:val="0081583C"/>
    <w:rsid w:val="00815D7B"/>
    <w:rsid w:val="00816466"/>
    <w:rsid w:val="00816582"/>
    <w:rsid w:val="0081692F"/>
    <w:rsid w:val="00816B5F"/>
    <w:rsid w:val="008174A2"/>
    <w:rsid w:val="00817BD9"/>
    <w:rsid w:val="00820708"/>
    <w:rsid w:val="00821302"/>
    <w:rsid w:val="00821ADF"/>
    <w:rsid w:val="00821CC5"/>
    <w:rsid w:val="0082253C"/>
    <w:rsid w:val="00822725"/>
    <w:rsid w:val="00822A90"/>
    <w:rsid w:val="00822B94"/>
    <w:rsid w:val="00823085"/>
    <w:rsid w:val="0082328D"/>
    <w:rsid w:val="0082351E"/>
    <w:rsid w:val="008237BC"/>
    <w:rsid w:val="0082395D"/>
    <w:rsid w:val="0082398A"/>
    <w:rsid w:val="0082438A"/>
    <w:rsid w:val="00824944"/>
    <w:rsid w:val="00824D4D"/>
    <w:rsid w:val="008253EC"/>
    <w:rsid w:val="008255D4"/>
    <w:rsid w:val="0082585F"/>
    <w:rsid w:val="00826788"/>
    <w:rsid w:val="00826BF5"/>
    <w:rsid w:val="00826C03"/>
    <w:rsid w:val="00826CEE"/>
    <w:rsid w:val="00826F5B"/>
    <w:rsid w:val="00827457"/>
    <w:rsid w:val="008276C0"/>
    <w:rsid w:val="00827902"/>
    <w:rsid w:val="00827A4E"/>
    <w:rsid w:val="008300EC"/>
    <w:rsid w:val="00830105"/>
    <w:rsid w:val="008309F3"/>
    <w:rsid w:val="00830B24"/>
    <w:rsid w:val="00830BF1"/>
    <w:rsid w:val="0083113B"/>
    <w:rsid w:val="0083154C"/>
    <w:rsid w:val="00831581"/>
    <w:rsid w:val="00831739"/>
    <w:rsid w:val="00831B36"/>
    <w:rsid w:val="00831CB4"/>
    <w:rsid w:val="00831CDE"/>
    <w:rsid w:val="00832AB3"/>
    <w:rsid w:val="00833BF7"/>
    <w:rsid w:val="008344EE"/>
    <w:rsid w:val="008346F9"/>
    <w:rsid w:val="00834930"/>
    <w:rsid w:val="00834C9D"/>
    <w:rsid w:val="00834CEC"/>
    <w:rsid w:val="008358E4"/>
    <w:rsid w:val="00835FA0"/>
    <w:rsid w:val="008363CD"/>
    <w:rsid w:val="008363D4"/>
    <w:rsid w:val="00837051"/>
    <w:rsid w:val="008372F5"/>
    <w:rsid w:val="00837621"/>
    <w:rsid w:val="00837A8B"/>
    <w:rsid w:val="00837D04"/>
    <w:rsid w:val="008400DD"/>
    <w:rsid w:val="00840718"/>
    <w:rsid w:val="0084153F"/>
    <w:rsid w:val="0084184D"/>
    <w:rsid w:val="00841E8F"/>
    <w:rsid w:val="0084246D"/>
    <w:rsid w:val="008428CC"/>
    <w:rsid w:val="00842B15"/>
    <w:rsid w:val="00842C30"/>
    <w:rsid w:val="00842DB1"/>
    <w:rsid w:val="0084312C"/>
    <w:rsid w:val="008431C0"/>
    <w:rsid w:val="008431CD"/>
    <w:rsid w:val="008431D0"/>
    <w:rsid w:val="0084325C"/>
    <w:rsid w:val="00843E77"/>
    <w:rsid w:val="00843F51"/>
    <w:rsid w:val="00843FEF"/>
    <w:rsid w:val="0084403D"/>
    <w:rsid w:val="0084422E"/>
    <w:rsid w:val="008442CC"/>
    <w:rsid w:val="00844A57"/>
    <w:rsid w:val="00844D17"/>
    <w:rsid w:val="00844FA2"/>
    <w:rsid w:val="0084563E"/>
    <w:rsid w:val="008457F6"/>
    <w:rsid w:val="00845AF5"/>
    <w:rsid w:val="00845D35"/>
    <w:rsid w:val="00845E2A"/>
    <w:rsid w:val="00846597"/>
    <w:rsid w:val="00846982"/>
    <w:rsid w:val="00846B57"/>
    <w:rsid w:val="00846B90"/>
    <w:rsid w:val="00847A2A"/>
    <w:rsid w:val="00847B0B"/>
    <w:rsid w:val="00847DC4"/>
    <w:rsid w:val="00850765"/>
    <w:rsid w:val="0085087F"/>
    <w:rsid w:val="008514A7"/>
    <w:rsid w:val="00851E68"/>
    <w:rsid w:val="00852560"/>
    <w:rsid w:val="00852D06"/>
    <w:rsid w:val="0085341A"/>
    <w:rsid w:val="00853895"/>
    <w:rsid w:val="00853922"/>
    <w:rsid w:val="00853B8F"/>
    <w:rsid w:val="00854DF8"/>
    <w:rsid w:val="00854E7B"/>
    <w:rsid w:val="0085563D"/>
    <w:rsid w:val="008557CE"/>
    <w:rsid w:val="00856201"/>
    <w:rsid w:val="008563C6"/>
    <w:rsid w:val="008564F8"/>
    <w:rsid w:val="008574C8"/>
    <w:rsid w:val="00860E0C"/>
    <w:rsid w:val="008615B4"/>
    <w:rsid w:val="00861A14"/>
    <w:rsid w:val="00862CE9"/>
    <w:rsid w:val="008631A3"/>
    <w:rsid w:val="00863EAC"/>
    <w:rsid w:val="00863FF7"/>
    <w:rsid w:val="008650C0"/>
    <w:rsid w:val="00866181"/>
    <w:rsid w:val="00866183"/>
    <w:rsid w:val="00866A51"/>
    <w:rsid w:val="00866B39"/>
    <w:rsid w:val="008675D3"/>
    <w:rsid w:val="00867A7F"/>
    <w:rsid w:val="00867BA0"/>
    <w:rsid w:val="00867CB9"/>
    <w:rsid w:val="00870304"/>
    <w:rsid w:val="008707D7"/>
    <w:rsid w:val="008708EF"/>
    <w:rsid w:val="00870B7F"/>
    <w:rsid w:val="008711D9"/>
    <w:rsid w:val="008715C0"/>
    <w:rsid w:val="008720F2"/>
    <w:rsid w:val="00872E70"/>
    <w:rsid w:val="00873022"/>
    <w:rsid w:val="008731CF"/>
    <w:rsid w:val="00873255"/>
    <w:rsid w:val="00873F31"/>
    <w:rsid w:val="00874B72"/>
    <w:rsid w:val="00875003"/>
    <w:rsid w:val="00875163"/>
    <w:rsid w:val="00875468"/>
    <w:rsid w:val="00875AC6"/>
    <w:rsid w:val="0087629F"/>
    <w:rsid w:val="0087655C"/>
    <w:rsid w:val="008765FA"/>
    <w:rsid w:val="0087695D"/>
    <w:rsid w:val="00876FFE"/>
    <w:rsid w:val="008770C2"/>
    <w:rsid w:val="00877E61"/>
    <w:rsid w:val="008800CB"/>
    <w:rsid w:val="00880642"/>
    <w:rsid w:val="00881142"/>
    <w:rsid w:val="00881B19"/>
    <w:rsid w:val="00881C83"/>
    <w:rsid w:val="0088294C"/>
    <w:rsid w:val="00882B33"/>
    <w:rsid w:val="00882DD4"/>
    <w:rsid w:val="00882DFA"/>
    <w:rsid w:val="00883264"/>
    <w:rsid w:val="00883316"/>
    <w:rsid w:val="0088450D"/>
    <w:rsid w:val="008846AD"/>
    <w:rsid w:val="00884710"/>
    <w:rsid w:val="00884F65"/>
    <w:rsid w:val="00885134"/>
    <w:rsid w:val="00885975"/>
    <w:rsid w:val="00886085"/>
    <w:rsid w:val="008861B1"/>
    <w:rsid w:val="00886D28"/>
    <w:rsid w:val="00887105"/>
    <w:rsid w:val="00887489"/>
    <w:rsid w:val="00887CA0"/>
    <w:rsid w:val="00890281"/>
    <w:rsid w:val="00890477"/>
    <w:rsid w:val="008904A6"/>
    <w:rsid w:val="00890E02"/>
    <w:rsid w:val="0089152A"/>
    <w:rsid w:val="008917A2"/>
    <w:rsid w:val="00891A14"/>
    <w:rsid w:val="00892A7D"/>
    <w:rsid w:val="00892D77"/>
    <w:rsid w:val="00892E25"/>
    <w:rsid w:val="00893447"/>
    <w:rsid w:val="00893828"/>
    <w:rsid w:val="00893869"/>
    <w:rsid w:val="00893F0A"/>
    <w:rsid w:val="0089440E"/>
    <w:rsid w:val="008954F9"/>
    <w:rsid w:val="0089555B"/>
    <w:rsid w:val="00895B9E"/>
    <w:rsid w:val="00896B16"/>
    <w:rsid w:val="00896C3B"/>
    <w:rsid w:val="008972E0"/>
    <w:rsid w:val="0089776B"/>
    <w:rsid w:val="008A0331"/>
    <w:rsid w:val="008A0383"/>
    <w:rsid w:val="008A055A"/>
    <w:rsid w:val="008A0611"/>
    <w:rsid w:val="008A06E9"/>
    <w:rsid w:val="008A0CD5"/>
    <w:rsid w:val="008A114B"/>
    <w:rsid w:val="008A1323"/>
    <w:rsid w:val="008A1483"/>
    <w:rsid w:val="008A14A3"/>
    <w:rsid w:val="008A1D1B"/>
    <w:rsid w:val="008A1D2F"/>
    <w:rsid w:val="008A20D6"/>
    <w:rsid w:val="008A3172"/>
    <w:rsid w:val="008A3667"/>
    <w:rsid w:val="008A3D3E"/>
    <w:rsid w:val="008A4AFD"/>
    <w:rsid w:val="008A54F3"/>
    <w:rsid w:val="008A55E3"/>
    <w:rsid w:val="008A5727"/>
    <w:rsid w:val="008A5772"/>
    <w:rsid w:val="008A670C"/>
    <w:rsid w:val="008A763D"/>
    <w:rsid w:val="008A77A5"/>
    <w:rsid w:val="008B0295"/>
    <w:rsid w:val="008B029F"/>
    <w:rsid w:val="008B07CC"/>
    <w:rsid w:val="008B1212"/>
    <w:rsid w:val="008B1AA8"/>
    <w:rsid w:val="008B1C67"/>
    <w:rsid w:val="008B2156"/>
    <w:rsid w:val="008B2263"/>
    <w:rsid w:val="008B25CD"/>
    <w:rsid w:val="008B2804"/>
    <w:rsid w:val="008B29C2"/>
    <w:rsid w:val="008B2EB0"/>
    <w:rsid w:val="008B2F5E"/>
    <w:rsid w:val="008B3159"/>
    <w:rsid w:val="008B3789"/>
    <w:rsid w:val="008B42D1"/>
    <w:rsid w:val="008B49F5"/>
    <w:rsid w:val="008B54B2"/>
    <w:rsid w:val="008B5628"/>
    <w:rsid w:val="008B5728"/>
    <w:rsid w:val="008B5BCB"/>
    <w:rsid w:val="008B5C6B"/>
    <w:rsid w:val="008B5FDB"/>
    <w:rsid w:val="008B649E"/>
    <w:rsid w:val="008B6656"/>
    <w:rsid w:val="008B6766"/>
    <w:rsid w:val="008B714C"/>
    <w:rsid w:val="008B779D"/>
    <w:rsid w:val="008C0555"/>
    <w:rsid w:val="008C1565"/>
    <w:rsid w:val="008C1C45"/>
    <w:rsid w:val="008C1C7D"/>
    <w:rsid w:val="008C2027"/>
    <w:rsid w:val="008C2051"/>
    <w:rsid w:val="008C2BAF"/>
    <w:rsid w:val="008C4229"/>
    <w:rsid w:val="008C46F9"/>
    <w:rsid w:val="008C4D73"/>
    <w:rsid w:val="008C542E"/>
    <w:rsid w:val="008C5540"/>
    <w:rsid w:val="008C55CD"/>
    <w:rsid w:val="008C5A8C"/>
    <w:rsid w:val="008C5BDA"/>
    <w:rsid w:val="008C5EA8"/>
    <w:rsid w:val="008C61CE"/>
    <w:rsid w:val="008C629C"/>
    <w:rsid w:val="008C68F8"/>
    <w:rsid w:val="008C6AB6"/>
    <w:rsid w:val="008C6D4D"/>
    <w:rsid w:val="008C7487"/>
    <w:rsid w:val="008C7EC0"/>
    <w:rsid w:val="008D03DE"/>
    <w:rsid w:val="008D04D9"/>
    <w:rsid w:val="008D1163"/>
    <w:rsid w:val="008D1179"/>
    <w:rsid w:val="008D1F52"/>
    <w:rsid w:val="008D26A4"/>
    <w:rsid w:val="008D29B4"/>
    <w:rsid w:val="008D29D0"/>
    <w:rsid w:val="008D346E"/>
    <w:rsid w:val="008D3744"/>
    <w:rsid w:val="008D395D"/>
    <w:rsid w:val="008D3B52"/>
    <w:rsid w:val="008D40B4"/>
    <w:rsid w:val="008D49FD"/>
    <w:rsid w:val="008D4DC1"/>
    <w:rsid w:val="008D59F5"/>
    <w:rsid w:val="008D5DE0"/>
    <w:rsid w:val="008D644B"/>
    <w:rsid w:val="008D6E87"/>
    <w:rsid w:val="008D72CC"/>
    <w:rsid w:val="008D785D"/>
    <w:rsid w:val="008D786A"/>
    <w:rsid w:val="008D7B28"/>
    <w:rsid w:val="008D7E89"/>
    <w:rsid w:val="008E1111"/>
    <w:rsid w:val="008E11F4"/>
    <w:rsid w:val="008E1334"/>
    <w:rsid w:val="008E13D3"/>
    <w:rsid w:val="008E15F9"/>
    <w:rsid w:val="008E16F0"/>
    <w:rsid w:val="008E1C05"/>
    <w:rsid w:val="008E1EEB"/>
    <w:rsid w:val="008E2817"/>
    <w:rsid w:val="008E2E77"/>
    <w:rsid w:val="008E3506"/>
    <w:rsid w:val="008E37E7"/>
    <w:rsid w:val="008E3C43"/>
    <w:rsid w:val="008E4296"/>
    <w:rsid w:val="008E46F8"/>
    <w:rsid w:val="008E4A73"/>
    <w:rsid w:val="008E56BE"/>
    <w:rsid w:val="008E5D5C"/>
    <w:rsid w:val="008E5FB8"/>
    <w:rsid w:val="008E6141"/>
    <w:rsid w:val="008E6458"/>
    <w:rsid w:val="008E675B"/>
    <w:rsid w:val="008E6760"/>
    <w:rsid w:val="008E7042"/>
    <w:rsid w:val="008E743B"/>
    <w:rsid w:val="008E7CEA"/>
    <w:rsid w:val="008E7D54"/>
    <w:rsid w:val="008E7F41"/>
    <w:rsid w:val="008F069A"/>
    <w:rsid w:val="008F087F"/>
    <w:rsid w:val="008F0BDD"/>
    <w:rsid w:val="008F0FF3"/>
    <w:rsid w:val="008F1164"/>
    <w:rsid w:val="008F16A3"/>
    <w:rsid w:val="008F17B8"/>
    <w:rsid w:val="008F210F"/>
    <w:rsid w:val="008F258A"/>
    <w:rsid w:val="008F26F3"/>
    <w:rsid w:val="008F2CE1"/>
    <w:rsid w:val="008F3B77"/>
    <w:rsid w:val="008F42F3"/>
    <w:rsid w:val="008F4ABE"/>
    <w:rsid w:val="008F51DC"/>
    <w:rsid w:val="008F568A"/>
    <w:rsid w:val="008F5A2B"/>
    <w:rsid w:val="008F5C52"/>
    <w:rsid w:val="008F5D9D"/>
    <w:rsid w:val="008F605B"/>
    <w:rsid w:val="008F63A9"/>
    <w:rsid w:val="008F6FD1"/>
    <w:rsid w:val="009001B7"/>
    <w:rsid w:val="0090057C"/>
    <w:rsid w:val="00900778"/>
    <w:rsid w:val="00900905"/>
    <w:rsid w:val="00900A12"/>
    <w:rsid w:val="0090103B"/>
    <w:rsid w:val="00901905"/>
    <w:rsid w:val="00902412"/>
    <w:rsid w:val="00902AC0"/>
    <w:rsid w:val="00902DE4"/>
    <w:rsid w:val="00902F30"/>
    <w:rsid w:val="00904139"/>
    <w:rsid w:val="009044B7"/>
    <w:rsid w:val="0090462D"/>
    <w:rsid w:val="0090499D"/>
    <w:rsid w:val="00904BD3"/>
    <w:rsid w:val="00904CA7"/>
    <w:rsid w:val="009056A3"/>
    <w:rsid w:val="009057C3"/>
    <w:rsid w:val="00906222"/>
    <w:rsid w:val="009062C4"/>
    <w:rsid w:val="00906548"/>
    <w:rsid w:val="00906B85"/>
    <w:rsid w:val="00906E40"/>
    <w:rsid w:val="00907D2E"/>
    <w:rsid w:val="00910419"/>
    <w:rsid w:val="00910C2A"/>
    <w:rsid w:val="00911348"/>
    <w:rsid w:val="009116C7"/>
    <w:rsid w:val="00911DF8"/>
    <w:rsid w:val="00912510"/>
    <w:rsid w:val="009126E5"/>
    <w:rsid w:val="00913445"/>
    <w:rsid w:val="0091388B"/>
    <w:rsid w:val="0091521B"/>
    <w:rsid w:val="009152D8"/>
    <w:rsid w:val="00915309"/>
    <w:rsid w:val="00915629"/>
    <w:rsid w:val="00915D17"/>
    <w:rsid w:val="00915E42"/>
    <w:rsid w:val="009160A2"/>
    <w:rsid w:val="009160FD"/>
    <w:rsid w:val="0091651B"/>
    <w:rsid w:val="009167AC"/>
    <w:rsid w:val="0091749F"/>
    <w:rsid w:val="00917CA6"/>
    <w:rsid w:val="009203AC"/>
    <w:rsid w:val="00920484"/>
    <w:rsid w:val="00920ADB"/>
    <w:rsid w:val="00920CE7"/>
    <w:rsid w:val="009211E9"/>
    <w:rsid w:val="00921523"/>
    <w:rsid w:val="00921684"/>
    <w:rsid w:val="00921F43"/>
    <w:rsid w:val="00922712"/>
    <w:rsid w:val="00923411"/>
    <w:rsid w:val="00923DF8"/>
    <w:rsid w:val="00924036"/>
    <w:rsid w:val="00924852"/>
    <w:rsid w:val="00924BE4"/>
    <w:rsid w:val="00924F2E"/>
    <w:rsid w:val="00925206"/>
    <w:rsid w:val="009253C0"/>
    <w:rsid w:val="00925CEC"/>
    <w:rsid w:val="00926393"/>
    <w:rsid w:val="009264B0"/>
    <w:rsid w:val="00926773"/>
    <w:rsid w:val="0092682F"/>
    <w:rsid w:val="00926940"/>
    <w:rsid w:val="00926998"/>
    <w:rsid w:val="00926FC2"/>
    <w:rsid w:val="00927B54"/>
    <w:rsid w:val="00927FF2"/>
    <w:rsid w:val="009300C3"/>
    <w:rsid w:val="00930B0E"/>
    <w:rsid w:val="00930E75"/>
    <w:rsid w:val="00931160"/>
    <w:rsid w:val="00931416"/>
    <w:rsid w:val="009316AC"/>
    <w:rsid w:val="009316BF"/>
    <w:rsid w:val="00931C39"/>
    <w:rsid w:val="00931CA2"/>
    <w:rsid w:val="00931D69"/>
    <w:rsid w:val="009323A5"/>
    <w:rsid w:val="00932E6E"/>
    <w:rsid w:val="009330AF"/>
    <w:rsid w:val="009335D0"/>
    <w:rsid w:val="00933A57"/>
    <w:rsid w:val="00933DDD"/>
    <w:rsid w:val="00934362"/>
    <w:rsid w:val="0093465A"/>
    <w:rsid w:val="00934896"/>
    <w:rsid w:val="00935D1A"/>
    <w:rsid w:val="00936000"/>
    <w:rsid w:val="009360FA"/>
    <w:rsid w:val="00936297"/>
    <w:rsid w:val="0093633F"/>
    <w:rsid w:val="009363BB"/>
    <w:rsid w:val="00936AA6"/>
    <w:rsid w:val="009379D3"/>
    <w:rsid w:val="00937A41"/>
    <w:rsid w:val="00937D27"/>
    <w:rsid w:val="00937D8A"/>
    <w:rsid w:val="0094041B"/>
    <w:rsid w:val="00940F0C"/>
    <w:rsid w:val="00940F6F"/>
    <w:rsid w:val="00942BC6"/>
    <w:rsid w:val="00942F7E"/>
    <w:rsid w:val="00943121"/>
    <w:rsid w:val="009434E5"/>
    <w:rsid w:val="009435BE"/>
    <w:rsid w:val="009437B4"/>
    <w:rsid w:val="0094397E"/>
    <w:rsid w:val="00943C5B"/>
    <w:rsid w:val="00943EA8"/>
    <w:rsid w:val="0094473A"/>
    <w:rsid w:val="0094475B"/>
    <w:rsid w:val="00944B4F"/>
    <w:rsid w:val="00945BD6"/>
    <w:rsid w:val="00945E3B"/>
    <w:rsid w:val="00946134"/>
    <w:rsid w:val="00946984"/>
    <w:rsid w:val="00947393"/>
    <w:rsid w:val="0095004C"/>
    <w:rsid w:val="009501BC"/>
    <w:rsid w:val="00950603"/>
    <w:rsid w:val="00951052"/>
    <w:rsid w:val="00952014"/>
    <w:rsid w:val="0095229F"/>
    <w:rsid w:val="00952495"/>
    <w:rsid w:val="00952B82"/>
    <w:rsid w:val="0095363E"/>
    <w:rsid w:val="0095367D"/>
    <w:rsid w:val="009536DA"/>
    <w:rsid w:val="00953C4E"/>
    <w:rsid w:val="0095400D"/>
    <w:rsid w:val="00954207"/>
    <w:rsid w:val="009546BA"/>
    <w:rsid w:val="00955110"/>
    <w:rsid w:val="009552D0"/>
    <w:rsid w:val="00955547"/>
    <w:rsid w:val="0095558B"/>
    <w:rsid w:val="009559E2"/>
    <w:rsid w:val="00955EA4"/>
    <w:rsid w:val="009560B4"/>
    <w:rsid w:val="00956A07"/>
    <w:rsid w:val="00956CEB"/>
    <w:rsid w:val="00956D05"/>
    <w:rsid w:val="00957407"/>
    <w:rsid w:val="00957648"/>
    <w:rsid w:val="00957C8E"/>
    <w:rsid w:val="009608AA"/>
    <w:rsid w:val="00960A75"/>
    <w:rsid w:val="00961819"/>
    <w:rsid w:val="00961A2E"/>
    <w:rsid w:val="00962982"/>
    <w:rsid w:val="00962C52"/>
    <w:rsid w:val="009631D4"/>
    <w:rsid w:val="0096330A"/>
    <w:rsid w:val="00963778"/>
    <w:rsid w:val="00963848"/>
    <w:rsid w:val="00963A64"/>
    <w:rsid w:val="00963E6F"/>
    <w:rsid w:val="00964953"/>
    <w:rsid w:val="00965135"/>
    <w:rsid w:val="00965323"/>
    <w:rsid w:val="00965A90"/>
    <w:rsid w:val="00965E42"/>
    <w:rsid w:val="0096623F"/>
    <w:rsid w:val="00966487"/>
    <w:rsid w:val="00966AA5"/>
    <w:rsid w:val="00966BF2"/>
    <w:rsid w:val="0096712C"/>
    <w:rsid w:val="00967889"/>
    <w:rsid w:val="009679EE"/>
    <w:rsid w:val="00967A99"/>
    <w:rsid w:val="00967B07"/>
    <w:rsid w:val="00967FBA"/>
    <w:rsid w:val="00970034"/>
    <w:rsid w:val="00970726"/>
    <w:rsid w:val="00970966"/>
    <w:rsid w:val="00970E2D"/>
    <w:rsid w:val="0097170F"/>
    <w:rsid w:val="00971A77"/>
    <w:rsid w:val="00971DB7"/>
    <w:rsid w:val="00973F1A"/>
    <w:rsid w:val="00974936"/>
    <w:rsid w:val="00974CAC"/>
    <w:rsid w:val="00974E43"/>
    <w:rsid w:val="00974FA0"/>
    <w:rsid w:val="009751F8"/>
    <w:rsid w:val="009753C4"/>
    <w:rsid w:val="00975958"/>
    <w:rsid w:val="00975A02"/>
    <w:rsid w:val="00975A10"/>
    <w:rsid w:val="00975AFA"/>
    <w:rsid w:val="00977008"/>
    <w:rsid w:val="00977307"/>
    <w:rsid w:val="00977AFD"/>
    <w:rsid w:val="00977B29"/>
    <w:rsid w:val="00977BC6"/>
    <w:rsid w:val="00980289"/>
    <w:rsid w:val="00980D3D"/>
    <w:rsid w:val="00980D41"/>
    <w:rsid w:val="009810AD"/>
    <w:rsid w:val="0098148D"/>
    <w:rsid w:val="00981782"/>
    <w:rsid w:val="00981820"/>
    <w:rsid w:val="00981936"/>
    <w:rsid w:val="00981961"/>
    <w:rsid w:val="009819AF"/>
    <w:rsid w:val="009821E1"/>
    <w:rsid w:val="009825FB"/>
    <w:rsid w:val="0098268A"/>
    <w:rsid w:val="00982BD1"/>
    <w:rsid w:val="00982D8C"/>
    <w:rsid w:val="0098312E"/>
    <w:rsid w:val="00983662"/>
    <w:rsid w:val="009836C2"/>
    <w:rsid w:val="0098388D"/>
    <w:rsid w:val="00983A39"/>
    <w:rsid w:val="00983BB4"/>
    <w:rsid w:val="00984449"/>
    <w:rsid w:val="00984473"/>
    <w:rsid w:val="00984724"/>
    <w:rsid w:val="00984B49"/>
    <w:rsid w:val="00985074"/>
    <w:rsid w:val="00985107"/>
    <w:rsid w:val="0098564B"/>
    <w:rsid w:val="00986347"/>
    <w:rsid w:val="00986645"/>
    <w:rsid w:val="00986DBD"/>
    <w:rsid w:val="00986FA5"/>
    <w:rsid w:val="009876A1"/>
    <w:rsid w:val="009876CA"/>
    <w:rsid w:val="009877E0"/>
    <w:rsid w:val="00990EE4"/>
    <w:rsid w:val="00991378"/>
    <w:rsid w:val="00991AAA"/>
    <w:rsid w:val="00991DF1"/>
    <w:rsid w:val="00991E74"/>
    <w:rsid w:val="00991F9F"/>
    <w:rsid w:val="0099316C"/>
    <w:rsid w:val="009935A9"/>
    <w:rsid w:val="00993BFC"/>
    <w:rsid w:val="00994764"/>
    <w:rsid w:val="00994FEC"/>
    <w:rsid w:val="0099579B"/>
    <w:rsid w:val="00995802"/>
    <w:rsid w:val="00995B38"/>
    <w:rsid w:val="00995C71"/>
    <w:rsid w:val="009962CB"/>
    <w:rsid w:val="009963FE"/>
    <w:rsid w:val="009966AE"/>
    <w:rsid w:val="00996F07"/>
    <w:rsid w:val="009970E2"/>
    <w:rsid w:val="00997769"/>
    <w:rsid w:val="009A060C"/>
    <w:rsid w:val="009A071F"/>
    <w:rsid w:val="009A085A"/>
    <w:rsid w:val="009A0891"/>
    <w:rsid w:val="009A121F"/>
    <w:rsid w:val="009A17E4"/>
    <w:rsid w:val="009A1ADD"/>
    <w:rsid w:val="009A20D8"/>
    <w:rsid w:val="009A2F34"/>
    <w:rsid w:val="009A3358"/>
    <w:rsid w:val="009A4003"/>
    <w:rsid w:val="009A4117"/>
    <w:rsid w:val="009A4392"/>
    <w:rsid w:val="009A4509"/>
    <w:rsid w:val="009A4697"/>
    <w:rsid w:val="009A5338"/>
    <w:rsid w:val="009A535D"/>
    <w:rsid w:val="009A58DE"/>
    <w:rsid w:val="009A5A10"/>
    <w:rsid w:val="009A72FD"/>
    <w:rsid w:val="009A7E54"/>
    <w:rsid w:val="009B053D"/>
    <w:rsid w:val="009B068C"/>
    <w:rsid w:val="009B0B9A"/>
    <w:rsid w:val="009B0C7F"/>
    <w:rsid w:val="009B215D"/>
    <w:rsid w:val="009B319C"/>
    <w:rsid w:val="009B352C"/>
    <w:rsid w:val="009B3F39"/>
    <w:rsid w:val="009B41E4"/>
    <w:rsid w:val="009B472B"/>
    <w:rsid w:val="009B4935"/>
    <w:rsid w:val="009B49C6"/>
    <w:rsid w:val="009B5160"/>
    <w:rsid w:val="009B563A"/>
    <w:rsid w:val="009B5CA7"/>
    <w:rsid w:val="009B689D"/>
    <w:rsid w:val="009B7B1F"/>
    <w:rsid w:val="009C012C"/>
    <w:rsid w:val="009C0DDA"/>
    <w:rsid w:val="009C100B"/>
    <w:rsid w:val="009C1AE6"/>
    <w:rsid w:val="009C1BF4"/>
    <w:rsid w:val="009C208A"/>
    <w:rsid w:val="009C21B1"/>
    <w:rsid w:val="009C220A"/>
    <w:rsid w:val="009C2795"/>
    <w:rsid w:val="009C2A5F"/>
    <w:rsid w:val="009C2B66"/>
    <w:rsid w:val="009C3924"/>
    <w:rsid w:val="009C4B45"/>
    <w:rsid w:val="009C5103"/>
    <w:rsid w:val="009C53A3"/>
    <w:rsid w:val="009C5DE0"/>
    <w:rsid w:val="009C64F9"/>
    <w:rsid w:val="009C656D"/>
    <w:rsid w:val="009C753D"/>
    <w:rsid w:val="009C7D43"/>
    <w:rsid w:val="009D094A"/>
    <w:rsid w:val="009D0CBC"/>
    <w:rsid w:val="009D183C"/>
    <w:rsid w:val="009D1E23"/>
    <w:rsid w:val="009D2116"/>
    <w:rsid w:val="009D230D"/>
    <w:rsid w:val="009D2473"/>
    <w:rsid w:val="009D251D"/>
    <w:rsid w:val="009D2BC9"/>
    <w:rsid w:val="009D3222"/>
    <w:rsid w:val="009D341D"/>
    <w:rsid w:val="009D349E"/>
    <w:rsid w:val="009D34B0"/>
    <w:rsid w:val="009D38A6"/>
    <w:rsid w:val="009D3D06"/>
    <w:rsid w:val="009D3DB7"/>
    <w:rsid w:val="009D4B59"/>
    <w:rsid w:val="009D4D33"/>
    <w:rsid w:val="009D5A3F"/>
    <w:rsid w:val="009D6DBA"/>
    <w:rsid w:val="009D7FC9"/>
    <w:rsid w:val="009E02AC"/>
    <w:rsid w:val="009E069E"/>
    <w:rsid w:val="009E0B33"/>
    <w:rsid w:val="009E14C7"/>
    <w:rsid w:val="009E172C"/>
    <w:rsid w:val="009E1B3F"/>
    <w:rsid w:val="009E1E8A"/>
    <w:rsid w:val="009E2682"/>
    <w:rsid w:val="009E2E3F"/>
    <w:rsid w:val="009E31E2"/>
    <w:rsid w:val="009E3C17"/>
    <w:rsid w:val="009E3C7A"/>
    <w:rsid w:val="009E3CE2"/>
    <w:rsid w:val="009E3F97"/>
    <w:rsid w:val="009E4416"/>
    <w:rsid w:val="009E466B"/>
    <w:rsid w:val="009E4824"/>
    <w:rsid w:val="009E4D94"/>
    <w:rsid w:val="009E5127"/>
    <w:rsid w:val="009E5235"/>
    <w:rsid w:val="009E651C"/>
    <w:rsid w:val="009E6647"/>
    <w:rsid w:val="009E6778"/>
    <w:rsid w:val="009E6A9D"/>
    <w:rsid w:val="009E6C8F"/>
    <w:rsid w:val="009E7D29"/>
    <w:rsid w:val="009F0979"/>
    <w:rsid w:val="009F1E84"/>
    <w:rsid w:val="009F213A"/>
    <w:rsid w:val="009F23BA"/>
    <w:rsid w:val="009F24C8"/>
    <w:rsid w:val="009F2A4E"/>
    <w:rsid w:val="009F4973"/>
    <w:rsid w:val="009F5218"/>
    <w:rsid w:val="009F59F4"/>
    <w:rsid w:val="009F600D"/>
    <w:rsid w:val="009F6220"/>
    <w:rsid w:val="009F6747"/>
    <w:rsid w:val="009F68FB"/>
    <w:rsid w:val="009F6B12"/>
    <w:rsid w:val="009F6C31"/>
    <w:rsid w:val="009F758D"/>
    <w:rsid w:val="009F7AE7"/>
    <w:rsid w:val="00A003C6"/>
    <w:rsid w:val="00A0115E"/>
    <w:rsid w:val="00A01433"/>
    <w:rsid w:val="00A01454"/>
    <w:rsid w:val="00A02C5C"/>
    <w:rsid w:val="00A03121"/>
    <w:rsid w:val="00A03638"/>
    <w:rsid w:val="00A0385B"/>
    <w:rsid w:val="00A03B5C"/>
    <w:rsid w:val="00A03DE9"/>
    <w:rsid w:val="00A04B48"/>
    <w:rsid w:val="00A05071"/>
    <w:rsid w:val="00A0521B"/>
    <w:rsid w:val="00A05553"/>
    <w:rsid w:val="00A05745"/>
    <w:rsid w:val="00A06103"/>
    <w:rsid w:val="00A06C66"/>
    <w:rsid w:val="00A06DAB"/>
    <w:rsid w:val="00A072DE"/>
    <w:rsid w:val="00A0751C"/>
    <w:rsid w:val="00A07960"/>
    <w:rsid w:val="00A079C9"/>
    <w:rsid w:val="00A07EAA"/>
    <w:rsid w:val="00A10121"/>
    <w:rsid w:val="00A10201"/>
    <w:rsid w:val="00A104B1"/>
    <w:rsid w:val="00A1084B"/>
    <w:rsid w:val="00A10C37"/>
    <w:rsid w:val="00A10CF3"/>
    <w:rsid w:val="00A10EBE"/>
    <w:rsid w:val="00A11131"/>
    <w:rsid w:val="00A11A34"/>
    <w:rsid w:val="00A1256B"/>
    <w:rsid w:val="00A127B9"/>
    <w:rsid w:val="00A129C1"/>
    <w:rsid w:val="00A12F87"/>
    <w:rsid w:val="00A1342E"/>
    <w:rsid w:val="00A13CC1"/>
    <w:rsid w:val="00A146E8"/>
    <w:rsid w:val="00A14868"/>
    <w:rsid w:val="00A14F2F"/>
    <w:rsid w:val="00A157BB"/>
    <w:rsid w:val="00A15941"/>
    <w:rsid w:val="00A15AE1"/>
    <w:rsid w:val="00A16474"/>
    <w:rsid w:val="00A1655F"/>
    <w:rsid w:val="00A165C5"/>
    <w:rsid w:val="00A16C56"/>
    <w:rsid w:val="00A16DF9"/>
    <w:rsid w:val="00A16F9C"/>
    <w:rsid w:val="00A1747C"/>
    <w:rsid w:val="00A179E6"/>
    <w:rsid w:val="00A20348"/>
    <w:rsid w:val="00A20BDE"/>
    <w:rsid w:val="00A21F19"/>
    <w:rsid w:val="00A22AC3"/>
    <w:rsid w:val="00A23783"/>
    <w:rsid w:val="00A25273"/>
    <w:rsid w:val="00A258DA"/>
    <w:rsid w:val="00A25948"/>
    <w:rsid w:val="00A26A96"/>
    <w:rsid w:val="00A26D0D"/>
    <w:rsid w:val="00A2755D"/>
    <w:rsid w:val="00A277A2"/>
    <w:rsid w:val="00A308D3"/>
    <w:rsid w:val="00A309D0"/>
    <w:rsid w:val="00A30AE3"/>
    <w:rsid w:val="00A30ECD"/>
    <w:rsid w:val="00A31778"/>
    <w:rsid w:val="00A31FAC"/>
    <w:rsid w:val="00A3205A"/>
    <w:rsid w:val="00A32CD7"/>
    <w:rsid w:val="00A32F98"/>
    <w:rsid w:val="00A332F5"/>
    <w:rsid w:val="00A33B91"/>
    <w:rsid w:val="00A33DDF"/>
    <w:rsid w:val="00A3428F"/>
    <w:rsid w:val="00A34468"/>
    <w:rsid w:val="00A349D9"/>
    <w:rsid w:val="00A34A7F"/>
    <w:rsid w:val="00A34A9D"/>
    <w:rsid w:val="00A34D6D"/>
    <w:rsid w:val="00A35D82"/>
    <w:rsid w:val="00A361EA"/>
    <w:rsid w:val="00A3673B"/>
    <w:rsid w:val="00A36B3B"/>
    <w:rsid w:val="00A36EBC"/>
    <w:rsid w:val="00A374A1"/>
    <w:rsid w:val="00A37A63"/>
    <w:rsid w:val="00A4025D"/>
    <w:rsid w:val="00A40BAD"/>
    <w:rsid w:val="00A40C53"/>
    <w:rsid w:val="00A40D37"/>
    <w:rsid w:val="00A414F1"/>
    <w:rsid w:val="00A41CD0"/>
    <w:rsid w:val="00A420BC"/>
    <w:rsid w:val="00A430D4"/>
    <w:rsid w:val="00A4310E"/>
    <w:rsid w:val="00A43412"/>
    <w:rsid w:val="00A44231"/>
    <w:rsid w:val="00A44412"/>
    <w:rsid w:val="00A44516"/>
    <w:rsid w:val="00A44BB3"/>
    <w:rsid w:val="00A44C07"/>
    <w:rsid w:val="00A4503F"/>
    <w:rsid w:val="00A45233"/>
    <w:rsid w:val="00A4544F"/>
    <w:rsid w:val="00A46A46"/>
    <w:rsid w:val="00A46C1C"/>
    <w:rsid w:val="00A475E4"/>
    <w:rsid w:val="00A47CE3"/>
    <w:rsid w:val="00A47EC2"/>
    <w:rsid w:val="00A47FD9"/>
    <w:rsid w:val="00A50A0C"/>
    <w:rsid w:val="00A50E25"/>
    <w:rsid w:val="00A51254"/>
    <w:rsid w:val="00A51346"/>
    <w:rsid w:val="00A51B1A"/>
    <w:rsid w:val="00A51DF7"/>
    <w:rsid w:val="00A526CB"/>
    <w:rsid w:val="00A532D9"/>
    <w:rsid w:val="00A532FF"/>
    <w:rsid w:val="00A53418"/>
    <w:rsid w:val="00A535C9"/>
    <w:rsid w:val="00A5404C"/>
    <w:rsid w:val="00A5419F"/>
    <w:rsid w:val="00A5501C"/>
    <w:rsid w:val="00A55254"/>
    <w:rsid w:val="00A5534D"/>
    <w:rsid w:val="00A5598D"/>
    <w:rsid w:val="00A5639E"/>
    <w:rsid w:val="00A56ECA"/>
    <w:rsid w:val="00A57851"/>
    <w:rsid w:val="00A57E8A"/>
    <w:rsid w:val="00A60A7D"/>
    <w:rsid w:val="00A60C01"/>
    <w:rsid w:val="00A616DA"/>
    <w:rsid w:val="00A61BF4"/>
    <w:rsid w:val="00A628FD"/>
    <w:rsid w:val="00A629E2"/>
    <w:rsid w:val="00A62CA3"/>
    <w:rsid w:val="00A62E63"/>
    <w:rsid w:val="00A62FC7"/>
    <w:rsid w:val="00A633B7"/>
    <w:rsid w:val="00A63658"/>
    <w:rsid w:val="00A63890"/>
    <w:rsid w:val="00A63A51"/>
    <w:rsid w:val="00A63DA9"/>
    <w:rsid w:val="00A641B1"/>
    <w:rsid w:val="00A64AD4"/>
    <w:rsid w:val="00A6559F"/>
    <w:rsid w:val="00A6564F"/>
    <w:rsid w:val="00A656B4"/>
    <w:rsid w:val="00A65E02"/>
    <w:rsid w:val="00A662AA"/>
    <w:rsid w:val="00A667E3"/>
    <w:rsid w:val="00A66B6C"/>
    <w:rsid w:val="00A674B7"/>
    <w:rsid w:val="00A675B6"/>
    <w:rsid w:val="00A67602"/>
    <w:rsid w:val="00A701A8"/>
    <w:rsid w:val="00A7039C"/>
    <w:rsid w:val="00A705B3"/>
    <w:rsid w:val="00A70ECE"/>
    <w:rsid w:val="00A71222"/>
    <w:rsid w:val="00A713A3"/>
    <w:rsid w:val="00A716E3"/>
    <w:rsid w:val="00A7192A"/>
    <w:rsid w:val="00A7217C"/>
    <w:rsid w:val="00A721E2"/>
    <w:rsid w:val="00A72227"/>
    <w:rsid w:val="00A72798"/>
    <w:rsid w:val="00A72BF5"/>
    <w:rsid w:val="00A72DC6"/>
    <w:rsid w:val="00A739B9"/>
    <w:rsid w:val="00A74FAF"/>
    <w:rsid w:val="00A755F5"/>
    <w:rsid w:val="00A7570E"/>
    <w:rsid w:val="00A75C80"/>
    <w:rsid w:val="00A76D42"/>
    <w:rsid w:val="00A77536"/>
    <w:rsid w:val="00A77C87"/>
    <w:rsid w:val="00A77D37"/>
    <w:rsid w:val="00A77F52"/>
    <w:rsid w:val="00A8009E"/>
    <w:rsid w:val="00A80221"/>
    <w:rsid w:val="00A802B1"/>
    <w:rsid w:val="00A803D3"/>
    <w:rsid w:val="00A80A44"/>
    <w:rsid w:val="00A80B20"/>
    <w:rsid w:val="00A810EE"/>
    <w:rsid w:val="00A81564"/>
    <w:rsid w:val="00A8187B"/>
    <w:rsid w:val="00A81B87"/>
    <w:rsid w:val="00A81DB8"/>
    <w:rsid w:val="00A829F6"/>
    <w:rsid w:val="00A82C4F"/>
    <w:rsid w:val="00A8324E"/>
    <w:rsid w:val="00A833D1"/>
    <w:rsid w:val="00A83400"/>
    <w:rsid w:val="00A83583"/>
    <w:rsid w:val="00A839E8"/>
    <w:rsid w:val="00A83B06"/>
    <w:rsid w:val="00A83BBE"/>
    <w:rsid w:val="00A83BFB"/>
    <w:rsid w:val="00A843F3"/>
    <w:rsid w:val="00A845F8"/>
    <w:rsid w:val="00A848F3"/>
    <w:rsid w:val="00A84E25"/>
    <w:rsid w:val="00A852A4"/>
    <w:rsid w:val="00A85706"/>
    <w:rsid w:val="00A8580B"/>
    <w:rsid w:val="00A85C60"/>
    <w:rsid w:val="00A8618A"/>
    <w:rsid w:val="00A8670C"/>
    <w:rsid w:val="00A86F25"/>
    <w:rsid w:val="00A86F80"/>
    <w:rsid w:val="00A87543"/>
    <w:rsid w:val="00A905DD"/>
    <w:rsid w:val="00A916CD"/>
    <w:rsid w:val="00A919FA"/>
    <w:rsid w:val="00A91DA0"/>
    <w:rsid w:val="00A91DB0"/>
    <w:rsid w:val="00A92089"/>
    <w:rsid w:val="00A928A9"/>
    <w:rsid w:val="00A92BB4"/>
    <w:rsid w:val="00A92E3E"/>
    <w:rsid w:val="00A930D5"/>
    <w:rsid w:val="00A93AFB"/>
    <w:rsid w:val="00A9467C"/>
    <w:rsid w:val="00A94692"/>
    <w:rsid w:val="00A947F9"/>
    <w:rsid w:val="00A947FD"/>
    <w:rsid w:val="00A95069"/>
    <w:rsid w:val="00A950E4"/>
    <w:rsid w:val="00A954C4"/>
    <w:rsid w:val="00A95519"/>
    <w:rsid w:val="00A95774"/>
    <w:rsid w:val="00A95B29"/>
    <w:rsid w:val="00A96B1F"/>
    <w:rsid w:val="00A96E21"/>
    <w:rsid w:val="00A97365"/>
    <w:rsid w:val="00A97641"/>
    <w:rsid w:val="00AA0006"/>
    <w:rsid w:val="00AA0766"/>
    <w:rsid w:val="00AA0BDD"/>
    <w:rsid w:val="00AA0E6A"/>
    <w:rsid w:val="00AA1026"/>
    <w:rsid w:val="00AA195E"/>
    <w:rsid w:val="00AA1C1F"/>
    <w:rsid w:val="00AA30FD"/>
    <w:rsid w:val="00AA3589"/>
    <w:rsid w:val="00AA3717"/>
    <w:rsid w:val="00AA41A9"/>
    <w:rsid w:val="00AA45CC"/>
    <w:rsid w:val="00AA4981"/>
    <w:rsid w:val="00AA4FF6"/>
    <w:rsid w:val="00AA5F82"/>
    <w:rsid w:val="00AA61FB"/>
    <w:rsid w:val="00AA71B8"/>
    <w:rsid w:val="00AA75F2"/>
    <w:rsid w:val="00AA79A0"/>
    <w:rsid w:val="00AB038D"/>
    <w:rsid w:val="00AB0B25"/>
    <w:rsid w:val="00AB0FAE"/>
    <w:rsid w:val="00AB104E"/>
    <w:rsid w:val="00AB1416"/>
    <w:rsid w:val="00AB1912"/>
    <w:rsid w:val="00AB29AF"/>
    <w:rsid w:val="00AB2A88"/>
    <w:rsid w:val="00AB2F6C"/>
    <w:rsid w:val="00AB36F1"/>
    <w:rsid w:val="00AB40AE"/>
    <w:rsid w:val="00AB49C0"/>
    <w:rsid w:val="00AB4C68"/>
    <w:rsid w:val="00AB531B"/>
    <w:rsid w:val="00AB56CF"/>
    <w:rsid w:val="00AB5991"/>
    <w:rsid w:val="00AB606B"/>
    <w:rsid w:val="00AB6655"/>
    <w:rsid w:val="00AB6704"/>
    <w:rsid w:val="00AB77DB"/>
    <w:rsid w:val="00AB77F5"/>
    <w:rsid w:val="00AB7851"/>
    <w:rsid w:val="00AC0665"/>
    <w:rsid w:val="00AC09D1"/>
    <w:rsid w:val="00AC228A"/>
    <w:rsid w:val="00AC2614"/>
    <w:rsid w:val="00AC2949"/>
    <w:rsid w:val="00AC3436"/>
    <w:rsid w:val="00AC347D"/>
    <w:rsid w:val="00AC3D6F"/>
    <w:rsid w:val="00AC40DD"/>
    <w:rsid w:val="00AC4314"/>
    <w:rsid w:val="00AC577C"/>
    <w:rsid w:val="00AC57D5"/>
    <w:rsid w:val="00AC596D"/>
    <w:rsid w:val="00AC5C6E"/>
    <w:rsid w:val="00AC5CC0"/>
    <w:rsid w:val="00AC5EE6"/>
    <w:rsid w:val="00AC6221"/>
    <w:rsid w:val="00AC63E7"/>
    <w:rsid w:val="00AC67F3"/>
    <w:rsid w:val="00AC6B4B"/>
    <w:rsid w:val="00AC6F1B"/>
    <w:rsid w:val="00AC7255"/>
    <w:rsid w:val="00AC742E"/>
    <w:rsid w:val="00AC7C76"/>
    <w:rsid w:val="00AC7F14"/>
    <w:rsid w:val="00AD06C1"/>
    <w:rsid w:val="00AD17BF"/>
    <w:rsid w:val="00AD19BD"/>
    <w:rsid w:val="00AD2041"/>
    <w:rsid w:val="00AD285C"/>
    <w:rsid w:val="00AD32EB"/>
    <w:rsid w:val="00AD34C4"/>
    <w:rsid w:val="00AD3F57"/>
    <w:rsid w:val="00AD4E32"/>
    <w:rsid w:val="00AD4F83"/>
    <w:rsid w:val="00AD54CD"/>
    <w:rsid w:val="00AD54FE"/>
    <w:rsid w:val="00AD6009"/>
    <w:rsid w:val="00AD60F6"/>
    <w:rsid w:val="00AD6526"/>
    <w:rsid w:val="00AD6536"/>
    <w:rsid w:val="00AD6A2F"/>
    <w:rsid w:val="00AD728B"/>
    <w:rsid w:val="00AD7304"/>
    <w:rsid w:val="00AD7547"/>
    <w:rsid w:val="00AD76A4"/>
    <w:rsid w:val="00AD76A9"/>
    <w:rsid w:val="00AD7E9F"/>
    <w:rsid w:val="00AE0460"/>
    <w:rsid w:val="00AE154A"/>
    <w:rsid w:val="00AE226E"/>
    <w:rsid w:val="00AE251D"/>
    <w:rsid w:val="00AE2885"/>
    <w:rsid w:val="00AE3119"/>
    <w:rsid w:val="00AE3608"/>
    <w:rsid w:val="00AE3973"/>
    <w:rsid w:val="00AE3B82"/>
    <w:rsid w:val="00AE4218"/>
    <w:rsid w:val="00AE4292"/>
    <w:rsid w:val="00AE4328"/>
    <w:rsid w:val="00AE437F"/>
    <w:rsid w:val="00AE4A3B"/>
    <w:rsid w:val="00AE4A67"/>
    <w:rsid w:val="00AE4B63"/>
    <w:rsid w:val="00AE5335"/>
    <w:rsid w:val="00AE6036"/>
    <w:rsid w:val="00AE63C5"/>
    <w:rsid w:val="00AE68F0"/>
    <w:rsid w:val="00AE6FCB"/>
    <w:rsid w:val="00AE7221"/>
    <w:rsid w:val="00AE737C"/>
    <w:rsid w:val="00AE7729"/>
    <w:rsid w:val="00AE7F7C"/>
    <w:rsid w:val="00AF0884"/>
    <w:rsid w:val="00AF0CCB"/>
    <w:rsid w:val="00AF29EA"/>
    <w:rsid w:val="00AF2BAC"/>
    <w:rsid w:val="00AF2F22"/>
    <w:rsid w:val="00AF2FB5"/>
    <w:rsid w:val="00AF3164"/>
    <w:rsid w:val="00AF32EF"/>
    <w:rsid w:val="00AF335E"/>
    <w:rsid w:val="00AF51B0"/>
    <w:rsid w:val="00AF522D"/>
    <w:rsid w:val="00AF52C6"/>
    <w:rsid w:val="00AF54FA"/>
    <w:rsid w:val="00AF5CFA"/>
    <w:rsid w:val="00AF5E90"/>
    <w:rsid w:val="00AF6699"/>
    <w:rsid w:val="00AF794A"/>
    <w:rsid w:val="00AF7B53"/>
    <w:rsid w:val="00AF7E33"/>
    <w:rsid w:val="00B004A8"/>
    <w:rsid w:val="00B00711"/>
    <w:rsid w:val="00B00C87"/>
    <w:rsid w:val="00B0102C"/>
    <w:rsid w:val="00B0140F"/>
    <w:rsid w:val="00B0156E"/>
    <w:rsid w:val="00B01A7C"/>
    <w:rsid w:val="00B02646"/>
    <w:rsid w:val="00B02B22"/>
    <w:rsid w:val="00B02F73"/>
    <w:rsid w:val="00B032B9"/>
    <w:rsid w:val="00B032E1"/>
    <w:rsid w:val="00B03C37"/>
    <w:rsid w:val="00B03E58"/>
    <w:rsid w:val="00B03EE4"/>
    <w:rsid w:val="00B03F62"/>
    <w:rsid w:val="00B0454F"/>
    <w:rsid w:val="00B046FE"/>
    <w:rsid w:val="00B04940"/>
    <w:rsid w:val="00B04B7D"/>
    <w:rsid w:val="00B05279"/>
    <w:rsid w:val="00B0541A"/>
    <w:rsid w:val="00B05E17"/>
    <w:rsid w:val="00B06847"/>
    <w:rsid w:val="00B06AE7"/>
    <w:rsid w:val="00B06E3E"/>
    <w:rsid w:val="00B06EBF"/>
    <w:rsid w:val="00B070BC"/>
    <w:rsid w:val="00B0729B"/>
    <w:rsid w:val="00B07642"/>
    <w:rsid w:val="00B07A16"/>
    <w:rsid w:val="00B07B82"/>
    <w:rsid w:val="00B1035C"/>
    <w:rsid w:val="00B10517"/>
    <w:rsid w:val="00B10F47"/>
    <w:rsid w:val="00B1246C"/>
    <w:rsid w:val="00B12768"/>
    <w:rsid w:val="00B12800"/>
    <w:rsid w:val="00B13512"/>
    <w:rsid w:val="00B137CB"/>
    <w:rsid w:val="00B13A9B"/>
    <w:rsid w:val="00B1460E"/>
    <w:rsid w:val="00B14685"/>
    <w:rsid w:val="00B14AE6"/>
    <w:rsid w:val="00B14E68"/>
    <w:rsid w:val="00B14F8A"/>
    <w:rsid w:val="00B15045"/>
    <w:rsid w:val="00B154FE"/>
    <w:rsid w:val="00B15694"/>
    <w:rsid w:val="00B15D8E"/>
    <w:rsid w:val="00B16E78"/>
    <w:rsid w:val="00B16EAF"/>
    <w:rsid w:val="00B16FDC"/>
    <w:rsid w:val="00B17202"/>
    <w:rsid w:val="00B175AD"/>
    <w:rsid w:val="00B1791C"/>
    <w:rsid w:val="00B201CF"/>
    <w:rsid w:val="00B201FE"/>
    <w:rsid w:val="00B204EC"/>
    <w:rsid w:val="00B20A16"/>
    <w:rsid w:val="00B21061"/>
    <w:rsid w:val="00B2143F"/>
    <w:rsid w:val="00B21A63"/>
    <w:rsid w:val="00B21C45"/>
    <w:rsid w:val="00B227E3"/>
    <w:rsid w:val="00B230EE"/>
    <w:rsid w:val="00B233BF"/>
    <w:rsid w:val="00B23822"/>
    <w:rsid w:val="00B24E3C"/>
    <w:rsid w:val="00B25433"/>
    <w:rsid w:val="00B256AF"/>
    <w:rsid w:val="00B25841"/>
    <w:rsid w:val="00B26295"/>
    <w:rsid w:val="00B2657A"/>
    <w:rsid w:val="00B26CA1"/>
    <w:rsid w:val="00B270F5"/>
    <w:rsid w:val="00B313CF"/>
    <w:rsid w:val="00B313D2"/>
    <w:rsid w:val="00B314FD"/>
    <w:rsid w:val="00B31839"/>
    <w:rsid w:val="00B32406"/>
    <w:rsid w:val="00B324D6"/>
    <w:rsid w:val="00B33400"/>
    <w:rsid w:val="00B33601"/>
    <w:rsid w:val="00B340BC"/>
    <w:rsid w:val="00B34886"/>
    <w:rsid w:val="00B34C5D"/>
    <w:rsid w:val="00B3535A"/>
    <w:rsid w:val="00B35784"/>
    <w:rsid w:val="00B35818"/>
    <w:rsid w:val="00B35C00"/>
    <w:rsid w:val="00B364E2"/>
    <w:rsid w:val="00B36AD6"/>
    <w:rsid w:val="00B36BE8"/>
    <w:rsid w:val="00B36FDE"/>
    <w:rsid w:val="00B371D7"/>
    <w:rsid w:val="00B376D9"/>
    <w:rsid w:val="00B37D72"/>
    <w:rsid w:val="00B4045B"/>
    <w:rsid w:val="00B40C77"/>
    <w:rsid w:val="00B411CE"/>
    <w:rsid w:val="00B41E9F"/>
    <w:rsid w:val="00B4317F"/>
    <w:rsid w:val="00B432A8"/>
    <w:rsid w:val="00B439D6"/>
    <w:rsid w:val="00B439E8"/>
    <w:rsid w:val="00B44A60"/>
    <w:rsid w:val="00B44EBB"/>
    <w:rsid w:val="00B4589F"/>
    <w:rsid w:val="00B45939"/>
    <w:rsid w:val="00B4605A"/>
    <w:rsid w:val="00B460AA"/>
    <w:rsid w:val="00B4639D"/>
    <w:rsid w:val="00B469F1"/>
    <w:rsid w:val="00B47072"/>
    <w:rsid w:val="00B47303"/>
    <w:rsid w:val="00B47AE3"/>
    <w:rsid w:val="00B47BA1"/>
    <w:rsid w:val="00B47DA6"/>
    <w:rsid w:val="00B501EA"/>
    <w:rsid w:val="00B505D1"/>
    <w:rsid w:val="00B5067F"/>
    <w:rsid w:val="00B516BE"/>
    <w:rsid w:val="00B518FD"/>
    <w:rsid w:val="00B5256F"/>
    <w:rsid w:val="00B527ED"/>
    <w:rsid w:val="00B52BDC"/>
    <w:rsid w:val="00B541D2"/>
    <w:rsid w:val="00B5481D"/>
    <w:rsid w:val="00B549A9"/>
    <w:rsid w:val="00B55024"/>
    <w:rsid w:val="00B55BA7"/>
    <w:rsid w:val="00B56535"/>
    <w:rsid w:val="00B56987"/>
    <w:rsid w:val="00B569AC"/>
    <w:rsid w:val="00B56B27"/>
    <w:rsid w:val="00B5705D"/>
    <w:rsid w:val="00B57405"/>
    <w:rsid w:val="00B5754A"/>
    <w:rsid w:val="00B576A3"/>
    <w:rsid w:val="00B57B65"/>
    <w:rsid w:val="00B60139"/>
    <w:rsid w:val="00B6067E"/>
    <w:rsid w:val="00B60B91"/>
    <w:rsid w:val="00B60D87"/>
    <w:rsid w:val="00B617E0"/>
    <w:rsid w:val="00B61811"/>
    <w:rsid w:val="00B6192E"/>
    <w:rsid w:val="00B61BD9"/>
    <w:rsid w:val="00B61C7A"/>
    <w:rsid w:val="00B61CA7"/>
    <w:rsid w:val="00B61EFD"/>
    <w:rsid w:val="00B62A16"/>
    <w:rsid w:val="00B62C70"/>
    <w:rsid w:val="00B62D28"/>
    <w:rsid w:val="00B635D7"/>
    <w:rsid w:val="00B637D9"/>
    <w:rsid w:val="00B63D67"/>
    <w:rsid w:val="00B63DB7"/>
    <w:rsid w:val="00B64017"/>
    <w:rsid w:val="00B64450"/>
    <w:rsid w:val="00B64536"/>
    <w:rsid w:val="00B66632"/>
    <w:rsid w:val="00B66BC2"/>
    <w:rsid w:val="00B66FC8"/>
    <w:rsid w:val="00B67003"/>
    <w:rsid w:val="00B673E8"/>
    <w:rsid w:val="00B677F1"/>
    <w:rsid w:val="00B67BE1"/>
    <w:rsid w:val="00B7038D"/>
    <w:rsid w:val="00B70918"/>
    <w:rsid w:val="00B70DA9"/>
    <w:rsid w:val="00B70FAB"/>
    <w:rsid w:val="00B712C7"/>
    <w:rsid w:val="00B71372"/>
    <w:rsid w:val="00B71F37"/>
    <w:rsid w:val="00B72676"/>
    <w:rsid w:val="00B7300F"/>
    <w:rsid w:val="00B7385A"/>
    <w:rsid w:val="00B73874"/>
    <w:rsid w:val="00B745F8"/>
    <w:rsid w:val="00B748CF"/>
    <w:rsid w:val="00B748F3"/>
    <w:rsid w:val="00B749CD"/>
    <w:rsid w:val="00B7552F"/>
    <w:rsid w:val="00B75A72"/>
    <w:rsid w:val="00B75C9B"/>
    <w:rsid w:val="00B75F93"/>
    <w:rsid w:val="00B76355"/>
    <w:rsid w:val="00B76573"/>
    <w:rsid w:val="00B765F9"/>
    <w:rsid w:val="00B766B2"/>
    <w:rsid w:val="00B766B8"/>
    <w:rsid w:val="00B7683D"/>
    <w:rsid w:val="00B770FB"/>
    <w:rsid w:val="00B772AB"/>
    <w:rsid w:val="00B7763C"/>
    <w:rsid w:val="00B7775F"/>
    <w:rsid w:val="00B77C87"/>
    <w:rsid w:val="00B8063A"/>
    <w:rsid w:val="00B80FFA"/>
    <w:rsid w:val="00B813B3"/>
    <w:rsid w:val="00B816F8"/>
    <w:rsid w:val="00B82F8B"/>
    <w:rsid w:val="00B835AD"/>
    <w:rsid w:val="00B83868"/>
    <w:rsid w:val="00B83C5A"/>
    <w:rsid w:val="00B83F75"/>
    <w:rsid w:val="00B847AC"/>
    <w:rsid w:val="00B847E2"/>
    <w:rsid w:val="00B84B2C"/>
    <w:rsid w:val="00B85A3D"/>
    <w:rsid w:val="00B86AA9"/>
    <w:rsid w:val="00B87045"/>
    <w:rsid w:val="00B871BA"/>
    <w:rsid w:val="00B877E3"/>
    <w:rsid w:val="00B90654"/>
    <w:rsid w:val="00B906C2"/>
    <w:rsid w:val="00B909C0"/>
    <w:rsid w:val="00B91018"/>
    <w:rsid w:val="00B91260"/>
    <w:rsid w:val="00B91620"/>
    <w:rsid w:val="00B91A99"/>
    <w:rsid w:val="00B9235B"/>
    <w:rsid w:val="00B93232"/>
    <w:rsid w:val="00B937EA"/>
    <w:rsid w:val="00B944B2"/>
    <w:rsid w:val="00B94F7C"/>
    <w:rsid w:val="00B9514D"/>
    <w:rsid w:val="00B954DF"/>
    <w:rsid w:val="00B95953"/>
    <w:rsid w:val="00B95D85"/>
    <w:rsid w:val="00B95E94"/>
    <w:rsid w:val="00B96163"/>
    <w:rsid w:val="00B96657"/>
    <w:rsid w:val="00B966E0"/>
    <w:rsid w:val="00BA016C"/>
    <w:rsid w:val="00BA0329"/>
    <w:rsid w:val="00BA215A"/>
    <w:rsid w:val="00BA3820"/>
    <w:rsid w:val="00BA4769"/>
    <w:rsid w:val="00BA4A54"/>
    <w:rsid w:val="00BA5497"/>
    <w:rsid w:val="00BA5830"/>
    <w:rsid w:val="00BB0466"/>
    <w:rsid w:val="00BB1358"/>
    <w:rsid w:val="00BB1724"/>
    <w:rsid w:val="00BB1D98"/>
    <w:rsid w:val="00BB1FBC"/>
    <w:rsid w:val="00BB1FD0"/>
    <w:rsid w:val="00BB24BF"/>
    <w:rsid w:val="00BB26C0"/>
    <w:rsid w:val="00BB3038"/>
    <w:rsid w:val="00BB322F"/>
    <w:rsid w:val="00BB35D7"/>
    <w:rsid w:val="00BB35E9"/>
    <w:rsid w:val="00BB3ECB"/>
    <w:rsid w:val="00BB4FFC"/>
    <w:rsid w:val="00BB5CFC"/>
    <w:rsid w:val="00BB5E77"/>
    <w:rsid w:val="00BB661A"/>
    <w:rsid w:val="00BB6C85"/>
    <w:rsid w:val="00BB6F1B"/>
    <w:rsid w:val="00BB70E6"/>
    <w:rsid w:val="00BB729D"/>
    <w:rsid w:val="00BB7747"/>
    <w:rsid w:val="00BB7A5C"/>
    <w:rsid w:val="00BB7EEE"/>
    <w:rsid w:val="00BB7FA7"/>
    <w:rsid w:val="00BC01BB"/>
    <w:rsid w:val="00BC054D"/>
    <w:rsid w:val="00BC1702"/>
    <w:rsid w:val="00BC17A6"/>
    <w:rsid w:val="00BC19CE"/>
    <w:rsid w:val="00BC1DA6"/>
    <w:rsid w:val="00BC22AA"/>
    <w:rsid w:val="00BC2FB0"/>
    <w:rsid w:val="00BC35F5"/>
    <w:rsid w:val="00BC3E8E"/>
    <w:rsid w:val="00BC40D0"/>
    <w:rsid w:val="00BC4155"/>
    <w:rsid w:val="00BC4E24"/>
    <w:rsid w:val="00BC571F"/>
    <w:rsid w:val="00BC5FB4"/>
    <w:rsid w:val="00BC6225"/>
    <w:rsid w:val="00BC703E"/>
    <w:rsid w:val="00BC79F0"/>
    <w:rsid w:val="00BD042F"/>
    <w:rsid w:val="00BD07E9"/>
    <w:rsid w:val="00BD0BF4"/>
    <w:rsid w:val="00BD0CDF"/>
    <w:rsid w:val="00BD0FBB"/>
    <w:rsid w:val="00BD1101"/>
    <w:rsid w:val="00BD151C"/>
    <w:rsid w:val="00BD1F5E"/>
    <w:rsid w:val="00BD2556"/>
    <w:rsid w:val="00BD31C9"/>
    <w:rsid w:val="00BD380F"/>
    <w:rsid w:val="00BD389B"/>
    <w:rsid w:val="00BD4008"/>
    <w:rsid w:val="00BD500B"/>
    <w:rsid w:val="00BD551A"/>
    <w:rsid w:val="00BD5BFA"/>
    <w:rsid w:val="00BD5D6B"/>
    <w:rsid w:val="00BD6112"/>
    <w:rsid w:val="00BD6ACB"/>
    <w:rsid w:val="00BD6BE9"/>
    <w:rsid w:val="00BD710A"/>
    <w:rsid w:val="00BD7C2E"/>
    <w:rsid w:val="00BE07E7"/>
    <w:rsid w:val="00BE1354"/>
    <w:rsid w:val="00BE1644"/>
    <w:rsid w:val="00BE1CEE"/>
    <w:rsid w:val="00BE21B3"/>
    <w:rsid w:val="00BE277A"/>
    <w:rsid w:val="00BE3B56"/>
    <w:rsid w:val="00BE3CAA"/>
    <w:rsid w:val="00BE3F29"/>
    <w:rsid w:val="00BE4608"/>
    <w:rsid w:val="00BE48EB"/>
    <w:rsid w:val="00BE4A2D"/>
    <w:rsid w:val="00BE4BC9"/>
    <w:rsid w:val="00BE5507"/>
    <w:rsid w:val="00BE5F82"/>
    <w:rsid w:val="00BE63CB"/>
    <w:rsid w:val="00BE6642"/>
    <w:rsid w:val="00BE66E1"/>
    <w:rsid w:val="00BE6FE6"/>
    <w:rsid w:val="00BE702B"/>
    <w:rsid w:val="00BE7510"/>
    <w:rsid w:val="00BE7813"/>
    <w:rsid w:val="00BE7A9E"/>
    <w:rsid w:val="00BF00DE"/>
    <w:rsid w:val="00BF0172"/>
    <w:rsid w:val="00BF09EE"/>
    <w:rsid w:val="00BF0B8A"/>
    <w:rsid w:val="00BF0C60"/>
    <w:rsid w:val="00BF0E6A"/>
    <w:rsid w:val="00BF1152"/>
    <w:rsid w:val="00BF13B9"/>
    <w:rsid w:val="00BF1626"/>
    <w:rsid w:val="00BF177D"/>
    <w:rsid w:val="00BF1F66"/>
    <w:rsid w:val="00BF23F4"/>
    <w:rsid w:val="00BF26C4"/>
    <w:rsid w:val="00BF273A"/>
    <w:rsid w:val="00BF2981"/>
    <w:rsid w:val="00BF2F7D"/>
    <w:rsid w:val="00BF3314"/>
    <w:rsid w:val="00BF3C07"/>
    <w:rsid w:val="00BF3D79"/>
    <w:rsid w:val="00BF4287"/>
    <w:rsid w:val="00BF43E7"/>
    <w:rsid w:val="00BF4AC7"/>
    <w:rsid w:val="00BF4F6E"/>
    <w:rsid w:val="00BF5465"/>
    <w:rsid w:val="00BF575E"/>
    <w:rsid w:val="00BF5CCD"/>
    <w:rsid w:val="00BF642E"/>
    <w:rsid w:val="00BF646F"/>
    <w:rsid w:val="00BF70C2"/>
    <w:rsid w:val="00BF7962"/>
    <w:rsid w:val="00C0058A"/>
    <w:rsid w:val="00C02445"/>
    <w:rsid w:val="00C0417F"/>
    <w:rsid w:val="00C0428F"/>
    <w:rsid w:val="00C0466A"/>
    <w:rsid w:val="00C04694"/>
    <w:rsid w:val="00C04AEF"/>
    <w:rsid w:val="00C04D9B"/>
    <w:rsid w:val="00C04E49"/>
    <w:rsid w:val="00C056B7"/>
    <w:rsid w:val="00C0584D"/>
    <w:rsid w:val="00C05AF3"/>
    <w:rsid w:val="00C05FFE"/>
    <w:rsid w:val="00C070DA"/>
    <w:rsid w:val="00C073FF"/>
    <w:rsid w:val="00C07435"/>
    <w:rsid w:val="00C077E0"/>
    <w:rsid w:val="00C078BC"/>
    <w:rsid w:val="00C1002B"/>
    <w:rsid w:val="00C10342"/>
    <w:rsid w:val="00C108D7"/>
    <w:rsid w:val="00C11093"/>
    <w:rsid w:val="00C11206"/>
    <w:rsid w:val="00C11343"/>
    <w:rsid w:val="00C114C0"/>
    <w:rsid w:val="00C11974"/>
    <w:rsid w:val="00C11ADD"/>
    <w:rsid w:val="00C11D94"/>
    <w:rsid w:val="00C12295"/>
    <w:rsid w:val="00C12461"/>
    <w:rsid w:val="00C126BE"/>
    <w:rsid w:val="00C127A7"/>
    <w:rsid w:val="00C12B32"/>
    <w:rsid w:val="00C12BB5"/>
    <w:rsid w:val="00C12BCA"/>
    <w:rsid w:val="00C1359C"/>
    <w:rsid w:val="00C137F1"/>
    <w:rsid w:val="00C144F2"/>
    <w:rsid w:val="00C14594"/>
    <w:rsid w:val="00C14B91"/>
    <w:rsid w:val="00C14C5B"/>
    <w:rsid w:val="00C14E07"/>
    <w:rsid w:val="00C14E0A"/>
    <w:rsid w:val="00C14FF7"/>
    <w:rsid w:val="00C151C6"/>
    <w:rsid w:val="00C158EF"/>
    <w:rsid w:val="00C1599C"/>
    <w:rsid w:val="00C15A13"/>
    <w:rsid w:val="00C15DB6"/>
    <w:rsid w:val="00C16297"/>
    <w:rsid w:val="00C16703"/>
    <w:rsid w:val="00C16A18"/>
    <w:rsid w:val="00C16F7C"/>
    <w:rsid w:val="00C1722F"/>
    <w:rsid w:val="00C1747D"/>
    <w:rsid w:val="00C17D48"/>
    <w:rsid w:val="00C17E85"/>
    <w:rsid w:val="00C202AC"/>
    <w:rsid w:val="00C20947"/>
    <w:rsid w:val="00C20B7C"/>
    <w:rsid w:val="00C20D3C"/>
    <w:rsid w:val="00C20E12"/>
    <w:rsid w:val="00C212E6"/>
    <w:rsid w:val="00C2136A"/>
    <w:rsid w:val="00C2217D"/>
    <w:rsid w:val="00C226B9"/>
    <w:rsid w:val="00C238A3"/>
    <w:rsid w:val="00C23A1C"/>
    <w:rsid w:val="00C24807"/>
    <w:rsid w:val="00C2487D"/>
    <w:rsid w:val="00C24A3E"/>
    <w:rsid w:val="00C25C28"/>
    <w:rsid w:val="00C26071"/>
    <w:rsid w:val="00C269C5"/>
    <w:rsid w:val="00C26FE0"/>
    <w:rsid w:val="00C27854"/>
    <w:rsid w:val="00C27DBB"/>
    <w:rsid w:val="00C27EE3"/>
    <w:rsid w:val="00C309A3"/>
    <w:rsid w:val="00C30A82"/>
    <w:rsid w:val="00C30B41"/>
    <w:rsid w:val="00C31514"/>
    <w:rsid w:val="00C31535"/>
    <w:rsid w:val="00C31AC6"/>
    <w:rsid w:val="00C32001"/>
    <w:rsid w:val="00C32079"/>
    <w:rsid w:val="00C3212A"/>
    <w:rsid w:val="00C32D08"/>
    <w:rsid w:val="00C33091"/>
    <w:rsid w:val="00C33357"/>
    <w:rsid w:val="00C333F8"/>
    <w:rsid w:val="00C34D4C"/>
    <w:rsid w:val="00C3517C"/>
    <w:rsid w:val="00C35634"/>
    <w:rsid w:val="00C35C27"/>
    <w:rsid w:val="00C36564"/>
    <w:rsid w:val="00C367BA"/>
    <w:rsid w:val="00C36931"/>
    <w:rsid w:val="00C36978"/>
    <w:rsid w:val="00C36A86"/>
    <w:rsid w:val="00C36F1D"/>
    <w:rsid w:val="00C36F6B"/>
    <w:rsid w:val="00C37016"/>
    <w:rsid w:val="00C37A8B"/>
    <w:rsid w:val="00C401E7"/>
    <w:rsid w:val="00C40511"/>
    <w:rsid w:val="00C4066C"/>
    <w:rsid w:val="00C4085A"/>
    <w:rsid w:val="00C41E18"/>
    <w:rsid w:val="00C42098"/>
    <w:rsid w:val="00C42831"/>
    <w:rsid w:val="00C42EDE"/>
    <w:rsid w:val="00C43228"/>
    <w:rsid w:val="00C43780"/>
    <w:rsid w:val="00C43847"/>
    <w:rsid w:val="00C4388F"/>
    <w:rsid w:val="00C438E3"/>
    <w:rsid w:val="00C43A1E"/>
    <w:rsid w:val="00C44C18"/>
    <w:rsid w:val="00C44EA0"/>
    <w:rsid w:val="00C451C0"/>
    <w:rsid w:val="00C456CC"/>
    <w:rsid w:val="00C45915"/>
    <w:rsid w:val="00C4597C"/>
    <w:rsid w:val="00C45C31"/>
    <w:rsid w:val="00C46295"/>
    <w:rsid w:val="00C4684B"/>
    <w:rsid w:val="00C46892"/>
    <w:rsid w:val="00C46A11"/>
    <w:rsid w:val="00C46E6B"/>
    <w:rsid w:val="00C4761D"/>
    <w:rsid w:val="00C47875"/>
    <w:rsid w:val="00C47C92"/>
    <w:rsid w:val="00C47F2B"/>
    <w:rsid w:val="00C5019A"/>
    <w:rsid w:val="00C50461"/>
    <w:rsid w:val="00C50A3C"/>
    <w:rsid w:val="00C51071"/>
    <w:rsid w:val="00C514E4"/>
    <w:rsid w:val="00C5187E"/>
    <w:rsid w:val="00C51947"/>
    <w:rsid w:val="00C51B3E"/>
    <w:rsid w:val="00C51D04"/>
    <w:rsid w:val="00C528C7"/>
    <w:rsid w:val="00C5299C"/>
    <w:rsid w:val="00C52F70"/>
    <w:rsid w:val="00C5328F"/>
    <w:rsid w:val="00C533BA"/>
    <w:rsid w:val="00C537C7"/>
    <w:rsid w:val="00C537E3"/>
    <w:rsid w:val="00C54197"/>
    <w:rsid w:val="00C545D9"/>
    <w:rsid w:val="00C55280"/>
    <w:rsid w:val="00C55422"/>
    <w:rsid w:val="00C5586A"/>
    <w:rsid w:val="00C55B7D"/>
    <w:rsid w:val="00C57461"/>
    <w:rsid w:val="00C57548"/>
    <w:rsid w:val="00C575D7"/>
    <w:rsid w:val="00C5760D"/>
    <w:rsid w:val="00C60310"/>
    <w:rsid w:val="00C60759"/>
    <w:rsid w:val="00C60820"/>
    <w:rsid w:val="00C60839"/>
    <w:rsid w:val="00C6159A"/>
    <w:rsid w:val="00C61860"/>
    <w:rsid w:val="00C61B6D"/>
    <w:rsid w:val="00C61BED"/>
    <w:rsid w:val="00C62161"/>
    <w:rsid w:val="00C62737"/>
    <w:rsid w:val="00C62C8B"/>
    <w:rsid w:val="00C62E29"/>
    <w:rsid w:val="00C63235"/>
    <w:rsid w:val="00C63E9C"/>
    <w:rsid w:val="00C63FAE"/>
    <w:rsid w:val="00C64413"/>
    <w:rsid w:val="00C65649"/>
    <w:rsid w:val="00C65AFC"/>
    <w:rsid w:val="00C6606D"/>
    <w:rsid w:val="00C67C79"/>
    <w:rsid w:val="00C7037F"/>
    <w:rsid w:val="00C70606"/>
    <w:rsid w:val="00C70C4A"/>
    <w:rsid w:val="00C7178A"/>
    <w:rsid w:val="00C7274E"/>
    <w:rsid w:val="00C72C34"/>
    <w:rsid w:val="00C72C83"/>
    <w:rsid w:val="00C72E40"/>
    <w:rsid w:val="00C73042"/>
    <w:rsid w:val="00C73157"/>
    <w:rsid w:val="00C740DF"/>
    <w:rsid w:val="00C742D6"/>
    <w:rsid w:val="00C7460F"/>
    <w:rsid w:val="00C750AB"/>
    <w:rsid w:val="00C752D8"/>
    <w:rsid w:val="00C7540A"/>
    <w:rsid w:val="00C75448"/>
    <w:rsid w:val="00C758FE"/>
    <w:rsid w:val="00C76237"/>
    <w:rsid w:val="00C76904"/>
    <w:rsid w:val="00C76B27"/>
    <w:rsid w:val="00C76B75"/>
    <w:rsid w:val="00C77C00"/>
    <w:rsid w:val="00C80C50"/>
    <w:rsid w:val="00C82343"/>
    <w:rsid w:val="00C82F10"/>
    <w:rsid w:val="00C832A9"/>
    <w:rsid w:val="00C83337"/>
    <w:rsid w:val="00C83F22"/>
    <w:rsid w:val="00C84CAB"/>
    <w:rsid w:val="00C8519F"/>
    <w:rsid w:val="00C858BB"/>
    <w:rsid w:val="00C86092"/>
    <w:rsid w:val="00C8630F"/>
    <w:rsid w:val="00C86416"/>
    <w:rsid w:val="00C86C2B"/>
    <w:rsid w:val="00C878F8"/>
    <w:rsid w:val="00C87C98"/>
    <w:rsid w:val="00C905A0"/>
    <w:rsid w:val="00C913DB"/>
    <w:rsid w:val="00C918EB"/>
    <w:rsid w:val="00C92E70"/>
    <w:rsid w:val="00C9388B"/>
    <w:rsid w:val="00C947A2"/>
    <w:rsid w:val="00C9494C"/>
    <w:rsid w:val="00C94CC7"/>
    <w:rsid w:val="00C94EF3"/>
    <w:rsid w:val="00C951D9"/>
    <w:rsid w:val="00C958DE"/>
    <w:rsid w:val="00C95B48"/>
    <w:rsid w:val="00C960C9"/>
    <w:rsid w:val="00C9617E"/>
    <w:rsid w:val="00C965CC"/>
    <w:rsid w:val="00C96915"/>
    <w:rsid w:val="00C9704E"/>
    <w:rsid w:val="00C97CD8"/>
    <w:rsid w:val="00C97FCA"/>
    <w:rsid w:val="00CA0197"/>
    <w:rsid w:val="00CA06CC"/>
    <w:rsid w:val="00CA074C"/>
    <w:rsid w:val="00CA16E7"/>
    <w:rsid w:val="00CA1FF0"/>
    <w:rsid w:val="00CA2873"/>
    <w:rsid w:val="00CA2D2B"/>
    <w:rsid w:val="00CA31E5"/>
    <w:rsid w:val="00CA3409"/>
    <w:rsid w:val="00CA35AA"/>
    <w:rsid w:val="00CA3905"/>
    <w:rsid w:val="00CA3A77"/>
    <w:rsid w:val="00CA4105"/>
    <w:rsid w:val="00CA464D"/>
    <w:rsid w:val="00CA47D4"/>
    <w:rsid w:val="00CA4E24"/>
    <w:rsid w:val="00CA4EA6"/>
    <w:rsid w:val="00CA511D"/>
    <w:rsid w:val="00CA5271"/>
    <w:rsid w:val="00CA5FE5"/>
    <w:rsid w:val="00CA7025"/>
    <w:rsid w:val="00CA73DC"/>
    <w:rsid w:val="00CA75DE"/>
    <w:rsid w:val="00CA79CA"/>
    <w:rsid w:val="00CA7AD6"/>
    <w:rsid w:val="00CA7F67"/>
    <w:rsid w:val="00CB0A5A"/>
    <w:rsid w:val="00CB0B78"/>
    <w:rsid w:val="00CB0F22"/>
    <w:rsid w:val="00CB1518"/>
    <w:rsid w:val="00CB1F80"/>
    <w:rsid w:val="00CB2B78"/>
    <w:rsid w:val="00CB2C2F"/>
    <w:rsid w:val="00CB2C8D"/>
    <w:rsid w:val="00CB33F7"/>
    <w:rsid w:val="00CB3CDD"/>
    <w:rsid w:val="00CB46D6"/>
    <w:rsid w:val="00CB4AB9"/>
    <w:rsid w:val="00CB535C"/>
    <w:rsid w:val="00CB544C"/>
    <w:rsid w:val="00CB583F"/>
    <w:rsid w:val="00CB66BA"/>
    <w:rsid w:val="00CB68D4"/>
    <w:rsid w:val="00CB6921"/>
    <w:rsid w:val="00CB6A13"/>
    <w:rsid w:val="00CB6B84"/>
    <w:rsid w:val="00CB6F71"/>
    <w:rsid w:val="00CB776E"/>
    <w:rsid w:val="00CC02A2"/>
    <w:rsid w:val="00CC02C4"/>
    <w:rsid w:val="00CC049E"/>
    <w:rsid w:val="00CC090F"/>
    <w:rsid w:val="00CC0B13"/>
    <w:rsid w:val="00CC0B85"/>
    <w:rsid w:val="00CC12C0"/>
    <w:rsid w:val="00CC16E3"/>
    <w:rsid w:val="00CC172E"/>
    <w:rsid w:val="00CC216D"/>
    <w:rsid w:val="00CC2489"/>
    <w:rsid w:val="00CC2C09"/>
    <w:rsid w:val="00CC2EA3"/>
    <w:rsid w:val="00CC3688"/>
    <w:rsid w:val="00CC3902"/>
    <w:rsid w:val="00CC3C48"/>
    <w:rsid w:val="00CC3F3A"/>
    <w:rsid w:val="00CC3FFA"/>
    <w:rsid w:val="00CC478F"/>
    <w:rsid w:val="00CC5593"/>
    <w:rsid w:val="00CC5C7B"/>
    <w:rsid w:val="00CC5D3A"/>
    <w:rsid w:val="00CC6759"/>
    <w:rsid w:val="00CC6781"/>
    <w:rsid w:val="00CC6D46"/>
    <w:rsid w:val="00CC6F75"/>
    <w:rsid w:val="00CC7F78"/>
    <w:rsid w:val="00CC7F7F"/>
    <w:rsid w:val="00CD070A"/>
    <w:rsid w:val="00CD0BBB"/>
    <w:rsid w:val="00CD13B8"/>
    <w:rsid w:val="00CD19C4"/>
    <w:rsid w:val="00CD1FDA"/>
    <w:rsid w:val="00CD2572"/>
    <w:rsid w:val="00CD270C"/>
    <w:rsid w:val="00CD27A7"/>
    <w:rsid w:val="00CD287D"/>
    <w:rsid w:val="00CD30D8"/>
    <w:rsid w:val="00CD3129"/>
    <w:rsid w:val="00CD327E"/>
    <w:rsid w:val="00CD35DD"/>
    <w:rsid w:val="00CD3776"/>
    <w:rsid w:val="00CD3D07"/>
    <w:rsid w:val="00CD3DD5"/>
    <w:rsid w:val="00CD4236"/>
    <w:rsid w:val="00CD46C4"/>
    <w:rsid w:val="00CD47E9"/>
    <w:rsid w:val="00CD4B56"/>
    <w:rsid w:val="00CD4BF6"/>
    <w:rsid w:val="00CD53D1"/>
    <w:rsid w:val="00CD553E"/>
    <w:rsid w:val="00CD5B79"/>
    <w:rsid w:val="00CD5D17"/>
    <w:rsid w:val="00CD5F1E"/>
    <w:rsid w:val="00CD65B4"/>
    <w:rsid w:val="00CD666D"/>
    <w:rsid w:val="00CD79CE"/>
    <w:rsid w:val="00CD7A6B"/>
    <w:rsid w:val="00CE10B0"/>
    <w:rsid w:val="00CE1166"/>
    <w:rsid w:val="00CE1401"/>
    <w:rsid w:val="00CE151B"/>
    <w:rsid w:val="00CE2FED"/>
    <w:rsid w:val="00CE3DBE"/>
    <w:rsid w:val="00CE4DA0"/>
    <w:rsid w:val="00CE53E7"/>
    <w:rsid w:val="00CE547C"/>
    <w:rsid w:val="00CE5AE4"/>
    <w:rsid w:val="00CE5BE7"/>
    <w:rsid w:val="00CE5F44"/>
    <w:rsid w:val="00CE621C"/>
    <w:rsid w:val="00CE63E0"/>
    <w:rsid w:val="00CE6762"/>
    <w:rsid w:val="00CE696A"/>
    <w:rsid w:val="00CE794E"/>
    <w:rsid w:val="00CE7B94"/>
    <w:rsid w:val="00CE7EF0"/>
    <w:rsid w:val="00CF049C"/>
    <w:rsid w:val="00CF0CB1"/>
    <w:rsid w:val="00CF107D"/>
    <w:rsid w:val="00CF1D64"/>
    <w:rsid w:val="00CF212F"/>
    <w:rsid w:val="00CF219F"/>
    <w:rsid w:val="00CF2BA4"/>
    <w:rsid w:val="00CF2C88"/>
    <w:rsid w:val="00CF2D78"/>
    <w:rsid w:val="00CF30D4"/>
    <w:rsid w:val="00CF39FE"/>
    <w:rsid w:val="00CF3C55"/>
    <w:rsid w:val="00CF44A0"/>
    <w:rsid w:val="00CF4512"/>
    <w:rsid w:val="00CF4519"/>
    <w:rsid w:val="00CF4D9E"/>
    <w:rsid w:val="00CF5815"/>
    <w:rsid w:val="00CF62A0"/>
    <w:rsid w:val="00CF65B9"/>
    <w:rsid w:val="00CF6AD9"/>
    <w:rsid w:val="00CF771F"/>
    <w:rsid w:val="00CF7839"/>
    <w:rsid w:val="00CF7A69"/>
    <w:rsid w:val="00CF7BA5"/>
    <w:rsid w:val="00CF7E0B"/>
    <w:rsid w:val="00CF7FA5"/>
    <w:rsid w:val="00D0025E"/>
    <w:rsid w:val="00D00707"/>
    <w:rsid w:val="00D0082B"/>
    <w:rsid w:val="00D00ED8"/>
    <w:rsid w:val="00D01D81"/>
    <w:rsid w:val="00D01DCE"/>
    <w:rsid w:val="00D021D4"/>
    <w:rsid w:val="00D023CB"/>
    <w:rsid w:val="00D023ED"/>
    <w:rsid w:val="00D02540"/>
    <w:rsid w:val="00D02910"/>
    <w:rsid w:val="00D02A00"/>
    <w:rsid w:val="00D02ED7"/>
    <w:rsid w:val="00D03047"/>
    <w:rsid w:val="00D030DE"/>
    <w:rsid w:val="00D03923"/>
    <w:rsid w:val="00D03AB5"/>
    <w:rsid w:val="00D04360"/>
    <w:rsid w:val="00D04C34"/>
    <w:rsid w:val="00D04CDB"/>
    <w:rsid w:val="00D0557F"/>
    <w:rsid w:val="00D0678C"/>
    <w:rsid w:val="00D067C6"/>
    <w:rsid w:val="00D06F96"/>
    <w:rsid w:val="00D07331"/>
    <w:rsid w:val="00D07365"/>
    <w:rsid w:val="00D07973"/>
    <w:rsid w:val="00D07B5B"/>
    <w:rsid w:val="00D07CE2"/>
    <w:rsid w:val="00D07EEB"/>
    <w:rsid w:val="00D07F55"/>
    <w:rsid w:val="00D07FD3"/>
    <w:rsid w:val="00D1035E"/>
    <w:rsid w:val="00D10360"/>
    <w:rsid w:val="00D10707"/>
    <w:rsid w:val="00D11A92"/>
    <w:rsid w:val="00D11E9A"/>
    <w:rsid w:val="00D120A2"/>
    <w:rsid w:val="00D1273C"/>
    <w:rsid w:val="00D12EF9"/>
    <w:rsid w:val="00D13580"/>
    <w:rsid w:val="00D139D0"/>
    <w:rsid w:val="00D13F28"/>
    <w:rsid w:val="00D1403C"/>
    <w:rsid w:val="00D14615"/>
    <w:rsid w:val="00D14ACE"/>
    <w:rsid w:val="00D152AF"/>
    <w:rsid w:val="00D1584A"/>
    <w:rsid w:val="00D159C8"/>
    <w:rsid w:val="00D16141"/>
    <w:rsid w:val="00D164D0"/>
    <w:rsid w:val="00D16B67"/>
    <w:rsid w:val="00D16C02"/>
    <w:rsid w:val="00D16E66"/>
    <w:rsid w:val="00D170B2"/>
    <w:rsid w:val="00D172CA"/>
    <w:rsid w:val="00D1752B"/>
    <w:rsid w:val="00D17916"/>
    <w:rsid w:val="00D17AD9"/>
    <w:rsid w:val="00D17C20"/>
    <w:rsid w:val="00D20551"/>
    <w:rsid w:val="00D20668"/>
    <w:rsid w:val="00D20744"/>
    <w:rsid w:val="00D20B52"/>
    <w:rsid w:val="00D20E04"/>
    <w:rsid w:val="00D211F9"/>
    <w:rsid w:val="00D21D00"/>
    <w:rsid w:val="00D221A1"/>
    <w:rsid w:val="00D22329"/>
    <w:rsid w:val="00D22F0E"/>
    <w:rsid w:val="00D236A5"/>
    <w:rsid w:val="00D2376D"/>
    <w:rsid w:val="00D2426D"/>
    <w:rsid w:val="00D243A3"/>
    <w:rsid w:val="00D249F9"/>
    <w:rsid w:val="00D24F05"/>
    <w:rsid w:val="00D25463"/>
    <w:rsid w:val="00D25B4D"/>
    <w:rsid w:val="00D25FDA"/>
    <w:rsid w:val="00D2662F"/>
    <w:rsid w:val="00D2720F"/>
    <w:rsid w:val="00D304CE"/>
    <w:rsid w:val="00D30827"/>
    <w:rsid w:val="00D30CC5"/>
    <w:rsid w:val="00D30D52"/>
    <w:rsid w:val="00D313B9"/>
    <w:rsid w:val="00D3158F"/>
    <w:rsid w:val="00D318AE"/>
    <w:rsid w:val="00D31D41"/>
    <w:rsid w:val="00D32539"/>
    <w:rsid w:val="00D3275A"/>
    <w:rsid w:val="00D3320D"/>
    <w:rsid w:val="00D3338A"/>
    <w:rsid w:val="00D336C3"/>
    <w:rsid w:val="00D336C4"/>
    <w:rsid w:val="00D33CA8"/>
    <w:rsid w:val="00D340F0"/>
    <w:rsid w:val="00D345A0"/>
    <w:rsid w:val="00D345FD"/>
    <w:rsid w:val="00D34A83"/>
    <w:rsid w:val="00D34EE7"/>
    <w:rsid w:val="00D36263"/>
    <w:rsid w:val="00D36671"/>
    <w:rsid w:val="00D370FC"/>
    <w:rsid w:val="00D37925"/>
    <w:rsid w:val="00D37F2E"/>
    <w:rsid w:val="00D40476"/>
    <w:rsid w:val="00D410E7"/>
    <w:rsid w:val="00D41173"/>
    <w:rsid w:val="00D41241"/>
    <w:rsid w:val="00D414F1"/>
    <w:rsid w:val="00D41F0B"/>
    <w:rsid w:val="00D42556"/>
    <w:rsid w:val="00D42729"/>
    <w:rsid w:val="00D42B32"/>
    <w:rsid w:val="00D42BBD"/>
    <w:rsid w:val="00D42CD1"/>
    <w:rsid w:val="00D44090"/>
    <w:rsid w:val="00D45F1B"/>
    <w:rsid w:val="00D45F37"/>
    <w:rsid w:val="00D45FB2"/>
    <w:rsid w:val="00D46543"/>
    <w:rsid w:val="00D465A1"/>
    <w:rsid w:val="00D47007"/>
    <w:rsid w:val="00D4748A"/>
    <w:rsid w:val="00D479FE"/>
    <w:rsid w:val="00D47CE3"/>
    <w:rsid w:val="00D47D1B"/>
    <w:rsid w:val="00D5171F"/>
    <w:rsid w:val="00D5190F"/>
    <w:rsid w:val="00D51949"/>
    <w:rsid w:val="00D51EAE"/>
    <w:rsid w:val="00D52216"/>
    <w:rsid w:val="00D52406"/>
    <w:rsid w:val="00D52978"/>
    <w:rsid w:val="00D52B58"/>
    <w:rsid w:val="00D52C24"/>
    <w:rsid w:val="00D53CA2"/>
    <w:rsid w:val="00D53CBE"/>
    <w:rsid w:val="00D54BD1"/>
    <w:rsid w:val="00D54D2E"/>
    <w:rsid w:val="00D54DB7"/>
    <w:rsid w:val="00D54E24"/>
    <w:rsid w:val="00D55BF2"/>
    <w:rsid w:val="00D55D2F"/>
    <w:rsid w:val="00D55DF8"/>
    <w:rsid w:val="00D563B0"/>
    <w:rsid w:val="00D57119"/>
    <w:rsid w:val="00D57158"/>
    <w:rsid w:val="00D577C0"/>
    <w:rsid w:val="00D60D73"/>
    <w:rsid w:val="00D60E62"/>
    <w:rsid w:val="00D611EE"/>
    <w:rsid w:val="00D612B8"/>
    <w:rsid w:val="00D61A75"/>
    <w:rsid w:val="00D61CA7"/>
    <w:rsid w:val="00D62434"/>
    <w:rsid w:val="00D6262C"/>
    <w:rsid w:val="00D6347A"/>
    <w:rsid w:val="00D639B8"/>
    <w:rsid w:val="00D64091"/>
    <w:rsid w:val="00D642D0"/>
    <w:rsid w:val="00D64B8F"/>
    <w:rsid w:val="00D658FA"/>
    <w:rsid w:val="00D65B09"/>
    <w:rsid w:val="00D65C52"/>
    <w:rsid w:val="00D65D94"/>
    <w:rsid w:val="00D66330"/>
    <w:rsid w:val="00D663F0"/>
    <w:rsid w:val="00D666B5"/>
    <w:rsid w:val="00D66910"/>
    <w:rsid w:val="00D669E7"/>
    <w:rsid w:val="00D66A19"/>
    <w:rsid w:val="00D66D70"/>
    <w:rsid w:val="00D7070E"/>
    <w:rsid w:val="00D70FA5"/>
    <w:rsid w:val="00D717D2"/>
    <w:rsid w:val="00D71829"/>
    <w:rsid w:val="00D72AFB"/>
    <w:rsid w:val="00D72B97"/>
    <w:rsid w:val="00D72E69"/>
    <w:rsid w:val="00D7419D"/>
    <w:rsid w:val="00D745E3"/>
    <w:rsid w:val="00D7492D"/>
    <w:rsid w:val="00D74BE8"/>
    <w:rsid w:val="00D75131"/>
    <w:rsid w:val="00D75EEF"/>
    <w:rsid w:val="00D75FF8"/>
    <w:rsid w:val="00D7637A"/>
    <w:rsid w:val="00D765A1"/>
    <w:rsid w:val="00D76F9C"/>
    <w:rsid w:val="00D773D0"/>
    <w:rsid w:val="00D77A75"/>
    <w:rsid w:val="00D77C80"/>
    <w:rsid w:val="00D80559"/>
    <w:rsid w:val="00D808BB"/>
    <w:rsid w:val="00D80B33"/>
    <w:rsid w:val="00D8110E"/>
    <w:rsid w:val="00D8177C"/>
    <w:rsid w:val="00D818C0"/>
    <w:rsid w:val="00D81E3F"/>
    <w:rsid w:val="00D81FC3"/>
    <w:rsid w:val="00D8209B"/>
    <w:rsid w:val="00D82710"/>
    <w:rsid w:val="00D82A90"/>
    <w:rsid w:val="00D82BA5"/>
    <w:rsid w:val="00D82D14"/>
    <w:rsid w:val="00D830A5"/>
    <w:rsid w:val="00D831F0"/>
    <w:rsid w:val="00D84038"/>
    <w:rsid w:val="00D86057"/>
    <w:rsid w:val="00D86328"/>
    <w:rsid w:val="00D86357"/>
    <w:rsid w:val="00D864A6"/>
    <w:rsid w:val="00D86F5E"/>
    <w:rsid w:val="00D86F80"/>
    <w:rsid w:val="00D87003"/>
    <w:rsid w:val="00D87914"/>
    <w:rsid w:val="00D90105"/>
    <w:rsid w:val="00D90454"/>
    <w:rsid w:val="00D91906"/>
    <w:rsid w:val="00D91B6E"/>
    <w:rsid w:val="00D92B90"/>
    <w:rsid w:val="00D93168"/>
    <w:rsid w:val="00D934B5"/>
    <w:rsid w:val="00D93EFD"/>
    <w:rsid w:val="00D940DC"/>
    <w:rsid w:val="00D95014"/>
    <w:rsid w:val="00D9553C"/>
    <w:rsid w:val="00D958EE"/>
    <w:rsid w:val="00D95FBB"/>
    <w:rsid w:val="00D9623E"/>
    <w:rsid w:val="00D964FB"/>
    <w:rsid w:val="00D968E2"/>
    <w:rsid w:val="00D9703E"/>
    <w:rsid w:val="00D97AA8"/>
    <w:rsid w:val="00DA004E"/>
    <w:rsid w:val="00DA02DA"/>
    <w:rsid w:val="00DA0DED"/>
    <w:rsid w:val="00DA0F4F"/>
    <w:rsid w:val="00DA1DA1"/>
    <w:rsid w:val="00DA2309"/>
    <w:rsid w:val="00DA2D48"/>
    <w:rsid w:val="00DA2E40"/>
    <w:rsid w:val="00DA3597"/>
    <w:rsid w:val="00DA3B84"/>
    <w:rsid w:val="00DA3EE1"/>
    <w:rsid w:val="00DA4341"/>
    <w:rsid w:val="00DA44B3"/>
    <w:rsid w:val="00DA4660"/>
    <w:rsid w:val="00DA46C8"/>
    <w:rsid w:val="00DA4876"/>
    <w:rsid w:val="00DA4CA0"/>
    <w:rsid w:val="00DA4D0A"/>
    <w:rsid w:val="00DA4D62"/>
    <w:rsid w:val="00DA4F24"/>
    <w:rsid w:val="00DA5796"/>
    <w:rsid w:val="00DA5FA7"/>
    <w:rsid w:val="00DA632A"/>
    <w:rsid w:val="00DA64DD"/>
    <w:rsid w:val="00DA700A"/>
    <w:rsid w:val="00DA73A0"/>
    <w:rsid w:val="00DB0A09"/>
    <w:rsid w:val="00DB0AFC"/>
    <w:rsid w:val="00DB24AE"/>
    <w:rsid w:val="00DB2BAB"/>
    <w:rsid w:val="00DB2D49"/>
    <w:rsid w:val="00DB2FA5"/>
    <w:rsid w:val="00DB3014"/>
    <w:rsid w:val="00DB363E"/>
    <w:rsid w:val="00DB36E9"/>
    <w:rsid w:val="00DB393A"/>
    <w:rsid w:val="00DB452F"/>
    <w:rsid w:val="00DB4A2D"/>
    <w:rsid w:val="00DB4C80"/>
    <w:rsid w:val="00DB50A4"/>
    <w:rsid w:val="00DB5493"/>
    <w:rsid w:val="00DB5A22"/>
    <w:rsid w:val="00DB5BF4"/>
    <w:rsid w:val="00DB61A6"/>
    <w:rsid w:val="00DB6549"/>
    <w:rsid w:val="00DB65C8"/>
    <w:rsid w:val="00DB670A"/>
    <w:rsid w:val="00DB6AD5"/>
    <w:rsid w:val="00DB7137"/>
    <w:rsid w:val="00DB72D1"/>
    <w:rsid w:val="00DB79EA"/>
    <w:rsid w:val="00DB7BC7"/>
    <w:rsid w:val="00DC0004"/>
    <w:rsid w:val="00DC01C0"/>
    <w:rsid w:val="00DC0F82"/>
    <w:rsid w:val="00DC21F0"/>
    <w:rsid w:val="00DC253B"/>
    <w:rsid w:val="00DC29ED"/>
    <w:rsid w:val="00DC310B"/>
    <w:rsid w:val="00DC3A51"/>
    <w:rsid w:val="00DC3EEE"/>
    <w:rsid w:val="00DC4053"/>
    <w:rsid w:val="00DC48AB"/>
    <w:rsid w:val="00DC4CBD"/>
    <w:rsid w:val="00DC4E2B"/>
    <w:rsid w:val="00DC50F6"/>
    <w:rsid w:val="00DC6593"/>
    <w:rsid w:val="00DC6E39"/>
    <w:rsid w:val="00DC6EAD"/>
    <w:rsid w:val="00DC710A"/>
    <w:rsid w:val="00DC7D52"/>
    <w:rsid w:val="00DC7DCE"/>
    <w:rsid w:val="00DD04A1"/>
    <w:rsid w:val="00DD0DC9"/>
    <w:rsid w:val="00DD0F67"/>
    <w:rsid w:val="00DD12B2"/>
    <w:rsid w:val="00DD13A1"/>
    <w:rsid w:val="00DD1588"/>
    <w:rsid w:val="00DD15D9"/>
    <w:rsid w:val="00DD1798"/>
    <w:rsid w:val="00DD25A2"/>
    <w:rsid w:val="00DD447E"/>
    <w:rsid w:val="00DD449E"/>
    <w:rsid w:val="00DD458E"/>
    <w:rsid w:val="00DD48EE"/>
    <w:rsid w:val="00DD4DCB"/>
    <w:rsid w:val="00DD53B3"/>
    <w:rsid w:val="00DD53FF"/>
    <w:rsid w:val="00DD6A55"/>
    <w:rsid w:val="00DD744A"/>
    <w:rsid w:val="00DD777A"/>
    <w:rsid w:val="00DE0A0D"/>
    <w:rsid w:val="00DE0BC6"/>
    <w:rsid w:val="00DE13E9"/>
    <w:rsid w:val="00DE1510"/>
    <w:rsid w:val="00DE15BA"/>
    <w:rsid w:val="00DE2087"/>
    <w:rsid w:val="00DE3DF8"/>
    <w:rsid w:val="00DE4071"/>
    <w:rsid w:val="00DE40E8"/>
    <w:rsid w:val="00DE452E"/>
    <w:rsid w:val="00DE46A1"/>
    <w:rsid w:val="00DE4A0A"/>
    <w:rsid w:val="00DE4A6C"/>
    <w:rsid w:val="00DE4D7C"/>
    <w:rsid w:val="00DE5022"/>
    <w:rsid w:val="00DE5666"/>
    <w:rsid w:val="00DE5E69"/>
    <w:rsid w:val="00DE6869"/>
    <w:rsid w:val="00DE68FF"/>
    <w:rsid w:val="00DE6A3E"/>
    <w:rsid w:val="00DE6AA2"/>
    <w:rsid w:val="00DE6C81"/>
    <w:rsid w:val="00DE6D80"/>
    <w:rsid w:val="00DE6F27"/>
    <w:rsid w:val="00DE7B48"/>
    <w:rsid w:val="00DE7BFA"/>
    <w:rsid w:val="00DE7D9B"/>
    <w:rsid w:val="00DE7E5E"/>
    <w:rsid w:val="00DF0343"/>
    <w:rsid w:val="00DF049D"/>
    <w:rsid w:val="00DF0605"/>
    <w:rsid w:val="00DF0B12"/>
    <w:rsid w:val="00DF182E"/>
    <w:rsid w:val="00DF1859"/>
    <w:rsid w:val="00DF19A4"/>
    <w:rsid w:val="00DF2155"/>
    <w:rsid w:val="00DF2D43"/>
    <w:rsid w:val="00DF2EB1"/>
    <w:rsid w:val="00DF32AE"/>
    <w:rsid w:val="00DF3FD5"/>
    <w:rsid w:val="00DF433B"/>
    <w:rsid w:val="00DF4BD1"/>
    <w:rsid w:val="00DF4D2C"/>
    <w:rsid w:val="00DF4EF0"/>
    <w:rsid w:val="00DF628A"/>
    <w:rsid w:val="00DF6D55"/>
    <w:rsid w:val="00DF73BB"/>
    <w:rsid w:val="00DF746F"/>
    <w:rsid w:val="00DF7935"/>
    <w:rsid w:val="00DF7A0A"/>
    <w:rsid w:val="00DF7AD0"/>
    <w:rsid w:val="00DF7AF7"/>
    <w:rsid w:val="00DF7B4A"/>
    <w:rsid w:val="00DF7E1D"/>
    <w:rsid w:val="00E00374"/>
    <w:rsid w:val="00E0055F"/>
    <w:rsid w:val="00E005F0"/>
    <w:rsid w:val="00E0094D"/>
    <w:rsid w:val="00E00F8C"/>
    <w:rsid w:val="00E01989"/>
    <w:rsid w:val="00E01E2D"/>
    <w:rsid w:val="00E01E32"/>
    <w:rsid w:val="00E01EFE"/>
    <w:rsid w:val="00E02956"/>
    <w:rsid w:val="00E02B8F"/>
    <w:rsid w:val="00E02D7B"/>
    <w:rsid w:val="00E03522"/>
    <w:rsid w:val="00E038E6"/>
    <w:rsid w:val="00E03CB2"/>
    <w:rsid w:val="00E04445"/>
    <w:rsid w:val="00E047BF"/>
    <w:rsid w:val="00E04BD7"/>
    <w:rsid w:val="00E0513E"/>
    <w:rsid w:val="00E05F6C"/>
    <w:rsid w:val="00E062E7"/>
    <w:rsid w:val="00E07D67"/>
    <w:rsid w:val="00E10614"/>
    <w:rsid w:val="00E10A4A"/>
    <w:rsid w:val="00E10D24"/>
    <w:rsid w:val="00E10D3B"/>
    <w:rsid w:val="00E10F4E"/>
    <w:rsid w:val="00E11358"/>
    <w:rsid w:val="00E11792"/>
    <w:rsid w:val="00E120E3"/>
    <w:rsid w:val="00E12161"/>
    <w:rsid w:val="00E12191"/>
    <w:rsid w:val="00E1249F"/>
    <w:rsid w:val="00E12611"/>
    <w:rsid w:val="00E1332C"/>
    <w:rsid w:val="00E134E7"/>
    <w:rsid w:val="00E1358B"/>
    <w:rsid w:val="00E135F2"/>
    <w:rsid w:val="00E135F4"/>
    <w:rsid w:val="00E13A90"/>
    <w:rsid w:val="00E156F0"/>
    <w:rsid w:val="00E15BEE"/>
    <w:rsid w:val="00E16265"/>
    <w:rsid w:val="00E16638"/>
    <w:rsid w:val="00E1725D"/>
    <w:rsid w:val="00E20C91"/>
    <w:rsid w:val="00E2118D"/>
    <w:rsid w:val="00E21295"/>
    <w:rsid w:val="00E21CAB"/>
    <w:rsid w:val="00E22EA3"/>
    <w:rsid w:val="00E23597"/>
    <w:rsid w:val="00E23A15"/>
    <w:rsid w:val="00E23EB2"/>
    <w:rsid w:val="00E23F49"/>
    <w:rsid w:val="00E2407A"/>
    <w:rsid w:val="00E24108"/>
    <w:rsid w:val="00E24C4D"/>
    <w:rsid w:val="00E254DC"/>
    <w:rsid w:val="00E25513"/>
    <w:rsid w:val="00E25EF7"/>
    <w:rsid w:val="00E262C8"/>
    <w:rsid w:val="00E26740"/>
    <w:rsid w:val="00E26955"/>
    <w:rsid w:val="00E27824"/>
    <w:rsid w:val="00E307C9"/>
    <w:rsid w:val="00E311AB"/>
    <w:rsid w:val="00E32042"/>
    <w:rsid w:val="00E329E5"/>
    <w:rsid w:val="00E32D9D"/>
    <w:rsid w:val="00E336C0"/>
    <w:rsid w:val="00E33826"/>
    <w:rsid w:val="00E347F7"/>
    <w:rsid w:val="00E34A3E"/>
    <w:rsid w:val="00E350EB"/>
    <w:rsid w:val="00E351C1"/>
    <w:rsid w:val="00E35228"/>
    <w:rsid w:val="00E355AC"/>
    <w:rsid w:val="00E35B09"/>
    <w:rsid w:val="00E362F3"/>
    <w:rsid w:val="00E364D2"/>
    <w:rsid w:val="00E36683"/>
    <w:rsid w:val="00E36A31"/>
    <w:rsid w:val="00E36D45"/>
    <w:rsid w:val="00E371CB"/>
    <w:rsid w:val="00E37661"/>
    <w:rsid w:val="00E37690"/>
    <w:rsid w:val="00E37A1F"/>
    <w:rsid w:val="00E37C25"/>
    <w:rsid w:val="00E40271"/>
    <w:rsid w:val="00E40C33"/>
    <w:rsid w:val="00E40CEF"/>
    <w:rsid w:val="00E40DB1"/>
    <w:rsid w:val="00E40DC6"/>
    <w:rsid w:val="00E40DF6"/>
    <w:rsid w:val="00E41904"/>
    <w:rsid w:val="00E41B8B"/>
    <w:rsid w:val="00E41BD1"/>
    <w:rsid w:val="00E428C6"/>
    <w:rsid w:val="00E428DF"/>
    <w:rsid w:val="00E42BA2"/>
    <w:rsid w:val="00E42C1C"/>
    <w:rsid w:val="00E4302C"/>
    <w:rsid w:val="00E434C6"/>
    <w:rsid w:val="00E435A4"/>
    <w:rsid w:val="00E43FD2"/>
    <w:rsid w:val="00E440D6"/>
    <w:rsid w:val="00E442CB"/>
    <w:rsid w:val="00E4472C"/>
    <w:rsid w:val="00E449F3"/>
    <w:rsid w:val="00E44B27"/>
    <w:rsid w:val="00E45878"/>
    <w:rsid w:val="00E45B75"/>
    <w:rsid w:val="00E45EC0"/>
    <w:rsid w:val="00E46565"/>
    <w:rsid w:val="00E46C1B"/>
    <w:rsid w:val="00E46CB5"/>
    <w:rsid w:val="00E46D24"/>
    <w:rsid w:val="00E46E56"/>
    <w:rsid w:val="00E46FA0"/>
    <w:rsid w:val="00E47B5C"/>
    <w:rsid w:val="00E50094"/>
    <w:rsid w:val="00E502C6"/>
    <w:rsid w:val="00E50345"/>
    <w:rsid w:val="00E50543"/>
    <w:rsid w:val="00E50594"/>
    <w:rsid w:val="00E50773"/>
    <w:rsid w:val="00E510B3"/>
    <w:rsid w:val="00E5135D"/>
    <w:rsid w:val="00E51502"/>
    <w:rsid w:val="00E515DB"/>
    <w:rsid w:val="00E5190E"/>
    <w:rsid w:val="00E51D61"/>
    <w:rsid w:val="00E51FFF"/>
    <w:rsid w:val="00E5208D"/>
    <w:rsid w:val="00E5243F"/>
    <w:rsid w:val="00E526B7"/>
    <w:rsid w:val="00E52B72"/>
    <w:rsid w:val="00E5324D"/>
    <w:rsid w:val="00E541AB"/>
    <w:rsid w:val="00E548CC"/>
    <w:rsid w:val="00E55007"/>
    <w:rsid w:val="00E55354"/>
    <w:rsid w:val="00E5580F"/>
    <w:rsid w:val="00E55BF7"/>
    <w:rsid w:val="00E55C55"/>
    <w:rsid w:val="00E55F0A"/>
    <w:rsid w:val="00E563D2"/>
    <w:rsid w:val="00E5652F"/>
    <w:rsid w:val="00E56958"/>
    <w:rsid w:val="00E56D53"/>
    <w:rsid w:val="00E56E49"/>
    <w:rsid w:val="00E56E8B"/>
    <w:rsid w:val="00E579A8"/>
    <w:rsid w:val="00E57F05"/>
    <w:rsid w:val="00E6043D"/>
    <w:rsid w:val="00E61181"/>
    <w:rsid w:val="00E611A9"/>
    <w:rsid w:val="00E612EC"/>
    <w:rsid w:val="00E61346"/>
    <w:rsid w:val="00E614FE"/>
    <w:rsid w:val="00E61EE5"/>
    <w:rsid w:val="00E62684"/>
    <w:rsid w:val="00E6289B"/>
    <w:rsid w:val="00E62C84"/>
    <w:rsid w:val="00E634E8"/>
    <w:rsid w:val="00E63713"/>
    <w:rsid w:val="00E63C35"/>
    <w:rsid w:val="00E63E63"/>
    <w:rsid w:val="00E640F9"/>
    <w:rsid w:val="00E64AC0"/>
    <w:rsid w:val="00E64EF9"/>
    <w:rsid w:val="00E66D5B"/>
    <w:rsid w:val="00E66D5D"/>
    <w:rsid w:val="00E67C05"/>
    <w:rsid w:val="00E67CA9"/>
    <w:rsid w:val="00E7030B"/>
    <w:rsid w:val="00E70CAF"/>
    <w:rsid w:val="00E710F5"/>
    <w:rsid w:val="00E7112E"/>
    <w:rsid w:val="00E715F6"/>
    <w:rsid w:val="00E724B0"/>
    <w:rsid w:val="00E72D27"/>
    <w:rsid w:val="00E73448"/>
    <w:rsid w:val="00E7356C"/>
    <w:rsid w:val="00E73DEB"/>
    <w:rsid w:val="00E741AC"/>
    <w:rsid w:val="00E74489"/>
    <w:rsid w:val="00E74979"/>
    <w:rsid w:val="00E74AEF"/>
    <w:rsid w:val="00E74F3A"/>
    <w:rsid w:val="00E754BB"/>
    <w:rsid w:val="00E759B1"/>
    <w:rsid w:val="00E75ACA"/>
    <w:rsid w:val="00E7623B"/>
    <w:rsid w:val="00E76986"/>
    <w:rsid w:val="00E76AAD"/>
    <w:rsid w:val="00E7768C"/>
    <w:rsid w:val="00E77AAA"/>
    <w:rsid w:val="00E77DF5"/>
    <w:rsid w:val="00E77EE3"/>
    <w:rsid w:val="00E806B7"/>
    <w:rsid w:val="00E80DC6"/>
    <w:rsid w:val="00E80EF0"/>
    <w:rsid w:val="00E815E2"/>
    <w:rsid w:val="00E820E3"/>
    <w:rsid w:val="00E82280"/>
    <w:rsid w:val="00E82D1D"/>
    <w:rsid w:val="00E82D85"/>
    <w:rsid w:val="00E82E13"/>
    <w:rsid w:val="00E83053"/>
    <w:rsid w:val="00E834CC"/>
    <w:rsid w:val="00E83545"/>
    <w:rsid w:val="00E83DD8"/>
    <w:rsid w:val="00E8458B"/>
    <w:rsid w:val="00E85752"/>
    <w:rsid w:val="00E85A11"/>
    <w:rsid w:val="00E865AF"/>
    <w:rsid w:val="00E86687"/>
    <w:rsid w:val="00E86F8D"/>
    <w:rsid w:val="00E86FDA"/>
    <w:rsid w:val="00E87FBB"/>
    <w:rsid w:val="00E87FE5"/>
    <w:rsid w:val="00E901C5"/>
    <w:rsid w:val="00E90DA0"/>
    <w:rsid w:val="00E913DA"/>
    <w:rsid w:val="00E915E1"/>
    <w:rsid w:val="00E916BF"/>
    <w:rsid w:val="00E91916"/>
    <w:rsid w:val="00E91DA7"/>
    <w:rsid w:val="00E926C5"/>
    <w:rsid w:val="00E926CF"/>
    <w:rsid w:val="00E92775"/>
    <w:rsid w:val="00E92CF7"/>
    <w:rsid w:val="00E93284"/>
    <w:rsid w:val="00E93896"/>
    <w:rsid w:val="00E94132"/>
    <w:rsid w:val="00E944A9"/>
    <w:rsid w:val="00E95112"/>
    <w:rsid w:val="00E9532A"/>
    <w:rsid w:val="00E9559C"/>
    <w:rsid w:val="00E955FB"/>
    <w:rsid w:val="00E9581A"/>
    <w:rsid w:val="00E95AD9"/>
    <w:rsid w:val="00E95BED"/>
    <w:rsid w:val="00E95E7C"/>
    <w:rsid w:val="00E96D60"/>
    <w:rsid w:val="00E97A95"/>
    <w:rsid w:val="00E97B06"/>
    <w:rsid w:val="00E97C8F"/>
    <w:rsid w:val="00EA014C"/>
    <w:rsid w:val="00EA0EBC"/>
    <w:rsid w:val="00EA0ECD"/>
    <w:rsid w:val="00EA170A"/>
    <w:rsid w:val="00EA182C"/>
    <w:rsid w:val="00EA25E2"/>
    <w:rsid w:val="00EA29AC"/>
    <w:rsid w:val="00EA30D2"/>
    <w:rsid w:val="00EA32B2"/>
    <w:rsid w:val="00EA4F26"/>
    <w:rsid w:val="00EA4F47"/>
    <w:rsid w:val="00EA5056"/>
    <w:rsid w:val="00EA5AC0"/>
    <w:rsid w:val="00EA60AC"/>
    <w:rsid w:val="00EA6AE9"/>
    <w:rsid w:val="00EA6BA6"/>
    <w:rsid w:val="00EA76CE"/>
    <w:rsid w:val="00EA7D7C"/>
    <w:rsid w:val="00EA7EE8"/>
    <w:rsid w:val="00EB004B"/>
    <w:rsid w:val="00EB0925"/>
    <w:rsid w:val="00EB0AE5"/>
    <w:rsid w:val="00EB12EC"/>
    <w:rsid w:val="00EB181B"/>
    <w:rsid w:val="00EB1A55"/>
    <w:rsid w:val="00EB1A95"/>
    <w:rsid w:val="00EB1BC7"/>
    <w:rsid w:val="00EB2043"/>
    <w:rsid w:val="00EB2398"/>
    <w:rsid w:val="00EB279B"/>
    <w:rsid w:val="00EB298F"/>
    <w:rsid w:val="00EB2BD5"/>
    <w:rsid w:val="00EB2DBB"/>
    <w:rsid w:val="00EB2FFA"/>
    <w:rsid w:val="00EB32A8"/>
    <w:rsid w:val="00EB3432"/>
    <w:rsid w:val="00EB3EFA"/>
    <w:rsid w:val="00EB4370"/>
    <w:rsid w:val="00EB4504"/>
    <w:rsid w:val="00EB496B"/>
    <w:rsid w:val="00EB4A35"/>
    <w:rsid w:val="00EB55F9"/>
    <w:rsid w:val="00EB5B5F"/>
    <w:rsid w:val="00EB5DD2"/>
    <w:rsid w:val="00EB5ED4"/>
    <w:rsid w:val="00EB5FCA"/>
    <w:rsid w:val="00EB6861"/>
    <w:rsid w:val="00EB6E66"/>
    <w:rsid w:val="00EB70D6"/>
    <w:rsid w:val="00EB7759"/>
    <w:rsid w:val="00EB7A0D"/>
    <w:rsid w:val="00EB7A1F"/>
    <w:rsid w:val="00EC0111"/>
    <w:rsid w:val="00EC05AC"/>
    <w:rsid w:val="00EC0D7A"/>
    <w:rsid w:val="00EC1789"/>
    <w:rsid w:val="00EC18B4"/>
    <w:rsid w:val="00EC1C2D"/>
    <w:rsid w:val="00EC1E83"/>
    <w:rsid w:val="00EC1F64"/>
    <w:rsid w:val="00EC203E"/>
    <w:rsid w:val="00EC23D3"/>
    <w:rsid w:val="00EC2D04"/>
    <w:rsid w:val="00EC2F82"/>
    <w:rsid w:val="00EC35E0"/>
    <w:rsid w:val="00EC40C6"/>
    <w:rsid w:val="00EC4942"/>
    <w:rsid w:val="00EC4E2F"/>
    <w:rsid w:val="00EC6714"/>
    <w:rsid w:val="00EC6B93"/>
    <w:rsid w:val="00ED1093"/>
    <w:rsid w:val="00ED15BE"/>
    <w:rsid w:val="00ED1CDE"/>
    <w:rsid w:val="00ED271B"/>
    <w:rsid w:val="00ED2BBA"/>
    <w:rsid w:val="00ED441B"/>
    <w:rsid w:val="00ED4832"/>
    <w:rsid w:val="00ED48A0"/>
    <w:rsid w:val="00ED5791"/>
    <w:rsid w:val="00ED5ED1"/>
    <w:rsid w:val="00ED6534"/>
    <w:rsid w:val="00ED6DFE"/>
    <w:rsid w:val="00ED798C"/>
    <w:rsid w:val="00ED7FD3"/>
    <w:rsid w:val="00EE0408"/>
    <w:rsid w:val="00EE0430"/>
    <w:rsid w:val="00EE053D"/>
    <w:rsid w:val="00EE0BE8"/>
    <w:rsid w:val="00EE129B"/>
    <w:rsid w:val="00EE2B28"/>
    <w:rsid w:val="00EE34A0"/>
    <w:rsid w:val="00EE397D"/>
    <w:rsid w:val="00EE3E24"/>
    <w:rsid w:val="00EE403E"/>
    <w:rsid w:val="00EE4182"/>
    <w:rsid w:val="00EE4232"/>
    <w:rsid w:val="00EE44F3"/>
    <w:rsid w:val="00EE46CB"/>
    <w:rsid w:val="00EE54C6"/>
    <w:rsid w:val="00EE5732"/>
    <w:rsid w:val="00EE5890"/>
    <w:rsid w:val="00EE6599"/>
    <w:rsid w:val="00EE6C28"/>
    <w:rsid w:val="00EE75EF"/>
    <w:rsid w:val="00EE798B"/>
    <w:rsid w:val="00EF0159"/>
    <w:rsid w:val="00EF04AE"/>
    <w:rsid w:val="00EF0613"/>
    <w:rsid w:val="00EF071E"/>
    <w:rsid w:val="00EF160B"/>
    <w:rsid w:val="00EF17E3"/>
    <w:rsid w:val="00EF18B1"/>
    <w:rsid w:val="00EF193B"/>
    <w:rsid w:val="00EF1D5A"/>
    <w:rsid w:val="00EF2822"/>
    <w:rsid w:val="00EF2DE8"/>
    <w:rsid w:val="00EF3D6A"/>
    <w:rsid w:val="00EF4241"/>
    <w:rsid w:val="00EF458D"/>
    <w:rsid w:val="00EF4741"/>
    <w:rsid w:val="00EF4A29"/>
    <w:rsid w:val="00EF4B35"/>
    <w:rsid w:val="00EF6249"/>
    <w:rsid w:val="00EF680E"/>
    <w:rsid w:val="00EF6BEB"/>
    <w:rsid w:val="00EF6EFC"/>
    <w:rsid w:val="00EF78B0"/>
    <w:rsid w:val="00EF7CC8"/>
    <w:rsid w:val="00F001B4"/>
    <w:rsid w:val="00F00535"/>
    <w:rsid w:val="00F00AB6"/>
    <w:rsid w:val="00F01055"/>
    <w:rsid w:val="00F011F3"/>
    <w:rsid w:val="00F01C28"/>
    <w:rsid w:val="00F02025"/>
    <w:rsid w:val="00F0325C"/>
    <w:rsid w:val="00F03614"/>
    <w:rsid w:val="00F0501F"/>
    <w:rsid w:val="00F05B12"/>
    <w:rsid w:val="00F05BD2"/>
    <w:rsid w:val="00F05D24"/>
    <w:rsid w:val="00F06DFD"/>
    <w:rsid w:val="00F07520"/>
    <w:rsid w:val="00F07AA3"/>
    <w:rsid w:val="00F11DA8"/>
    <w:rsid w:val="00F11FD3"/>
    <w:rsid w:val="00F12524"/>
    <w:rsid w:val="00F12FCF"/>
    <w:rsid w:val="00F13485"/>
    <w:rsid w:val="00F138F0"/>
    <w:rsid w:val="00F13A61"/>
    <w:rsid w:val="00F14089"/>
    <w:rsid w:val="00F142F3"/>
    <w:rsid w:val="00F15716"/>
    <w:rsid w:val="00F15851"/>
    <w:rsid w:val="00F16774"/>
    <w:rsid w:val="00F16D12"/>
    <w:rsid w:val="00F17A0C"/>
    <w:rsid w:val="00F203B0"/>
    <w:rsid w:val="00F20A97"/>
    <w:rsid w:val="00F213DC"/>
    <w:rsid w:val="00F21457"/>
    <w:rsid w:val="00F21E55"/>
    <w:rsid w:val="00F21F80"/>
    <w:rsid w:val="00F21FD0"/>
    <w:rsid w:val="00F2230A"/>
    <w:rsid w:val="00F2242D"/>
    <w:rsid w:val="00F227F8"/>
    <w:rsid w:val="00F24024"/>
    <w:rsid w:val="00F24557"/>
    <w:rsid w:val="00F24A26"/>
    <w:rsid w:val="00F24E6C"/>
    <w:rsid w:val="00F24F6E"/>
    <w:rsid w:val="00F251E8"/>
    <w:rsid w:val="00F255CB"/>
    <w:rsid w:val="00F25ECD"/>
    <w:rsid w:val="00F266CA"/>
    <w:rsid w:val="00F26F1F"/>
    <w:rsid w:val="00F27280"/>
    <w:rsid w:val="00F30F96"/>
    <w:rsid w:val="00F314A9"/>
    <w:rsid w:val="00F314CE"/>
    <w:rsid w:val="00F31686"/>
    <w:rsid w:val="00F31D3F"/>
    <w:rsid w:val="00F32261"/>
    <w:rsid w:val="00F32298"/>
    <w:rsid w:val="00F32FF3"/>
    <w:rsid w:val="00F33C7A"/>
    <w:rsid w:val="00F34F22"/>
    <w:rsid w:val="00F351FE"/>
    <w:rsid w:val="00F352F9"/>
    <w:rsid w:val="00F355AC"/>
    <w:rsid w:val="00F369C9"/>
    <w:rsid w:val="00F36E22"/>
    <w:rsid w:val="00F37077"/>
    <w:rsid w:val="00F3726E"/>
    <w:rsid w:val="00F3731B"/>
    <w:rsid w:val="00F3737D"/>
    <w:rsid w:val="00F4014F"/>
    <w:rsid w:val="00F40287"/>
    <w:rsid w:val="00F40398"/>
    <w:rsid w:val="00F40447"/>
    <w:rsid w:val="00F4073D"/>
    <w:rsid w:val="00F4089D"/>
    <w:rsid w:val="00F4182D"/>
    <w:rsid w:val="00F41A99"/>
    <w:rsid w:val="00F41C12"/>
    <w:rsid w:val="00F41E4A"/>
    <w:rsid w:val="00F4207A"/>
    <w:rsid w:val="00F42285"/>
    <w:rsid w:val="00F423D4"/>
    <w:rsid w:val="00F42413"/>
    <w:rsid w:val="00F42A94"/>
    <w:rsid w:val="00F430DB"/>
    <w:rsid w:val="00F43938"/>
    <w:rsid w:val="00F43A33"/>
    <w:rsid w:val="00F441B6"/>
    <w:rsid w:val="00F44EB1"/>
    <w:rsid w:val="00F45202"/>
    <w:rsid w:val="00F45445"/>
    <w:rsid w:val="00F4562F"/>
    <w:rsid w:val="00F459E7"/>
    <w:rsid w:val="00F45B0C"/>
    <w:rsid w:val="00F461E7"/>
    <w:rsid w:val="00F46FE9"/>
    <w:rsid w:val="00F47ABB"/>
    <w:rsid w:val="00F47B84"/>
    <w:rsid w:val="00F47B97"/>
    <w:rsid w:val="00F5048E"/>
    <w:rsid w:val="00F50931"/>
    <w:rsid w:val="00F50BB6"/>
    <w:rsid w:val="00F511EB"/>
    <w:rsid w:val="00F512E7"/>
    <w:rsid w:val="00F5151A"/>
    <w:rsid w:val="00F519EF"/>
    <w:rsid w:val="00F51D1F"/>
    <w:rsid w:val="00F51F80"/>
    <w:rsid w:val="00F53627"/>
    <w:rsid w:val="00F53867"/>
    <w:rsid w:val="00F539FC"/>
    <w:rsid w:val="00F53A57"/>
    <w:rsid w:val="00F5402C"/>
    <w:rsid w:val="00F5426C"/>
    <w:rsid w:val="00F5431F"/>
    <w:rsid w:val="00F54BB5"/>
    <w:rsid w:val="00F54DA5"/>
    <w:rsid w:val="00F5570E"/>
    <w:rsid w:val="00F55EF9"/>
    <w:rsid w:val="00F56549"/>
    <w:rsid w:val="00F568C9"/>
    <w:rsid w:val="00F56A2C"/>
    <w:rsid w:val="00F56F43"/>
    <w:rsid w:val="00F57016"/>
    <w:rsid w:val="00F5720F"/>
    <w:rsid w:val="00F60419"/>
    <w:rsid w:val="00F60F7F"/>
    <w:rsid w:val="00F60FCD"/>
    <w:rsid w:val="00F610C1"/>
    <w:rsid w:val="00F615F4"/>
    <w:rsid w:val="00F620BD"/>
    <w:rsid w:val="00F62652"/>
    <w:rsid w:val="00F629E7"/>
    <w:rsid w:val="00F62D5F"/>
    <w:rsid w:val="00F62FDF"/>
    <w:rsid w:val="00F634B4"/>
    <w:rsid w:val="00F63E82"/>
    <w:rsid w:val="00F6471D"/>
    <w:rsid w:val="00F64C8B"/>
    <w:rsid w:val="00F64D39"/>
    <w:rsid w:val="00F6508E"/>
    <w:rsid w:val="00F65BD7"/>
    <w:rsid w:val="00F65E00"/>
    <w:rsid w:val="00F66405"/>
    <w:rsid w:val="00F668D2"/>
    <w:rsid w:val="00F66A35"/>
    <w:rsid w:val="00F66CC5"/>
    <w:rsid w:val="00F66F1E"/>
    <w:rsid w:val="00F66F31"/>
    <w:rsid w:val="00F66FD6"/>
    <w:rsid w:val="00F6709B"/>
    <w:rsid w:val="00F67563"/>
    <w:rsid w:val="00F6762B"/>
    <w:rsid w:val="00F67FA8"/>
    <w:rsid w:val="00F7097D"/>
    <w:rsid w:val="00F714AB"/>
    <w:rsid w:val="00F71581"/>
    <w:rsid w:val="00F7216B"/>
    <w:rsid w:val="00F72A16"/>
    <w:rsid w:val="00F72A50"/>
    <w:rsid w:val="00F731BF"/>
    <w:rsid w:val="00F73517"/>
    <w:rsid w:val="00F73A25"/>
    <w:rsid w:val="00F73AF1"/>
    <w:rsid w:val="00F73F89"/>
    <w:rsid w:val="00F74C34"/>
    <w:rsid w:val="00F74D5F"/>
    <w:rsid w:val="00F74E94"/>
    <w:rsid w:val="00F75460"/>
    <w:rsid w:val="00F75C75"/>
    <w:rsid w:val="00F75CCF"/>
    <w:rsid w:val="00F76014"/>
    <w:rsid w:val="00F761CD"/>
    <w:rsid w:val="00F7641F"/>
    <w:rsid w:val="00F76817"/>
    <w:rsid w:val="00F76973"/>
    <w:rsid w:val="00F76DAD"/>
    <w:rsid w:val="00F770C3"/>
    <w:rsid w:val="00F7712B"/>
    <w:rsid w:val="00F7716A"/>
    <w:rsid w:val="00F77419"/>
    <w:rsid w:val="00F77445"/>
    <w:rsid w:val="00F7765C"/>
    <w:rsid w:val="00F778DC"/>
    <w:rsid w:val="00F779FE"/>
    <w:rsid w:val="00F77DBF"/>
    <w:rsid w:val="00F77E3B"/>
    <w:rsid w:val="00F802F1"/>
    <w:rsid w:val="00F803BE"/>
    <w:rsid w:val="00F80614"/>
    <w:rsid w:val="00F80663"/>
    <w:rsid w:val="00F80BC9"/>
    <w:rsid w:val="00F80BEF"/>
    <w:rsid w:val="00F80F78"/>
    <w:rsid w:val="00F8141B"/>
    <w:rsid w:val="00F815EA"/>
    <w:rsid w:val="00F8173C"/>
    <w:rsid w:val="00F81E93"/>
    <w:rsid w:val="00F8223F"/>
    <w:rsid w:val="00F83213"/>
    <w:rsid w:val="00F83A55"/>
    <w:rsid w:val="00F84230"/>
    <w:rsid w:val="00F85CB0"/>
    <w:rsid w:val="00F8651D"/>
    <w:rsid w:val="00F865BE"/>
    <w:rsid w:val="00F8670A"/>
    <w:rsid w:val="00F8690F"/>
    <w:rsid w:val="00F86ABD"/>
    <w:rsid w:val="00F86C5D"/>
    <w:rsid w:val="00F86E3F"/>
    <w:rsid w:val="00F86FB7"/>
    <w:rsid w:val="00F8705A"/>
    <w:rsid w:val="00F87AEE"/>
    <w:rsid w:val="00F87B90"/>
    <w:rsid w:val="00F87DEF"/>
    <w:rsid w:val="00F87E40"/>
    <w:rsid w:val="00F90056"/>
    <w:rsid w:val="00F90108"/>
    <w:rsid w:val="00F9024F"/>
    <w:rsid w:val="00F90464"/>
    <w:rsid w:val="00F91057"/>
    <w:rsid w:val="00F9169A"/>
    <w:rsid w:val="00F91CE1"/>
    <w:rsid w:val="00F92602"/>
    <w:rsid w:val="00F92D75"/>
    <w:rsid w:val="00F93572"/>
    <w:rsid w:val="00F93802"/>
    <w:rsid w:val="00F9414A"/>
    <w:rsid w:val="00F9457C"/>
    <w:rsid w:val="00F94587"/>
    <w:rsid w:val="00F94942"/>
    <w:rsid w:val="00F94BC5"/>
    <w:rsid w:val="00F95631"/>
    <w:rsid w:val="00F95753"/>
    <w:rsid w:val="00F9586C"/>
    <w:rsid w:val="00F961A6"/>
    <w:rsid w:val="00F97C84"/>
    <w:rsid w:val="00FA035C"/>
    <w:rsid w:val="00FA07D7"/>
    <w:rsid w:val="00FA0BDC"/>
    <w:rsid w:val="00FA0DE8"/>
    <w:rsid w:val="00FA0FD7"/>
    <w:rsid w:val="00FA150A"/>
    <w:rsid w:val="00FA1699"/>
    <w:rsid w:val="00FA1E56"/>
    <w:rsid w:val="00FA26BF"/>
    <w:rsid w:val="00FA319A"/>
    <w:rsid w:val="00FA36AB"/>
    <w:rsid w:val="00FA38D8"/>
    <w:rsid w:val="00FA424B"/>
    <w:rsid w:val="00FA42E7"/>
    <w:rsid w:val="00FA4542"/>
    <w:rsid w:val="00FA454A"/>
    <w:rsid w:val="00FA4883"/>
    <w:rsid w:val="00FA5B7A"/>
    <w:rsid w:val="00FA5B85"/>
    <w:rsid w:val="00FA6DDE"/>
    <w:rsid w:val="00FA74DB"/>
    <w:rsid w:val="00FA7F81"/>
    <w:rsid w:val="00FB013A"/>
    <w:rsid w:val="00FB0630"/>
    <w:rsid w:val="00FB07DB"/>
    <w:rsid w:val="00FB0829"/>
    <w:rsid w:val="00FB1BD2"/>
    <w:rsid w:val="00FB1F7E"/>
    <w:rsid w:val="00FB214B"/>
    <w:rsid w:val="00FB24AA"/>
    <w:rsid w:val="00FB28BA"/>
    <w:rsid w:val="00FB3B9C"/>
    <w:rsid w:val="00FB404D"/>
    <w:rsid w:val="00FB4A0C"/>
    <w:rsid w:val="00FB5277"/>
    <w:rsid w:val="00FB5476"/>
    <w:rsid w:val="00FB68E8"/>
    <w:rsid w:val="00FB6C92"/>
    <w:rsid w:val="00FB6D9D"/>
    <w:rsid w:val="00FC0344"/>
    <w:rsid w:val="00FC051D"/>
    <w:rsid w:val="00FC150B"/>
    <w:rsid w:val="00FC26EA"/>
    <w:rsid w:val="00FC2BB6"/>
    <w:rsid w:val="00FC2D9E"/>
    <w:rsid w:val="00FC302D"/>
    <w:rsid w:val="00FC3306"/>
    <w:rsid w:val="00FC4201"/>
    <w:rsid w:val="00FC494E"/>
    <w:rsid w:val="00FC4A80"/>
    <w:rsid w:val="00FC4B23"/>
    <w:rsid w:val="00FC51A0"/>
    <w:rsid w:val="00FC5284"/>
    <w:rsid w:val="00FC5292"/>
    <w:rsid w:val="00FC5AF0"/>
    <w:rsid w:val="00FC6BDD"/>
    <w:rsid w:val="00FC6F37"/>
    <w:rsid w:val="00FC7102"/>
    <w:rsid w:val="00FC720B"/>
    <w:rsid w:val="00FC7689"/>
    <w:rsid w:val="00FC7A7D"/>
    <w:rsid w:val="00FC7E11"/>
    <w:rsid w:val="00FD0237"/>
    <w:rsid w:val="00FD05CF"/>
    <w:rsid w:val="00FD0993"/>
    <w:rsid w:val="00FD0E26"/>
    <w:rsid w:val="00FD0F73"/>
    <w:rsid w:val="00FD11F2"/>
    <w:rsid w:val="00FD140B"/>
    <w:rsid w:val="00FD1C30"/>
    <w:rsid w:val="00FD2005"/>
    <w:rsid w:val="00FD2805"/>
    <w:rsid w:val="00FD646A"/>
    <w:rsid w:val="00FD6B5E"/>
    <w:rsid w:val="00FD6F64"/>
    <w:rsid w:val="00FD744C"/>
    <w:rsid w:val="00FD7650"/>
    <w:rsid w:val="00FD7BE5"/>
    <w:rsid w:val="00FE0294"/>
    <w:rsid w:val="00FE0DE8"/>
    <w:rsid w:val="00FE101E"/>
    <w:rsid w:val="00FE1042"/>
    <w:rsid w:val="00FE189A"/>
    <w:rsid w:val="00FE22A8"/>
    <w:rsid w:val="00FE22DC"/>
    <w:rsid w:val="00FE255C"/>
    <w:rsid w:val="00FE3234"/>
    <w:rsid w:val="00FE365F"/>
    <w:rsid w:val="00FE3A2D"/>
    <w:rsid w:val="00FE3A7C"/>
    <w:rsid w:val="00FE4050"/>
    <w:rsid w:val="00FE4291"/>
    <w:rsid w:val="00FE446F"/>
    <w:rsid w:val="00FE4513"/>
    <w:rsid w:val="00FE4902"/>
    <w:rsid w:val="00FE511D"/>
    <w:rsid w:val="00FE55E6"/>
    <w:rsid w:val="00FE6099"/>
    <w:rsid w:val="00FE61EF"/>
    <w:rsid w:val="00FE675B"/>
    <w:rsid w:val="00FE68F5"/>
    <w:rsid w:val="00FE69A8"/>
    <w:rsid w:val="00FE6C14"/>
    <w:rsid w:val="00FF03ED"/>
    <w:rsid w:val="00FF0BA8"/>
    <w:rsid w:val="00FF0DF4"/>
    <w:rsid w:val="00FF0FF8"/>
    <w:rsid w:val="00FF1D1A"/>
    <w:rsid w:val="00FF25A7"/>
    <w:rsid w:val="00FF279F"/>
    <w:rsid w:val="00FF27C5"/>
    <w:rsid w:val="00FF29C4"/>
    <w:rsid w:val="00FF2FFE"/>
    <w:rsid w:val="00FF3813"/>
    <w:rsid w:val="00FF39CE"/>
    <w:rsid w:val="00FF3EC5"/>
    <w:rsid w:val="00FF43CC"/>
    <w:rsid w:val="00FF53EB"/>
    <w:rsid w:val="00FF554E"/>
    <w:rsid w:val="00FF55CA"/>
    <w:rsid w:val="00FF5B65"/>
    <w:rsid w:val="011473B7"/>
    <w:rsid w:val="01260E98"/>
    <w:rsid w:val="01284F8D"/>
    <w:rsid w:val="0136141C"/>
    <w:rsid w:val="013E28BC"/>
    <w:rsid w:val="016F45ED"/>
    <w:rsid w:val="0173513D"/>
    <w:rsid w:val="017A5136"/>
    <w:rsid w:val="018E7169"/>
    <w:rsid w:val="019D1AF5"/>
    <w:rsid w:val="01A64C1F"/>
    <w:rsid w:val="01AB0B81"/>
    <w:rsid w:val="02286950"/>
    <w:rsid w:val="024B505A"/>
    <w:rsid w:val="025130DC"/>
    <w:rsid w:val="02702D13"/>
    <w:rsid w:val="02722A44"/>
    <w:rsid w:val="028024DC"/>
    <w:rsid w:val="02982C5B"/>
    <w:rsid w:val="02B107C6"/>
    <w:rsid w:val="02CA4975"/>
    <w:rsid w:val="02CF3460"/>
    <w:rsid w:val="02D701F2"/>
    <w:rsid w:val="02DD7DF9"/>
    <w:rsid w:val="02DF57A3"/>
    <w:rsid w:val="02F64889"/>
    <w:rsid w:val="02F72AEC"/>
    <w:rsid w:val="030D0562"/>
    <w:rsid w:val="033234B1"/>
    <w:rsid w:val="03667C72"/>
    <w:rsid w:val="038E4ABD"/>
    <w:rsid w:val="039053C4"/>
    <w:rsid w:val="03950013"/>
    <w:rsid w:val="039C65A6"/>
    <w:rsid w:val="03A434E3"/>
    <w:rsid w:val="03E07A24"/>
    <w:rsid w:val="03E12F2E"/>
    <w:rsid w:val="04043713"/>
    <w:rsid w:val="043345A5"/>
    <w:rsid w:val="043B6A48"/>
    <w:rsid w:val="04466ACF"/>
    <w:rsid w:val="04482271"/>
    <w:rsid w:val="044B618E"/>
    <w:rsid w:val="046E3282"/>
    <w:rsid w:val="0478135D"/>
    <w:rsid w:val="048E56D2"/>
    <w:rsid w:val="04B307B3"/>
    <w:rsid w:val="04D76B18"/>
    <w:rsid w:val="04FA2599"/>
    <w:rsid w:val="05264552"/>
    <w:rsid w:val="054F6C10"/>
    <w:rsid w:val="057318A6"/>
    <w:rsid w:val="05835CD2"/>
    <w:rsid w:val="05A420D6"/>
    <w:rsid w:val="05AB7BBE"/>
    <w:rsid w:val="05C3414E"/>
    <w:rsid w:val="05D63234"/>
    <w:rsid w:val="05E81AE2"/>
    <w:rsid w:val="05F13E26"/>
    <w:rsid w:val="060A2EF6"/>
    <w:rsid w:val="061930D1"/>
    <w:rsid w:val="061E727F"/>
    <w:rsid w:val="06294BE8"/>
    <w:rsid w:val="063D4AB5"/>
    <w:rsid w:val="06432C87"/>
    <w:rsid w:val="06484360"/>
    <w:rsid w:val="065B0A72"/>
    <w:rsid w:val="067362A0"/>
    <w:rsid w:val="069C3D49"/>
    <w:rsid w:val="06A27213"/>
    <w:rsid w:val="06AC1E40"/>
    <w:rsid w:val="06BE4732"/>
    <w:rsid w:val="06DA73FF"/>
    <w:rsid w:val="06EB0B85"/>
    <w:rsid w:val="06ED6C8A"/>
    <w:rsid w:val="06F7308C"/>
    <w:rsid w:val="06FD724B"/>
    <w:rsid w:val="0711300A"/>
    <w:rsid w:val="07222102"/>
    <w:rsid w:val="07B009A2"/>
    <w:rsid w:val="07BC4304"/>
    <w:rsid w:val="07C5765D"/>
    <w:rsid w:val="07DA3B3E"/>
    <w:rsid w:val="07F93413"/>
    <w:rsid w:val="080B2FFB"/>
    <w:rsid w:val="080B68D9"/>
    <w:rsid w:val="08531697"/>
    <w:rsid w:val="08652915"/>
    <w:rsid w:val="086E0467"/>
    <w:rsid w:val="08880B4F"/>
    <w:rsid w:val="08B452BA"/>
    <w:rsid w:val="08CE7F84"/>
    <w:rsid w:val="08F54825"/>
    <w:rsid w:val="09146B15"/>
    <w:rsid w:val="09391870"/>
    <w:rsid w:val="093C5D1C"/>
    <w:rsid w:val="093C74AB"/>
    <w:rsid w:val="094755E3"/>
    <w:rsid w:val="09485F88"/>
    <w:rsid w:val="095F13EB"/>
    <w:rsid w:val="096206A2"/>
    <w:rsid w:val="097772DE"/>
    <w:rsid w:val="09864BCA"/>
    <w:rsid w:val="099145E0"/>
    <w:rsid w:val="09B111A0"/>
    <w:rsid w:val="09BF605F"/>
    <w:rsid w:val="09C358A6"/>
    <w:rsid w:val="09C963A4"/>
    <w:rsid w:val="09E454D1"/>
    <w:rsid w:val="09E5624E"/>
    <w:rsid w:val="09F761D5"/>
    <w:rsid w:val="0A2F481B"/>
    <w:rsid w:val="0A3216EC"/>
    <w:rsid w:val="0A4565CD"/>
    <w:rsid w:val="0AC7367C"/>
    <w:rsid w:val="0AD57EAC"/>
    <w:rsid w:val="0AF71356"/>
    <w:rsid w:val="0AFA1230"/>
    <w:rsid w:val="0B125886"/>
    <w:rsid w:val="0B2D59B7"/>
    <w:rsid w:val="0B2E71BE"/>
    <w:rsid w:val="0B3C1531"/>
    <w:rsid w:val="0B510F8C"/>
    <w:rsid w:val="0B5D7BAD"/>
    <w:rsid w:val="0B7078E0"/>
    <w:rsid w:val="0B750563"/>
    <w:rsid w:val="0B7C4508"/>
    <w:rsid w:val="0B7E024F"/>
    <w:rsid w:val="0B7E6E21"/>
    <w:rsid w:val="0BA8707A"/>
    <w:rsid w:val="0BA94BA0"/>
    <w:rsid w:val="0BB8426C"/>
    <w:rsid w:val="0BE26F5D"/>
    <w:rsid w:val="0BEB6750"/>
    <w:rsid w:val="0BFD3447"/>
    <w:rsid w:val="0C357DA1"/>
    <w:rsid w:val="0C477618"/>
    <w:rsid w:val="0C676C2C"/>
    <w:rsid w:val="0CB42A6C"/>
    <w:rsid w:val="0CF06F2A"/>
    <w:rsid w:val="0CF63E15"/>
    <w:rsid w:val="0D2530DD"/>
    <w:rsid w:val="0D340DCB"/>
    <w:rsid w:val="0D6425B7"/>
    <w:rsid w:val="0DA4397A"/>
    <w:rsid w:val="0DBA3C09"/>
    <w:rsid w:val="0DD71E98"/>
    <w:rsid w:val="0DE5193E"/>
    <w:rsid w:val="0DF477CD"/>
    <w:rsid w:val="0E034C87"/>
    <w:rsid w:val="0E1447D7"/>
    <w:rsid w:val="0E2A296D"/>
    <w:rsid w:val="0E3270CE"/>
    <w:rsid w:val="0E44204B"/>
    <w:rsid w:val="0E6844DD"/>
    <w:rsid w:val="0E6B6DFA"/>
    <w:rsid w:val="0E7A107F"/>
    <w:rsid w:val="0E8E4781"/>
    <w:rsid w:val="0E963B01"/>
    <w:rsid w:val="0E9C1F6C"/>
    <w:rsid w:val="0F003A79"/>
    <w:rsid w:val="0F130CAE"/>
    <w:rsid w:val="0F1B5620"/>
    <w:rsid w:val="0F380715"/>
    <w:rsid w:val="0F3B1985"/>
    <w:rsid w:val="0F3B6457"/>
    <w:rsid w:val="0F430C50"/>
    <w:rsid w:val="0F53554E"/>
    <w:rsid w:val="0F5F5CA1"/>
    <w:rsid w:val="0F6E79DF"/>
    <w:rsid w:val="0F900551"/>
    <w:rsid w:val="0FB73C2F"/>
    <w:rsid w:val="0FB951A4"/>
    <w:rsid w:val="0FF87EA4"/>
    <w:rsid w:val="100F4FB7"/>
    <w:rsid w:val="10287D2B"/>
    <w:rsid w:val="10352EA6"/>
    <w:rsid w:val="10484987"/>
    <w:rsid w:val="104E5708"/>
    <w:rsid w:val="10506EFD"/>
    <w:rsid w:val="10604293"/>
    <w:rsid w:val="10724992"/>
    <w:rsid w:val="107C7A1E"/>
    <w:rsid w:val="10835CF5"/>
    <w:rsid w:val="1088747A"/>
    <w:rsid w:val="10DB57FB"/>
    <w:rsid w:val="10DF166B"/>
    <w:rsid w:val="11001706"/>
    <w:rsid w:val="1139288C"/>
    <w:rsid w:val="11465FD8"/>
    <w:rsid w:val="11547C33"/>
    <w:rsid w:val="116766D1"/>
    <w:rsid w:val="11694060"/>
    <w:rsid w:val="118606AF"/>
    <w:rsid w:val="11B540B4"/>
    <w:rsid w:val="11B8017C"/>
    <w:rsid w:val="11B85E9A"/>
    <w:rsid w:val="11BE0614"/>
    <w:rsid w:val="11E53045"/>
    <w:rsid w:val="11E848F3"/>
    <w:rsid w:val="11F56B22"/>
    <w:rsid w:val="12143BD3"/>
    <w:rsid w:val="121C30AF"/>
    <w:rsid w:val="12252689"/>
    <w:rsid w:val="122F3F8C"/>
    <w:rsid w:val="123F0B55"/>
    <w:rsid w:val="12604B2F"/>
    <w:rsid w:val="12627B24"/>
    <w:rsid w:val="126F6E11"/>
    <w:rsid w:val="12774BD4"/>
    <w:rsid w:val="12851EC3"/>
    <w:rsid w:val="12951EEE"/>
    <w:rsid w:val="1296148B"/>
    <w:rsid w:val="129745D8"/>
    <w:rsid w:val="12AA28DD"/>
    <w:rsid w:val="12C60556"/>
    <w:rsid w:val="12CD0A66"/>
    <w:rsid w:val="12DB1609"/>
    <w:rsid w:val="12DD1206"/>
    <w:rsid w:val="12DE52EB"/>
    <w:rsid w:val="12EA1748"/>
    <w:rsid w:val="12FC58B1"/>
    <w:rsid w:val="13064ACC"/>
    <w:rsid w:val="13133B5F"/>
    <w:rsid w:val="1324792E"/>
    <w:rsid w:val="133B0072"/>
    <w:rsid w:val="133B5380"/>
    <w:rsid w:val="13473A81"/>
    <w:rsid w:val="13627015"/>
    <w:rsid w:val="1372619B"/>
    <w:rsid w:val="13837014"/>
    <w:rsid w:val="13946383"/>
    <w:rsid w:val="13A91F38"/>
    <w:rsid w:val="13D03611"/>
    <w:rsid w:val="13E13E96"/>
    <w:rsid w:val="13E538D6"/>
    <w:rsid w:val="14075ABB"/>
    <w:rsid w:val="140806EE"/>
    <w:rsid w:val="140C7F31"/>
    <w:rsid w:val="140E413A"/>
    <w:rsid w:val="140E7CD8"/>
    <w:rsid w:val="14145566"/>
    <w:rsid w:val="141622AE"/>
    <w:rsid w:val="1416555E"/>
    <w:rsid w:val="1425364E"/>
    <w:rsid w:val="14477A34"/>
    <w:rsid w:val="144D65A6"/>
    <w:rsid w:val="144E2788"/>
    <w:rsid w:val="14551E20"/>
    <w:rsid w:val="1457788F"/>
    <w:rsid w:val="14794DDB"/>
    <w:rsid w:val="147F7D60"/>
    <w:rsid w:val="14824319"/>
    <w:rsid w:val="149F00B4"/>
    <w:rsid w:val="14AE5DDF"/>
    <w:rsid w:val="14C506E1"/>
    <w:rsid w:val="14DD12F7"/>
    <w:rsid w:val="14DD6844"/>
    <w:rsid w:val="150C45ED"/>
    <w:rsid w:val="152363F5"/>
    <w:rsid w:val="152534E9"/>
    <w:rsid w:val="152C4A3E"/>
    <w:rsid w:val="15344B6F"/>
    <w:rsid w:val="15406575"/>
    <w:rsid w:val="1543626B"/>
    <w:rsid w:val="154557EF"/>
    <w:rsid w:val="155C14F6"/>
    <w:rsid w:val="15673B02"/>
    <w:rsid w:val="156863EA"/>
    <w:rsid w:val="15736F82"/>
    <w:rsid w:val="157B57FF"/>
    <w:rsid w:val="157D077F"/>
    <w:rsid w:val="15C466CE"/>
    <w:rsid w:val="15C5364C"/>
    <w:rsid w:val="15C549C1"/>
    <w:rsid w:val="15E35A6B"/>
    <w:rsid w:val="160A4D4E"/>
    <w:rsid w:val="16141157"/>
    <w:rsid w:val="162440E1"/>
    <w:rsid w:val="1655523F"/>
    <w:rsid w:val="1685300E"/>
    <w:rsid w:val="168A7161"/>
    <w:rsid w:val="169F72CB"/>
    <w:rsid w:val="16A00900"/>
    <w:rsid w:val="16AC6C99"/>
    <w:rsid w:val="16C11CDD"/>
    <w:rsid w:val="16DE72BC"/>
    <w:rsid w:val="16F64F7A"/>
    <w:rsid w:val="172A5B0B"/>
    <w:rsid w:val="172B4755"/>
    <w:rsid w:val="172F46E0"/>
    <w:rsid w:val="17352943"/>
    <w:rsid w:val="173C1697"/>
    <w:rsid w:val="17495E95"/>
    <w:rsid w:val="175463C2"/>
    <w:rsid w:val="175A61CE"/>
    <w:rsid w:val="175D340E"/>
    <w:rsid w:val="17966920"/>
    <w:rsid w:val="179A2C0B"/>
    <w:rsid w:val="17A10E21"/>
    <w:rsid w:val="17AD5A18"/>
    <w:rsid w:val="17DC57C4"/>
    <w:rsid w:val="17EC425D"/>
    <w:rsid w:val="180550B5"/>
    <w:rsid w:val="1810471B"/>
    <w:rsid w:val="18135212"/>
    <w:rsid w:val="1816746A"/>
    <w:rsid w:val="18381C3B"/>
    <w:rsid w:val="184342E9"/>
    <w:rsid w:val="18451E51"/>
    <w:rsid w:val="184A3267"/>
    <w:rsid w:val="1876554C"/>
    <w:rsid w:val="189B30C9"/>
    <w:rsid w:val="18AF5EEB"/>
    <w:rsid w:val="18B5641A"/>
    <w:rsid w:val="18D75B41"/>
    <w:rsid w:val="18DC41FC"/>
    <w:rsid w:val="18DE1993"/>
    <w:rsid w:val="18E03902"/>
    <w:rsid w:val="18E75C1B"/>
    <w:rsid w:val="18F25A2B"/>
    <w:rsid w:val="18F8564D"/>
    <w:rsid w:val="18FE116D"/>
    <w:rsid w:val="19030080"/>
    <w:rsid w:val="19097185"/>
    <w:rsid w:val="190B322E"/>
    <w:rsid w:val="190E4774"/>
    <w:rsid w:val="19163B63"/>
    <w:rsid w:val="19175293"/>
    <w:rsid w:val="1920656C"/>
    <w:rsid w:val="193A2FE5"/>
    <w:rsid w:val="1950265E"/>
    <w:rsid w:val="196A353D"/>
    <w:rsid w:val="19864BC1"/>
    <w:rsid w:val="198B64F6"/>
    <w:rsid w:val="19924EC5"/>
    <w:rsid w:val="19A33CDF"/>
    <w:rsid w:val="19A66240"/>
    <w:rsid w:val="19B117EF"/>
    <w:rsid w:val="19BF0483"/>
    <w:rsid w:val="19DD6775"/>
    <w:rsid w:val="19F17538"/>
    <w:rsid w:val="19F86D5C"/>
    <w:rsid w:val="1A1B135F"/>
    <w:rsid w:val="1A223523"/>
    <w:rsid w:val="1A442663"/>
    <w:rsid w:val="1A47372A"/>
    <w:rsid w:val="1A4A3D51"/>
    <w:rsid w:val="1A4E0334"/>
    <w:rsid w:val="1A68155E"/>
    <w:rsid w:val="1A684442"/>
    <w:rsid w:val="1A8459AA"/>
    <w:rsid w:val="1A873AF1"/>
    <w:rsid w:val="1A8810D9"/>
    <w:rsid w:val="1A897FBF"/>
    <w:rsid w:val="1A8C5590"/>
    <w:rsid w:val="1A8E5124"/>
    <w:rsid w:val="1A910A70"/>
    <w:rsid w:val="1A9B797D"/>
    <w:rsid w:val="1AAE5D2F"/>
    <w:rsid w:val="1AC35F98"/>
    <w:rsid w:val="1AC56E5F"/>
    <w:rsid w:val="1AD27380"/>
    <w:rsid w:val="1ADD16CA"/>
    <w:rsid w:val="1AEB6DB0"/>
    <w:rsid w:val="1AF66507"/>
    <w:rsid w:val="1B040045"/>
    <w:rsid w:val="1B282524"/>
    <w:rsid w:val="1B304996"/>
    <w:rsid w:val="1B3641CE"/>
    <w:rsid w:val="1B3C1BB3"/>
    <w:rsid w:val="1B4247DD"/>
    <w:rsid w:val="1B4D46E7"/>
    <w:rsid w:val="1B5A3813"/>
    <w:rsid w:val="1B5C1C2F"/>
    <w:rsid w:val="1B610405"/>
    <w:rsid w:val="1B6D3826"/>
    <w:rsid w:val="1BB03A27"/>
    <w:rsid w:val="1BB630ED"/>
    <w:rsid w:val="1BDD4B1E"/>
    <w:rsid w:val="1BDE7128"/>
    <w:rsid w:val="1BE84F1D"/>
    <w:rsid w:val="1BFC7479"/>
    <w:rsid w:val="1C43534F"/>
    <w:rsid w:val="1C831518"/>
    <w:rsid w:val="1C9D605B"/>
    <w:rsid w:val="1CA548EB"/>
    <w:rsid w:val="1CAE2ECD"/>
    <w:rsid w:val="1CCF15F2"/>
    <w:rsid w:val="1CD86BE7"/>
    <w:rsid w:val="1CE43C8A"/>
    <w:rsid w:val="1CED53AF"/>
    <w:rsid w:val="1CFB0890"/>
    <w:rsid w:val="1D0D31E0"/>
    <w:rsid w:val="1D1218AC"/>
    <w:rsid w:val="1D181B85"/>
    <w:rsid w:val="1D1E0794"/>
    <w:rsid w:val="1D295B40"/>
    <w:rsid w:val="1D666A6F"/>
    <w:rsid w:val="1D913EEE"/>
    <w:rsid w:val="1DA43419"/>
    <w:rsid w:val="1DBF583B"/>
    <w:rsid w:val="1DC52498"/>
    <w:rsid w:val="1DDA0F13"/>
    <w:rsid w:val="1DDE692B"/>
    <w:rsid w:val="1E143AB2"/>
    <w:rsid w:val="1E1918D7"/>
    <w:rsid w:val="1E200BF1"/>
    <w:rsid w:val="1E206F43"/>
    <w:rsid w:val="1E264E7B"/>
    <w:rsid w:val="1E817D33"/>
    <w:rsid w:val="1E8C282B"/>
    <w:rsid w:val="1E924152"/>
    <w:rsid w:val="1EA34C15"/>
    <w:rsid w:val="1EB44C7D"/>
    <w:rsid w:val="1EBC4C0D"/>
    <w:rsid w:val="1F001AF0"/>
    <w:rsid w:val="1F022E42"/>
    <w:rsid w:val="1F301408"/>
    <w:rsid w:val="1F470500"/>
    <w:rsid w:val="1F5A6FB2"/>
    <w:rsid w:val="1F626670"/>
    <w:rsid w:val="1F666BD8"/>
    <w:rsid w:val="1F716D91"/>
    <w:rsid w:val="1F7C1DF0"/>
    <w:rsid w:val="1F877440"/>
    <w:rsid w:val="1F9C6A9E"/>
    <w:rsid w:val="1FA91A15"/>
    <w:rsid w:val="1FC45D04"/>
    <w:rsid w:val="1FDE2E86"/>
    <w:rsid w:val="1FFA5339"/>
    <w:rsid w:val="200B60C3"/>
    <w:rsid w:val="20103563"/>
    <w:rsid w:val="20394EAA"/>
    <w:rsid w:val="203D34A5"/>
    <w:rsid w:val="2041033B"/>
    <w:rsid w:val="207F6D61"/>
    <w:rsid w:val="20DF7F13"/>
    <w:rsid w:val="20E64474"/>
    <w:rsid w:val="213D6E16"/>
    <w:rsid w:val="2158610D"/>
    <w:rsid w:val="215F0457"/>
    <w:rsid w:val="215F5FD5"/>
    <w:rsid w:val="21616763"/>
    <w:rsid w:val="21724DA2"/>
    <w:rsid w:val="218003F3"/>
    <w:rsid w:val="21813923"/>
    <w:rsid w:val="21A57AA4"/>
    <w:rsid w:val="21AB1F14"/>
    <w:rsid w:val="21AD6D40"/>
    <w:rsid w:val="21BF7A2D"/>
    <w:rsid w:val="21C8676F"/>
    <w:rsid w:val="21CE17E3"/>
    <w:rsid w:val="21EA1D4F"/>
    <w:rsid w:val="220762CA"/>
    <w:rsid w:val="220B3BD9"/>
    <w:rsid w:val="22146C41"/>
    <w:rsid w:val="222D1925"/>
    <w:rsid w:val="22447136"/>
    <w:rsid w:val="22451BFB"/>
    <w:rsid w:val="224A5BE0"/>
    <w:rsid w:val="229C4172"/>
    <w:rsid w:val="22A26C17"/>
    <w:rsid w:val="22A55C69"/>
    <w:rsid w:val="22B21D4D"/>
    <w:rsid w:val="22B276C6"/>
    <w:rsid w:val="22D16DB5"/>
    <w:rsid w:val="22E20C6B"/>
    <w:rsid w:val="22EC6CD2"/>
    <w:rsid w:val="230063DC"/>
    <w:rsid w:val="23220EC8"/>
    <w:rsid w:val="232C3A31"/>
    <w:rsid w:val="23396D75"/>
    <w:rsid w:val="23445482"/>
    <w:rsid w:val="236751A2"/>
    <w:rsid w:val="236773C3"/>
    <w:rsid w:val="237C5BCD"/>
    <w:rsid w:val="23A41C3B"/>
    <w:rsid w:val="23A960A8"/>
    <w:rsid w:val="23CC32D9"/>
    <w:rsid w:val="23E57DD7"/>
    <w:rsid w:val="23E62605"/>
    <w:rsid w:val="23EA0379"/>
    <w:rsid w:val="244B45EE"/>
    <w:rsid w:val="244F0582"/>
    <w:rsid w:val="245725B0"/>
    <w:rsid w:val="24577437"/>
    <w:rsid w:val="246443A0"/>
    <w:rsid w:val="246C2EE2"/>
    <w:rsid w:val="247734FB"/>
    <w:rsid w:val="2480111C"/>
    <w:rsid w:val="24860707"/>
    <w:rsid w:val="249E6E14"/>
    <w:rsid w:val="24C23233"/>
    <w:rsid w:val="25000A9B"/>
    <w:rsid w:val="250407A2"/>
    <w:rsid w:val="251C4993"/>
    <w:rsid w:val="2539119D"/>
    <w:rsid w:val="253E59DA"/>
    <w:rsid w:val="25463A3E"/>
    <w:rsid w:val="254A5A64"/>
    <w:rsid w:val="257A25F8"/>
    <w:rsid w:val="257D1AD7"/>
    <w:rsid w:val="257F6D97"/>
    <w:rsid w:val="25812A23"/>
    <w:rsid w:val="25936A5F"/>
    <w:rsid w:val="25A27E95"/>
    <w:rsid w:val="25AD2397"/>
    <w:rsid w:val="25B860FE"/>
    <w:rsid w:val="25C1725E"/>
    <w:rsid w:val="25D97C9B"/>
    <w:rsid w:val="25DC61AB"/>
    <w:rsid w:val="25F960B1"/>
    <w:rsid w:val="25F969F8"/>
    <w:rsid w:val="262E1543"/>
    <w:rsid w:val="266F1EBF"/>
    <w:rsid w:val="26830982"/>
    <w:rsid w:val="2684148F"/>
    <w:rsid w:val="26881B2A"/>
    <w:rsid w:val="2688566B"/>
    <w:rsid w:val="26942940"/>
    <w:rsid w:val="26967D01"/>
    <w:rsid w:val="26A5586A"/>
    <w:rsid w:val="26C702E7"/>
    <w:rsid w:val="26CA2142"/>
    <w:rsid w:val="26D6638D"/>
    <w:rsid w:val="26E3782A"/>
    <w:rsid w:val="26E54CDB"/>
    <w:rsid w:val="27090EBD"/>
    <w:rsid w:val="270B6B13"/>
    <w:rsid w:val="27395366"/>
    <w:rsid w:val="27621707"/>
    <w:rsid w:val="27654008"/>
    <w:rsid w:val="277B7A78"/>
    <w:rsid w:val="279D2F44"/>
    <w:rsid w:val="27B107A1"/>
    <w:rsid w:val="27B52E86"/>
    <w:rsid w:val="27BE2EE1"/>
    <w:rsid w:val="27D1522C"/>
    <w:rsid w:val="27F03E2A"/>
    <w:rsid w:val="27F37477"/>
    <w:rsid w:val="27FA695E"/>
    <w:rsid w:val="280230C1"/>
    <w:rsid w:val="282D51B1"/>
    <w:rsid w:val="2834380A"/>
    <w:rsid w:val="284555D1"/>
    <w:rsid w:val="285C6DCA"/>
    <w:rsid w:val="2865480C"/>
    <w:rsid w:val="288B5901"/>
    <w:rsid w:val="28AC2ED9"/>
    <w:rsid w:val="28B0085E"/>
    <w:rsid w:val="28B67FF6"/>
    <w:rsid w:val="28B727C0"/>
    <w:rsid w:val="28C826B1"/>
    <w:rsid w:val="28D9666D"/>
    <w:rsid w:val="28EC1C18"/>
    <w:rsid w:val="28ED036A"/>
    <w:rsid w:val="28FA6DFA"/>
    <w:rsid w:val="28FD495D"/>
    <w:rsid w:val="290A15EB"/>
    <w:rsid w:val="290B259E"/>
    <w:rsid w:val="290C4C94"/>
    <w:rsid w:val="292A0397"/>
    <w:rsid w:val="292E22DB"/>
    <w:rsid w:val="293D4E4D"/>
    <w:rsid w:val="293D517A"/>
    <w:rsid w:val="29485BC7"/>
    <w:rsid w:val="29521B35"/>
    <w:rsid w:val="29664F15"/>
    <w:rsid w:val="296C046B"/>
    <w:rsid w:val="298B2D1C"/>
    <w:rsid w:val="29CE019B"/>
    <w:rsid w:val="29FD1C48"/>
    <w:rsid w:val="2A0E1B3D"/>
    <w:rsid w:val="2A41714D"/>
    <w:rsid w:val="2A463555"/>
    <w:rsid w:val="2A495A74"/>
    <w:rsid w:val="2A5E2FE1"/>
    <w:rsid w:val="2A7530F1"/>
    <w:rsid w:val="2A805BF1"/>
    <w:rsid w:val="2A8F6BFF"/>
    <w:rsid w:val="2A9047B8"/>
    <w:rsid w:val="2A994305"/>
    <w:rsid w:val="2A9A310D"/>
    <w:rsid w:val="2A9B417F"/>
    <w:rsid w:val="2A9F77C7"/>
    <w:rsid w:val="2AB46D34"/>
    <w:rsid w:val="2ADB491E"/>
    <w:rsid w:val="2AFA6513"/>
    <w:rsid w:val="2B083A98"/>
    <w:rsid w:val="2B1B15F8"/>
    <w:rsid w:val="2B1F098C"/>
    <w:rsid w:val="2B2863E5"/>
    <w:rsid w:val="2B3E1CB9"/>
    <w:rsid w:val="2B6F6908"/>
    <w:rsid w:val="2B8A00F2"/>
    <w:rsid w:val="2B96600A"/>
    <w:rsid w:val="2BC27D07"/>
    <w:rsid w:val="2BC64932"/>
    <w:rsid w:val="2BFC59F1"/>
    <w:rsid w:val="2C1B5EFF"/>
    <w:rsid w:val="2C212804"/>
    <w:rsid w:val="2C4C496C"/>
    <w:rsid w:val="2C5A7434"/>
    <w:rsid w:val="2C6C733C"/>
    <w:rsid w:val="2C7768C8"/>
    <w:rsid w:val="2C7E3BED"/>
    <w:rsid w:val="2CA37B48"/>
    <w:rsid w:val="2CAC10D1"/>
    <w:rsid w:val="2CBB40B0"/>
    <w:rsid w:val="2CC90714"/>
    <w:rsid w:val="2CCF4538"/>
    <w:rsid w:val="2CDE1CC0"/>
    <w:rsid w:val="2CFF5716"/>
    <w:rsid w:val="2D0363AE"/>
    <w:rsid w:val="2D077D44"/>
    <w:rsid w:val="2D0A7523"/>
    <w:rsid w:val="2D2446D2"/>
    <w:rsid w:val="2D3B78F6"/>
    <w:rsid w:val="2D416459"/>
    <w:rsid w:val="2D433BF3"/>
    <w:rsid w:val="2D442050"/>
    <w:rsid w:val="2D4F514F"/>
    <w:rsid w:val="2D6F705E"/>
    <w:rsid w:val="2D735A67"/>
    <w:rsid w:val="2D7E3C87"/>
    <w:rsid w:val="2D816F45"/>
    <w:rsid w:val="2D8C7E91"/>
    <w:rsid w:val="2DA60AE7"/>
    <w:rsid w:val="2DA95F68"/>
    <w:rsid w:val="2DB2592A"/>
    <w:rsid w:val="2DB8530D"/>
    <w:rsid w:val="2DC723D2"/>
    <w:rsid w:val="2DD65393"/>
    <w:rsid w:val="2E2A34C6"/>
    <w:rsid w:val="2E3D31FA"/>
    <w:rsid w:val="2E447669"/>
    <w:rsid w:val="2E612A58"/>
    <w:rsid w:val="2E7A5657"/>
    <w:rsid w:val="2EA8720E"/>
    <w:rsid w:val="2EAD20CC"/>
    <w:rsid w:val="2EBE2E75"/>
    <w:rsid w:val="2ECC3D6C"/>
    <w:rsid w:val="2ED254F7"/>
    <w:rsid w:val="2EF6514A"/>
    <w:rsid w:val="2F076D6F"/>
    <w:rsid w:val="2F0B4992"/>
    <w:rsid w:val="2F0B5006"/>
    <w:rsid w:val="2F274DDC"/>
    <w:rsid w:val="2F37547E"/>
    <w:rsid w:val="2F3905D5"/>
    <w:rsid w:val="2F717A0D"/>
    <w:rsid w:val="2F745341"/>
    <w:rsid w:val="2F751470"/>
    <w:rsid w:val="2F907D0E"/>
    <w:rsid w:val="2FA15A0A"/>
    <w:rsid w:val="2FA74A77"/>
    <w:rsid w:val="2FA84FEB"/>
    <w:rsid w:val="2FB01199"/>
    <w:rsid w:val="2FC83F51"/>
    <w:rsid w:val="2FD26CD6"/>
    <w:rsid w:val="2FF033B3"/>
    <w:rsid w:val="2FFD3161"/>
    <w:rsid w:val="30006BD5"/>
    <w:rsid w:val="300B5DC2"/>
    <w:rsid w:val="300D1068"/>
    <w:rsid w:val="301C58FE"/>
    <w:rsid w:val="30646B1C"/>
    <w:rsid w:val="307E2657"/>
    <w:rsid w:val="307E7C81"/>
    <w:rsid w:val="30892AC9"/>
    <w:rsid w:val="30947D9C"/>
    <w:rsid w:val="309777B1"/>
    <w:rsid w:val="309D06DC"/>
    <w:rsid w:val="30CE3D28"/>
    <w:rsid w:val="30D140CD"/>
    <w:rsid w:val="30E65DCB"/>
    <w:rsid w:val="30E932B9"/>
    <w:rsid w:val="310444A3"/>
    <w:rsid w:val="310615D0"/>
    <w:rsid w:val="310948F3"/>
    <w:rsid w:val="31206802"/>
    <w:rsid w:val="31314381"/>
    <w:rsid w:val="313B073B"/>
    <w:rsid w:val="31530A22"/>
    <w:rsid w:val="317E1BB3"/>
    <w:rsid w:val="31854F2D"/>
    <w:rsid w:val="31913A15"/>
    <w:rsid w:val="319A09C5"/>
    <w:rsid w:val="31CA09D5"/>
    <w:rsid w:val="31DB5927"/>
    <w:rsid w:val="31F2592D"/>
    <w:rsid w:val="31FC7249"/>
    <w:rsid w:val="3213237C"/>
    <w:rsid w:val="32166268"/>
    <w:rsid w:val="32236E83"/>
    <w:rsid w:val="323A39E7"/>
    <w:rsid w:val="323B29BE"/>
    <w:rsid w:val="323C7542"/>
    <w:rsid w:val="3242046E"/>
    <w:rsid w:val="32430FFB"/>
    <w:rsid w:val="324413ED"/>
    <w:rsid w:val="326C1BB1"/>
    <w:rsid w:val="32701D7C"/>
    <w:rsid w:val="327D62BB"/>
    <w:rsid w:val="328035B4"/>
    <w:rsid w:val="32992ECA"/>
    <w:rsid w:val="329A02B3"/>
    <w:rsid w:val="32C723F8"/>
    <w:rsid w:val="32D03B57"/>
    <w:rsid w:val="330728FF"/>
    <w:rsid w:val="331D0738"/>
    <w:rsid w:val="331F3F08"/>
    <w:rsid w:val="3329076F"/>
    <w:rsid w:val="332C0915"/>
    <w:rsid w:val="33316732"/>
    <w:rsid w:val="3335702F"/>
    <w:rsid w:val="33490893"/>
    <w:rsid w:val="33491B2B"/>
    <w:rsid w:val="33784CD4"/>
    <w:rsid w:val="338C34A7"/>
    <w:rsid w:val="339D4F1B"/>
    <w:rsid w:val="33A7456F"/>
    <w:rsid w:val="33B17D10"/>
    <w:rsid w:val="33C039F3"/>
    <w:rsid w:val="33D62126"/>
    <w:rsid w:val="33DE722D"/>
    <w:rsid w:val="33F76713"/>
    <w:rsid w:val="33FE342B"/>
    <w:rsid w:val="34000F51"/>
    <w:rsid w:val="340842AA"/>
    <w:rsid w:val="34140EA1"/>
    <w:rsid w:val="3437039D"/>
    <w:rsid w:val="34401195"/>
    <w:rsid w:val="345C52F5"/>
    <w:rsid w:val="34723A55"/>
    <w:rsid w:val="347432CA"/>
    <w:rsid w:val="347436ED"/>
    <w:rsid w:val="347C7960"/>
    <w:rsid w:val="34C04E88"/>
    <w:rsid w:val="34C90E81"/>
    <w:rsid w:val="34D75753"/>
    <w:rsid w:val="34EA747E"/>
    <w:rsid w:val="34F32864"/>
    <w:rsid w:val="34FF56AD"/>
    <w:rsid w:val="350B4EE9"/>
    <w:rsid w:val="352852D2"/>
    <w:rsid w:val="35301C7D"/>
    <w:rsid w:val="35307C3C"/>
    <w:rsid w:val="35425910"/>
    <w:rsid w:val="354345FC"/>
    <w:rsid w:val="35584DBD"/>
    <w:rsid w:val="355B5FC8"/>
    <w:rsid w:val="356433D9"/>
    <w:rsid w:val="356E638F"/>
    <w:rsid w:val="35703B55"/>
    <w:rsid w:val="357C3441"/>
    <w:rsid w:val="3598299F"/>
    <w:rsid w:val="359A4A0B"/>
    <w:rsid w:val="359D5252"/>
    <w:rsid w:val="35ED2424"/>
    <w:rsid w:val="35EF127D"/>
    <w:rsid w:val="3601582A"/>
    <w:rsid w:val="360820B7"/>
    <w:rsid w:val="361C7F25"/>
    <w:rsid w:val="362823DA"/>
    <w:rsid w:val="36392AAA"/>
    <w:rsid w:val="36504457"/>
    <w:rsid w:val="367B4148"/>
    <w:rsid w:val="36900CA6"/>
    <w:rsid w:val="36B26808"/>
    <w:rsid w:val="36B8215E"/>
    <w:rsid w:val="36BF45A1"/>
    <w:rsid w:val="36CC0F33"/>
    <w:rsid w:val="36FC4566"/>
    <w:rsid w:val="370B7BEE"/>
    <w:rsid w:val="37515F68"/>
    <w:rsid w:val="37681B68"/>
    <w:rsid w:val="377F4C3C"/>
    <w:rsid w:val="378F5D33"/>
    <w:rsid w:val="37985724"/>
    <w:rsid w:val="379C71E3"/>
    <w:rsid w:val="37B5046F"/>
    <w:rsid w:val="37BF218B"/>
    <w:rsid w:val="37C82ECD"/>
    <w:rsid w:val="37CD14B3"/>
    <w:rsid w:val="37D04FB9"/>
    <w:rsid w:val="37E43FEF"/>
    <w:rsid w:val="38025DF4"/>
    <w:rsid w:val="3817527A"/>
    <w:rsid w:val="381D7D1D"/>
    <w:rsid w:val="38200DCB"/>
    <w:rsid w:val="382A26EF"/>
    <w:rsid w:val="384314FF"/>
    <w:rsid w:val="38436591"/>
    <w:rsid w:val="38615B3F"/>
    <w:rsid w:val="38646BB0"/>
    <w:rsid w:val="38692915"/>
    <w:rsid w:val="38741F0E"/>
    <w:rsid w:val="38A26A7B"/>
    <w:rsid w:val="38A94937"/>
    <w:rsid w:val="38AB240A"/>
    <w:rsid w:val="38BE56C6"/>
    <w:rsid w:val="38D97832"/>
    <w:rsid w:val="38E55E71"/>
    <w:rsid w:val="38E935DB"/>
    <w:rsid w:val="38EB4819"/>
    <w:rsid w:val="38F5460B"/>
    <w:rsid w:val="39146C3C"/>
    <w:rsid w:val="391C09CE"/>
    <w:rsid w:val="392379BE"/>
    <w:rsid w:val="3942200C"/>
    <w:rsid w:val="395A4191"/>
    <w:rsid w:val="3960071B"/>
    <w:rsid w:val="397E0D19"/>
    <w:rsid w:val="39BD5722"/>
    <w:rsid w:val="39C03F88"/>
    <w:rsid w:val="39CA622A"/>
    <w:rsid w:val="39E20E94"/>
    <w:rsid w:val="39E430C3"/>
    <w:rsid w:val="3A06303A"/>
    <w:rsid w:val="3A156036"/>
    <w:rsid w:val="3A706705"/>
    <w:rsid w:val="3A877B68"/>
    <w:rsid w:val="3AA52853"/>
    <w:rsid w:val="3AC87B2B"/>
    <w:rsid w:val="3ACD4F63"/>
    <w:rsid w:val="3AD44EE6"/>
    <w:rsid w:val="3ADC26FC"/>
    <w:rsid w:val="3AE92EF2"/>
    <w:rsid w:val="3AF04419"/>
    <w:rsid w:val="3B243030"/>
    <w:rsid w:val="3B2C087E"/>
    <w:rsid w:val="3B2C4D22"/>
    <w:rsid w:val="3B2E64F5"/>
    <w:rsid w:val="3B497682"/>
    <w:rsid w:val="3B5A7D34"/>
    <w:rsid w:val="3B5C4823"/>
    <w:rsid w:val="3B602C1D"/>
    <w:rsid w:val="3B8566A9"/>
    <w:rsid w:val="3B9052B1"/>
    <w:rsid w:val="3B9C3260"/>
    <w:rsid w:val="3BA32A78"/>
    <w:rsid w:val="3BA66882"/>
    <w:rsid w:val="3BD847F6"/>
    <w:rsid w:val="3BE64ED1"/>
    <w:rsid w:val="3BE950C5"/>
    <w:rsid w:val="3BF15847"/>
    <w:rsid w:val="3C385555"/>
    <w:rsid w:val="3C452797"/>
    <w:rsid w:val="3C48242F"/>
    <w:rsid w:val="3C4D13F4"/>
    <w:rsid w:val="3C4E6BDF"/>
    <w:rsid w:val="3C5207B8"/>
    <w:rsid w:val="3C8D359E"/>
    <w:rsid w:val="3C8E62D0"/>
    <w:rsid w:val="3C99459C"/>
    <w:rsid w:val="3CAD59EE"/>
    <w:rsid w:val="3CB577DC"/>
    <w:rsid w:val="3CE358B4"/>
    <w:rsid w:val="3CE44398"/>
    <w:rsid w:val="3CED228F"/>
    <w:rsid w:val="3D0F04C0"/>
    <w:rsid w:val="3D2A3F03"/>
    <w:rsid w:val="3D3B57CD"/>
    <w:rsid w:val="3D594611"/>
    <w:rsid w:val="3D6D7CBA"/>
    <w:rsid w:val="3D8175A7"/>
    <w:rsid w:val="3D8D4180"/>
    <w:rsid w:val="3DA55459"/>
    <w:rsid w:val="3DB64500"/>
    <w:rsid w:val="3DC079A3"/>
    <w:rsid w:val="3DC56D68"/>
    <w:rsid w:val="3DCB0822"/>
    <w:rsid w:val="3DDD6685"/>
    <w:rsid w:val="3E2C671A"/>
    <w:rsid w:val="3E402B40"/>
    <w:rsid w:val="3E435DE7"/>
    <w:rsid w:val="3E5E18D4"/>
    <w:rsid w:val="3E66195E"/>
    <w:rsid w:val="3E8837E0"/>
    <w:rsid w:val="3E90381A"/>
    <w:rsid w:val="3EB43064"/>
    <w:rsid w:val="3ED90B09"/>
    <w:rsid w:val="3EE768AB"/>
    <w:rsid w:val="3F0B2EA0"/>
    <w:rsid w:val="3F142E3A"/>
    <w:rsid w:val="3F425250"/>
    <w:rsid w:val="3F485EA2"/>
    <w:rsid w:val="3F8E28E2"/>
    <w:rsid w:val="3F9E5AC2"/>
    <w:rsid w:val="3FDA19DC"/>
    <w:rsid w:val="3FE6509A"/>
    <w:rsid w:val="3FEB6F5A"/>
    <w:rsid w:val="3FF447B9"/>
    <w:rsid w:val="40073CB1"/>
    <w:rsid w:val="400A2976"/>
    <w:rsid w:val="400D40FB"/>
    <w:rsid w:val="40296AF8"/>
    <w:rsid w:val="405006D8"/>
    <w:rsid w:val="40531FA6"/>
    <w:rsid w:val="406D434D"/>
    <w:rsid w:val="406D5BC1"/>
    <w:rsid w:val="406E0DAD"/>
    <w:rsid w:val="408A71CE"/>
    <w:rsid w:val="40AD2461"/>
    <w:rsid w:val="40AD6163"/>
    <w:rsid w:val="40B91190"/>
    <w:rsid w:val="40BA66CD"/>
    <w:rsid w:val="40D21E6C"/>
    <w:rsid w:val="40D43E92"/>
    <w:rsid w:val="40D93256"/>
    <w:rsid w:val="40F05018"/>
    <w:rsid w:val="40F30ECD"/>
    <w:rsid w:val="40FE0F0E"/>
    <w:rsid w:val="41161732"/>
    <w:rsid w:val="411A1436"/>
    <w:rsid w:val="413D7FC0"/>
    <w:rsid w:val="417B255F"/>
    <w:rsid w:val="417D374A"/>
    <w:rsid w:val="418015D5"/>
    <w:rsid w:val="418132C2"/>
    <w:rsid w:val="41940C5E"/>
    <w:rsid w:val="41A009AA"/>
    <w:rsid w:val="41AA074E"/>
    <w:rsid w:val="41AE4A0A"/>
    <w:rsid w:val="41C55588"/>
    <w:rsid w:val="41D35EF7"/>
    <w:rsid w:val="41F525C5"/>
    <w:rsid w:val="42661737"/>
    <w:rsid w:val="42742392"/>
    <w:rsid w:val="428E7FDB"/>
    <w:rsid w:val="42950A96"/>
    <w:rsid w:val="42A0071B"/>
    <w:rsid w:val="42A14052"/>
    <w:rsid w:val="42A72EE0"/>
    <w:rsid w:val="42B307DD"/>
    <w:rsid w:val="42BE5EF8"/>
    <w:rsid w:val="42CB4E20"/>
    <w:rsid w:val="42DF70EC"/>
    <w:rsid w:val="42F13EF9"/>
    <w:rsid w:val="42F442C9"/>
    <w:rsid w:val="42FC3467"/>
    <w:rsid w:val="43236A0A"/>
    <w:rsid w:val="433F3032"/>
    <w:rsid w:val="43697F90"/>
    <w:rsid w:val="436A3675"/>
    <w:rsid w:val="43801AFE"/>
    <w:rsid w:val="43A01E09"/>
    <w:rsid w:val="43B753A5"/>
    <w:rsid w:val="43BA7AD7"/>
    <w:rsid w:val="43C55D14"/>
    <w:rsid w:val="43C74F1E"/>
    <w:rsid w:val="43D84759"/>
    <w:rsid w:val="43D946D7"/>
    <w:rsid w:val="43DD19F2"/>
    <w:rsid w:val="43E07EFE"/>
    <w:rsid w:val="44392CD7"/>
    <w:rsid w:val="443C5C6E"/>
    <w:rsid w:val="443E502D"/>
    <w:rsid w:val="444E7AB7"/>
    <w:rsid w:val="449A6E75"/>
    <w:rsid w:val="44A660D0"/>
    <w:rsid w:val="44AA6558"/>
    <w:rsid w:val="44BB54CB"/>
    <w:rsid w:val="44FB4555"/>
    <w:rsid w:val="45091347"/>
    <w:rsid w:val="45097306"/>
    <w:rsid w:val="45124F88"/>
    <w:rsid w:val="451F76A5"/>
    <w:rsid w:val="45314CB7"/>
    <w:rsid w:val="453A6A23"/>
    <w:rsid w:val="453B4A05"/>
    <w:rsid w:val="45603CCA"/>
    <w:rsid w:val="456F7DEA"/>
    <w:rsid w:val="458B6AE9"/>
    <w:rsid w:val="459D2CDC"/>
    <w:rsid w:val="45CC5137"/>
    <w:rsid w:val="45D230C7"/>
    <w:rsid w:val="45DB181E"/>
    <w:rsid w:val="45E25473"/>
    <w:rsid w:val="45F8515B"/>
    <w:rsid w:val="45F97E91"/>
    <w:rsid w:val="46050649"/>
    <w:rsid w:val="46222FA9"/>
    <w:rsid w:val="463960B3"/>
    <w:rsid w:val="46496045"/>
    <w:rsid w:val="465C31DE"/>
    <w:rsid w:val="46636CB2"/>
    <w:rsid w:val="46767799"/>
    <w:rsid w:val="467934F8"/>
    <w:rsid w:val="469C3FEF"/>
    <w:rsid w:val="46A20DF5"/>
    <w:rsid w:val="46A83A40"/>
    <w:rsid w:val="46AB61C5"/>
    <w:rsid w:val="46DC3AA0"/>
    <w:rsid w:val="46E7034F"/>
    <w:rsid w:val="46E7412F"/>
    <w:rsid w:val="47094169"/>
    <w:rsid w:val="47241AEF"/>
    <w:rsid w:val="475A3D15"/>
    <w:rsid w:val="476D644D"/>
    <w:rsid w:val="478E6941"/>
    <w:rsid w:val="47A70934"/>
    <w:rsid w:val="47B61F58"/>
    <w:rsid w:val="47BE4F54"/>
    <w:rsid w:val="47CC77D1"/>
    <w:rsid w:val="47E91A04"/>
    <w:rsid w:val="48060C81"/>
    <w:rsid w:val="481728B6"/>
    <w:rsid w:val="481903DC"/>
    <w:rsid w:val="48341D70"/>
    <w:rsid w:val="48352BE5"/>
    <w:rsid w:val="48601324"/>
    <w:rsid w:val="487D3DFF"/>
    <w:rsid w:val="487E3BB9"/>
    <w:rsid w:val="4896583C"/>
    <w:rsid w:val="48B23416"/>
    <w:rsid w:val="48B36094"/>
    <w:rsid w:val="48BA396D"/>
    <w:rsid w:val="48CD6A58"/>
    <w:rsid w:val="48CE3611"/>
    <w:rsid w:val="48D615A9"/>
    <w:rsid w:val="48DB796D"/>
    <w:rsid w:val="49003E49"/>
    <w:rsid w:val="4904108C"/>
    <w:rsid w:val="49061802"/>
    <w:rsid w:val="490813C0"/>
    <w:rsid w:val="491130C3"/>
    <w:rsid w:val="492434DC"/>
    <w:rsid w:val="493E46DD"/>
    <w:rsid w:val="49415E3C"/>
    <w:rsid w:val="494B6697"/>
    <w:rsid w:val="49507E2D"/>
    <w:rsid w:val="49723C33"/>
    <w:rsid w:val="49892ABF"/>
    <w:rsid w:val="49956F37"/>
    <w:rsid w:val="49C32CF5"/>
    <w:rsid w:val="49CE7914"/>
    <w:rsid w:val="49EC4860"/>
    <w:rsid w:val="49EE7A2A"/>
    <w:rsid w:val="49F2303F"/>
    <w:rsid w:val="49F90506"/>
    <w:rsid w:val="4A1A4DD7"/>
    <w:rsid w:val="4A2C15EC"/>
    <w:rsid w:val="4A307267"/>
    <w:rsid w:val="4A4726A0"/>
    <w:rsid w:val="4A4B6A96"/>
    <w:rsid w:val="4A5676C5"/>
    <w:rsid w:val="4A693776"/>
    <w:rsid w:val="4A8A663F"/>
    <w:rsid w:val="4A9057D9"/>
    <w:rsid w:val="4AC86B0B"/>
    <w:rsid w:val="4AD52CE0"/>
    <w:rsid w:val="4ADD3943"/>
    <w:rsid w:val="4AEB6468"/>
    <w:rsid w:val="4B223A4B"/>
    <w:rsid w:val="4B4F4CB2"/>
    <w:rsid w:val="4B571947"/>
    <w:rsid w:val="4B5E5C90"/>
    <w:rsid w:val="4BB9130B"/>
    <w:rsid w:val="4BC07D6D"/>
    <w:rsid w:val="4BC468B1"/>
    <w:rsid w:val="4BCA036B"/>
    <w:rsid w:val="4BE156B5"/>
    <w:rsid w:val="4BE21B40"/>
    <w:rsid w:val="4BEE249A"/>
    <w:rsid w:val="4BF0317E"/>
    <w:rsid w:val="4C0A13AD"/>
    <w:rsid w:val="4C0D0B95"/>
    <w:rsid w:val="4C21513C"/>
    <w:rsid w:val="4C6775B3"/>
    <w:rsid w:val="4C6C071C"/>
    <w:rsid w:val="4C7B34A5"/>
    <w:rsid w:val="4C936E06"/>
    <w:rsid w:val="4C9C20E5"/>
    <w:rsid w:val="4CA233B2"/>
    <w:rsid w:val="4CA24E44"/>
    <w:rsid w:val="4CA95044"/>
    <w:rsid w:val="4CBD5D32"/>
    <w:rsid w:val="4CED0DC7"/>
    <w:rsid w:val="4CEE62DB"/>
    <w:rsid w:val="4CF30211"/>
    <w:rsid w:val="4CFD651E"/>
    <w:rsid w:val="4D0B386F"/>
    <w:rsid w:val="4D236608"/>
    <w:rsid w:val="4D2505A4"/>
    <w:rsid w:val="4D5819A6"/>
    <w:rsid w:val="4D592D83"/>
    <w:rsid w:val="4D5C1497"/>
    <w:rsid w:val="4D6614CB"/>
    <w:rsid w:val="4D7F4451"/>
    <w:rsid w:val="4DCE4BCA"/>
    <w:rsid w:val="4E0B759E"/>
    <w:rsid w:val="4E105DDD"/>
    <w:rsid w:val="4E1F6036"/>
    <w:rsid w:val="4E2B543A"/>
    <w:rsid w:val="4E41223A"/>
    <w:rsid w:val="4E5941F2"/>
    <w:rsid w:val="4E696187"/>
    <w:rsid w:val="4E721165"/>
    <w:rsid w:val="4E764744"/>
    <w:rsid w:val="4E995740"/>
    <w:rsid w:val="4EA22FD6"/>
    <w:rsid w:val="4EBB333D"/>
    <w:rsid w:val="4EEE7EE9"/>
    <w:rsid w:val="4EF7422B"/>
    <w:rsid w:val="4F147BB7"/>
    <w:rsid w:val="4F1D6A04"/>
    <w:rsid w:val="4F3B1580"/>
    <w:rsid w:val="4F6B329B"/>
    <w:rsid w:val="4F905428"/>
    <w:rsid w:val="4F9B6548"/>
    <w:rsid w:val="4FE76945"/>
    <w:rsid w:val="500736FD"/>
    <w:rsid w:val="50100316"/>
    <w:rsid w:val="50304C03"/>
    <w:rsid w:val="505F30B9"/>
    <w:rsid w:val="50610B72"/>
    <w:rsid w:val="508B122D"/>
    <w:rsid w:val="50940A9E"/>
    <w:rsid w:val="50962F12"/>
    <w:rsid w:val="50A34F31"/>
    <w:rsid w:val="50BD4792"/>
    <w:rsid w:val="50BF11F1"/>
    <w:rsid w:val="50C77B70"/>
    <w:rsid w:val="50F9459E"/>
    <w:rsid w:val="50FE1161"/>
    <w:rsid w:val="510252AD"/>
    <w:rsid w:val="512C11D3"/>
    <w:rsid w:val="513534CB"/>
    <w:rsid w:val="514C35BA"/>
    <w:rsid w:val="514D03DE"/>
    <w:rsid w:val="51632D16"/>
    <w:rsid w:val="516721B8"/>
    <w:rsid w:val="516E699C"/>
    <w:rsid w:val="51824C05"/>
    <w:rsid w:val="518613B5"/>
    <w:rsid w:val="518A5306"/>
    <w:rsid w:val="51A30132"/>
    <w:rsid w:val="51A36383"/>
    <w:rsid w:val="51BD75E0"/>
    <w:rsid w:val="51E04D7D"/>
    <w:rsid w:val="51FE0445"/>
    <w:rsid w:val="51FF6894"/>
    <w:rsid w:val="52036385"/>
    <w:rsid w:val="520D5800"/>
    <w:rsid w:val="521E5743"/>
    <w:rsid w:val="521E5B87"/>
    <w:rsid w:val="52252A35"/>
    <w:rsid w:val="5229684F"/>
    <w:rsid w:val="52324044"/>
    <w:rsid w:val="52481132"/>
    <w:rsid w:val="52556A8E"/>
    <w:rsid w:val="525941F7"/>
    <w:rsid w:val="525A11D0"/>
    <w:rsid w:val="527C486D"/>
    <w:rsid w:val="528014E4"/>
    <w:rsid w:val="52923265"/>
    <w:rsid w:val="52AE35F5"/>
    <w:rsid w:val="52D66B95"/>
    <w:rsid w:val="52DF342B"/>
    <w:rsid w:val="52F024CE"/>
    <w:rsid w:val="52F61177"/>
    <w:rsid w:val="53041B9B"/>
    <w:rsid w:val="53312A7E"/>
    <w:rsid w:val="533A2D5A"/>
    <w:rsid w:val="534B7774"/>
    <w:rsid w:val="534E3EB8"/>
    <w:rsid w:val="534F73A8"/>
    <w:rsid w:val="535E4CFA"/>
    <w:rsid w:val="536C1D08"/>
    <w:rsid w:val="5371346F"/>
    <w:rsid w:val="537D4E5E"/>
    <w:rsid w:val="53862896"/>
    <w:rsid w:val="539420EC"/>
    <w:rsid w:val="53A15E20"/>
    <w:rsid w:val="53A45629"/>
    <w:rsid w:val="53A64F78"/>
    <w:rsid w:val="53B20260"/>
    <w:rsid w:val="53C03E02"/>
    <w:rsid w:val="53CA61A7"/>
    <w:rsid w:val="53D4535D"/>
    <w:rsid w:val="53F57E46"/>
    <w:rsid w:val="541E4C8F"/>
    <w:rsid w:val="54302D35"/>
    <w:rsid w:val="54327CAC"/>
    <w:rsid w:val="5453096B"/>
    <w:rsid w:val="54607796"/>
    <w:rsid w:val="546C6BBE"/>
    <w:rsid w:val="547308B7"/>
    <w:rsid w:val="54763601"/>
    <w:rsid w:val="54915321"/>
    <w:rsid w:val="549C3BA0"/>
    <w:rsid w:val="54AA6F8B"/>
    <w:rsid w:val="54CE7ECB"/>
    <w:rsid w:val="54DF1E2E"/>
    <w:rsid w:val="54F201FD"/>
    <w:rsid w:val="54F9581D"/>
    <w:rsid w:val="551B39E5"/>
    <w:rsid w:val="55206694"/>
    <w:rsid w:val="55307FD1"/>
    <w:rsid w:val="55360023"/>
    <w:rsid w:val="555549E1"/>
    <w:rsid w:val="5574072D"/>
    <w:rsid w:val="558E3B9C"/>
    <w:rsid w:val="55911EF9"/>
    <w:rsid w:val="559F6F42"/>
    <w:rsid w:val="55AD03B6"/>
    <w:rsid w:val="55C309A3"/>
    <w:rsid w:val="55CE4DE1"/>
    <w:rsid w:val="55D046BA"/>
    <w:rsid w:val="56095F34"/>
    <w:rsid w:val="561C0F0B"/>
    <w:rsid w:val="561D3333"/>
    <w:rsid w:val="562C1781"/>
    <w:rsid w:val="56535BFC"/>
    <w:rsid w:val="5664037E"/>
    <w:rsid w:val="56683C63"/>
    <w:rsid w:val="56705FB3"/>
    <w:rsid w:val="567C04B4"/>
    <w:rsid w:val="569F5991"/>
    <w:rsid w:val="56B04601"/>
    <w:rsid w:val="56B37C4E"/>
    <w:rsid w:val="56BA538D"/>
    <w:rsid w:val="56BF65F2"/>
    <w:rsid w:val="56C86ADA"/>
    <w:rsid w:val="56D73EE2"/>
    <w:rsid w:val="570203E9"/>
    <w:rsid w:val="570438C7"/>
    <w:rsid w:val="57044CE4"/>
    <w:rsid w:val="5713118C"/>
    <w:rsid w:val="571F7F84"/>
    <w:rsid w:val="57366DFD"/>
    <w:rsid w:val="57843511"/>
    <w:rsid w:val="57A53097"/>
    <w:rsid w:val="57AE6418"/>
    <w:rsid w:val="57C92055"/>
    <w:rsid w:val="57D840FC"/>
    <w:rsid w:val="57F93BFB"/>
    <w:rsid w:val="58097572"/>
    <w:rsid w:val="580C1D0B"/>
    <w:rsid w:val="58275552"/>
    <w:rsid w:val="582F1556"/>
    <w:rsid w:val="58324F0E"/>
    <w:rsid w:val="5836135E"/>
    <w:rsid w:val="58594D37"/>
    <w:rsid w:val="588E746D"/>
    <w:rsid w:val="589F481B"/>
    <w:rsid w:val="58A315BC"/>
    <w:rsid w:val="58DB276C"/>
    <w:rsid w:val="58F641C2"/>
    <w:rsid w:val="58FE1762"/>
    <w:rsid w:val="59015FD1"/>
    <w:rsid w:val="5910461E"/>
    <w:rsid w:val="591A2206"/>
    <w:rsid w:val="5920155D"/>
    <w:rsid w:val="592F59A3"/>
    <w:rsid w:val="59305431"/>
    <w:rsid w:val="59311EB5"/>
    <w:rsid w:val="59341EF9"/>
    <w:rsid w:val="59557E54"/>
    <w:rsid w:val="59626DD3"/>
    <w:rsid w:val="59645264"/>
    <w:rsid w:val="596516D3"/>
    <w:rsid w:val="59672AD2"/>
    <w:rsid w:val="596F28CC"/>
    <w:rsid w:val="59701683"/>
    <w:rsid w:val="59734651"/>
    <w:rsid w:val="59922628"/>
    <w:rsid w:val="59AA6AEB"/>
    <w:rsid w:val="59CD4F62"/>
    <w:rsid w:val="59E0274A"/>
    <w:rsid w:val="59E668A4"/>
    <w:rsid w:val="59F87C2A"/>
    <w:rsid w:val="59FB3DE5"/>
    <w:rsid w:val="5A1770F6"/>
    <w:rsid w:val="5A262620"/>
    <w:rsid w:val="5A8D4595"/>
    <w:rsid w:val="5ABC17C7"/>
    <w:rsid w:val="5AD3266C"/>
    <w:rsid w:val="5AE765C9"/>
    <w:rsid w:val="5AE825BC"/>
    <w:rsid w:val="5AF91420"/>
    <w:rsid w:val="5B0E1E02"/>
    <w:rsid w:val="5B563831"/>
    <w:rsid w:val="5B5764E9"/>
    <w:rsid w:val="5B583C22"/>
    <w:rsid w:val="5B6D0D13"/>
    <w:rsid w:val="5B73752C"/>
    <w:rsid w:val="5B7E56ED"/>
    <w:rsid w:val="5BAC2F25"/>
    <w:rsid w:val="5BAE1CBD"/>
    <w:rsid w:val="5BB413CA"/>
    <w:rsid w:val="5BB769A3"/>
    <w:rsid w:val="5BDE751B"/>
    <w:rsid w:val="5BE0108F"/>
    <w:rsid w:val="5BE020B6"/>
    <w:rsid w:val="5BE2700B"/>
    <w:rsid w:val="5BF22FC6"/>
    <w:rsid w:val="5C0A0310"/>
    <w:rsid w:val="5C1C6235"/>
    <w:rsid w:val="5C291CD6"/>
    <w:rsid w:val="5C3E7FB9"/>
    <w:rsid w:val="5C4C79FE"/>
    <w:rsid w:val="5C550A93"/>
    <w:rsid w:val="5C602626"/>
    <w:rsid w:val="5CBB785C"/>
    <w:rsid w:val="5CD530DD"/>
    <w:rsid w:val="5CDA59E5"/>
    <w:rsid w:val="5CE60D7D"/>
    <w:rsid w:val="5CE961C3"/>
    <w:rsid w:val="5CF05758"/>
    <w:rsid w:val="5D110E7F"/>
    <w:rsid w:val="5D1333C5"/>
    <w:rsid w:val="5D327B1E"/>
    <w:rsid w:val="5D335644"/>
    <w:rsid w:val="5D59186F"/>
    <w:rsid w:val="5D6E3541"/>
    <w:rsid w:val="5D853818"/>
    <w:rsid w:val="5D8604F9"/>
    <w:rsid w:val="5D8D2FA6"/>
    <w:rsid w:val="5D9E1657"/>
    <w:rsid w:val="5DBA7F3F"/>
    <w:rsid w:val="5DD13863"/>
    <w:rsid w:val="5DD46E27"/>
    <w:rsid w:val="5DE352BC"/>
    <w:rsid w:val="5DF459C6"/>
    <w:rsid w:val="5DFD2BBB"/>
    <w:rsid w:val="5E0E4ED4"/>
    <w:rsid w:val="5E231D6D"/>
    <w:rsid w:val="5E272AFC"/>
    <w:rsid w:val="5E4B613F"/>
    <w:rsid w:val="5ED15115"/>
    <w:rsid w:val="5EE27322"/>
    <w:rsid w:val="5F181807"/>
    <w:rsid w:val="5F183DED"/>
    <w:rsid w:val="5F1863C2"/>
    <w:rsid w:val="5F1C743F"/>
    <w:rsid w:val="5F20199D"/>
    <w:rsid w:val="5F2876A7"/>
    <w:rsid w:val="5F2B62A9"/>
    <w:rsid w:val="5F6A361C"/>
    <w:rsid w:val="5F724B4A"/>
    <w:rsid w:val="5F942D12"/>
    <w:rsid w:val="5FB66C13"/>
    <w:rsid w:val="5FB916A9"/>
    <w:rsid w:val="5FCA5213"/>
    <w:rsid w:val="5FD52B74"/>
    <w:rsid w:val="5FDC35AC"/>
    <w:rsid w:val="5FF00C77"/>
    <w:rsid w:val="5FF025E4"/>
    <w:rsid w:val="60065292"/>
    <w:rsid w:val="603032C3"/>
    <w:rsid w:val="603B4F3C"/>
    <w:rsid w:val="603C4E5C"/>
    <w:rsid w:val="604319E8"/>
    <w:rsid w:val="605D79B5"/>
    <w:rsid w:val="607C77C3"/>
    <w:rsid w:val="60857F4C"/>
    <w:rsid w:val="608B0DFC"/>
    <w:rsid w:val="608B370B"/>
    <w:rsid w:val="6096162D"/>
    <w:rsid w:val="60A46FF9"/>
    <w:rsid w:val="60AD137E"/>
    <w:rsid w:val="60B37500"/>
    <w:rsid w:val="60B46CDE"/>
    <w:rsid w:val="60B75483"/>
    <w:rsid w:val="60E750C3"/>
    <w:rsid w:val="60F65306"/>
    <w:rsid w:val="60F976FE"/>
    <w:rsid w:val="61043B5B"/>
    <w:rsid w:val="6108012D"/>
    <w:rsid w:val="6115669F"/>
    <w:rsid w:val="611C2FBF"/>
    <w:rsid w:val="61491ADD"/>
    <w:rsid w:val="614E5143"/>
    <w:rsid w:val="616301FF"/>
    <w:rsid w:val="616F5A41"/>
    <w:rsid w:val="6193411C"/>
    <w:rsid w:val="61AC42AE"/>
    <w:rsid w:val="61B95F4C"/>
    <w:rsid w:val="61D03DA9"/>
    <w:rsid w:val="61D10D05"/>
    <w:rsid w:val="61EA042B"/>
    <w:rsid w:val="62033C66"/>
    <w:rsid w:val="62286FE3"/>
    <w:rsid w:val="62533142"/>
    <w:rsid w:val="625B4B63"/>
    <w:rsid w:val="62620EA5"/>
    <w:rsid w:val="62636811"/>
    <w:rsid w:val="626F24C5"/>
    <w:rsid w:val="627008ED"/>
    <w:rsid w:val="62783CD3"/>
    <w:rsid w:val="628050E8"/>
    <w:rsid w:val="6286270E"/>
    <w:rsid w:val="629514C2"/>
    <w:rsid w:val="62DB7E9B"/>
    <w:rsid w:val="62E775FD"/>
    <w:rsid w:val="62F95A77"/>
    <w:rsid w:val="630176ED"/>
    <w:rsid w:val="63040DEB"/>
    <w:rsid w:val="630E7059"/>
    <w:rsid w:val="63217375"/>
    <w:rsid w:val="63292BEF"/>
    <w:rsid w:val="635A392B"/>
    <w:rsid w:val="637F4788"/>
    <w:rsid w:val="63864720"/>
    <w:rsid w:val="63956724"/>
    <w:rsid w:val="63BE035D"/>
    <w:rsid w:val="63CD698F"/>
    <w:rsid w:val="63E13192"/>
    <w:rsid w:val="63E92BFA"/>
    <w:rsid w:val="63EF496F"/>
    <w:rsid w:val="63F76755"/>
    <w:rsid w:val="640B407C"/>
    <w:rsid w:val="640E75F5"/>
    <w:rsid w:val="641165AA"/>
    <w:rsid w:val="641A3615"/>
    <w:rsid w:val="64570756"/>
    <w:rsid w:val="6457085E"/>
    <w:rsid w:val="64752137"/>
    <w:rsid w:val="6475642E"/>
    <w:rsid w:val="64924E6B"/>
    <w:rsid w:val="649E577B"/>
    <w:rsid w:val="64B047E8"/>
    <w:rsid w:val="64DF335C"/>
    <w:rsid w:val="64E673C8"/>
    <w:rsid w:val="64EA7169"/>
    <w:rsid w:val="64EC0FB4"/>
    <w:rsid w:val="64F174DC"/>
    <w:rsid w:val="65077AE2"/>
    <w:rsid w:val="652561BA"/>
    <w:rsid w:val="6526587D"/>
    <w:rsid w:val="652756F1"/>
    <w:rsid w:val="654308AD"/>
    <w:rsid w:val="654636A5"/>
    <w:rsid w:val="654752AE"/>
    <w:rsid w:val="654C1999"/>
    <w:rsid w:val="655F3EEF"/>
    <w:rsid w:val="65706372"/>
    <w:rsid w:val="657273FA"/>
    <w:rsid w:val="65817895"/>
    <w:rsid w:val="658B24C1"/>
    <w:rsid w:val="6596047E"/>
    <w:rsid w:val="65A71C4F"/>
    <w:rsid w:val="65A8745E"/>
    <w:rsid w:val="65AF7B26"/>
    <w:rsid w:val="65B44FAA"/>
    <w:rsid w:val="65C6174B"/>
    <w:rsid w:val="65DA3F3F"/>
    <w:rsid w:val="65E23342"/>
    <w:rsid w:val="65F91B21"/>
    <w:rsid w:val="65FB6053"/>
    <w:rsid w:val="660946E5"/>
    <w:rsid w:val="661070A1"/>
    <w:rsid w:val="662621EA"/>
    <w:rsid w:val="662D4C42"/>
    <w:rsid w:val="664A2373"/>
    <w:rsid w:val="664A70DE"/>
    <w:rsid w:val="665E1984"/>
    <w:rsid w:val="669347BE"/>
    <w:rsid w:val="66B2326C"/>
    <w:rsid w:val="66BB0C31"/>
    <w:rsid w:val="66E26104"/>
    <w:rsid w:val="67170922"/>
    <w:rsid w:val="671D602A"/>
    <w:rsid w:val="67230643"/>
    <w:rsid w:val="6727621A"/>
    <w:rsid w:val="6729121C"/>
    <w:rsid w:val="6750270F"/>
    <w:rsid w:val="6767777D"/>
    <w:rsid w:val="677B0314"/>
    <w:rsid w:val="67825B87"/>
    <w:rsid w:val="679147C6"/>
    <w:rsid w:val="67AE6075"/>
    <w:rsid w:val="67DC55A7"/>
    <w:rsid w:val="67FD18BB"/>
    <w:rsid w:val="68091D99"/>
    <w:rsid w:val="6816631A"/>
    <w:rsid w:val="68242759"/>
    <w:rsid w:val="683461D8"/>
    <w:rsid w:val="686A3AA5"/>
    <w:rsid w:val="686E53FD"/>
    <w:rsid w:val="68703350"/>
    <w:rsid w:val="687738E2"/>
    <w:rsid w:val="68A230E0"/>
    <w:rsid w:val="68A67612"/>
    <w:rsid w:val="68B27D65"/>
    <w:rsid w:val="68C5263E"/>
    <w:rsid w:val="68EB6D22"/>
    <w:rsid w:val="68F97578"/>
    <w:rsid w:val="69110F2F"/>
    <w:rsid w:val="6958090C"/>
    <w:rsid w:val="696C085C"/>
    <w:rsid w:val="698B1A33"/>
    <w:rsid w:val="699B706A"/>
    <w:rsid w:val="69A1722F"/>
    <w:rsid w:val="69A753F0"/>
    <w:rsid w:val="69F87808"/>
    <w:rsid w:val="69FD3C64"/>
    <w:rsid w:val="6A2E6FA9"/>
    <w:rsid w:val="6A572E84"/>
    <w:rsid w:val="6A5C726F"/>
    <w:rsid w:val="6A6634FD"/>
    <w:rsid w:val="6A706C4E"/>
    <w:rsid w:val="6A8E6EF3"/>
    <w:rsid w:val="6A9E2C97"/>
    <w:rsid w:val="6AA8565C"/>
    <w:rsid w:val="6AAE1415"/>
    <w:rsid w:val="6AB37038"/>
    <w:rsid w:val="6AC326FD"/>
    <w:rsid w:val="6AC74D6B"/>
    <w:rsid w:val="6ADA17F5"/>
    <w:rsid w:val="6AF24D0D"/>
    <w:rsid w:val="6B3057ED"/>
    <w:rsid w:val="6B3F7229"/>
    <w:rsid w:val="6B59743B"/>
    <w:rsid w:val="6B695DBE"/>
    <w:rsid w:val="6B7D44BE"/>
    <w:rsid w:val="6B7F3733"/>
    <w:rsid w:val="6B9722E9"/>
    <w:rsid w:val="6BA3608B"/>
    <w:rsid w:val="6BA73122"/>
    <w:rsid w:val="6BB834B8"/>
    <w:rsid w:val="6BBB4C02"/>
    <w:rsid w:val="6BEB000C"/>
    <w:rsid w:val="6C057A4F"/>
    <w:rsid w:val="6C321A9C"/>
    <w:rsid w:val="6C4904F9"/>
    <w:rsid w:val="6C675B9F"/>
    <w:rsid w:val="6C810D14"/>
    <w:rsid w:val="6C847851"/>
    <w:rsid w:val="6C8D3BBF"/>
    <w:rsid w:val="6CBD0EBC"/>
    <w:rsid w:val="6CD06CF5"/>
    <w:rsid w:val="6CD85898"/>
    <w:rsid w:val="6CDA4188"/>
    <w:rsid w:val="6CDD0059"/>
    <w:rsid w:val="6CDF4E4F"/>
    <w:rsid w:val="6CE26421"/>
    <w:rsid w:val="6CEE1F9C"/>
    <w:rsid w:val="6CF82BFD"/>
    <w:rsid w:val="6CFF1222"/>
    <w:rsid w:val="6D0F72C4"/>
    <w:rsid w:val="6D224A74"/>
    <w:rsid w:val="6D262AD0"/>
    <w:rsid w:val="6D572E2F"/>
    <w:rsid w:val="6D5D61C8"/>
    <w:rsid w:val="6D644DEA"/>
    <w:rsid w:val="6D697C12"/>
    <w:rsid w:val="6D7101EF"/>
    <w:rsid w:val="6D7A60D4"/>
    <w:rsid w:val="6D8671D0"/>
    <w:rsid w:val="6D9E51B6"/>
    <w:rsid w:val="6DB24583"/>
    <w:rsid w:val="6DC20A4A"/>
    <w:rsid w:val="6DC24EEE"/>
    <w:rsid w:val="6DD30EA9"/>
    <w:rsid w:val="6DDA21C1"/>
    <w:rsid w:val="6E0E3FC2"/>
    <w:rsid w:val="6E120BB4"/>
    <w:rsid w:val="6E12138B"/>
    <w:rsid w:val="6E126C6E"/>
    <w:rsid w:val="6E28165F"/>
    <w:rsid w:val="6E3000AA"/>
    <w:rsid w:val="6E4F6B06"/>
    <w:rsid w:val="6E612366"/>
    <w:rsid w:val="6E6E0BD2"/>
    <w:rsid w:val="6E7779D1"/>
    <w:rsid w:val="6E7A1325"/>
    <w:rsid w:val="6E7D3C18"/>
    <w:rsid w:val="6EB42461"/>
    <w:rsid w:val="6EC10552"/>
    <w:rsid w:val="6ECB7DD2"/>
    <w:rsid w:val="6F062BB9"/>
    <w:rsid w:val="6F1D72B1"/>
    <w:rsid w:val="6F1E0E23"/>
    <w:rsid w:val="6F1E66D4"/>
    <w:rsid w:val="6F2B7065"/>
    <w:rsid w:val="6F3D44BB"/>
    <w:rsid w:val="6F4E0E04"/>
    <w:rsid w:val="6F557240"/>
    <w:rsid w:val="6F5E0C80"/>
    <w:rsid w:val="6F60470D"/>
    <w:rsid w:val="6F6124E5"/>
    <w:rsid w:val="6F83245B"/>
    <w:rsid w:val="6F8A37EA"/>
    <w:rsid w:val="6F8C7562"/>
    <w:rsid w:val="6F9E21AC"/>
    <w:rsid w:val="6FA308E5"/>
    <w:rsid w:val="6FCD176A"/>
    <w:rsid w:val="6FEB0415"/>
    <w:rsid w:val="6FEB1E8D"/>
    <w:rsid w:val="70082960"/>
    <w:rsid w:val="700B67CD"/>
    <w:rsid w:val="702037C2"/>
    <w:rsid w:val="702A7989"/>
    <w:rsid w:val="70341DAF"/>
    <w:rsid w:val="70397CCC"/>
    <w:rsid w:val="703A5210"/>
    <w:rsid w:val="703C2C82"/>
    <w:rsid w:val="70481646"/>
    <w:rsid w:val="70696CC6"/>
    <w:rsid w:val="707017EA"/>
    <w:rsid w:val="70716758"/>
    <w:rsid w:val="707221D1"/>
    <w:rsid w:val="70840239"/>
    <w:rsid w:val="70852AFD"/>
    <w:rsid w:val="70890B3E"/>
    <w:rsid w:val="709E387E"/>
    <w:rsid w:val="709F3FB5"/>
    <w:rsid w:val="70AE0A30"/>
    <w:rsid w:val="70B77A6C"/>
    <w:rsid w:val="70BB31BE"/>
    <w:rsid w:val="70D3024E"/>
    <w:rsid w:val="7113524B"/>
    <w:rsid w:val="7121017E"/>
    <w:rsid w:val="71277ED3"/>
    <w:rsid w:val="71402523"/>
    <w:rsid w:val="71477B61"/>
    <w:rsid w:val="7155207D"/>
    <w:rsid w:val="715E6CDC"/>
    <w:rsid w:val="71644FCD"/>
    <w:rsid w:val="71750972"/>
    <w:rsid w:val="718902E9"/>
    <w:rsid w:val="71E5668C"/>
    <w:rsid w:val="71ED7B45"/>
    <w:rsid w:val="71EF7BFE"/>
    <w:rsid w:val="71F612B6"/>
    <w:rsid w:val="721C063A"/>
    <w:rsid w:val="72253C9E"/>
    <w:rsid w:val="72364DBA"/>
    <w:rsid w:val="72457E9C"/>
    <w:rsid w:val="724B58A5"/>
    <w:rsid w:val="72546E92"/>
    <w:rsid w:val="725C32F5"/>
    <w:rsid w:val="726059C5"/>
    <w:rsid w:val="72916071"/>
    <w:rsid w:val="72972D8D"/>
    <w:rsid w:val="72AA368A"/>
    <w:rsid w:val="72B62376"/>
    <w:rsid w:val="72BC7274"/>
    <w:rsid w:val="72CD2773"/>
    <w:rsid w:val="72CD3655"/>
    <w:rsid w:val="72D60EAF"/>
    <w:rsid w:val="72D65495"/>
    <w:rsid w:val="72D82FA5"/>
    <w:rsid w:val="72F07E08"/>
    <w:rsid w:val="7301621E"/>
    <w:rsid w:val="730C532F"/>
    <w:rsid w:val="731E1550"/>
    <w:rsid w:val="73352D41"/>
    <w:rsid w:val="733B41A6"/>
    <w:rsid w:val="7360384F"/>
    <w:rsid w:val="73724488"/>
    <w:rsid w:val="7374707A"/>
    <w:rsid w:val="73856C0D"/>
    <w:rsid w:val="738910EC"/>
    <w:rsid w:val="739013F2"/>
    <w:rsid w:val="73B75D00"/>
    <w:rsid w:val="73B82FEB"/>
    <w:rsid w:val="73C170C0"/>
    <w:rsid w:val="73ED4695"/>
    <w:rsid w:val="73F428A8"/>
    <w:rsid w:val="74251D33"/>
    <w:rsid w:val="743B1556"/>
    <w:rsid w:val="745032CB"/>
    <w:rsid w:val="745A7A16"/>
    <w:rsid w:val="74702B29"/>
    <w:rsid w:val="74796107"/>
    <w:rsid w:val="747B7BA5"/>
    <w:rsid w:val="747F58D1"/>
    <w:rsid w:val="74872E38"/>
    <w:rsid w:val="7487479C"/>
    <w:rsid w:val="74930891"/>
    <w:rsid w:val="749D2202"/>
    <w:rsid w:val="74DE3C4D"/>
    <w:rsid w:val="74E6074D"/>
    <w:rsid w:val="74EE0377"/>
    <w:rsid w:val="75243AE6"/>
    <w:rsid w:val="752E736B"/>
    <w:rsid w:val="755662E6"/>
    <w:rsid w:val="755F1656"/>
    <w:rsid w:val="75683D8D"/>
    <w:rsid w:val="756D0649"/>
    <w:rsid w:val="75750168"/>
    <w:rsid w:val="75996A06"/>
    <w:rsid w:val="75C459B8"/>
    <w:rsid w:val="75D27A20"/>
    <w:rsid w:val="75E1612D"/>
    <w:rsid w:val="76172871"/>
    <w:rsid w:val="761E2C40"/>
    <w:rsid w:val="76261C39"/>
    <w:rsid w:val="76460374"/>
    <w:rsid w:val="7650797D"/>
    <w:rsid w:val="76872831"/>
    <w:rsid w:val="769E7282"/>
    <w:rsid w:val="76B0199D"/>
    <w:rsid w:val="76BF7BA8"/>
    <w:rsid w:val="76C07AF1"/>
    <w:rsid w:val="76E11650"/>
    <w:rsid w:val="76F32D18"/>
    <w:rsid w:val="76FD32AE"/>
    <w:rsid w:val="76FD6F97"/>
    <w:rsid w:val="771802A1"/>
    <w:rsid w:val="771B11CB"/>
    <w:rsid w:val="77316E81"/>
    <w:rsid w:val="774E334F"/>
    <w:rsid w:val="774F1786"/>
    <w:rsid w:val="7767317B"/>
    <w:rsid w:val="779C7CA8"/>
    <w:rsid w:val="779E7561"/>
    <w:rsid w:val="779F1DFC"/>
    <w:rsid w:val="77AB3E88"/>
    <w:rsid w:val="77C910F6"/>
    <w:rsid w:val="77D2622F"/>
    <w:rsid w:val="77EC4224"/>
    <w:rsid w:val="781D42E6"/>
    <w:rsid w:val="785B1C6B"/>
    <w:rsid w:val="78664144"/>
    <w:rsid w:val="787178A1"/>
    <w:rsid w:val="789E20B4"/>
    <w:rsid w:val="78E0447A"/>
    <w:rsid w:val="78EE7F6D"/>
    <w:rsid w:val="78F10436"/>
    <w:rsid w:val="790E2D96"/>
    <w:rsid w:val="79215AE8"/>
    <w:rsid w:val="7922750B"/>
    <w:rsid w:val="793A6280"/>
    <w:rsid w:val="79470CC5"/>
    <w:rsid w:val="79573DF9"/>
    <w:rsid w:val="797006AC"/>
    <w:rsid w:val="798017B9"/>
    <w:rsid w:val="798219D5"/>
    <w:rsid w:val="79900F81"/>
    <w:rsid w:val="79C1605A"/>
    <w:rsid w:val="79FD2BF5"/>
    <w:rsid w:val="7A0337A5"/>
    <w:rsid w:val="7A1F0C10"/>
    <w:rsid w:val="7A2B3E1B"/>
    <w:rsid w:val="7A8809AF"/>
    <w:rsid w:val="7A884099"/>
    <w:rsid w:val="7A896674"/>
    <w:rsid w:val="7A8A7945"/>
    <w:rsid w:val="7AAA632D"/>
    <w:rsid w:val="7AB709C6"/>
    <w:rsid w:val="7AD15F82"/>
    <w:rsid w:val="7ADA3941"/>
    <w:rsid w:val="7AE035BA"/>
    <w:rsid w:val="7AE71AF0"/>
    <w:rsid w:val="7B086655"/>
    <w:rsid w:val="7B3C2F9A"/>
    <w:rsid w:val="7B4909FD"/>
    <w:rsid w:val="7B6829AA"/>
    <w:rsid w:val="7B9854E0"/>
    <w:rsid w:val="7BD954AF"/>
    <w:rsid w:val="7BDE2F09"/>
    <w:rsid w:val="7BE256C8"/>
    <w:rsid w:val="7BE61DA8"/>
    <w:rsid w:val="7BED75DA"/>
    <w:rsid w:val="7C224B62"/>
    <w:rsid w:val="7C2470D1"/>
    <w:rsid w:val="7C353417"/>
    <w:rsid w:val="7C3D1771"/>
    <w:rsid w:val="7C4E4324"/>
    <w:rsid w:val="7C53286F"/>
    <w:rsid w:val="7C66113B"/>
    <w:rsid w:val="7C99506C"/>
    <w:rsid w:val="7CBC01C6"/>
    <w:rsid w:val="7CE35CBD"/>
    <w:rsid w:val="7CE8757F"/>
    <w:rsid w:val="7CF63AFF"/>
    <w:rsid w:val="7D083940"/>
    <w:rsid w:val="7D3A4C1D"/>
    <w:rsid w:val="7D58555C"/>
    <w:rsid w:val="7D5A5B33"/>
    <w:rsid w:val="7D6531A0"/>
    <w:rsid w:val="7D6C6949"/>
    <w:rsid w:val="7D6D362A"/>
    <w:rsid w:val="7DA84E29"/>
    <w:rsid w:val="7DC44621"/>
    <w:rsid w:val="7DC516BB"/>
    <w:rsid w:val="7DD00CD2"/>
    <w:rsid w:val="7DFB58B2"/>
    <w:rsid w:val="7DFD0C42"/>
    <w:rsid w:val="7E0B2525"/>
    <w:rsid w:val="7E0E72E0"/>
    <w:rsid w:val="7E1218D7"/>
    <w:rsid w:val="7E1948A1"/>
    <w:rsid w:val="7E2412AD"/>
    <w:rsid w:val="7E271B1A"/>
    <w:rsid w:val="7E33329E"/>
    <w:rsid w:val="7E432633"/>
    <w:rsid w:val="7E4F632A"/>
    <w:rsid w:val="7E53011B"/>
    <w:rsid w:val="7E584AB3"/>
    <w:rsid w:val="7E5C3C91"/>
    <w:rsid w:val="7E5C45A3"/>
    <w:rsid w:val="7E67712E"/>
    <w:rsid w:val="7E6A6BA6"/>
    <w:rsid w:val="7E7713DD"/>
    <w:rsid w:val="7E773BAB"/>
    <w:rsid w:val="7E791E85"/>
    <w:rsid w:val="7E95264C"/>
    <w:rsid w:val="7EB97524"/>
    <w:rsid w:val="7EBE700C"/>
    <w:rsid w:val="7EC30AC6"/>
    <w:rsid w:val="7EC60B58"/>
    <w:rsid w:val="7EE051B1"/>
    <w:rsid w:val="7EFB0E4A"/>
    <w:rsid w:val="7EFE0548"/>
    <w:rsid w:val="7F0703CE"/>
    <w:rsid w:val="7F193857"/>
    <w:rsid w:val="7F460101"/>
    <w:rsid w:val="7F533672"/>
    <w:rsid w:val="7F5565A1"/>
    <w:rsid w:val="7F624CD3"/>
    <w:rsid w:val="7F631961"/>
    <w:rsid w:val="7F67392E"/>
    <w:rsid w:val="7F6C5237"/>
    <w:rsid w:val="7F7C245A"/>
    <w:rsid w:val="7FA66E49"/>
    <w:rsid w:val="7FAA791E"/>
    <w:rsid w:val="7FBF128D"/>
    <w:rsid w:val="7FD438C0"/>
    <w:rsid w:val="7FD86545"/>
    <w:rsid w:val="7FDB2DF4"/>
    <w:rsid w:val="7FDB6F9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仿宋_GB2312" w:eastAsia="仿宋_GB2312" w:cs="??"/>
      <w:kern w:val="2"/>
      <w:sz w:val="21"/>
      <w:szCs w:val="24"/>
      <w:lang w:val="en-US" w:eastAsia="zh-CN" w:bidi="ar-SA"/>
    </w:rPr>
  </w:style>
  <w:style w:type="paragraph" w:styleId="4">
    <w:name w:val="heading 1"/>
    <w:basedOn w:val="1"/>
    <w:next w:val="1"/>
    <w:link w:val="66"/>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link w:val="67"/>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68"/>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link w:val="69"/>
    <w:qFormat/>
    <w:uiPriority w:val="0"/>
    <w:pPr>
      <w:keepNext/>
      <w:keepLines/>
      <w:spacing w:line="360" w:lineRule="auto"/>
      <w:outlineLvl w:val="3"/>
    </w:pPr>
    <w:rPr>
      <w:rFonts w:ascii="Arial" w:hAnsi="Arial"/>
      <w:b/>
    </w:rPr>
  </w:style>
  <w:style w:type="paragraph" w:styleId="8">
    <w:name w:val="heading 5"/>
    <w:basedOn w:val="1"/>
    <w:next w:val="1"/>
    <w:link w:val="70"/>
    <w:qFormat/>
    <w:uiPriority w:val="0"/>
    <w:pPr>
      <w:keepNext/>
      <w:keepLines/>
      <w:spacing w:before="280" w:after="290" w:line="372" w:lineRule="auto"/>
      <w:outlineLvl w:val="4"/>
    </w:pPr>
    <w:rPr>
      <w:rFonts w:ascii="Calibri" w:hAnsi="Calibri"/>
      <w:b/>
      <w:bCs/>
      <w:sz w:val="28"/>
      <w:szCs w:val="28"/>
    </w:rPr>
  </w:style>
  <w:style w:type="paragraph" w:styleId="9">
    <w:name w:val="heading 6"/>
    <w:basedOn w:val="1"/>
    <w:next w:val="1"/>
    <w:link w:val="71"/>
    <w:qFormat/>
    <w:uiPriority w:val="0"/>
    <w:pPr>
      <w:keepNext/>
      <w:keepLines/>
      <w:spacing w:before="240" w:after="64" w:line="317" w:lineRule="auto"/>
      <w:outlineLvl w:val="5"/>
    </w:pPr>
    <w:rPr>
      <w:rFonts w:ascii="Cambria" w:hAnsi="Cambria"/>
      <w:b/>
      <w:bCs/>
      <w:sz w:val="24"/>
      <w:szCs w:val="24"/>
    </w:rPr>
  </w:style>
  <w:style w:type="paragraph" w:styleId="10">
    <w:name w:val="heading 7"/>
    <w:basedOn w:val="1"/>
    <w:next w:val="1"/>
    <w:link w:val="72"/>
    <w:qFormat/>
    <w:uiPriority w:val="0"/>
    <w:pPr>
      <w:keepNext/>
      <w:keepLines/>
      <w:spacing w:before="240" w:after="64" w:line="317" w:lineRule="auto"/>
      <w:outlineLvl w:val="6"/>
    </w:pPr>
    <w:rPr>
      <w:rFonts w:ascii="Calibri" w:hAnsi="Calibri"/>
      <w:b/>
      <w:bCs/>
      <w:sz w:val="24"/>
      <w:szCs w:val="24"/>
    </w:rPr>
  </w:style>
  <w:style w:type="paragraph" w:styleId="11">
    <w:name w:val="heading 8"/>
    <w:basedOn w:val="1"/>
    <w:next w:val="1"/>
    <w:link w:val="73"/>
    <w:qFormat/>
    <w:uiPriority w:val="0"/>
    <w:pPr>
      <w:keepNext/>
      <w:keepLines/>
      <w:spacing w:before="240" w:after="64" w:line="317" w:lineRule="auto"/>
      <w:outlineLvl w:val="7"/>
    </w:pPr>
    <w:rPr>
      <w:rFonts w:ascii="Cambria" w:hAnsi="Cambria"/>
      <w:sz w:val="24"/>
      <w:szCs w:val="24"/>
    </w:rPr>
  </w:style>
  <w:style w:type="paragraph" w:styleId="12">
    <w:name w:val="heading 9"/>
    <w:basedOn w:val="1"/>
    <w:next w:val="1"/>
    <w:link w:val="74"/>
    <w:qFormat/>
    <w:uiPriority w:val="0"/>
    <w:pPr>
      <w:keepNext/>
      <w:keepLines/>
      <w:spacing w:before="240" w:after="64" w:line="317" w:lineRule="auto"/>
      <w:outlineLvl w:val="8"/>
    </w:pPr>
    <w:rPr>
      <w:rFonts w:ascii="Cambria" w:hAnsi="Cambria"/>
      <w:szCs w:val="21"/>
    </w:rPr>
  </w:style>
  <w:style w:type="character" w:default="1" w:styleId="51">
    <w:name w:val="Default Paragraph Font"/>
    <w:qFormat/>
    <w:uiPriority w:val="0"/>
  </w:style>
  <w:style w:type="table" w:default="1" w:styleId="49">
    <w:name w:val="Normal Table"/>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customStyle="1" w:styleId="2">
    <w:name w:val="无间隔1"/>
    <w:basedOn w:val="3"/>
    <w:qFormat/>
    <w:uiPriority w:val="1"/>
    <w:pPr>
      <w:widowControl w:val="0"/>
      <w:spacing w:line="400" w:lineRule="exact"/>
      <w:ind w:firstLine="420" w:firstLineChars="200"/>
      <w:jc w:val="both"/>
    </w:pPr>
    <w:rPr>
      <w:rFonts w:ascii="Calibri" w:hAnsi="Calibri"/>
      <w:kern w:val="2"/>
      <w:sz w:val="24"/>
      <w:szCs w:val="24"/>
      <w:lang w:val="en-US" w:eastAsia="zh-CN" w:bidi="ar-SA"/>
    </w:rPr>
  </w:style>
  <w:style w:type="paragraph" w:customStyle="1" w:styleId="3">
    <w:name w:val="正文_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3">
    <w:name w:val="toc 7"/>
    <w:basedOn w:val="1"/>
    <w:next w:val="1"/>
    <w:qFormat/>
    <w:uiPriority w:val="39"/>
    <w:pPr>
      <w:ind w:left="2520" w:leftChars="1200"/>
    </w:pPr>
    <w:rPr>
      <w:szCs w:val="24"/>
    </w:rPr>
  </w:style>
  <w:style w:type="paragraph" w:styleId="14">
    <w:name w:val="Normal Indent"/>
    <w:basedOn w:val="1"/>
    <w:qFormat/>
    <w:uiPriority w:val="0"/>
    <w:pPr>
      <w:adjustRightInd w:val="0"/>
      <w:ind w:firstLine="420"/>
      <w:jc w:val="left"/>
      <w:textAlignment w:val="baseline"/>
    </w:pPr>
    <w:rPr>
      <w:rFonts w:eastAsia="楷体_GB2312"/>
      <w:sz w:val="24"/>
    </w:rPr>
  </w:style>
  <w:style w:type="paragraph" w:styleId="15">
    <w:name w:val="caption"/>
    <w:basedOn w:val="1"/>
    <w:next w:val="1"/>
    <w:qFormat/>
    <w:uiPriority w:val="0"/>
    <w:rPr>
      <w:rFonts w:ascii="Cambria" w:hAnsi="Cambria" w:eastAsia="黑体"/>
      <w:sz w:val="20"/>
    </w:rPr>
  </w:style>
  <w:style w:type="paragraph" w:styleId="16">
    <w:name w:val="index 5"/>
    <w:basedOn w:val="1"/>
    <w:next w:val="1"/>
    <w:qFormat/>
    <w:uiPriority w:val="0"/>
    <w:pPr>
      <w:widowControl w:val="0"/>
      <w:ind w:left="1680"/>
      <w:jc w:val="both"/>
    </w:pPr>
    <w:rPr>
      <w:rFonts w:ascii="仿宋_GB2312" w:hAnsi="Times New Roman" w:eastAsia="仿宋_GB2312" w:cs="Arial"/>
      <w:kern w:val="2"/>
      <w:sz w:val="32"/>
      <w:szCs w:val="32"/>
      <w:lang w:val="en-US" w:eastAsia="zh-CN" w:bidi="ar-SA"/>
    </w:rPr>
  </w:style>
  <w:style w:type="paragraph" w:styleId="17">
    <w:name w:val="Document Map"/>
    <w:basedOn w:val="1"/>
    <w:link w:val="75"/>
    <w:qFormat/>
    <w:uiPriority w:val="0"/>
    <w:pPr>
      <w:shd w:val="clear" w:color="auto" w:fill="000080"/>
    </w:pPr>
  </w:style>
  <w:style w:type="paragraph" w:styleId="18">
    <w:name w:val="annotation text"/>
    <w:basedOn w:val="1"/>
    <w:link w:val="76"/>
    <w:qFormat/>
    <w:uiPriority w:val="0"/>
    <w:pPr>
      <w:jc w:val="left"/>
    </w:pPr>
  </w:style>
  <w:style w:type="paragraph" w:styleId="19">
    <w:name w:val="Body Text 3"/>
    <w:basedOn w:val="1"/>
    <w:qFormat/>
    <w:uiPriority w:val="0"/>
    <w:pPr>
      <w:spacing w:after="120"/>
    </w:pPr>
    <w:rPr>
      <w:sz w:val="16"/>
      <w:szCs w:val="16"/>
    </w:rPr>
  </w:style>
  <w:style w:type="paragraph" w:styleId="20">
    <w:name w:val="Body Text"/>
    <w:basedOn w:val="1"/>
    <w:next w:val="21"/>
    <w:link w:val="77"/>
    <w:qFormat/>
    <w:uiPriority w:val="0"/>
    <w:pPr>
      <w:adjustRightInd w:val="0"/>
      <w:spacing w:after="60" w:line="360" w:lineRule="atLeast"/>
      <w:ind w:left="72" w:leftChars="30" w:right="30" w:rightChars="30"/>
      <w:jc w:val="center"/>
      <w:textAlignment w:val="baseline"/>
    </w:pPr>
    <w:rPr>
      <w:kern w:val="0"/>
      <w:sz w:val="20"/>
    </w:rPr>
  </w:style>
  <w:style w:type="paragraph" w:customStyle="1" w:styleId="21">
    <w:name w:val="style4"/>
    <w:basedOn w:val="22"/>
    <w:next w:val="24"/>
    <w:qFormat/>
    <w:uiPriority w:val="0"/>
    <w:pPr>
      <w:widowControl/>
      <w:autoSpaceDE/>
      <w:autoSpaceDN/>
      <w:spacing w:before="280" w:after="280" w:line="240" w:lineRule="auto"/>
      <w:ind w:left="0" w:firstLine="0"/>
      <w:jc w:val="both"/>
    </w:pPr>
    <w:rPr>
      <w:rFonts w:ascii="宋体" w:eastAsia="宋体"/>
      <w:sz w:val="18"/>
    </w:rPr>
  </w:style>
  <w:style w:type="paragraph" w:customStyle="1" w:styleId="22">
    <w:name w:val="Normal"/>
    <w:next w:val="23"/>
    <w:qFormat/>
    <w:uiPriority w:val="0"/>
    <w:pPr>
      <w:widowControl w:val="0"/>
      <w:jc w:val="both"/>
    </w:pPr>
    <w:rPr>
      <w:rFonts w:ascii="仿宋_GB2312" w:hAnsi="仿宋_GB2312" w:eastAsia="仿宋_GB2312" w:cs="??"/>
      <w:kern w:val="2"/>
      <w:sz w:val="21"/>
      <w:szCs w:val="24"/>
      <w:lang w:val="en-US" w:eastAsia="zh-CN" w:bidi="ar-SA"/>
    </w:rPr>
  </w:style>
  <w:style w:type="paragraph" w:styleId="23">
    <w:name w:val="Body Text First Indent"/>
    <w:basedOn w:val="20"/>
    <w:next w:val="1"/>
    <w:qFormat/>
    <w:uiPriority w:val="0"/>
    <w:pPr>
      <w:adjustRightInd/>
      <w:spacing w:after="120" w:line="240" w:lineRule="auto"/>
      <w:ind w:left="0" w:leftChars="0" w:right="0" w:rightChars="0" w:firstLine="420" w:firstLineChars="100"/>
      <w:jc w:val="both"/>
      <w:textAlignment w:val="auto"/>
    </w:pPr>
  </w:style>
  <w:style w:type="paragraph" w:customStyle="1" w:styleId="24">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25">
    <w:name w:val="Body Text Indent"/>
    <w:basedOn w:val="1"/>
    <w:qFormat/>
    <w:uiPriority w:val="0"/>
    <w:pPr>
      <w:spacing w:after="120" w:afterLines="0" w:afterAutospacing="0"/>
      <w:ind w:left="420" w:leftChars="200"/>
    </w:pPr>
  </w:style>
  <w:style w:type="paragraph" w:styleId="26">
    <w:name w:val="index 4"/>
    <w:basedOn w:val="1"/>
    <w:next w:val="1"/>
    <w:qFormat/>
    <w:uiPriority w:val="0"/>
    <w:pPr>
      <w:ind w:left="600" w:leftChars="600"/>
    </w:pPr>
    <w:rPr>
      <w:szCs w:val="24"/>
    </w:rPr>
  </w:style>
  <w:style w:type="paragraph" w:styleId="27">
    <w:name w:val="toc 5"/>
    <w:basedOn w:val="1"/>
    <w:next w:val="1"/>
    <w:qFormat/>
    <w:uiPriority w:val="39"/>
    <w:pPr>
      <w:ind w:left="1680" w:leftChars="800"/>
    </w:pPr>
    <w:rPr>
      <w:szCs w:val="24"/>
    </w:rPr>
  </w:style>
  <w:style w:type="paragraph" w:styleId="28">
    <w:name w:val="toc 3"/>
    <w:basedOn w:val="1"/>
    <w:next w:val="1"/>
    <w:qFormat/>
    <w:uiPriority w:val="39"/>
    <w:pPr>
      <w:tabs>
        <w:tab w:val="right" w:leader="dot" w:pos="9060"/>
      </w:tabs>
      <w:ind w:left="540" w:leftChars="257" w:firstLine="1"/>
    </w:pPr>
  </w:style>
  <w:style w:type="paragraph" w:styleId="29">
    <w:name w:val="Plain Text"/>
    <w:basedOn w:val="1"/>
    <w:next w:val="20"/>
    <w:qFormat/>
    <w:uiPriority w:val="0"/>
    <w:rPr>
      <w:rFonts w:ascii="宋体" w:hAnsi="Courier New"/>
    </w:rPr>
  </w:style>
  <w:style w:type="paragraph" w:styleId="30">
    <w:name w:val="toc 8"/>
    <w:basedOn w:val="1"/>
    <w:next w:val="1"/>
    <w:qFormat/>
    <w:uiPriority w:val="39"/>
    <w:pPr>
      <w:ind w:left="2940" w:leftChars="1400"/>
    </w:pPr>
    <w:rPr>
      <w:szCs w:val="24"/>
    </w:rPr>
  </w:style>
  <w:style w:type="paragraph" w:styleId="31">
    <w:name w:val="Date"/>
    <w:basedOn w:val="1"/>
    <w:next w:val="1"/>
    <w:link w:val="78"/>
    <w:qFormat/>
    <w:uiPriority w:val="0"/>
    <w:pPr>
      <w:ind w:left="100" w:leftChars="2500"/>
    </w:pPr>
    <w:rPr>
      <w:sz w:val="28"/>
    </w:rPr>
  </w:style>
  <w:style w:type="paragraph" w:styleId="32">
    <w:name w:val="Body Text Indent 2"/>
    <w:basedOn w:val="1"/>
    <w:qFormat/>
    <w:uiPriority w:val="0"/>
    <w:pPr>
      <w:spacing w:after="120" w:afterLines="0" w:afterAutospacing="0" w:line="480" w:lineRule="auto"/>
      <w:ind w:left="420" w:leftChars="200"/>
    </w:pPr>
  </w:style>
  <w:style w:type="paragraph" w:styleId="33">
    <w:name w:val="Balloon Text"/>
    <w:basedOn w:val="1"/>
    <w:link w:val="79"/>
    <w:qFormat/>
    <w:uiPriority w:val="0"/>
    <w:rPr>
      <w:sz w:val="18"/>
      <w:szCs w:val="18"/>
    </w:rPr>
  </w:style>
  <w:style w:type="paragraph" w:styleId="34">
    <w:name w:val="footer"/>
    <w:basedOn w:val="1"/>
    <w:link w:val="80"/>
    <w:qFormat/>
    <w:uiPriority w:val="0"/>
    <w:pPr>
      <w:tabs>
        <w:tab w:val="center" w:pos="4153"/>
        <w:tab w:val="right" w:pos="8306"/>
      </w:tabs>
      <w:snapToGrid w:val="0"/>
      <w:jc w:val="left"/>
    </w:pPr>
    <w:rPr>
      <w:sz w:val="18"/>
    </w:rPr>
  </w:style>
  <w:style w:type="paragraph" w:styleId="35">
    <w:name w:val="envelope return"/>
    <w:basedOn w:val="1"/>
    <w:qFormat/>
    <w:uiPriority w:val="0"/>
    <w:pPr>
      <w:snapToGrid w:val="0"/>
    </w:pPr>
    <w:rPr>
      <w:rFonts w:ascii="Arial" w:hAnsi="Arial"/>
    </w:rPr>
  </w:style>
  <w:style w:type="paragraph" w:styleId="36">
    <w:name w:val="header"/>
    <w:basedOn w:val="1"/>
    <w:link w:val="8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39"/>
  </w:style>
  <w:style w:type="paragraph" w:styleId="38">
    <w:name w:val="toc 4"/>
    <w:basedOn w:val="1"/>
    <w:next w:val="1"/>
    <w:qFormat/>
    <w:uiPriority w:val="39"/>
    <w:pPr>
      <w:ind w:left="1260" w:leftChars="600"/>
    </w:pPr>
    <w:rPr>
      <w:szCs w:val="24"/>
    </w:rPr>
  </w:style>
  <w:style w:type="paragraph" w:styleId="39">
    <w:name w:val="Subtitle"/>
    <w:basedOn w:val="1"/>
    <w:next w:val="1"/>
    <w:link w:val="82"/>
    <w:qFormat/>
    <w:uiPriority w:val="0"/>
    <w:pPr>
      <w:spacing w:before="240" w:after="60" w:line="312" w:lineRule="auto"/>
      <w:jc w:val="center"/>
      <w:outlineLvl w:val="1"/>
    </w:pPr>
    <w:rPr>
      <w:rFonts w:ascii="Cambria" w:hAnsi="Cambria"/>
      <w:b/>
      <w:kern w:val="28"/>
      <w:sz w:val="32"/>
    </w:rPr>
  </w:style>
  <w:style w:type="paragraph" w:styleId="40">
    <w:name w:val="toc 6"/>
    <w:basedOn w:val="1"/>
    <w:next w:val="1"/>
    <w:qFormat/>
    <w:uiPriority w:val="39"/>
    <w:pPr>
      <w:spacing w:line="240" w:lineRule="exact"/>
      <w:ind w:left="71" w:leftChars="34" w:firstLine="1"/>
    </w:pPr>
    <w:rPr>
      <w:szCs w:val="24"/>
    </w:rPr>
  </w:style>
  <w:style w:type="paragraph" w:styleId="41">
    <w:name w:val="Body Text Indent 3"/>
    <w:basedOn w:val="1"/>
    <w:qFormat/>
    <w:uiPriority w:val="0"/>
    <w:pPr>
      <w:ind w:firstLine="420" w:firstLineChars="200"/>
    </w:pPr>
    <w:rPr>
      <w:rFonts w:ascii="宋体" w:hAnsi="宋体"/>
    </w:rPr>
  </w:style>
  <w:style w:type="paragraph" w:styleId="42">
    <w:name w:val="toc 2"/>
    <w:basedOn w:val="1"/>
    <w:next w:val="1"/>
    <w:qFormat/>
    <w:uiPriority w:val="39"/>
    <w:pPr>
      <w:ind w:left="420" w:leftChars="200"/>
    </w:pPr>
  </w:style>
  <w:style w:type="paragraph" w:styleId="43">
    <w:name w:val="toc 9"/>
    <w:basedOn w:val="1"/>
    <w:next w:val="1"/>
    <w:qFormat/>
    <w:uiPriority w:val="39"/>
    <w:pPr>
      <w:ind w:left="3360" w:leftChars="1600"/>
    </w:pPr>
    <w:rPr>
      <w:szCs w:val="24"/>
    </w:rPr>
  </w:style>
  <w:style w:type="paragraph" w:styleId="44">
    <w:name w:val="Body Text 2"/>
    <w:basedOn w:val="1"/>
    <w:next w:val="1"/>
    <w:qFormat/>
    <w:uiPriority w:val="0"/>
    <w:pPr>
      <w:spacing w:line="500" w:lineRule="exact"/>
      <w:jc w:val="center"/>
    </w:pPr>
    <w:rPr>
      <w:rFonts w:hAnsi="宋体" w:eastAsia="方正小标宋_GBK"/>
      <w:spacing w:val="-20"/>
      <w:sz w:val="44"/>
    </w:rPr>
  </w:style>
  <w:style w:type="paragraph" w:styleId="45">
    <w:name w:val="Normal (Web)"/>
    <w:basedOn w:val="1"/>
    <w:qFormat/>
    <w:uiPriority w:val="99"/>
    <w:pPr>
      <w:widowControl/>
      <w:spacing w:before="100" w:beforeLines="0" w:beforeAutospacing="1" w:after="100" w:afterLines="0" w:afterAutospacing="1"/>
      <w:jc w:val="left"/>
    </w:pPr>
    <w:rPr>
      <w:rFonts w:hint="eastAsia" w:ascii="宋体" w:hAnsi="宋体"/>
      <w:kern w:val="0"/>
      <w:sz w:val="24"/>
    </w:rPr>
  </w:style>
  <w:style w:type="paragraph" w:styleId="46">
    <w:name w:val="Title"/>
    <w:basedOn w:val="1"/>
    <w:link w:val="83"/>
    <w:qFormat/>
    <w:uiPriority w:val="0"/>
    <w:pPr>
      <w:spacing w:before="120" w:after="60"/>
      <w:jc w:val="center"/>
    </w:pPr>
    <w:rPr>
      <w:rFonts w:ascii="Arial" w:hAnsi="Arial"/>
      <w:b/>
      <w:sz w:val="44"/>
    </w:rPr>
  </w:style>
  <w:style w:type="paragraph" w:styleId="47">
    <w:name w:val="annotation subject"/>
    <w:basedOn w:val="18"/>
    <w:next w:val="18"/>
    <w:link w:val="84"/>
    <w:qFormat/>
    <w:uiPriority w:val="0"/>
    <w:rPr>
      <w:rFonts w:ascii="宋体"/>
      <w:b/>
      <w:kern w:val="0"/>
      <w:sz w:val="28"/>
    </w:rPr>
  </w:style>
  <w:style w:type="paragraph" w:styleId="48">
    <w:name w:val="Body Text First Indent 2"/>
    <w:basedOn w:val="25"/>
    <w:qFormat/>
    <w:uiPriority w:val="0"/>
    <w:pPr>
      <w:numPr>
        <w:ilvl w:val="0"/>
        <w:numId w:val="0"/>
      </w:numPr>
      <w:spacing w:after="120"/>
    </w:pPr>
  </w:style>
  <w:style w:type="table" w:styleId="50">
    <w:name w:val="Table Grid"/>
    <w:basedOn w:val="4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qFormat/>
    <w:uiPriority w:val="0"/>
    <w:rPr>
      <w:b/>
      <w:bCs/>
    </w:rPr>
  </w:style>
  <w:style w:type="character" w:styleId="53">
    <w:name w:val="page number"/>
    <w:basedOn w:val="51"/>
    <w:qFormat/>
    <w:uiPriority w:val="0"/>
  </w:style>
  <w:style w:type="character" w:styleId="54">
    <w:name w:val="FollowedHyperlink"/>
    <w:basedOn w:val="51"/>
    <w:qFormat/>
    <w:uiPriority w:val="0"/>
    <w:rPr>
      <w:color w:val="800080"/>
      <w:u w:val="none"/>
    </w:rPr>
  </w:style>
  <w:style w:type="character" w:styleId="55">
    <w:name w:val="Emphasis"/>
    <w:qFormat/>
    <w:uiPriority w:val="0"/>
    <w:rPr>
      <w:rFonts w:cs="Times New Roman"/>
      <w:i/>
    </w:rPr>
  </w:style>
  <w:style w:type="character" w:styleId="56">
    <w:name w:val="HTML Definition"/>
    <w:basedOn w:val="51"/>
    <w:qFormat/>
    <w:uiPriority w:val="0"/>
  </w:style>
  <w:style w:type="character" w:styleId="57">
    <w:name w:val="HTML Typewriter"/>
    <w:basedOn w:val="51"/>
    <w:qFormat/>
    <w:uiPriority w:val="0"/>
    <w:rPr>
      <w:rFonts w:hint="default" w:ascii="monospace" w:hAnsi="monospace" w:eastAsia="monospace" w:cs="monospace"/>
      <w:sz w:val="20"/>
    </w:rPr>
  </w:style>
  <w:style w:type="character" w:styleId="58">
    <w:name w:val="HTML Acronym"/>
    <w:basedOn w:val="51"/>
    <w:qFormat/>
    <w:uiPriority w:val="0"/>
  </w:style>
  <w:style w:type="character" w:styleId="59">
    <w:name w:val="HTML Variable"/>
    <w:basedOn w:val="51"/>
    <w:qFormat/>
    <w:uiPriority w:val="0"/>
  </w:style>
  <w:style w:type="character" w:styleId="60">
    <w:name w:val="Hyperlink"/>
    <w:basedOn w:val="51"/>
    <w:qFormat/>
    <w:uiPriority w:val="99"/>
    <w:rPr>
      <w:color w:val="0000FF"/>
      <w:u w:val="none"/>
    </w:rPr>
  </w:style>
  <w:style w:type="character" w:styleId="61">
    <w:name w:val="HTML Code"/>
    <w:basedOn w:val="51"/>
    <w:qFormat/>
    <w:uiPriority w:val="0"/>
    <w:rPr>
      <w:rFonts w:ascii="monospace" w:hAnsi="monospace" w:eastAsia="monospace" w:cs="monospace"/>
      <w:sz w:val="20"/>
    </w:rPr>
  </w:style>
  <w:style w:type="character" w:styleId="62">
    <w:name w:val="annotation reference"/>
    <w:qFormat/>
    <w:uiPriority w:val="0"/>
    <w:rPr>
      <w:rFonts w:cs="Times New Roman"/>
      <w:sz w:val="21"/>
    </w:rPr>
  </w:style>
  <w:style w:type="character" w:styleId="63">
    <w:name w:val="HTML Cite"/>
    <w:basedOn w:val="51"/>
    <w:qFormat/>
    <w:uiPriority w:val="0"/>
  </w:style>
  <w:style w:type="character" w:styleId="64">
    <w:name w:val="HTML Keyboard"/>
    <w:basedOn w:val="51"/>
    <w:qFormat/>
    <w:uiPriority w:val="0"/>
    <w:rPr>
      <w:rFonts w:hint="default" w:ascii="monospace" w:hAnsi="monospace" w:eastAsia="monospace" w:cs="monospace"/>
      <w:sz w:val="20"/>
    </w:rPr>
  </w:style>
  <w:style w:type="character" w:styleId="65">
    <w:name w:val="HTML Sample"/>
    <w:basedOn w:val="51"/>
    <w:qFormat/>
    <w:uiPriority w:val="0"/>
    <w:rPr>
      <w:rFonts w:hint="default" w:ascii="monospace" w:hAnsi="monospace" w:eastAsia="monospace" w:cs="monospace"/>
    </w:rPr>
  </w:style>
  <w:style w:type="character" w:customStyle="1" w:styleId="66">
    <w:name w:val="标题 1 Char"/>
    <w:link w:val="4"/>
    <w:qFormat/>
    <w:uiPriority w:val="0"/>
    <w:rPr>
      <w:rFonts w:eastAsia="宋体"/>
      <w:b/>
      <w:kern w:val="44"/>
      <w:sz w:val="44"/>
      <w:lang w:val="en-US" w:eastAsia="zh-CN" w:bidi="ar-SA"/>
    </w:rPr>
  </w:style>
  <w:style w:type="character" w:customStyle="1" w:styleId="67">
    <w:name w:val="标题 2 Char"/>
    <w:link w:val="5"/>
    <w:qFormat/>
    <w:uiPriority w:val="0"/>
    <w:rPr>
      <w:rFonts w:ascii="Arial" w:hAnsi="Arial" w:eastAsia="黑体"/>
      <w:b/>
      <w:kern w:val="2"/>
      <w:sz w:val="32"/>
      <w:lang w:val="en-US" w:eastAsia="zh-CN"/>
    </w:rPr>
  </w:style>
  <w:style w:type="character" w:customStyle="1" w:styleId="68">
    <w:name w:val="标题 3 Char"/>
    <w:link w:val="6"/>
    <w:qFormat/>
    <w:uiPriority w:val="0"/>
    <w:rPr>
      <w:rFonts w:eastAsia="宋体"/>
      <w:b/>
      <w:kern w:val="2"/>
      <w:sz w:val="32"/>
      <w:lang w:val="en-US" w:eastAsia="zh-CN"/>
    </w:rPr>
  </w:style>
  <w:style w:type="character" w:customStyle="1" w:styleId="69">
    <w:name w:val="标题 4 Char"/>
    <w:link w:val="7"/>
    <w:qFormat/>
    <w:uiPriority w:val="0"/>
    <w:rPr>
      <w:rFonts w:ascii="Arial" w:hAnsi="Arial" w:eastAsia="宋体"/>
      <w:b/>
      <w:kern w:val="2"/>
      <w:sz w:val="21"/>
      <w:lang w:val="en-US" w:eastAsia="zh-CN"/>
    </w:rPr>
  </w:style>
  <w:style w:type="character" w:customStyle="1" w:styleId="70">
    <w:name w:val="标题 5 Char"/>
    <w:link w:val="8"/>
    <w:qFormat/>
    <w:locked/>
    <w:uiPriority w:val="0"/>
    <w:rPr>
      <w:rFonts w:ascii="Calibri" w:hAnsi="Calibri" w:eastAsia="宋体"/>
      <w:b/>
      <w:bCs/>
      <w:kern w:val="2"/>
      <w:sz w:val="28"/>
      <w:szCs w:val="28"/>
      <w:lang w:val="en-US" w:eastAsia="zh-CN" w:bidi="ar-SA"/>
    </w:rPr>
  </w:style>
  <w:style w:type="character" w:customStyle="1" w:styleId="71">
    <w:name w:val="标题 6 Char"/>
    <w:link w:val="9"/>
    <w:qFormat/>
    <w:locked/>
    <w:uiPriority w:val="0"/>
    <w:rPr>
      <w:rFonts w:ascii="Cambria" w:hAnsi="Cambria" w:eastAsia="宋体"/>
      <w:b/>
      <w:bCs/>
      <w:kern w:val="2"/>
      <w:sz w:val="24"/>
      <w:szCs w:val="24"/>
      <w:lang w:val="en-US" w:eastAsia="zh-CN" w:bidi="ar-SA"/>
    </w:rPr>
  </w:style>
  <w:style w:type="character" w:customStyle="1" w:styleId="72">
    <w:name w:val="标题 7 Char"/>
    <w:link w:val="10"/>
    <w:qFormat/>
    <w:locked/>
    <w:uiPriority w:val="0"/>
    <w:rPr>
      <w:rFonts w:ascii="Calibri" w:hAnsi="Calibri" w:eastAsia="宋体"/>
      <w:b/>
      <w:bCs/>
      <w:kern w:val="2"/>
      <w:sz w:val="24"/>
      <w:szCs w:val="24"/>
      <w:lang w:val="en-US" w:eastAsia="zh-CN" w:bidi="ar-SA"/>
    </w:rPr>
  </w:style>
  <w:style w:type="character" w:customStyle="1" w:styleId="73">
    <w:name w:val="标题 8 Char"/>
    <w:link w:val="11"/>
    <w:qFormat/>
    <w:locked/>
    <w:uiPriority w:val="0"/>
    <w:rPr>
      <w:rFonts w:ascii="Cambria" w:hAnsi="Cambria" w:eastAsia="宋体"/>
      <w:kern w:val="2"/>
      <w:sz w:val="24"/>
      <w:szCs w:val="24"/>
      <w:lang w:val="en-US" w:eastAsia="zh-CN" w:bidi="ar-SA"/>
    </w:rPr>
  </w:style>
  <w:style w:type="character" w:customStyle="1" w:styleId="74">
    <w:name w:val="标题 9 Char"/>
    <w:link w:val="12"/>
    <w:qFormat/>
    <w:locked/>
    <w:uiPriority w:val="0"/>
    <w:rPr>
      <w:rFonts w:ascii="Cambria" w:hAnsi="Cambria" w:eastAsia="宋体"/>
      <w:kern w:val="2"/>
      <w:sz w:val="21"/>
      <w:szCs w:val="21"/>
      <w:lang w:val="en-US" w:eastAsia="zh-CN" w:bidi="ar-SA"/>
    </w:rPr>
  </w:style>
  <w:style w:type="character" w:customStyle="1" w:styleId="75">
    <w:name w:val="文档结构图 Char"/>
    <w:link w:val="17"/>
    <w:qFormat/>
    <w:locked/>
    <w:uiPriority w:val="0"/>
    <w:rPr>
      <w:rFonts w:eastAsia="宋体"/>
      <w:kern w:val="2"/>
      <w:sz w:val="21"/>
      <w:lang w:val="en-US" w:eastAsia="zh-CN" w:bidi="ar-SA"/>
    </w:rPr>
  </w:style>
  <w:style w:type="character" w:customStyle="1" w:styleId="76">
    <w:name w:val="批注文字 Char"/>
    <w:link w:val="18"/>
    <w:qFormat/>
    <w:locked/>
    <w:uiPriority w:val="0"/>
    <w:rPr>
      <w:rFonts w:eastAsia="宋体"/>
      <w:kern w:val="2"/>
      <w:sz w:val="21"/>
      <w:lang w:val="en-US" w:eastAsia="zh-CN" w:bidi="ar-SA"/>
    </w:rPr>
  </w:style>
  <w:style w:type="character" w:customStyle="1" w:styleId="77">
    <w:name w:val="正文文本 Char"/>
    <w:link w:val="20"/>
    <w:qFormat/>
    <w:locked/>
    <w:uiPriority w:val="0"/>
    <w:rPr>
      <w:lang w:bidi="ar-SA"/>
    </w:rPr>
  </w:style>
  <w:style w:type="character" w:customStyle="1" w:styleId="78">
    <w:name w:val="日期 Char"/>
    <w:link w:val="31"/>
    <w:qFormat/>
    <w:locked/>
    <w:uiPriority w:val="0"/>
    <w:rPr>
      <w:rFonts w:eastAsia="宋体"/>
      <w:kern w:val="2"/>
      <w:sz w:val="28"/>
      <w:lang w:val="en-US" w:eastAsia="zh-CN" w:bidi="ar-SA"/>
    </w:rPr>
  </w:style>
  <w:style w:type="character" w:customStyle="1" w:styleId="79">
    <w:name w:val="批注框文本 Char"/>
    <w:link w:val="33"/>
    <w:qFormat/>
    <w:locked/>
    <w:uiPriority w:val="0"/>
    <w:rPr>
      <w:rFonts w:eastAsia="宋体"/>
      <w:kern w:val="2"/>
      <w:sz w:val="18"/>
      <w:szCs w:val="18"/>
      <w:lang w:val="en-US" w:eastAsia="zh-CN" w:bidi="ar-SA"/>
    </w:rPr>
  </w:style>
  <w:style w:type="character" w:customStyle="1" w:styleId="80">
    <w:name w:val="页脚 Char"/>
    <w:link w:val="34"/>
    <w:qFormat/>
    <w:locked/>
    <w:uiPriority w:val="0"/>
    <w:rPr>
      <w:rFonts w:eastAsia="宋体"/>
      <w:kern w:val="2"/>
      <w:sz w:val="18"/>
      <w:lang w:val="en-US" w:eastAsia="zh-CN" w:bidi="ar-SA"/>
    </w:rPr>
  </w:style>
  <w:style w:type="character" w:customStyle="1" w:styleId="81">
    <w:name w:val="页眉 Char"/>
    <w:link w:val="36"/>
    <w:qFormat/>
    <w:locked/>
    <w:uiPriority w:val="0"/>
    <w:rPr>
      <w:rFonts w:eastAsia="宋体"/>
      <w:kern w:val="2"/>
      <w:sz w:val="18"/>
      <w:lang w:val="en-US" w:eastAsia="zh-CN" w:bidi="ar-SA"/>
    </w:rPr>
  </w:style>
  <w:style w:type="character" w:customStyle="1" w:styleId="82">
    <w:name w:val="副标题 Char"/>
    <w:link w:val="39"/>
    <w:qFormat/>
    <w:locked/>
    <w:uiPriority w:val="0"/>
    <w:rPr>
      <w:rFonts w:ascii="Cambria" w:hAnsi="Cambria"/>
      <w:b/>
      <w:kern w:val="28"/>
      <w:sz w:val="32"/>
      <w:lang w:bidi="ar-SA"/>
    </w:rPr>
  </w:style>
  <w:style w:type="character" w:customStyle="1" w:styleId="83">
    <w:name w:val="标题 Char"/>
    <w:link w:val="46"/>
    <w:qFormat/>
    <w:uiPriority w:val="0"/>
    <w:rPr>
      <w:rFonts w:ascii="Arial" w:hAnsi="Arial" w:eastAsia="宋体"/>
      <w:b/>
      <w:kern w:val="2"/>
      <w:sz w:val="44"/>
      <w:lang w:val="en-US" w:eastAsia="zh-CN" w:bidi="ar-SA"/>
    </w:rPr>
  </w:style>
  <w:style w:type="character" w:customStyle="1" w:styleId="84">
    <w:name w:val="批注主题 Char"/>
    <w:link w:val="47"/>
    <w:qFormat/>
    <w:locked/>
    <w:uiPriority w:val="0"/>
    <w:rPr>
      <w:rFonts w:ascii="宋体"/>
      <w:b/>
      <w:sz w:val="28"/>
      <w:lang w:bidi="ar-SA"/>
    </w:rPr>
  </w:style>
  <w:style w:type="paragraph" w:customStyle="1" w:styleId="85">
    <w:name w:val="正文（缩进）"/>
    <w:basedOn w:val="1"/>
    <w:qFormat/>
    <w:uiPriority w:val="0"/>
    <w:pPr>
      <w:spacing w:before="156" w:after="156"/>
      <w:ind w:firstLine="480" w:firstLineChars="200"/>
    </w:pPr>
  </w:style>
  <w:style w:type="paragraph" w:customStyle="1" w:styleId="86">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87">
    <w:name w:val="Default"/>
    <w:basedOn w:val="29"/>
    <w:qFormat/>
    <w:uiPriority w:val="0"/>
    <w:pPr>
      <w:widowControl w:val="0"/>
      <w:autoSpaceDE w:val="0"/>
      <w:autoSpaceDN w:val="0"/>
      <w:adjustRightInd w:val="0"/>
    </w:pPr>
    <w:rPr>
      <w:rFonts w:ascii="宋体"/>
      <w:color w:val="000000"/>
      <w:sz w:val="24"/>
      <w:lang w:val="en-US" w:eastAsia="zh-CN" w:bidi="ar-SA"/>
    </w:rPr>
  </w:style>
  <w:style w:type="paragraph" w:customStyle="1" w:styleId="88">
    <w:name w:val="大标题"/>
    <w:basedOn w:val="1"/>
    <w:next w:val="48"/>
    <w:qFormat/>
    <w:uiPriority w:val="0"/>
    <w:pPr>
      <w:jc w:val="center"/>
    </w:pPr>
    <w:rPr>
      <w:rFonts w:ascii="Arial" w:hAnsi="Arial"/>
      <w:b/>
      <w:sz w:val="28"/>
    </w:rPr>
  </w:style>
  <w:style w:type="paragraph" w:customStyle="1" w:styleId="89">
    <w:name w:val="样式 宋体 行距: 1.5 倍行距1"/>
    <w:basedOn w:val="1"/>
    <w:qFormat/>
    <w:uiPriority w:val="0"/>
    <w:pPr>
      <w:widowControl w:val="0"/>
      <w:spacing w:after="0" w:line="360" w:lineRule="auto"/>
      <w:ind w:firstLine="560" w:firstLineChars="200"/>
      <w:jc w:val="both"/>
    </w:pPr>
    <w:rPr>
      <w:rFonts w:ascii="宋体" w:hAnsi="宋体" w:eastAsia="宋体" w:cs="宋体"/>
      <w:kern w:val="2"/>
      <w:szCs w:val="24"/>
      <w:lang w:eastAsia="zh-CN" w:bidi="ar-SA"/>
    </w:rPr>
  </w:style>
  <w:style w:type="character" w:customStyle="1" w:styleId="90">
    <w:name w:val=" Char Char8"/>
    <w:qFormat/>
    <w:locked/>
    <w:uiPriority w:val="0"/>
    <w:rPr>
      <w:rFonts w:eastAsia="宋体"/>
      <w:kern w:val="2"/>
      <w:sz w:val="18"/>
      <w:lang w:val="en-US" w:eastAsia="zh-CN" w:bidi="ar-SA"/>
    </w:rPr>
  </w:style>
  <w:style w:type="character" w:customStyle="1" w:styleId="91">
    <w:name w:val=" Char Char16"/>
    <w:qFormat/>
    <w:uiPriority w:val="0"/>
    <w:rPr>
      <w:rFonts w:eastAsia="宋体"/>
      <w:b/>
      <w:kern w:val="2"/>
      <w:sz w:val="32"/>
      <w:lang w:val="en-US" w:eastAsia="zh-CN"/>
    </w:rPr>
  </w:style>
  <w:style w:type="character" w:customStyle="1" w:styleId="92">
    <w:name w:val="Intense Emphasis"/>
    <w:qFormat/>
    <w:uiPriority w:val="0"/>
    <w:rPr>
      <w:rFonts w:cs="Times New Roman"/>
      <w:b/>
      <w:i/>
      <w:color w:val="4F81BD"/>
    </w:rPr>
  </w:style>
  <w:style w:type="character" w:customStyle="1" w:styleId="93">
    <w:name w:val=" Char Char4"/>
    <w:qFormat/>
    <w:locked/>
    <w:uiPriority w:val="0"/>
    <w:rPr>
      <w:rFonts w:eastAsia="宋体"/>
      <w:kern w:val="2"/>
      <w:sz w:val="18"/>
      <w:szCs w:val="18"/>
      <w:lang w:val="en-US" w:eastAsia="zh-CN" w:bidi="ar-SA"/>
    </w:rPr>
  </w:style>
  <w:style w:type="character" w:customStyle="1" w:styleId="94">
    <w:name w:val="明显引用 Char"/>
    <w:link w:val="95"/>
    <w:qFormat/>
    <w:uiPriority w:val="0"/>
    <w:rPr>
      <w:b/>
      <w:bCs/>
      <w:i/>
      <w:iCs/>
      <w:color w:val="4F81BD"/>
      <w:kern w:val="2"/>
      <w:sz w:val="21"/>
      <w:szCs w:val="22"/>
    </w:rPr>
  </w:style>
  <w:style w:type="paragraph" w:styleId="95">
    <w:name w:val="Intense Quote"/>
    <w:basedOn w:val="1"/>
    <w:next w:val="1"/>
    <w:link w:val="94"/>
    <w:qFormat/>
    <w:uiPriority w:val="0"/>
    <w:pPr>
      <w:pBdr>
        <w:bottom w:val="single" w:color="4F81BD" w:sz="4" w:space="4"/>
      </w:pBdr>
      <w:spacing w:before="200" w:after="280"/>
      <w:ind w:left="936" w:right="936"/>
    </w:pPr>
    <w:rPr>
      <w:b/>
      <w:bCs/>
      <w:i/>
      <w:iCs/>
      <w:color w:val="4F81BD"/>
      <w:szCs w:val="22"/>
    </w:rPr>
  </w:style>
  <w:style w:type="character" w:customStyle="1" w:styleId="96">
    <w:name w:val=" Char Char17"/>
    <w:qFormat/>
    <w:uiPriority w:val="0"/>
    <w:rPr>
      <w:rFonts w:ascii="Arial" w:hAnsi="Arial" w:eastAsia="黑体"/>
      <w:b/>
      <w:kern w:val="2"/>
      <w:sz w:val="32"/>
      <w:lang w:val="en-US" w:eastAsia="zh-CN"/>
    </w:rPr>
  </w:style>
  <w:style w:type="character" w:customStyle="1" w:styleId="97">
    <w:name w:val="正文文本 Char1"/>
    <w:qFormat/>
    <w:uiPriority w:val="0"/>
    <w:rPr>
      <w:kern w:val="2"/>
      <w:sz w:val="22"/>
    </w:rPr>
  </w:style>
  <w:style w:type="character" w:customStyle="1" w:styleId="98">
    <w:name w:val=" Char Char13"/>
    <w:qFormat/>
    <w:locked/>
    <w:uiPriority w:val="0"/>
    <w:rPr>
      <w:rFonts w:ascii="Cambria" w:hAnsi="Cambria" w:eastAsia="宋体"/>
      <w:b/>
      <w:bCs/>
      <w:kern w:val="2"/>
      <w:sz w:val="24"/>
      <w:szCs w:val="24"/>
      <w:lang w:val="en-US" w:eastAsia="zh-CN" w:bidi="ar-SA"/>
    </w:rPr>
  </w:style>
  <w:style w:type="character" w:customStyle="1" w:styleId="99">
    <w:name w:val=" Char Char18"/>
    <w:qFormat/>
    <w:uiPriority w:val="0"/>
    <w:rPr>
      <w:rFonts w:eastAsia="宋体"/>
      <w:b/>
      <w:kern w:val="44"/>
      <w:sz w:val="44"/>
      <w:lang w:val="en-US" w:eastAsia="zh-CN" w:bidi="ar-SA"/>
    </w:rPr>
  </w:style>
  <w:style w:type="character" w:customStyle="1" w:styleId="100">
    <w:name w:val="Title Char1"/>
    <w:qFormat/>
    <w:locked/>
    <w:uiPriority w:val="0"/>
    <w:rPr>
      <w:rFonts w:ascii="Cambria" w:hAnsi="Cambria" w:cs="Times New Roman"/>
      <w:b/>
      <w:bCs/>
      <w:sz w:val="32"/>
      <w:szCs w:val="32"/>
    </w:rPr>
  </w:style>
  <w:style w:type="character" w:customStyle="1" w:styleId="101">
    <w:name w:val=" Char Char10"/>
    <w:qFormat/>
    <w:locked/>
    <w:uiPriority w:val="0"/>
    <w:rPr>
      <w:rFonts w:ascii="Cambria" w:hAnsi="Cambria" w:eastAsia="宋体"/>
      <w:kern w:val="2"/>
      <w:sz w:val="21"/>
      <w:szCs w:val="21"/>
      <w:lang w:val="en-US" w:eastAsia="zh-CN" w:bidi="ar-SA"/>
    </w:rPr>
  </w:style>
  <w:style w:type="character" w:customStyle="1" w:styleId="102">
    <w:name w:val="文档结构图 Char1"/>
    <w:qFormat/>
    <w:uiPriority w:val="0"/>
    <w:rPr>
      <w:rFonts w:ascii="宋体"/>
      <w:kern w:val="2"/>
      <w:sz w:val="18"/>
    </w:rPr>
  </w:style>
  <w:style w:type="character" w:customStyle="1" w:styleId="103">
    <w:name w:val=" Char Char9"/>
    <w:qFormat/>
    <w:locked/>
    <w:uiPriority w:val="0"/>
    <w:rPr>
      <w:rFonts w:eastAsia="宋体"/>
      <w:kern w:val="2"/>
      <w:sz w:val="28"/>
      <w:lang w:val="en-US" w:eastAsia="zh-CN" w:bidi="ar-SA"/>
    </w:rPr>
  </w:style>
  <w:style w:type="character" w:customStyle="1" w:styleId="104">
    <w:name w:val="标题 Char1"/>
    <w:qFormat/>
    <w:uiPriority w:val="10"/>
    <w:rPr>
      <w:rFonts w:ascii="Cambria" w:hAnsi="Cambria" w:cs="Times New Roman"/>
      <w:b/>
      <w:bCs/>
      <w:kern w:val="2"/>
      <w:sz w:val="32"/>
      <w:szCs w:val="32"/>
    </w:rPr>
  </w:style>
  <w:style w:type="character" w:customStyle="1" w:styleId="105">
    <w:name w:val=" Char Char5"/>
    <w:qFormat/>
    <w:locked/>
    <w:uiPriority w:val="0"/>
    <w:rPr>
      <w:rFonts w:eastAsia="宋体"/>
      <w:kern w:val="2"/>
      <w:sz w:val="21"/>
      <w:lang w:val="en-US" w:eastAsia="zh-CN" w:bidi="ar-SA"/>
    </w:rPr>
  </w:style>
  <w:style w:type="character" w:customStyle="1" w:styleId="106">
    <w:name w:val=" Char Char12"/>
    <w:qFormat/>
    <w:locked/>
    <w:uiPriority w:val="0"/>
    <w:rPr>
      <w:rFonts w:ascii="Calibri" w:hAnsi="Calibri" w:eastAsia="宋体"/>
      <w:b/>
      <w:bCs/>
      <w:kern w:val="2"/>
      <w:sz w:val="24"/>
      <w:szCs w:val="24"/>
      <w:lang w:val="en-US" w:eastAsia="zh-CN" w:bidi="ar-SA"/>
    </w:rPr>
  </w:style>
  <w:style w:type="character" w:customStyle="1" w:styleId="107">
    <w:name w:val="标题5 Char Char"/>
    <w:link w:val="108"/>
    <w:qFormat/>
    <w:locked/>
    <w:uiPriority w:val="0"/>
    <w:rPr>
      <w:rFonts w:ascii="Arial" w:hAnsi="Arial"/>
      <w:b/>
      <w:sz w:val="32"/>
      <w:lang w:bidi="ar-SA"/>
    </w:rPr>
  </w:style>
  <w:style w:type="paragraph" w:customStyle="1" w:styleId="108">
    <w:name w:val="标题5"/>
    <w:basedOn w:val="6"/>
    <w:link w:val="107"/>
    <w:qFormat/>
    <w:uiPriority w:val="0"/>
    <w:rPr>
      <w:rFonts w:ascii="Arial" w:hAnsi="Arial"/>
      <w:kern w:val="0"/>
    </w:rPr>
  </w:style>
  <w:style w:type="character" w:customStyle="1" w:styleId="109">
    <w:name w:val="Subtle Emphasis"/>
    <w:qFormat/>
    <w:uiPriority w:val="0"/>
    <w:rPr>
      <w:rFonts w:cs="Times New Roman"/>
      <w:i/>
      <w:color w:val="808080"/>
    </w:rPr>
  </w:style>
  <w:style w:type="character" w:customStyle="1" w:styleId="110">
    <w:name w:val=" Char Char15"/>
    <w:qFormat/>
    <w:uiPriority w:val="0"/>
    <w:rPr>
      <w:rFonts w:ascii="Arial" w:hAnsi="Arial" w:eastAsia="宋体"/>
      <w:b/>
      <w:kern w:val="2"/>
      <w:sz w:val="21"/>
      <w:lang w:val="en-US" w:eastAsia="zh-CN"/>
    </w:rPr>
  </w:style>
  <w:style w:type="character" w:customStyle="1" w:styleId="111">
    <w:name w:val="批注框文本 Char1"/>
    <w:qFormat/>
    <w:uiPriority w:val="0"/>
    <w:rPr>
      <w:kern w:val="2"/>
      <w:sz w:val="18"/>
    </w:rPr>
  </w:style>
  <w:style w:type="character" w:customStyle="1" w:styleId="112">
    <w:name w:val="_Style 109"/>
    <w:qFormat/>
    <w:uiPriority w:val="0"/>
    <w:rPr>
      <w:i/>
      <w:iCs/>
      <w:color w:val="808080"/>
    </w:rPr>
  </w:style>
  <w:style w:type="character" w:customStyle="1" w:styleId="113">
    <w:name w:val="Quote Char"/>
    <w:link w:val="114"/>
    <w:qFormat/>
    <w:locked/>
    <w:uiPriority w:val="0"/>
    <w:rPr>
      <w:i/>
      <w:color w:val="000000"/>
      <w:kern w:val="2"/>
      <w:sz w:val="22"/>
      <w:lang w:bidi="ar-SA"/>
    </w:rPr>
  </w:style>
  <w:style w:type="paragraph" w:customStyle="1" w:styleId="114">
    <w:name w:val="Quote1"/>
    <w:basedOn w:val="1"/>
    <w:next w:val="1"/>
    <w:link w:val="113"/>
    <w:qFormat/>
    <w:uiPriority w:val="0"/>
    <w:rPr>
      <w:i/>
      <w:color w:val="000000"/>
      <w:sz w:val="22"/>
    </w:rPr>
  </w:style>
  <w:style w:type="character" w:customStyle="1" w:styleId="115">
    <w:name w:val=" Char Char3"/>
    <w:qFormat/>
    <w:uiPriority w:val="0"/>
    <w:rPr>
      <w:rFonts w:ascii="Arial" w:hAnsi="Arial" w:eastAsia="宋体"/>
      <w:b/>
      <w:kern w:val="2"/>
      <w:sz w:val="44"/>
      <w:lang w:val="en-US" w:eastAsia="zh-CN" w:bidi="ar-SA"/>
    </w:rPr>
  </w:style>
  <w:style w:type="character" w:customStyle="1" w:styleId="116">
    <w:name w:val=" Char Char6"/>
    <w:qFormat/>
    <w:locked/>
    <w:uiPriority w:val="0"/>
    <w:rPr>
      <w:rFonts w:eastAsia="宋体"/>
      <w:kern w:val="2"/>
      <w:sz w:val="18"/>
      <w:lang w:val="en-US" w:eastAsia="zh-CN" w:bidi="ar-SA"/>
    </w:rPr>
  </w:style>
  <w:style w:type="character" w:customStyle="1" w:styleId="117">
    <w:name w:val="_Style 114"/>
    <w:qFormat/>
    <w:uiPriority w:val="0"/>
    <w:rPr>
      <w:b/>
      <w:bCs/>
      <w:smallCaps/>
      <w:color w:val="C0504D"/>
      <w:spacing w:val="5"/>
      <w:u w:val="single"/>
    </w:rPr>
  </w:style>
  <w:style w:type="character" w:customStyle="1" w:styleId="118">
    <w:name w:val="textcontents"/>
    <w:qFormat/>
    <w:uiPriority w:val="0"/>
  </w:style>
  <w:style w:type="character" w:customStyle="1" w:styleId="119">
    <w:name w:val="批注主题 Char1"/>
    <w:qFormat/>
    <w:uiPriority w:val="0"/>
    <w:rPr>
      <w:b/>
      <w:kern w:val="2"/>
      <w:sz w:val="22"/>
    </w:rPr>
  </w:style>
  <w:style w:type="character" w:customStyle="1" w:styleId="120">
    <w:name w:val="_Style 117"/>
    <w:qFormat/>
    <w:uiPriority w:val="0"/>
    <w:rPr>
      <w:smallCaps/>
      <w:color w:val="C0504D"/>
      <w:u w:val="single"/>
    </w:rPr>
  </w:style>
  <w:style w:type="character" w:customStyle="1" w:styleId="121">
    <w:name w:val="标题4 Char Char"/>
    <w:link w:val="122"/>
    <w:qFormat/>
    <w:locked/>
    <w:uiPriority w:val="0"/>
    <w:rPr>
      <w:rFonts w:ascii="Arial" w:hAnsi="Arial"/>
      <w:b/>
      <w:sz w:val="32"/>
      <w:lang w:bidi="ar-SA"/>
    </w:rPr>
  </w:style>
  <w:style w:type="paragraph" w:customStyle="1" w:styleId="122">
    <w:name w:val="标题4"/>
    <w:basedOn w:val="5"/>
    <w:next w:val="26"/>
    <w:link w:val="121"/>
    <w:qFormat/>
    <w:uiPriority w:val="0"/>
    <w:rPr>
      <w:rFonts w:eastAsia="宋体"/>
      <w:kern w:val="0"/>
    </w:rPr>
  </w:style>
  <w:style w:type="character" w:customStyle="1" w:styleId="123">
    <w:name w:val="引用 Char"/>
    <w:link w:val="124"/>
    <w:qFormat/>
    <w:uiPriority w:val="0"/>
    <w:rPr>
      <w:i/>
      <w:iCs/>
      <w:color w:val="000000"/>
      <w:kern w:val="2"/>
      <w:sz w:val="21"/>
      <w:szCs w:val="22"/>
    </w:rPr>
  </w:style>
  <w:style w:type="paragraph" w:styleId="124">
    <w:name w:val="Quote"/>
    <w:basedOn w:val="1"/>
    <w:next w:val="1"/>
    <w:link w:val="123"/>
    <w:qFormat/>
    <w:uiPriority w:val="0"/>
    <w:rPr>
      <w:i/>
      <w:iCs/>
      <w:color w:val="000000"/>
      <w:szCs w:val="22"/>
    </w:rPr>
  </w:style>
  <w:style w:type="character" w:customStyle="1" w:styleId="125">
    <w:name w:val="Intense Quote Char1"/>
    <w:qFormat/>
    <w:locked/>
    <w:uiPriority w:val="0"/>
    <w:rPr>
      <w:rFonts w:cs="Times New Roman"/>
      <w:b/>
      <w:bCs/>
      <w:i/>
      <w:iCs/>
      <w:color w:val="4F81BD"/>
    </w:rPr>
  </w:style>
  <w:style w:type="character" w:customStyle="1" w:styleId="126">
    <w:name w:val="引用 Char1"/>
    <w:qFormat/>
    <w:uiPriority w:val="29"/>
    <w:rPr>
      <w:i/>
      <w:iCs/>
      <w:color w:val="000000"/>
      <w:kern w:val="2"/>
      <w:sz w:val="21"/>
    </w:rPr>
  </w:style>
  <w:style w:type="character" w:customStyle="1" w:styleId="127">
    <w:name w:val=" Char Char Char Char Char Char"/>
    <w:link w:val="128"/>
    <w:qFormat/>
    <w:uiPriority w:val="0"/>
    <w:rPr>
      <w:rFonts w:ascii="Tahoma" w:hAnsi="Tahoma" w:eastAsia="宋体"/>
      <w:kern w:val="2"/>
      <w:sz w:val="24"/>
      <w:lang w:val="en-US" w:eastAsia="zh-CN" w:bidi="ar-SA"/>
    </w:rPr>
  </w:style>
  <w:style w:type="paragraph" w:customStyle="1" w:styleId="128">
    <w:name w:val=" Char Char Char Char"/>
    <w:basedOn w:val="1"/>
    <w:link w:val="127"/>
    <w:qFormat/>
    <w:uiPriority w:val="0"/>
    <w:rPr>
      <w:rFonts w:ascii="Tahoma" w:hAnsi="Tahoma"/>
      <w:sz w:val="24"/>
    </w:rPr>
  </w:style>
  <w:style w:type="character" w:customStyle="1" w:styleId="129">
    <w:name w:val="dash6b63_6587__char1"/>
    <w:qFormat/>
    <w:uiPriority w:val="0"/>
    <w:rPr>
      <w:rFonts w:hint="default" w:ascii="Calibri" w:hAnsi="Calibri" w:cs="Calibri"/>
      <w:sz w:val="20"/>
      <w:szCs w:val="20"/>
    </w:rPr>
  </w:style>
  <w:style w:type="character" w:customStyle="1" w:styleId="130">
    <w:name w:val="Subtitle Char1"/>
    <w:qFormat/>
    <w:locked/>
    <w:uiPriority w:val="0"/>
    <w:rPr>
      <w:rFonts w:ascii="Cambria" w:hAnsi="Cambria" w:cs="Times New Roman"/>
      <w:b/>
      <w:bCs/>
      <w:kern w:val="28"/>
      <w:sz w:val="32"/>
      <w:szCs w:val="32"/>
    </w:rPr>
  </w:style>
  <w:style w:type="character" w:customStyle="1" w:styleId="131">
    <w:name w:val="Heading 1 Char"/>
    <w:qFormat/>
    <w:locked/>
    <w:uiPriority w:val="0"/>
    <w:rPr>
      <w:rFonts w:cs="Times New Roman"/>
      <w:b/>
      <w:kern w:val="44"/>
      <w:sz w:val="44"/>
    </w:rPr>
  </w:style>
  <w:style w:type="character" w:customStyle="1" w:styleId="132">
    <w:name w:val="批注文字 Char Char"/>
    <w:qFormat/>
    <w:uiPriority w:val="0"/>
    <w:rPr>
      <w:rFonts w:ascii="宋体" w:hAnsi="Times New Roman" w:eastAsia="宋体"/>
      <w:sz w:val="20"/>
    </w:rPr>
  </w:style>
  <w:style w:type="character" w:customStyle="1" w:styleId="133">
    <w:name w:val="明显引用 Char1"/>
    <w:qFormat/>
    <w:uiPriority w:val="30"/>
    <w:rPr>
      <w:b/>
      <w:bCs/>
      <w:i/>
      <w:iCs/>
      <w:color w:val="4F81BD"/>
      <w:kern w:val="2"/>
      <w:sz w:val="21"/>
    </w:rPr>
  </w:style>
  <w:style w:type="character" w:customStyle="1" w:styleId="134">
    <w:name w:val="Title Char"/>
    <w:qFormat/>
    <w:locked/>
    <w:uiPriority w:val="0"/>
    <w:rPr>
      <w:rFonts w:ascii="Cambria" w:hAnsi="Cambria"/>
      <w:b/>
      <w:kern w:val="2"/>
      <w:sz w:val="32"/>
    </w:rPr>
  </w:style>
  <w:style w:type="character" w:customStyle="1" w:styleId="135">
    <w:name w:val=" Char Char14"/>
    <w:qFormat/>
    <w:locked/>
    <w:uiPriority w:val="0"/>
    <w:rPr>
      <w:rFonts w:ascii="Calibri" w:hAnsi="Calibri" w:eastAsia="宋体"/>
      <w:b/>
      <w:bCs/>
      <w:kern w:val="2"/>
      <w:sz w:val="28"/>
      <w:szCs w:val="28"/>
      <w:lang w:val="en-US" w:eastAsia="zh-CN" w:bidi="ar-SA"/>
    </w:rPr>
  </w:style>
  <w:style w:type="character" w:customStyle="1" w:styleId="136">
    <w:name w:val="Heading 2 Char"/>
    <w:qFormat/>
    <w:locked/>
    <w:uiPriority w:val="0"/>
    <w:rPr>
      <w:rFonts w:ascii="Cambria" w:hAnsi="Cambria" w:eastAsia="宋体" w:cs="Times New Roman"/>
      <w:b/>
      <w:kern w:val="2"/>
      <w:sz w:val="32"/>
    </w:rPr>
  </w:style>
  <w:style w:type="character" w:customStyle="1" w:styleId="137">
    <w:name w:val="Heading 3 Char"/>
    <w:qFormat/>
    <w:locked/>
    <w:uiPriority w:val="0"/>
    <w:rPr>
      <w:rFonts w:cs="Times New Roman"/>
      <w:b/>
      <w:kern w:val="2"/>
      <w:sz w:val="32"/>
    </w:rPr>
  </w:style>
  <w:style w:type="character" w:customStyle="1" w:styleId="138">
    <w:name w:val="Heading 4 Char"/>
    <w:qFormat/>
    <w:locked/>
    <w:uiPriority w:val="0"/>
    <w:rPr>
      <w:rFonts w:ascii="Cambria" w:hAnsi="Cambria" w:eastAsia="宋体" w:cs="Times New Roman"/>
      <w:b/>
      <w:kern w:val="2"/>
      <w:sz w:val="28"/>
    </w:rPr>
  </w:style>
  <w:style w:type="character" w:customStyle="1" w:styleId="139">
    <w:name w:val="日期 Char1"/>
    <w:qFormat/>
    <w:uiPriority w:val="0"/>
    <w:rPr>
      <w:kern w:val="2"/>
      <w:sz w:val="22"/>
    </w:rPr>
  </w:style>
  <w:style w:type="character" w:customStyle="1" w:styleId="140">
    <w:name w:val="副标题 Char1"/>
    <w:qFormat/>
    <w:uiPriority w:val="11"/>
    <w:rPr>
      <w:rFonts w:ascii="Cambria" w:hAnsi="Cambria" w:cs="Times New Roman"/>
      <w:b/>
      <w:bCs/>
      <w:kern w:val="28"/>
      <w:sz w:val="32"/>
      <w:szCs w:val="32"/>
    </w:rPr>
  </w:style>
  <w:style w:type="character" w:customStyle="1" w:styleId="141">
    <w:name w:val="首行缩进两字 Char1"/>
    <w:link w:val="142"/>
    <w:qFormat/>
    <w:uiPriority w:val="0"/>
    <w:rPr>
      <w:rFonts w:ascii="宋体" w:hAnsi="宋体" w:eastAsia="宋体"/>
      <w:color w:val="000000"/>
      <w:sz w:val="28"/>
      <w:lang w:val="en-US" w:eastAsia="zh-CN"/>
    </w:rPr>
  </w:style>
  <w:style w:type="paragraph" w:customStyle="1" w:styleId="142">
    <w:name w:val="首行缩进两字"/>
    <w:basedOn w:val="1"/>
    <w:link w:val="141"/>
    <w:qFormat/>
    <w:uiPriority w:val="0"/>
    <w:pPr>
      <w:ind w:firstLine="549" w:firstLineChars="200"/>
      <w:jc w:val="left"/>
    </w:pPr>
    <w:rPr>
      <w:rFonts w:ascii="宋体" w:hAnsi="宋体"/>
      <w:color w:val="000000"/>
      <w:kern w:val="0"/>
      <w:sz w:val="28"/>
    </w:rPr>
  </w:style>
  <w:style w:type="character" w:customStyle="1" w:styleId="143">
    <w:name w:val="Book Title"/>
    <w:qFormat/>
    <w:uiPriority w:val="0"/>
    <w:rPr>
      <w:rFonts w:cs="Times New Roman"/>
      <w:b/>
      <w:smallCaps/>
      <w:spacing w:val="5"/>
    </w:rPr>
  </w:style>
  <w:style w:type="character" w:customStyle="1" w:styleId="144">
    <w:name w:val=" Char Char11"/>
    <w:qFormat/>
    <w:locked/>
    <w:uiPriority w:val="0"/>
    <w:rPr>
      <w:rFonts w:ascii="Cambria" w:hAnsi="Cambria" w:eastAsia="宋体"/>
      <w:kern w:val="2"/>
      <w:sz w:val="24"/>
      <w:szCs w:val="24"/>
      <w:lang w:val="en-US" w:eastAsia="zh-CN" w:bidi="ar-SA"/>
    </w:rPr>
  </w:style>
  <w:style w:type="character" w:customStyle="1" w:styleId="145">
    <w:name w:val="正文1"/>
    <w:qFormat/>
    <w:uiPriority w:val="0"/>
    <w:rPr>
      <w:rFonts w:ascii="宋体" w:hAnsi="宋体"/>
      <w:sz w:val="28"/>
    </w:rPr>
  </w:style>
  <w:style w:type="character" w:customStyle="1" w:styleId="146">
    <w:name w:val="Intense Reference"/>
    <w:qFormat/>
    <w:uiPriority w:val="0"/>
    <w:rPr>
      <w:rFonts w:cs="Times New Roman"/>
      <w:b/>
      <w:smallCaps/>
      <w:color w:val="C0504D"/>
      <w:spacing w:val="5"/>
      <w:u w:val="single"/>
    </w:rPr>
  </w:style>
  <w:style w:type="character" w:customStyle="1" w:styleId="147">
    <w:name w:val=" Char Char7"/>
    <w:qFormat/>
    <w:locked/>
    <w:uiPriority w:val="0"/>
    <w:rPr>
      <w:rFonts w:eastAsia="宋体"/>
      <w:kern w:val="2"/>
      <w:sz w:val="21"/>
      <w:lang w:val="en-US" w:eastAsia="zh-CN" w:bidi="ar-SA"/>
    </w:rPr>
  </w:style>
  <w:style w:type="character" w:customStyle="1" w:styleId="148">
    <w:name w:val="_Style 145"/>
    <w:qFormat/>
    <w:uiPriority w:val="0"/>
    <w:rPr>
      <w:b/>
      <w:bCs/>
      <w:i/>
      <w:iCs/>
      <w:color w:val="4F81BD"/>
    </w:rPr>
  </w:style>
  <w:style w:type="character" w:customStyle="1" w:styleId="149">
    <w:name w:val="_Style 146"/>
    <w:qFormat/>
    <w:uiPriority w:val="0"/>
    <w:rPr>
      <w:b/>
      <w:bCs/>
      <w:smallCaps/>
      <w:spacing w:val="5"/>
    </w:rPr>
  </w:style>
  <w:style w:type="character" w:customStyle="1" w:styleId="150">
    <w:name w:val="Quote Char1"/>
    <w:qFormat/>
    <w:locked/>
    <w:uiPriority w:val="0"/>
    <w:rPr>
      <w:rFonts w:cs="Times New Roman"/>
      <w:i/>
      <w:iCs/>
      <w:color w:val="000000"/>
    </w:rPr>
  </w:style>
  <w:style w:type="character" w:customStyle="1" w:styleId="151">
    <w:name w:val="apple-converted-space"/>
    <w:qFormat/>
    <w:uiPriority w:val="0"/>
  </w:style>
  <w:style w:type="character" w:customStyle="1" w:styleId="152">
    <w:name w:val="Intense Quote Char"/>
    <w:link w:val="153"/>
    <w:qFormat/>
    <w:locked/>
    <w:uiPriority w:val="0"/>
    <w:rPr>
      <w:b/>
      <w:i/>
      <w:color w:val="4F81BD"/>
      <w:kern w:val="2"/>
      <w:sz w:val="22"/>
      <w:lang w:bidi="ar-SA"/>
    </w:rPr>
  </w:style>
  <w:style w:type="paragraph" w:customStyle="1" w:styleId="153">
    <w:name w:val="Intense Quote1"/>
    <w:basedOn w:val="1"/>
    <w:next w:val="1"/>
    <w:link w:val="152"/>
    <w:qFormat/>
    <w:uiPriority w:val="0"/>
    <w:pPr>
      <w:pBdr>
        <w:bottom w:val="single" w:color="4F81BD" w:sz="4" w:space="4"/>
      </w:pBdr>
      <w:spacing w:before="200" w:after="280"/>
      <w:ind w:left="936" w:right="936"/>
    </w:pPr>
    <w:rPr>
      <w:b/>
      <w:i/>
      <w:color w:val="4F81BD"/>
      <w:sz w:val="22"/>
    </w:rPr>
  </w:style>
  <w:style w:type="character" w:customStyle="1" w:styleId="154">
    <w:name w:val="Subtle Reference"/>
    <w:qFormat/>
    <w:uiPriority w:val="0"/>
    <w:rPr>
      <w:rFonts w:cs="Times New Roman"/>
      <w:smallCaps/>
      <w:color w:val="C0504D"/>
      <w:u w:val="single"/>
    </w:rPr>
  </w:style>
  <w:style w:type="paragraph" w:customStyle="1" w:styleId="155">
    <w:name w:val="Revision"/>
    <w:qFormat/>
    <w:uiPriority w:val="0"/>
    <w:rPr>
      <w:rFonts w:ascii="Times New Roman" w:hAnsi="Times New Roman" w:eastAsia="宋体" w:cs="Times New Roman"/>
      <w:kern w:val="2"/>
      <w:sz w:val="21"/>
      <w:szCs w:val="24"/>
      <w:lang w:val="en-US" w:eastAsia="zh-CN" w:bidi="ar-SA"/>
    </w:rPr>
  </w:style>
  <w:style w:type="paragraph" w:customStyle="1" w:styleId="156">
    <w:name w:val=" Char1 Char Char Char"/>
    <w:basedOn w:val="1"/>
    <w:qFormat/>
    <w:uiPriority w:val="0"/>
  </w:style>
  <w:style w:type="paragraph" w:customStyle="1" w:styleId="157">
    <w:name w:val="默认段落字体 Para Char Char Char Char"/>
    <w:basedOn w:val="1"/>
    <w:qFormat/>
    <w:uiPriority w:val="0"/>
    <w:pPr>
      <w:snapToGrid w:val="0"/>
      <w:spacing w:line="360" w:lineRule="auto"/>
      <w:ind w:firstLine="200" w:firstLineChars="200"/>
    </w:pPr>
    <w:rPr>
      <w:rFonts w:eastAsia="仿宋_GB2312"/>
      <w:sz w:val="24"/>
      <w:szCs w:val="24"/>
    </w:rPr>
  </w:style>
  <w:style w:type="paragraph" w:customStyle="1" w:styleId="158">
    <w:name w:val="0"/>
    <w:basedOn w:val="1"/>
    <w:qFormat/>
    <w:uiPriority w:val="0"/>
    <w:pPr>
      <w:widowControl/>
      <w:snapToGrid w:val="0"/>
    </w:pPr>
    <w:rPr>
      <w:kern w:val="0"/>
    </w:rPr>
  </w:style>
  <w:style w:type="paragraph" w:styleId="159">
    <w:name w:val="List Paragraph"/>
    <w:basedOn w:val="1"/>
    <w:qFormat/>
    <w:uiPriority w:val="0"/>
    <w:pPr>
      <w:ind w:firstLine="420" w:firstLineChars="200"/>
    </w:pPr>
    <w:rPr>
      <w:rFonts w:ascii="Calibri" w:hAnsi="Calibri"/>
      <w:szCs w:val="22"/>
    </w:rPr>
  </w:style>
  <w:style w:type="paragraph" w:customStyle="1" w:styleId="160">
    <w:name w:val="节标题"/>
    <w:basedOn w:val="1"/>
    <w:next w:val="1"/>
    <w:qFormat/>
    <w:uiPriority w:val="0"/>
    <w:pPr>
      <w:widowControl/>
      <w:spacing w:line="289" w:lineRule="atLeast"/>
      <w:jc w:val="center"/>
      <w:textAlignment w:val="baseline"/>
    </w:pPr>
    <w:rPr>
      <w:color w:val="000000"/>
      <w:kern w:val="0"/>
      <w:sz w:val="28"/>
      <w:u w:val="none" w:color="000000"/>
    </w:rPr>
  </w:style>
  <w:style w:type="paragraph" w:customStyle="1" w:styleId="161">
    <w:name w:val="样式3"/>
    <w:basedOn w:val="29"/>
    <w:qFormat/>
    <w:uiPriority w:val="0"/>
    <w:pPr>
      <w:spacing w:line="0" w:lineRule="atLeast"/>
      <w:outlineLvl w:val="0"/>
    </w:pPr>
    <w:rPr>
      <w:sz w:val="28"/>
    </w:rPr>
  </w:style>
  <w:style w:type="paragraph" w:customStyle="1" w:styleId="162">
    <w:name w:val="_Style 159"/>
    <w:basedOn w:val="4"/>
    <w:next w:val="1"/>
    <w:qFormat/>
    <w:uiPriority w:val="0"/>
    <w:pPr>
      <w:spacing w:line="578" w:lineRule="auto"/>
      <w:outlineLvl w:val="9"/>
    </w:pPr>
    <w:rPr>
      <w:bCs/>
      <w:szCs w:val="44"/>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索引 6 New"/>
    <w:qFormat/>
    <w:uiPriority w:val="0"/>
    <w:rPr>
      <w:rFonts w:ascii="Times New Roman" w:hAnsi="Times New Roman" w:eastAsia="宋体" w:cs="Times New Roman"/>
      <w:sz w:val="24"/>
      <w:szCs w:val="24"/>
      <w:lang w:val="en-US" w:eastAsia="zh-CN" w:bidi="en-US"/>
    </w:rPr>
  </w:style>
  <w:style w:type="paragraph" w:customStyle="1" w:styleId="165">
    <w:name w:val="_Style 7"/>
    <w:basedOn w:val="4"/>
    <w:next w:val="1"/>
    <w:qFormat/>
    <w:uiPriority w:val="0"/>
    <w:pPr>
      <w:spacing w:line="578" w:lineRule="auto"/>
      <w:outlineLvl w:val="9"/>
    </w:pPr>
    <w:rPr>
      <w:bCs/>
      <w:szCs w:val="44"/>
    </w:rPr>
  </w:style>
  <w:style w:type="paragraph" w:customStyle="1" w:styleId="166">
    <w:name w:val="No Spacing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TOC Heading"/>
    <w:basedOn w:val="4"/>
    <w:next w:val="1"/>
    <w:qFormat/>
    <w:uiPriority w:val="0"/>
    <w:pPr>
      <w:outlineLvl w:val="9"/>
    </w:pPr>
    <w:rPr>
      <w:rFonts w:ascii="Calibri" w:hAnsi="Calibri"/>
      <w:bCs/>
      <w:szCs w:val="44"/>
    </w:rPr>
  </w:style>
  <w:style w:type="paragraph" w:styleId="168">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9">
    <w:name w:val="p0"/>
    <w:basedOn w:val="1"/>
    <w:qFormat/>
    <w:uiPriority w:val="0"/>
    <w:pPr>
      <w:widowControl/>
      <w:spacing w:line="365" w:lineRule="atLeast"/>
      <w:ind w:left="1"/>
      <w:textAlignment w:val="bottom"/>
    </w:pPr>
    <w:rPr>
      <w:kern w:val="0"/>
      <w:sz w:val="20"/>
    </w:rPr>
  </w:style>
  <w:style w:type="paragraph" w:customStyle="1" w:styleId="170">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kern w:val="0"/>
      <w:sz w:val="28"/>
    </w:rPr>
  </w:style>
  <w:style w:type="paragraph" w:customStyle="1" w:styleId="171">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172">
    <w:name w:val="样式 标题 3 + (中文) 黑体 小四 非加粗 段前: 7.8 磅 段后: 0 磅 行距: 固定值 20 磅"/>
    <w:basedOn w:val="6"/>
    <w:qFormat/>
    <w:uiPriority w:val="0"/>
    <w:pPr>
      <w:spacing w:before="0" w:after="0" w:line="400" w:lineRule="exact"/>
    </w:pPr>
    <w:rPr>
      <w:rFonts w:eastAsia="黑体" w:cs="宋体"/>
      <w:b w:val="0"/>
      <w:sz w:val="24"/>
    </w:rPr>
  </w:style>
  <w:style w:type="paragraph" w:customStyle="1" w:styleId="173">
    <w:name w:val="List Paragraph1"/>
    <w:basedOn w:val="1"/>
    <w:qFormat/>
    <w:uiPriority w:val="0"/>
    <w:pPr>
      <w:ind w:firstLine="420" w:firstLineChars="200"/>
    </w:pPr>
    <w:rPr>
      <w:rFonts w:ascii="Calibri" w:hAnsi="Calibri"/>
      <w:szCs w:val="22"/>
    </w:rPr>
  </w:style>
  <w:style w:type="paragraph" w:customStyle="1" w:styleId="174">
    <w:name w:val="空半行"/>
    <w:basedOn w:val="1"/>
    <w:qFormat/>
    <w:uiPriority w:val="0"/>
    <w:pPr>
      <w:adjustRightInd w:val="0"/>
      <w:spacing w:line="120" w:lineRule="exact"/>
      <w:textAlignment w:val="baseline"/>
    </w:pPr>
    <w:rPr>
      <w:rFonts w:eastAsia="仿宋_GB2312"/>
      <w:color w:val="FFFFFF"/>
      <w:kern w:val="0"/>
      <w:sz w:val="30"/>
    </w:rPr>
  </w:style>
  <w:style w:type="paragraph" w:customStyle="1" w:styleId="175">
    <w:name w:val="Char"/>
    <w:basedOn w:val="1"/>
    <w:qFormat/>
    <w:uiPriority w:val="0"/>
    <w:pPr>
      <w:snapToGrid w:val="0"/>
      <w:spacing w:line="360" w:lineRule="auto"/>
      <w:ind w:firstLine="200" w:firstLineChars="200"/>
    </w:pPr>
    <w:rPr>
      <w:rFonts w:eastAsia="仿宋_GB2312"/>
      <w:sz w:val="24"/>
    </w:rPr>
  </w:style>
  <w:style w:type="paragraph" w:customStyle="1" w:styleId="176">
    <w:name w:val="dash6b63_65871"/>
    <w:basedOn w:val="1"/>
    <w:qFormat/>
    <w:uiPriority w:val="0"/>
    <w:pPr>
      <w:widowControl/>
    </w:pPr>
    <w:rPr>
      <w:rFonts w:ascii="Calibri" w:hAnsi="Calibri" w:cs="Calibri"/>
      <w:kern w:val="0"/>
      <w:sz w:val="20"/>
    </w:rPr>
  </w:style>
  <w:style w:type="paragraph" w:customStyle="1" w:styleId="177">
    <w:name w:val=" Char1"/>
    <w:basedOn w:val="1"/>
    <w:qFormat/>
    <w:uiPriority w:val="0"/>
    <w:pPr>
      <w:snapToGrid w:val="0"/>
      <w:spacing w:line="360" w:lineRule="auto"/>
      <w:ind w:firstLine="200" w:firstLineChars="200"/>
    </w:pPr>
  </w:style>
  <w:style w:type="paragraph" w:customStyle="1" w:styleId="178">
    <w:name w:val="Table Paragraph"/>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宋体" w:eastAsia="宋体" w:cs="宋体"/>
      <w:kern w:val="0"/>
      <w:sz w:val="22"/>
      <w:szCs w:val="22"/>
      <w:lang w:val="en-US" w:eastAsia="zh-CN" w:bidi="ar"/>
    </w:rPr>
  </w:style>
  <w:style w:type="paragraph" w:customStyle="1" w:styleId="179">
    <w:name w:val="目录 51"/>
    <w:next w:val="1"/>
    <w:qFormat/>
    <w:uiPriority w:val="0"/>
    <w:pPr>
      <w:wordWrap w:val="0"/>
      <w:ind w:left="1700"/>
      <w:jc w:val="both"/>
    </w:pPr>
    <w:rPr>
      <w:rFonts w:ascii="Calibri" w:hAnsi="Calibri" w:eastAsia="Calibri" w:cs="Times New Roman"/>
      <w:sz w:val="21"/>
      <w:lang w:val="en-US" w:eastAsia="zh-CN" w:bidi="ar-SA"/>
    </w:rPr>
  </w:style>
  <w:style w:type="paragraph" w:customStyle="1" w:styleId="180">
    <w:name w:val="TOC Heading1"/>
    <w:next w:val="1"/>
    <w:qFormat/>
    <w:uiPriority w:val="0"/>
    <w:pPr>
      <w:wordWrap w:val="0"/>
    </w:pPr>
    <w:rPr>
      <w:rFonts w:ascii="Calibri" w:hAnsi="Calibri" w:eastAsia="宋体" w:cs="Times New Roman"/>
      <w:sz w:val="32"/>
      <w:szCs w:val="22"/>
      <w:lang w:val="en-US" w:eastAsia="zh-CN" w:bidi="ar-SA"/>
    </w:rPr>
  </w:style>
  <w:style w:type="character" w:customStyle="1" w:styleId="181">
    <w:name w:val="font01"/>
    <w:basedOn w:val="51"/>
    <w:qFormat/>
    <w:uiPriority w:val="0"/>
    <w:rPr>
      <w:rFonts w:hint="default" w:ascii="Cambria" w:hAnsi="Cambria" w:eastAsia="Cambria" w:cs="Cambria"/>
      <w:color w:val="191919"/>
      <w:sz w:val="24"/>
      <w:szCs w:val="24"/>
      <w:u w:val="none"/>
      <w:vertAlign w:val="subscript"/>
    </w:rPr>
  </w:style>
  <w:style w:type="character" w:customStyle="1" w:styleId="182">
    <w:name w:val="font21"/>
    <w:basedOn w:val="51"/>
    <w:qFormat/>
    <w:uiPriority w:val="0"/>
    <w:rPr>
      <w:rFonts w:hint="eastAsia" w:ascii="宋体" w:hAnsi="宋体" w:eastAsia="宋体" w:cs="宋体"/>
      <w:color w:val="191919"/>
      <w:sz w:val="21"/>
      <w:szCs w:val="21"/>
      <w:u w:val="none"/>
    </w:rPr>
  </w:style>
  <w:style w:type="character" w:customStyle="1" w:styleId="183">
    <w:name w:val="font31"/>
    <w:basedOn w:val="51"/>
    <w:qFormat/>
    <w:uiPriority w:val="0"/>
    <w:rPr>
      <w:rFonts w:hint="default" w:ascii="Cambria" w:hAnsi="Cambria" w:eastAsia="Cambria" w:cs="Cambria"/>
      <w:color w:val="191919"/>
      <w:sz w:val="24"/>
      <w:szCs w:val="24"/>
      <w:u w:val="none"/>
    </w:rPr>
  </w:style>
  <w:style w:type="character" w:customStyle="1" w:styleId="184">
    <w:name w:val="font61"/>
    <w:basedOn w:val="51"/>
    <w:qFormat/>
    <w:uiPriority w:val="0"/>
    <w:rPr>
      <w:rFonts w:hint="default" w:ascii="Cambria" w:hAnsi="Cambria" w:eastAsia="Cambria" w:cs="Cambria"/>
      <w:color w:val="191919"/>
      <w:sz w:val="21"/>
      <w:szCs w:val="21"/>
      <w:u w:val="none"/>
    </w:rPr>
  </w:style>
  <w:style w:type="paragraph" w:customStyle="1" w:styleId="185">
    <w:name w:val="Table Text"/>
    <w:basedOn w:val="1"/>
    <w:semiHidden/>
    <w:qFormat/>
    <w:uiPriority w:val="0"/>
    <w:rPr>
      <w:rFonts w:ascii="宋体" w:hAnsi="宋体" w:eastAsia="宋体" w:cs="宋体"/>
      <w:sz w:val="20"/>
      <w:szCs w:val="20"/>
      <w:lang w:val="en-US" w:eastAsia="en-US" w:bidi="ar-SA"/>
    </w:rPr>
  </w:style>
  <w:style w:type="paragraph" w:customStyle="1" w:styleId="186">
    <w:name w:val="正文 首缩2"/>
    <w:basedOn w:val="14"/>
    <w:next w:val="48"/>
    <w:qFormat/>
    <w:uiPriority w:val="0"/>
    <w:pPr>
      <w:widowControl w:val="0"/>
      <w:spacing w:line="240" w:lineRule="auto"/>
      <w:ind w:firstLine="560"/>
      <w:textAlignment w:val="auto"/>
    </w:pPr>
    <w:rPr>
      <w:color w:val="auto"/>
      <w:kern w:val="2"/>
      <w:szCs w:val="36"/>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113</Pages>
  <Words>25312</Words>
  <Characters>27763</Characters>
  <Lines>510</Lines>
  <Paragraphs>143</Paragraphs>
  <TotalTime>0</TotalTime>
  <ScaleCrop>false</ScaleCrop>
  <LinksUpToDate>false</LinksUpToDate>
  <CharactersWithSpaces>28297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2013-10-07T01:39:00Z</dcterms:created>
  <dc:creator>微软用户</dc:creator>
  <cp:lastModifiedBy>Administrator</cp:lastModifiedBy>
  <cp:lastPrinted>2026-05-18T05:27:00Z</cp:lastPrinted>
  <dcterms:modified xsi:type="dcterms:W3CDTF">2026-08-05T02:11:58Z</dcterms:modified>
  <dc:title>附件二：</dc:title>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5643F66500B24BF3BBBE82713F04EDE8_13</vt:lpwstr>
  </property>
  <property fmtid="{D5CDD505-2E9C-101B-9397-08002B2CF9AE}" pid="4" name="KSOTemplateDocerSaveRecord">
    <vt:lpwstr>eyJoZGlkIjoiMGJjZjBiOTYxNDYzMTVjMjVhNzc2Nzk2YTlmYzlhYmQiLCJ1c2VySWQiOiI4MDM5MzcwIn0=</vt:lpwstr>
  </property>
</Properties>
</file>