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CCC1F">
      <w:pPr>
        <w:jc w:val="center"/>
        <w:rPr>
          <w:rFonts w:ascii="宋体" w:hAnsi="宋体"/>
          <w:b/>
          <w:bCs/>
          <w:sz w:val="48"/>
          <w:szCs w:val="48"/>
        </w:rPr>
      </w:pPr>
    </w:p>
    <w:p w14:paraId="705E9EDD">
      <w:pPr>
        <w:pStyle w:val="35"/>
      </w:pPr>
    </w:p>
    <w:p w14:paraId="02CDF394">
      <w:pPr>
        <w:jc w:val="center"/>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遂平县机关事务中心县委县政府办公区</w:t>
      </w:r>
    </w:p>
    <w:p w14:paraId="2CAC81F6">
      <w:pPr>
        <w:jc w:val="center"/>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物业服务采购项目</w:t>
      </w:r>
    </w:p>
    <w:p w14:paraId="31BEB303">
      <w:pPr>
        <w:jc w:val="center"/>
        <w:rPr>
          <w:rFonts w:ascii="宋体" w:hAnsi="宋体"/>
          <w:b/>
          <w:bCs/>
          <w:sz w:val="72"/>
          <w:szCs w:val="72"/>
        </w:rPr>
      </w:pPr>
    </w:p>
    <w:p w14:paraId="35E194FC">
      <w:pPr>
        <w:jc w:val="center"/>
        <w:rPr>
          <w:rFonts w:ascii="宋体" w:hAnsi="宋体"/>
          <w:b/>
          <w:bCs/>
          <w:sz w:val="72"/>
          <w:szCs w:val="72"/>
        </w:rPr>
      </w:pPr>
    </w:p>
    <w:p w14:paraId="5F6B46E5">
      <w:pPr>
        <w:jc w:val="center"/>
        <w:rPr>
          <w:rFonts w:ascii="宋体" w:hAnsi="宋体"/>
          <w:b/>
          <w:bCs/>
          <w:sz w:val="72"/>
          <w:szCs w:val="72"/>
        </w:rPr>
      </w:pPr>
      <w:r>
        <w:rPr>
          <w:rFonts w:hint="eastAsia" w:ascii="宋体" w:hAnsi="宋体"/>
          <w:b/>
          <w:bCs/>
          <w:sz w:val="72"/>
          <w:szCs w:val="72"/>
        </w:rPr>
        <w:t>招标文件</w:t>
      </w:r>
    </w:p>
    <w:p w14:paraId="10EE1EBE">
      <w:pPr>
        <w:shd w:val="clear" w:color="auto" w:fill="FFFFFF"/>
        <w:spacing w:line="400" w:lineRule="atLeast"/>
        <w:jc w:val="center"/>
        <w:rPr>
          <w:rStyle w:val="79"/>
          <w:rFonts w:hint="eastAsia" w:ascii="宋体" w:hAnsi="宋体" w:eastAsia="宋体" w:cs="宋体"/>
          <w:b/>
          <w:bCs/>
          <w:spacing w:val="20"/>
          <w:kern w:val="0"/>
          <w:sz w:val="30"/>
          <w:szCs w:val="30"/>
          <w:lang w:eastAsia="zh-CN"/>
        </w:rPr>
      </w:pPr>
      <w:r>
        <w:rPr>
          <w:rStyle w:val="79"/>
          <w:rFonts w:ascii="宋体" w:hAnsi="宋体" w:cs="宋体"/>
          <w:b/>
          <w:bCs/>
          <w:kern w:val="0"/>
          <w:sz w:val="30"/>
          <w:szCs w:val="30"/>
        </w:rPr>
        <w:t>项目编号：</w:t>
      </w:r>
      <w:r>
        <w:rPr>
          <w:rStyle w:val="79"/>
          <w:rFonts w:hint="eastAsia" w:ascii="宋体" w:hAnsi="宋体" w:cs="宋体"/>
          <w:b/>
          <w:bCs/>
          <w:kern w:val="0"/>
          <w:sz w:val="30"/>
          <w:szCs w:val="30"/>
          <w:lang w:eastAsia="zh-CN"/>
        </w:rPr>
        <w:t>遂政采招【202</w:t>
      </w:r>
      <w:r>
        <w:rPr>
          <w:rStyle w:val="79"/>
          <w:rFonts w:hint="eastAsia" w:ascii="宋体" w:hAnsi="宋体" w:cs="宋体"/>
          <w:b/>
          <w:bCs/>
          <w:kern w:val="0"/>
          <w:sz w:val="30"/>
          <w:szCs w:val="30"/>
          <w:lang w:val="en-US" w:eastAsia="zh-CN"/>
        </w:rPr>
        <w:t>6</w:t>
      </w:r>
      <w:r>
        <w:rPr>
          <w:rStyle w:val="79"/>
          <w:rFonts w:hint="eastAsia" w:ascii="宋体" w:hAnsi="宋体" w:cs="宋体"/>
          <w:b/>
          <w:bCs/>
          <w:kern w:val="0"/>
          <w:sz w:val="30"/>
          <w:szCs w:val="30"/>
          <w:lang w:eastAsia="zh-CN"/>
        </w:rPr>
        <w:t>】</w:t>
      </w:r>
      <w:r>
        <w:rPr>
          <w:rStyle w:val="79"/>
          <w:rFonts w:hint="eastAsia" w:ascii="宋体" w:hAnsi="宋体" w:cs="宋体"/>
          <w:b/>
          <w:bCs/>
          <w:kern w:val="0"/>
          <w:sz w:val="30"/>
          <w:szCs w:val="30"/>
          <w:lang w:val="en-US" w:eastAsia="zh-CN"/>
        </w:rPr>
        <w:t>52</w:t>
      </w:r>
      <w:r>
        <w:rPr>
          <w:rStyle w:val="79"/>
          <w:rFonts w:hint="eastAsia" w:ascii="宋体" w:hAnsi="宋体" w:cs="宋体"/>
          <w:b/>
          <w:bCs/>
          <w:kern w:val="0"/>
          <w:sz w:val="30"/>
          <w:szCs w:val="30"/>
          <w:lang w:eastAsia="zh-CN"/>
        </w:rPr>
        <w:t>号</w:t>
      </w:r>
    </w:p>
    <w:p w14:paraId="0043E3D8">
      <w:pPr>
        <w:ind w:firstLine="1285" w:firstLineChars="400"/>
        <w:rPr>
          <w:rFonts w:ascii="宋体" w:hAnsi="宋体"/>
          <w:b/>
          <w:sz w:val="32"/>
          <w:szCs w:val="32"/>
        </w:rPr>
      </w:pPr>
    </w:p>
    <w:p w14:paraId="10BB1E2C">
      <w:pPr>
        <w:ind w:firstLine="1285" w:firstLineChars="400"/>
        <w:rPr>
          <w:rFonts w:ascii="宋体" w:hAnsi="宋体"/>
          <w:b/>
          <w:sz w:val="32"/>
          <w:szCs w:val="32"/>
        </w:rPr>
      </w:pPr>
    </w:p>
    <w:p w14:paraId="47F637AD">
      <w:pPr>
        <w:pStyle w:val="3"/>
      </w:pPr>
    </w:p>
    <w:p w14:paraId="1A0246FD">
      <w:pPr>
        <w:pStyle w:val="3"/>
      </w:pPr>
    </w:p>
    <w:p w14:paraId="3F619689">
      <w:pPr>
        <w:pStyle w:val="3"/>
      </w:pPr>
    </w:p>
    <w:p w14:paraId="28E15536">
      <w:pPr>
        <w:ind w:firstLine="731" w:firstLineChars="200"/>
        <w:rPr>
          <w:rFonts w:hint="eastAsia" w:ascii="宋体" w:hAnsi="宋体" w:eastAsia="宋体"/>
          <w:b/>
          <w:sz w:val="36"/>
          <w:szCs w:val="36"/>
          <w:u w:val="single"/>
          <w:lang w:eastAsia="zh-CN"/>
        </w:rPr>
      </w:pPr>
      <w:r>
        <w:rPr>
          <w:rFonts w:hint="eastAsia" w:ascii="宋体" w:hAnsi="宋体"/>
          <w:b/>
          <w:spacing w:val="2"/>
          <w:sz w:val="36"/>
          <w:szCs w:val="36"/>
        </w:rPr>
        <w:t>采</w:t>
      </w:r>
      <w:r>
        <w:rPr>
          <w:rFonts w:hint="eastAsia" w:ascii="宋体" w:hAnsi="宋体"/>
          <w:b/>
          <w:spacing w:val="2"/>
          <w:sz w:val="36"/>
          <w:szCs w:val="36"/>
          <w:lang w:val="en-US" w:eastAsia="zh-CN"/>
        </w:rPr>
        <w:t xml:space="preserve"> </w:t>
      </w:r>
      <w:r>
        <w:rPr>
          <w:rFonts w:hint="eastAsia" w:ascii="宋体" w:hAnsi="宋体"/>
          <w:b/>
          <w:spacing w:val="2"/>
          <w:sz w:val="36"/>
          <w:szCs w:val="36"/>
        </w:rPr>
        <w:t xml:space="preserve"> </w:t>
      </w:r>
      <w:r>
        <w:rPr>
          <w:rFonts w:hint="eastAsia" w:ascii="宋体" w:hAnsi="宋体"/>
          <w:b/>
          <w:spacing w:val="2"/>
          <w:sz w:val="36"/>
          <w:szCs w:val="36"/>
          <w:lang w:val="en-US" w:eastAsia="zh-CN"/>
        </w:rPr>
        <w:t xml:space="preserve"> </w:t>
      </w:r>
      <w:r>
        <w:rPr>
          <w:rFonts w:hint="eastAsia" w:ascii="宋体" w:hAnsi="宋体"/>
          <w:b/>
          <w:spacing w:val="2"/>
          <w:sz w:val="36"/>
          <w:szCs w:val="36"/>
        </w:rPr>
        <w:t>购</w:t>
      </w:r>
      <w:r>
        <w:rPr>
          <w:rFonts w:hint="eastAsia" w:ascii="宋体" w:hAnsi="宋体"/>
          <w:b/>
          <w:spacing w:val="2"/>
          <w:sz w:val="36"/>
          <w:szCs w:val="36"/>
          <w:lang w:val="en-US" w:eastAsia="zh-CN"/>
        </w:rPr>
        <w:t xml:space="preserve">  </w:t>
      </w:r>
      <w:r>
        <w:rPr>
          <w:rFonts w:hint="eastAsia" w:ascii="宋体" w:hAnsi="宋体"/>
          <w:b/>
          <w:spacing w:val="2"/>
          <w:sz w:val="36"/>
          <w:szCs w:val="36"/>
        </w:rPr>
        <w:t xml:space="preserve"> 人</w:t>
      </w:r>
      <w:r>
        <w:rPr>
          <w:rFonts w:hint="eastAsia" w:ascii="宋体" w:hAnsi="宋体"/>
          <w:b/>
          <w:sz w:val="36"/>
          <w:szCs w:val="36"/>
        </w:rPr>
        <w:t>：</w:t>
      </w:r>
      <w:r>
        <w:rPr>
          <w:rFonts w:hint="eastAsia" w:ascii="宋体" w:hAnsi="宋体"/>
          <w:b/>
          <w:sz w:val="36"/>
          <w:szCs w:val="36"/>
          <w:u w:val="single"/>
          <w:lang w:eastAsia="zh-CN"/>
        </w:rPr>
        <w:t>遂平县机关事务中心</w:t>
      </w:r>
    </w:p>
    <w:p w14:paraId="1783A119">
      <w:pPr>
        <w:ind w:firstLine="731" w:firstLineChars="200"/>
        <w:rPr>
          <w:rFonts w:hint="eastAsia" w:ascii="宋体" w:hAnsi="宋体"/>
          <w:b/>
          <w:spacing w:val="2"/>
          <w:sz w:val="36"/>
          <w:szCs w:val="36"/>
        </w:rPr>
      </w:pPr>
      <w:r>
        <w:rPr>
          <w:rFonts w:hint="eastAsia" w:ascii="宋体" w:hAnsi="宋体"/>
          <w:b/>
          <w:spacing w:val="2"/>
          <w:sz w:val="36"/>
          <w:szCs w:val="36"/>
        </w:rPr>
        <w:t>集中采购机构：</w:t>
      </w:r>
      <w:r>
        <w:rPr>
          <w:rFonts w:hint="eastAsia" w:ascii="宋体" w:hAnsi="宋体"/>
          <w:b/>
          <w:spacing w:val="2"/>
          <w:sz w:val="36"/>
          <w:szCs w:val="36"/>
          <w:u w:val="single"/>
          <w:lang w:eastAsia="zh-CN"/>
        </w:rPr>
        <w:t>遂平县公共资源交易中心</w:t>
      </w:r>
      <w:r>
        <w:rPr>
          <w:rFonts w:hint="eastAsia" w:ascii="宋体" w:hAnsi="宋体"/>
          <w:b/>
          <w:spacing w:val="2"/>
          <w:sz w:val="36"/>
          <w:szCs w:val="36"/>
        </w:rPr>
        <w:t xml:space="preserve">   </w:t>
      </w:r>
    </w:p>
    <w:p w14:paraId="1E8DF34B">
      <w:pPr>
        <w:ind w:firstLine="1443" w:firstLineChars="395"/>
        <w:rPr>
          <w:rFonts w:hint="eastAsia" w:ascii="宋体" w:hAnsi="宋体"/>
          <w:b/>
          <w:spacing w:val="2"/>
          <w:sz w:val="36"/>
          <w:szCs w:val="36"/>
        </w:rPr>
      </w:pPr>
    </w:p>
    <w:p w14:paraId="541705D5">
      <w:pPr>
        <w:ind w:firstLine="1443" w:firstLineChars="395"/>
        <w:rPr>
          <w:rFonts w:hint="eastAsia" w:ascii="宋体" w:hAnsi="宋体"/>
          <w:b/>
          <w:spacing w:val="2"/>
          <w:sz w:val="36"/>
          <w:szCs w:val="36"/>
        </w:rPr>
      </w:pPr>
    </w:p>
    <w:p w14:paraId="1F30CFE5">
      <w:pPr>
        <w:ind w:firstLine="2536" w:firstLineChars="694"/>
        <w:rPr>
          <w:rFonts w:ascii="宋体" w:hAnsi="宋体"/>
          <w:b/>
          <w:sz w:val="32"/>
          <w:szCs w:val="32"/>
        </w:rPr>
      </w:pPr>
      <w:r>
        <w:rPr>
          <w:rFonts w:hint="eastAsia" w:ascii="宋体" w:hAnsi="宋体"/>
          <w:b/>
          <w:spacing w:val="2"/>
          <w:sz w:val="36"/>
          <w:szCs w:val="36"/>
        </w:rPr>
        <w:t xml:space="preserve"> 二O二</w:t>
      </w:r>
      <w:r>
        <w:rPr>
          <w:rFonts w:hint="eastAsia" w:ascii="宋体" w:hAnsi="宋体"/>
          <w:b/>
          <w:spacing w:val="2"/>
          <w:sz w:val="36"/>
          <w:szCs w:val="36"/>
          <w:lang w:val="en-US" w:eastAsia="zh-CN"/>
        </w:rPr>
        <w:t>六</w:t>
      </w:r>
      <w:r>
        <w:rPr>
          <w:rFonts w:hint="eastAsia" w:ascii="宋体" w:hAnsi="宋体"/>
          <w:b/>
          <w:spacing w:val="2"/>
          <w:sz w:val="36"/>
          <w:szCs w:val="36"/>
        </w:rPr>
        <w:t>年</w:t>
      </w:r>
      <w:r>
        <w:rPr>
          <w:rFonts w:hint="eastAsia" w:ascii="宋体" w:hAnsi="宋体"/>
          <w:b/>
          <w:spacing w:val="2"/>
          <w:sz w:val="36"/>
          <w:szCs w:val="36"/>
          <w:lang w:val="en-US" w:eastAsia="zh-CN"/>
        </w:rPr>
        <w:t>八</w:t>
      </w:r>
      <w:r>
        <w:rPr>
          <w:rFonts w:hint="eastAsia" w:ascii="宋体" w:hAnsi="宋体"/>
          <w:b/>
          <w:spacing w:val="2"/>
          <w:sz w:val="36"/>
          <w:szCs w:val="36"/>
        </w:rPr>
        <w:t>月</w:t>
      </w:r>
    </w:p>
    <w:p w14:paraId="4B1D0CFC">
      <w:pPr>
        <w:jc w:val="center"/>
        <w:rPr>
          <w:lang w:val="zh-CN"/>
        </w:rPr>
      </w:pPr>
    </w:p>
    <w:p w14:paraId="0F7AAEA2">
      <w:pPr>
        <w:pStyle w:val="3"/>
        <w:rPr>
          <w:lang w:val="zh-CN"/>
        </w:rPr>
        <w:sectPr>
          <w:pgSz w:w="11906" w:h="16838"/>
          <w:pgMar w:top="1440" w:right="1800" w:bottom="1440" w:left="1800" w:header="851" w:footer="992" w:gutter="0"/>
          <w:cols w:space="425" w:num="1"/>
          <w:docGrid w:type="lines" w:linePitch="312" w:charSpace="0"/>
        </w:sectPr>
      </w:pPr>
    </w:p>
    <w:p w14:paraId="20DE6859">
      <w:pPr>
        <w:widowControl/>
        <w:wordWrap w:val="0"/>
        <w:spacing w:before="156" w:after="156"/>
        <w:jc w:val="center"/>
        <w:rPr>
          <w:rFonts w:hint="eastAsia" w:ascii="黑体" w:hAnsi="宋体" w:eastAsia="黑体" w:cs="宋体"/>
          <w:b/>
          <w:kern w:val="0"/>
          <w:sz w:val="36"/>
          <w:szCs w:val="36"/>
        </w:rPr>
      </w:pPr>
      <w:r>
        <w:rPr>
          <w:rFonts w:hint="eastAsia" w:ascii="黑体" w:hAnsi="宋体" w:eastAsia="黑体" w:cs="宋体"/>
          <w:b/>
          <w:kern w:val="0"/>
          <w:sz w:val="36"/>
          <w:szCs w:val="36"/>
        </w:rPr>
        <w:t>目        录</w:t>
      </w:r>
    </w:p>
    <w:p w14:paraId="24FE40F1">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第一章    招标公告</w:t>
      </w:r>
    </w:p>
    <w:p w14:paraId="34D6D774">
      <w:pPr>
        <w:widowControl/>
        <w:wordWrap w:val="0"/>
        <w:spacing w:before="156"/>
        <w:ind w:firstLine="1680" w:firstLineChars="600"/>
        <w:jc w:val="left"/>
        <w:rPr>
          <w:rFonts w:hint="eastAsia" w:ascii="宋体" w:hAnsi="宋体" w:cs="宋体"/>
          <w:kern w:val="0"/>
          <w:sz w:val="28"/>
          <w:szCs w:val="28"/>
        </w:rPr>
      </w:pPr>
      <w:r>
        <w:rPr>
          <w:rFonts w:hint="eastAsia" w:ascii="宋体" w:hAnsi="宋体" w:cs="宋体"/>
          <w:kern w:val="0"/>
          <w:sz w:val="28"/>
          <w:szCs w:val="28"/>
        </w:rPr>
        <w:t>第二章    招标需求</w:t>
      </w:r>
    </w:p>
    <w:p w14:paraId="26F782DE">
      <w:pPr>
        <w:widowControl/>
        <w:wordWrap w:val="0"/>
        <w:spacing w:before="156"/>
        <w:ind w:firstLine="1680" w:firstLineChars="600"/>
        <w:jc w:val="left"/>
        <w:rPr>
          <w:rFonts w:hint="eastAsia" w:ascii="宋体" w:hAnsi="宋体" w:cs="宋体"/>
          <w:kern w:val="0"/>
          <w:sz w:val="28"/>
          <w:szCs w:val="28"/>
        </w:rPr>
      </w:pPr>
      <w:r>
        <w:rPr>
          <w:rFonts w:hint="eastAsia" w:ascii="宋体" w:hAnsi="宋体" w:cs="宋体"/>
          <w:kern w:val="0"/>
          <w:sz w:val="28"/>
          <w:szCs w:val="28"/>
        </w:rPr>
        <w:t>第三章    投标人须知</w:t>
      </w:r>
    </w:p>
    <w:p w14:paraId="3FA11A26">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投标人须知前附表</w:t>
      </w:r>
    </w:p>
    <w:p w14:paraId="144570D2">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一.说明</w:t>
      </w:r>
    </w:p>
    <w:p w14:paraId="5EA395F8">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二.招标文件</w:t>
      </w:r>
    </w:p>
    <w:p w14:paraId="73BB33AC">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三.投标文件的编制</w:t>
      </w:r>
    </w:p>
    <w:p w14:paraId="7310D619">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四.投标文件的的上传、递交</w:t>
      </w:r>
    </w:p>
    <w:p w14:paraId="312B6172">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五.开标</w:t>
      </w:r>
    </w:p>
    <w:p w14:paraId="7333D6A1">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六.评标</w:t>
      </w:r>
    </w:p>
    <w:p w14:paraId="3D432545">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七.定标</w:t>
      </w:r>
    </w:p>
    <w:p w14:paraId="021E34E4">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八.合同授予</w:t>
      </w:r>
    </w:p>
    <w:p w14:paraId="435C37E7">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第四章    评标办法及评分标准</w:t>
      </w:r>
    </w:p>
    <w:p w14:paraId="6F965DC6">
      <w:pPr>
        <w:widowControl/>
        <w:wordWrap w:val="0"/>
        <w:spacing w:before="156"/>
        <w:jc w:val="left"/>
        <w:rPr>
          <w:rFonts w:hint="eastAsia" w:ascii="宋体" w:hAnsi="宋体" w:cs="宋体"/>
          <w:kern w:val="0"/>
          <w:sz w:val="28"/>
          <w:szCs w:val="28"/>
        </w:rPr>
      </w:pPr>
      <w:r>
        <w:rPr>
          <w:rFonts w:hint="eastAsia" w:ascii="宋体" w:hAnsi="宋体" w:cs="宋体"/>
          <w:kern w:val="0"/>
          <w:sz w:val="28"/>
          <w:szCs w:val="28"/>
        </w:rPr>
        <w:t xml:space="preserve">            第五章    政府采购合同主要条款</w:t>
      </w:r>
    </w:p>
    <w:p w14:paraId="0986E8F0">
      <w:pPr>
        <w:widowControl/>
        <w:wordWrap w:val="0"/>
        <w:spacing w:before="156"/>
        <w:jc w:val="left"/>
        <w:rPr>
          <w:rFonts w:ascii="宋体" w:hAnsi="宋体" w:cs="宋体"/>
          <w:kern w:val="0"/>
          <w:sz w:val="28"/>
          <w:szCs w:val="28"/>
        </w:rPr>
      </w:pPr>
      <w:r>
        <w:rPr>
          <w:rFonts w:hint="eastAsia" w:ascii="宋体" w:hAnsi="宋体" w:cs="宋体"/>
          <w:kern w:val="0"/>
          <w:sz w:val="28"/>
          <w:szCs w:val="28"/>
        </w:rPr>
        <w:t xml:space="preserve">            第六章    投标文件格式</w:t>
      </w:r>
    </w:p>
    <w:p w14:paraId="5895EFD9">
      <w:pPr>
        <w:rPr>
          <w:rFonts w:ascii="宋体" w:hAnsi="宋体" w:cs="宋体"/>
          <w:sz w:val="30"/>
          <w:szCs w:val="30"/>
        </w:rPr>
      </w:pPr>
    </w:p>
    <w:p w14:paraId="40182887"/>
    <w:p w14:paraId="659E9F47">
      <w:pPr>
        <w:widowControl/>
        <w:numPr>
          <w:ilvl w:val="0"/>
          <w:numId w:val="0"/>
        </w:numPr>
        <w:shd w:val="clear" w:color="auto" w:fill="FFFFFF"/>
        <w:spacing w:line="360" w:lineRule="auto"/>
        <w:jc w:val="center"/>
        <w:outlineLvl w:val="0"/>
        <w:rPr>
          <w:rFonts w:hint="eastAsia" w:ascii="Times New Roman" w:hAnsi="Times New Roman" w:eastAsia="宋体" w:cs="Times New Roman"/>
          <w:b/>
          <w:sz w:val="36"/>
          <w:szCs w:val="36"/>
          <w:lang w:val="en-US" w:eastAsia="zh-CN"/>
        </w:rPr>
      </w:pPr>
      <w:r>
        <w:rPr>
          <w:rFonts w:hint="eastAsia"/>
        </w:rPr>
        <w:br w:type="page"/>
      </w:r>
      <w:bookmarkStart w:id="0" w:name="_Toc21619"/>
      <w:bookmarkStart w:id="1" w:name="_Toc10296"/>
      <w:r>
        <w:rPr>
          <w:rFonts w:hint="eastAsia" w:ascii="Times New Roman" w:hAnsi="Times New Roman" w:eastAsia="宋体" w:cs="Times New Roman"/>
          <w:b/>
          <w:sz w:val="36"/>
          <w:szCs w:val="36"/>
          <w:lang w:val="en-US" w:eastAsia="zh-CN"/>
        </w:rPr>
        <w:t>第一章</w:t>
      </w:r>
    </w:p>
    <w:p w14:paraId="37440222">
      <w:pPr>
        <w:widowControl/>
        <w:numPr>
          <w:ilvl w:val="0"/>
          <w:numId w:val="0"/>
        </w:numPr>
        <w:shd w:val="clear" w:color="auto" w:fill="FFFFFF"/>
        <w:spacing w:line="360" w:lineRule="auto"/>
        <w:jc w:val="center"/>
        <w:outlineLvl w:val="0"/>
        <w:rPr>
          <w:rFonts w:hint="eastAsia" w:cs="Times New Roman"/>
          <w:b/>
          <w:sz w:val="36"/>
          <w:szCs w:val="36"/>
          <w:lang w:eastAsia="zh-CN"/>
        </w:rPr>
      </w:pPr>
      <w:r>
        <w:rPr>
          <w:rFonts w:hint="eastAsia" w:cs="Times New Roman"/>
          <w:b/>
          <w:sz w:val="36"/>
          <w:szCs w:val="36"/>
          <w:lang w:eastAsia="zh-CN"/>
        </w:rPr>
        <w:t>遂平县机关事务中心县委县政府办公区物业服务</w:t>
      </w:r>
    </w:p>
    <w:p w14:paraId="41B3B420">
      <w:pPr>
        <w:widowControl/>
        <w:numPr>
          <w:ilvl w:val="0"/>
          <w:numId w:val="0"/>
        </w:numPr>
        <w:shd w:val="clear" w:color="auto" w:fill="FFFFFF"/>
        <w:spacing w:line="360" w:lineRule="auto"/>
        <w:jc w:val="center"/>
        <w:outlineLvl w:val="0"/>
        <w:rPr>
          <w:color w:val="000000" w:themeColor="text1"/>
          <w:sz w:val="36"/>
          <w:szCs w:val="36"/>
          <w:highlight w:val="none"/>
          <w14:textFill>
            <w14:solidFill>
              <w14:schemeClr w14:val="tx1"/>
            </w14:solidFill>
          </w14:textFill>
        </w:rPr>
      </w:pPr>
      <w:r>
        <w:rPr>
          <w:rFonts w:hint="eastAsia" w:cs="Times New Roman"/>
          <w:b/>
          <w:sz w:val="36"/>
          <w:szCs w:val="36"/>
          <w:lang w:eastAsia="zh-CN"/>
        </w:rPr>
        <w:t>采购项目招标公告</w:t>
      </w:r>
    </w:p>
    <w:p w14:paraId="6FA6448B">
      <w:pPr>
        <w:jc w:val="center"/>
        <w:rPr>
          <w:color w:val="000000" w:themeColor="text1"/>
          <w:highlight w:val="none"/>
          <w14:textFill>
            <w14:solidFill>
              <w14:schemeClr w14:val="tx1"/>
            </w14:solidFill>
          </w14:textFill>
        </w:rPr>
      </w:pPr>
    </w:p>
    <w:p w14:paraId="41BB8FD2">
      <w:pPr>
        <w:pBdr>
          <w:top w:val="single" w:color="auto" w:sz="4" w:space="1"/>
          <w:left w:val="single" w:color="auto" w:sz="4" w:space="4"/>
          <w:bottom w:val="single" w:color="auto" w:sz="4" w:space="1"/>
          <w:right w:val="single" w:color="auto" w:sz="4" w:space="18"/>
        </w:pBdr>
        <w:spacing w:beforeAutospacing="0" w:afterAutospacing="0" w:line="48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项目概况</w:t>
      </w:r>
    </w:p>
    <w:p w14:paraId="5BAF81E4">
      <w:pPr>
        <w:pBdr>
          <w:top w:val="single" w:color="auto" w:sz="4" w:space="1"/>
          <w:left w:val="single" w:color="auto" w:sz="4" w:space="4"/>
          <w:bottom w:val="single" w:color="auto" w:sz="4" w:space="1"/>
          <w:right w:val="single" w:color="auto" w:sz="4" w:space="18"/>
        </w:pBdr>
        <w:spacing w:beforeAutospacing="0" w:afterAutospacing="0" w:line="480" w:lineRule="auto"/>
        <w:ind w:firstLine="480" w:firstLineChars="200"/>
        <w:rPr>
          <w:rFonts w:ascii="宋体" w:hAnsi="宋体"/>
          <w:b/>
          <w:bCs/>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遂平县机关事务中心县委县政府办公区物业服务采购项目</w:t>
      </w:r>
      <w:r>
        <w:rPr>
          <w:rFonts w:hint="eastAsia" w:ascii="宋体" w:hAnsi="宋体"/>
          <w:color w:val="000000" w:themeColor="text1"/>
          <w:sz w:val="24"/>
          <w:highlight w:val="none"/>
          <w14:textFill>
            <w14:solidFill>
              <w14:schemeClr w14:val="tx1"/>
            </w14:solidFill>
          </w14:textFill>
        </w:rPr>
        <w:t>的潜在供应商应在驻马店市</w:t>
      </w:r>
      <w:r>
        <w:rPr>
          <w:rFonts w:ascii="宋体" w:hAnsi="宋体"/>
          <w:color w:val="000000" w:themeColor="text1"/>
          <w:sz w:val="24"/>
          <w:highlight w:val="none"/>
          <w14:textFill>
            <w14:solidFill>
              <w14:schemeClr w14:val="tx1"/>
            </w14:solidFill>
          </w14:textFill>
        </w:rPr>
        <w:t>公共资源交易中心</w:t>
      </w:r>
      <w:r>
        <w:rPr>
          <w:rFonts w:hint="eastAsia" w:ascii="宋体" w:hAnsi="宋体"/>
          <w:color w:val="000000" w:themeColor="text1"/>
          <w:sz w:val="24"/>
          <w:highlight w:val="none"/>
          <w14:textFill>
            <w14:solidFill>
              <w14:schemeClr w14:val="tx1"/>
            </w14:solidFill>
          </w14:textFill>
        </w:rPr>
        <w:t>电子</w:t>
      </w:r>
      <w:r>
        <w:rPr>
          <w:rFonts w:ascii="宋体" w:hAnsi="宋体"/>
          <w:color w:val="000000" w:themeColor="text1"/>
          <w:sz w:val="24"/>
          <w:highlight w:val="none"/>
          <w14:textFill>
            <w14:solidFill>
              <w14:schemeClr w14:val="tx1"/>
            </w14:solidFill>
          </w14:textFill>
        </w:rPr>
        <w:t>交易平台</w:t>
      </w:r>
      <w:r>
        <w:rPr>
          <w:rFonts w:hint="eastAsia" w:ascii="宋体" w:hAnsi="宋体"/>
          <w:color w:val="000000" w:themeColor="text1"/>
          <w:sz w:val="24"/>
          <w:highlight w:val="none"/>
          <w14:textFill>
            <w14:solidFill>
              <w14:schemeClr w14:val="tx1"/>
            </w14:solidFill>
          </w14:textFill>
        </w:rPr>
        <w:t>（http://</w:t>
      </w:r>
      <w:r>
        <w:rPr>
          <w:rFonts w:hint="eastAsia" w:ascii="宋体" w:hAnsi="宋体"/>
          <w:color w:val="000000" w:themeColor="text1"/>
          <w:sz w:val="24"/>
          <w:highlight w:val="none"/>
          <w:lang w:eastAsia="zh-CN"/>
          <w14:textFill>
            <w14:solidFill>
              <w14:schemeClr w14:val="tx1"/>
            </w14:solidFill>
          </w14:textFill>
        </w:rPr>
        <w:t>ggzy.zhumadian.gov.cn</w:t>
      </w:r>
      <w:r>
        <w:rPr>
          <w:rFonts w:hint="eastAsia" w:ascii="宋体" w:hAnsi="宋体"/>
          <w:color w:val="000000" w:themeColor="text1"/>
          <w:sz w:val="24"/>
          <w:highlight w:val="none"/>
          <w14:textFill>
            <w14:solidFill>
              <w14:schemeClr w14:val="tx1"/>
            </w14:solidFill>
          </w14:textFill>
        </w:rPr>
        <w:t>）获取采购文件，并于</w:t>
      </w:r>
      <w:r>
        <w:rPr>
          <w:rFonts w:hint="eastAsia" w:ascii="宋体" w:hAnsi="宋体" w:eastAsia="宋体" w:cs="Times New Roman"/>
          <w:color w:val="000000" w:themeColor="text1"/>
          <w:sz w:val="24"/>
          <w:highlight w:val="none"/>
          <w:lang w:eastAsia="zh-CN"/>
          <w14:textFill>
            <w14:solidFill>
              <w14:schemeClr w14:val="tx1"/>
            </w14:solidFill>
          </w14:textFill>
        </w:rPr>
        <w:t>202</w:t>
      </w:r>
      <w:r>
        <w:rPr>
          <w:rFonts w:hint="eastAsia" w:ascii="宋体" w:hAnsi="宋体" w:cs="Times New Roman"/>
          <w:color w:val="000000" w:themeColor="text1"/>
          <w:sz w:val="24"/>
          <w:highlight w:val="none"/>
          <w:lang w:val="en-US" w:eastAsia="zh-CN"/>
          <w14:textFill>
            <w14:solidFill>
              <w14:schemeClr w14:val="tx1"/>
            </w14:solidFill>
          </w14:textFill>
        </w:rPr>
        <w:t>6</w:t>
      </w:r>
      <w:r>
        <w:rPr>
          <w:rFonts w:hint="eastAsia" w:ascii="宋体" w:hAnsi="宋体" w:eastAsia="宋体" w:cs="Times New Roman"/>
          <w:color w:val="000000" w:themeColor="text1"/>
          <w:sz w:val="24"/>
          <w:highlight w:val="none"/>
          <w:lang w:eastAsia="zh-CN"/>
          <w14:textFill>
            <w14:solidFill>
              <w14:schemeClr w14:val="tx1"/>
            </w14:solidFill>
          </w14:textFill>
        </w:rPr>
        <w:t>年</w:t>
      </w:r>
      <w:r>
        <w:rPr>
          <w:rFonts w:hint="eastAsia" w:ascii="宋体" w:hAnsi="宋体" w:cs="Times New Roman"/>
          <w:color w:val="000000" w:themeColor="text1"/>
          <w:sz w:val="24"/>
          <w:highlight w:val="none"/>
          <w:lang w:val="en-US" w:eastAsia="zh-CN"/>
          <w14:textFill>
            <w14:solidFill>
              <w14:schemeClr w14:val="tx1"/>
            </w14:solidFill>
          </w14:textFill>
        </w:rPr>
        <w:t>8</w:t>
      </w:r>
      <w:r>
        <w:rPr>
          <w:rFonts w:hint="eastAsia" w:ascii="宋体" w:hAnsi="宋体" w:eastAsia="宋体" w:cs="Times New Roman"/>
          <w:color w:val="000000" w:themeColor="text1"/>
          <w:sz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sz w:val="24"/>
          <w:highlight w:val="none"/>
          <w:lang w:eastAsia="zh-CN"/>
          <w14:textFill>
            <w14:solidFill>
              <w14:schemeClr w14:val="tx1"/>
            </w14:solidFill>
          </w14:textFill>
        </w:rPr>
        <w:t>月</w:t>
      </w:r>
      <w:r>
        <w:rPr>
          <w:rFonts w:hint="eastAsia" w:ascii="宋体" w:hAnsi="宋体" w:eastAsia="宋体" w:cs="Times New Roman"/>
          <w:color w:val="000000" w:themeColor="text1"/>
          <w:sz w:val="24"/>
          <w:highlight w:val="none"/>
          <w:lang w:val="en-US" w:eastAsia="zh-CN"/>
          <w14:textFill>
            <w14:solidFill>
              <w14:schemeClr w14:val="tx1"/>
            </w14:solidFill>
          </w14:textFill>
        </w:rPr>
        <w:t xml:space="preserve"> 2</w:t>
      </w:r>
      <w:r>
        <w:rPr>
          <w:rFonts w:hint="eastAsia" w:ascii="宋体" w:hAnsi="宋体" w:cs="Times New Roman"/>
          <w:color w:val="000000" w:themeColor="text1"/>
          <w:sz w:val="24"/>
          <w:highlight w:val="none"/>
          <w:lang w:val="en-US" w:eastAsia="zh-CN"/>
          <w14:textFill>
            <w14:solidFill>
              <w14:schemeClr w14:val="tx1"/>
            </w14:solidFill>
          </w14:textFill>
        </w:rPr>
        <w:t>5</w:t>
      </w:r>
      <w:r>
        <w:rPr>
          <w:rFonts w:hint="eastAsia" w:ascii="宋体" w:hAnsi="宋体" w:eastAsia="宋体" w:cs="Times New Roman"/>
          <w:color w:val="000000" w:themeColor="text1"/>
          <w:sz w:val="24"/>
          <w:highlight w:val="none"/>
          <w:lang w:eastAsia="zh-CN"/>
          <w14:textFill>
            <w14:solidFill>
              <w14:schemeClr w14:val="tx1"/>
            </w14:solidFill>
          </w14:textFill>
        </w:rPr>
        <w:t xml:space="preserve">日 </w:t>
      </w:r>
      <w:r>
        <w:rPr>
          <w:rFonts w:hint="eastAsia" w:ascii="宋体" w:hAnsi="宋体" w:eastAsia="宋体" w:cs="Times New Roman"/>
          <w:color w:val="000000" w:themeColor="text1"/>
          <w:sz w:val="24"/>
          <w:highlight w:val="none"/>
          <w:lang w:val="en-US" w:eastAsia="zh-CN"/>
          <w14:textFill>
            <w14:solidFill>
              <w14:schemeClr w14:val="tx1"/>
            </w14:solidFill>
          </w14:textFill>
        </w:rPr>
        <w:t>9</w:t>
      </w:r>
      <w:r>
        <w:rPr>
          <w:rFonts w:hint="eastAsia" w:ascii="宋体" w:hAnsi="宋体" w:eastAsia="宋体" w:cs="Times New Roman"/>
          <w:color w:val="000000" w:themeColor="text1"/>
          <w:sz w:val="24"/>
          <w:highlight w:val="none"/>
          <w:lang w:eastAsia="zh-CN"/>
          <w14:textFill>
            <w14:solidFill>
              <w14:schemeClr w14:val="tx1"/>
            </w14:solidFill>
          </w14:textFill>
        </w:rPr>
        <w:t>:</w:t>
      </w:r>
      <w:r>
        <w:rPr>
          <w:rFonts w:hint="eastAsia" w:ascii="宋体" w:hAnsi="宋体" w:eastAsia="宋体" w:cs="Times New Roman"/>
          <w:color w:val="000000" w:themeColor="text1"/>
          <w:sz w:val="24"/>
          <w:highlight w:val="none"/>
          <w:lang w:val="en-US" w:eastAsia="zh-CN"/>
          <w14:textFill>
            <w14:solidFill>
              <w14:schemeClr w14:val="tx1"/>
            </w14:solidFill>
          </w14:textFill>
        </w:rPr>
        <w:t>0</w:t>
      </w:r>
      <w:r>
        <w:rPr>
          <w:rFonts w:hint="eastAsia" w:ascii="宋体" w:hAnsi="宋体" w:eastAsia="宋体" w:cs="Times New Roman"/>
          <w:color w:val="000000" w:themeColor="text1"/>
          <w:sz w:val="24"/>
          <w:highlight w:val="none"/>
          <w:lang w:eastAsia="zh-CN"/>
          <w14:textFill>
            <w14:solidFill>
              <w14:schemeClr w14:val="tx1"/>
            </w14:solidFill>
          </w14:textFill>
        </w:rPr>
        <w:t>0 时</w:t>
      </w:r>
      <w:r>
        <w:rPr>
          <w:rFonts w:hint="eastAsia" w:ascii="宋体" w:hAnsi="宋体"/>
          <w:bCs/>
          <w:color w:val="000000" w:themeColor="text1"/>
          <w:sz w:val="24"/>
          <w:highlight w:val="none"/>
          <w14:textFill>
            <w14:solidFill>
              <w14:schemeClr w14:val="tx1"/>
            </w14:solidFill>
          </w14:textFill>
        </w:rPr>
        <w:t>（北京时间）前提交响应</w:t>
      </w:r>
      <w:r>
        <w:rPr>
          <w:rFonts w:ascii="宋体" w:hAnsi="宋体"/>
          <w:bCs/>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w:t>
      </w:r>
    </w:p>
    <w:p w14:paraId="67DF015A">
      <w:pPr>
        <w:widowControl/>
        <w:shd w:val="clear" w:color="auto" w:fill="FFFFFF"/>
        <w:spacing w:line="360" w:lineRule="auto"/>
        <w:jc w:val="left"/>
        <w:rPr>
          <w:rFonts w:hint="eastAsia" w:ascii="宋体" w:hAnsi="宋体" w:cs="宋体"/>
          <w:b/>
          <w:bCs/>
          <w:kern w:val="0"/>
          <w:sz w:val="24"/>
        </w:rPr>
      </w:pPr>
      <w:bookmarkStart w:id="2" w:name="_Toc28359089"/>
      <w:bookmarkEnd w:id="2"/>
      <w:bookmarkStart w:id="3" w:name="_Toc28359012"/>
      <w:bookmarkEnd w:id="3"/>
      <w:bookmarkStart w:id="4" w:name="_Toc35393629"/>
      <w:bookmarkEnd w:id="4"/>
      <w:bookmarkStart w:id="5" w:name="_Toc35393798"/>
      <w:bookmarkEnd w:id="5"/>
    </w:p>
    <w:p w14:paraId="6C59638B">
      <w:pPr>
        <w:widowControl/>
        <w:shd w:val="clear" w:color="auto" w:fill="FFFFFF"/>
        <w:spacing w:line="360" w:lineRule="auto"/>
        <w:jc w:val="left"/>
        <w:rPr>
          <w:rFonts w:ascii="宋体" w:hAnsi="宋体" w:cs="宋体"/>
          <w:kern w:val="0"/>
          <w:sz w:val="24"/>
        </w:rPr>
      </w:pPr>
      <w:r>
        <w:rPr>
          <w:rFonts w:hint="eastAsia" w:ascii="宋体" w:hAnsi="宋体" w:cs="宋体"/>
          <w:b/>
          <w:bCs/>
          <w:kern w:val="0"/>
          <w:sz w:val="24"/>
        </w:rPr>
        <w:t>一、项目基本情况</w:t>
      </w:r>
    </w:p>
    <w:p w14:paraId="52B6E844">
      <w:pPr>
        <w:widowControl/>
        <w:shd w:val="clear" w:color="auto" w:fill="FFFFFF"/>
        <w:spacing w:line="360" w:lineRule="auto"/>
        <w:ind w:firstLine="472"/>
        <w:jc w:val="left"/>
        <w:rPr>
          <w:rFonts w:hint="eastAsia" w:ascii="宋体" w:hAnsi="宋体" w:eastAsia="宋体" w:cs="宋体"/>
          <w:kern w:val="0"/>
          <w:sz w:val="24"/>
          <w:lang w:eastAsia="zh-CN"/>
        </w:rPr>
      </w:pPr>
      <w:r>
        <w:rPr>
          <w:rFonts w:hint="eastAsia" w:ascii="宋体" w:hAnsi="宋体" w:cs="宋体"/>
          <w:kern w:val="0"/>
          <w:sz w:val="24"/>
        </w:rPr>
        <w:t>1、采购项目编号：</w:t>
      </w:r>
      <w:r>
        <w:rPr>
          <w:rFonts w:hint="eastAsia" w:ascii="宋体" w:hAnsi="宋体" w:cs="宋体"/>
          <w:kern w:val="0"/>
          <w:sz w:val="24"/>
          <w:lang w:eastAsia="zh-CN"/>
        </w:rPr>
        <w:t>遂政采招【202</w:t>
      </w:r>
      <w:r>
        <w:rPr>
          <w:rFonts w:hint="eastAsia" w:ascii="宋体" w:hAnsi="宋体" w:cs="宋体"/>
          <w:kern w:val="0"/>
          <w:sz w:val="24"/>
          <w:lang w:val="en-US" w:eastAsia="zh-CN"/>
        </w:rPr>
        <w:t>6</w:t>
      </w:r>
      <w:r>
        <w:rPr>
          <w:rFonts w:hint="eastAsia" w:ascii="宋体" w:hAnsi="宋体" w:cs="宋体"/>
          <w:kern w:val="0"/>
          <w:sz w:val="24"/>
          <w:lang w:eastAsia="zh-CN"/>
        </w:rPr>
        <w:t>】</w:t>
      </w:r>
      <w:r>
        <w:rPr>
          <w:rFonts w:hint="eastAsia" w:ascii="宋体" w:hAnsi="宋体" w:cs="宋体"/>
          <w:kern w:val="0"/>
          <w:sz w:val="24"/>
          <w:lang w:val="en-US" w:eastAsia="zh-CN"/>
        </w:rPr>
        <w:t>52</w:t>
      </w:r>
      <w:r>
        <w:rPr>
          <w:rFonts w:hint="eastAsia" w:ascii="宋体" w:hAnsi="宋体" w:cs="宋体"/>
          <w:kern w:val="0"/>
          <w:sz w:val="24"/>
          <w:lang w:eastAsia="zh-CN"/>
        </w:rPr>
        <w:t>号</w:t>
      </w:r>
    </w:p>
    <w:p w14:paraId="508A2F80">
      <w:pPr>
        <w:widowControl/>
        <w:shd w:val="clear" w:color="auto" w:fill="FFFFFF"/>
        <w:spacing w:line="360" w:lineRule="auto"/>
        <w:ind w:firstLine="472"/>
        <w:jc w:val="left"/>
        <w:rPr>
          <w:rFonts w:hint="eastAsia" w:ascii="宋体" w:hAnsi="宋体" w:eastAsia="宋体" w:cs="宋体"/>
          <w:color w:val="0000FF"/>
          <w:kern w:val="0"/>
          <w:sz w:val="24"/>
          <w:lang w:eastAsia="zh-CN"/>
        </w:rPr>
      </w:pPr>
      <w:r>
        <w:rPr>
          <w:rFonts w:hint="eastAsia" w:ascii="宋体" w:hAnsi="宋体" w:cs="宋体"/>
          <w:kern w:val="0"/>
          <w:sz w:val="24"/>
        </w:rPr>
        <w:t>2、采购项目名称：</w:t>
      </w:r>
      <w:r>
        <w:rPr>
          <w:rFonts w:hint="eastAsia" w:ascii="宋体" w:hAnsi="宋体" w:cs="宋体"/>
          <w:bCs/>
          <w:kern w:val="0"/>
          <w:sz w:val="24"/>
          <w:lang w:eastAsia="zh-CN"/>
        </w:rPr>
        <w:t>遂平县机关事务中心县委县政府办公区物业服务采购项目</w:t>
      </w:r>
    </w:p>
    <w:p w14:paraId="15C08852">
      <w:pPr>
        <w:widowControl/>
        <w:shd w:val="clear" w:color="auto" w:fill="FFFFFF"/>
        <w:spacing w:line="360" w:lineRule="auto"/>
        <w:ind w:firstLine="472"/>
        <w:jc w:val="left"/>
        <w:rPr>
          <w:rFonts w:ascii="宋体" w:hAnsi="宋体" w:cs="宋体"/>
          <w:kern w:val="0"/>
          <w:sz w:val="24"/>
        </w:rPr>
      </w:pPr>
      <w:r>
        <w:rPr>
          <w:rFonts w:hint="eastAsia" w:ascii="宋体" w:hAnsi="宋体" w:cs="宋体"/>
          <w:kern w:val="0"/>
          <w:sz w:val="24"/>
        </w:rPr>
        <w:t>3、采购方式：公开招标</w:t>
      </w:r>
    </w:p>
    <w:p w14:paraId="4AAEFF41">
      <w:pPr>
        <w:widowControl/>
        <w:numPr>
          <w:ilvl w:val="0"/>
          <w:numId w:val="1"/>
        </w:numPr>
        <w:shd w:val="clear" w:color="auto" w:fill="FFFFFF"/>
        <w:spacing w:line="360" w:lineRule="auto"/>
        <w:ind w:firstLine="472"/>
        <w:jc w:val="left"/>
        <w:rPr>
          <w:rFonts w:ascii="宋体" w:hAnsi="宋体" w:cs="宋体"/>
          <w:kern w:val="0"/>
          <w:sz w:val="24"/>
        </w:rPr>
      </w:pPr>
      <w:r>
        <w:rPr>
          <w:rFonts w:hint="eastAsia" w:ascii="宋体" w:hAnsi="宋体" w:cs="宋体"/>
          <w:kern w:val="0"/>
          <w:sz w:val="24"/>
        </w:rPr>
        <w:t>预算金额：</w:t>
      </w:r>
      <w:r>
        <w:rPr>
          <w:rFonts w:hint="eastAsia" w:ascii="宋体" w:hAnsi="宋体" w:cs="宋体"/>
          <w:kern w:val="0"/>
          <w:sz w:val="24"/>
          <w:lang w:eastAsia="zh-CN"/>
        </w:rPr>
        <w:t>2069208</w:t>
      </w:r>
      <w:r>
        <w:rPr>
          <w:rFonts w:hint="eastAsia" w:ascii="宋体" w:hAnsi="宋体" w:cs="宋体"/>
          <w:kern w:val="0"/>
          <w:sz w:val="24"/>
        </w:rPr>
        <w:t>元（每年</w:t>
      </w:r>
      <w:r>
        <w:rPr>
          <w:rFonts w:hint="eastAsia" w:ascii="宋体" w:hAnsi="宋体" w:cs="宋体"/>
          <w:kern w:val="0"/>
          <w:sz w:val="24"/>
          <w:lang w:val="en-US" w:eastAsia="zh-CN"/>
        </w:rPr>
        <w:t>689736</w:t>
      </w:r>
      <w:r>
        <w:rPr>
          <w:rFonts w:hint="eastAsia" w:ascii="宋体" w:hAnsi="宋体" w:cs="宋体"/>
          <w:kern w:val="0"/>
          <w:sz w:val="24"/>
        </w:rPr>
        <w:t>元）</w:t>
      </w:r>
    </w:p>
    <w:p w14:paraId="3122F2CD">
      <w:pPr>
        <w:pStyle w:val="80"/>
        <w:ind w:left="420" w:firstLine="420"/>
        <w:rPr>
          <w:rFonts w:hint="eastAsia" w:ascii="宋体" w:hAnsi="宋体" w:cs="宋体"/>
          <w:kern w:val="0"/>
        </w:rPr>
      </w:pPr>
      <w:r>
        <w:rPr>
          <w:rFonts w:hint="eastAsia" w:ascii="宋体" w:hAnsi="宋体" w:cs="宋体"/>
          <w:kern w:val="0"/>
        </w:rPr>
        <w:t>最高限价：</w:t>
      </w:r>
      <w:r>
        <w:rPr>
          <w:rFonts w:hint="eastAsia" w:ascii="宋体" w:hAnsi="宋体" w:cs="宋体"/>
          <w:kern w:val="0"/>
          <w:lang w:eastAsia="zh-CN"/>
        </w:rPr>
        <w:t>2069208</w:t>
      </w:r>
      <w:r>
        <w:rPr>
          <w:rFonts w:hint="eastAsia" w:ascii="宋体" w:hAnsi="宋体" w:cs="宋体"/>
          <w:kern w:val="0"/>
        </w:rPr>
        <w:t>元（每年</w:t>
      </w:r>
      <w:r>
        <w:rPr>
          <w:rFonts w:hint="eastAsia" w:ascii="宋体" w:hAnsi="宋体" w:cs="宋体"/>
          <w:kern w:val="0"/>
          <w:lang w:val="en-US" w:eastAsia="zh-CN"/>
        </w:rPr>
        <w:t>689736</w:t>
      </w:r>
      <w:r>
        <w:rPr>
          <w:rFonts w:hint="eastAsia" w:ascii="宋体" w:hAnsi="宋体" w:cs="宋体"/>
          <w:kern w:val="0"/>
        </w:rPr>
        <w:t>元）</w:t>
      </w:r>
    </w:p>
    <w:tbl>
      <w:tblPr>
        <w:tblStyle w:val="36"/>
        <w:tblW w:w="9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661"/>
        <w:gridCol w:w="2635"/>
        <w:gridCol w:w="1211"/>
        <w:gridCol w:w="1200"/>
        <w:gridCol w:w="1523"/>
        <w:gridCol w:w="1306"/>
      </w:tblGrid>
      <w:tr w14:paraId="649B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shd w:val="clear" w:color="auto" w:fill="auto"/>
            <w:vAlign w:val="center"/>
          </w:tcPr>
          <w:p w14:paraId="01280F74">
            <w:pPr>
              <w:shd w:val="clear" w:color="auto" w:fill="FFFFFF"/>
              <w:spacing w:beforeAutospacing="0" w:afterAutospacing="0" w:line="540" w:lineRule="exact"/>
              <w:jc w:val="center"/>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序号</w:t>
            </w:r>
          </w:p>
        </w:tc>
        <w:tc>
          <w:tcPr>
            <w:tcW w:w="661" w:type="dxa"/>
            <w:shd w:val="clear" w:color="auto" w:fill="auto"/>
            <w:vAlign w:val="center"/>
          </w:tcPr>
          <w:p w14:paraId="3290895C">
            <w:pPr>
              <w:shd w:val="clear" w:color="auto" w:fill="FFFFFF"/>
              <w:spacing w:beforeAutospacing="0" w:afterAutospacing="0" w:line="540" w:lineRule="exact"/>
              <w:jc w:val="center"/>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包</w:t>
            </w:r>
            <w:r>
              <w:rPr>
                <w:rFonts w:ascii="宋体" w:hAnsi="宋体"/>
                <w:bCs/>
                <w:color w:val="000000" w:themeColor="text1"/>
                <w:kern w:val="0"/>
                <w:sz w:val="24"/>
                <w:highlight w:val="none"/>
                <w14:textFill>
                  <w14:solidFill>
                    <w14:schemeClr w14:val="tx1"/>
                  </w14:solidFill>
                </w14:textFill>
              </w:rPr>
              <w:t>号</w:t>
            </w:r>
          </w:p>
        </w:tc>
        <w:tc>
          <w:tcPr>
            <w:tcW w:w="2635" w:type="dxa"/>
            <w:shd w:val="clear" w:color="auto" w:fill="auto"/>
            <w:vAlign w:val="center"/>
          </w:tcPr>
          <w:p w14:paraId="07AA6DB2">
            <w:pPr>
              <w:shd w:val="clear" w:color="auto" w:fill="FFFFFF"/>
              <w:spacing w:beforeAutospacing="0" w:afterAutospacing="0" w:line="540" w:lineRule="exact"/>
              <w:ind w:firstLine="472"/>
              <w:jc w:val="center"/>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包</w:t>
            </w:r>
            <w:r>
              <w:rPr>
                <w:rFonts w:ascii="宋体" w:hAnsi="宋体"/>
                <w:bCs/>
                <w:color w:val="000000" w:themeColor="text1"/>
                <w:kern w:val="0"/>
                <w:sz w:val="24"/>
                <w:highlight w:val="none"/>
                <w14:textFill>
                  <w14:solidFill>
                    <w14:schemeClr w14:val="tx1"/>
                  </w14:solidFill>
                </w14:textFill>
              </w:rPr>
              <w:t>名称</w:t>
            </w:r>
          </w:p>
        </w:tc>
        <w:tc>
          <w:tcPr>
            <w:tcW w:w="1211" w:type="dxa"/>
            <w:shd w:val="clear" w:color="auto" w:fill="auto"/>
            <w:vAlign w:val="center"/>
          </w:tcPr>
          <w:p w14:paraId="06074480">
            <w:pPr>
              <w:shd w:val="clear" w:color="auto" w:fill="FFFFFF"/>
              <w:spacing w:beforeAutospacing="0" w:afterAutospacing="0" w:line="540" w:lineRule="exact"/>
              <w:jc w:val="center"/>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包</w:t>
            </w:r>
            <w:r>
              <w:rPr>
                <w:rFonts w:ascii="宋体" w:hAnsi="宋体"/>
                <w:bCs/>
                <w:color w:val="000000" w:themeColor="text1"/>
                <w:kern w:val="0"/>
                <w:sz w:val="24"/>
                <w:highlight w:val="none"/>
                <w14:textFill>
                  <w14:solidFill>
                    <w14:schemeClr w14:val="tx1"/>
                  </w14:solidFill>
                </w14:textFill>
              </w:rPr>
              <w:t>预算</w:t>
            </w:r>
            <w:r>
              <w:rPr>
                <w:rFonts w:hint="eastAsia" w:ascii="宋体" w:hAnsi="宋体"/>
                <w:bCs/>
                <w:color w:val="000000" w:themeColor="text1"/>
                <w:kern w:val="0"/>
                <w:sz w:val="24"/>
                <w:highlight w:val="none"/>
                <w14:textFill>
                  <w14:solidFill>
                    <w14:schemeClr w14:val="tx1"/>
                  </w14:solidFill>
                </w14:textFill>
              </w:rPr>
              <w:t>（元）</w:t>
            </w:r>
          </w:p>
        </w:tc>
        <w:tc>
          <w:tcPr>
            <w:tcW w:w="1200" w:type="dxa"/>
            <w:shd w:val="clear" w:color="auto" w:fill="auto"/>
            <w:vAlign w:val="center"/>
          </w:tcPr>
          <w:p w14:paraId="35FFDA56">
            <w:pPr>
              <w:shd w:val="clear" w:color="auto" w:fill="FFFFFF"/>
              <w:spacing w:beforeAutospacing="0" w:afterAutospacing="0" w:line="540" w:lineRule="exact"/>
              <w:jc w:val="center"/>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包</w:t>
            </w:r>
            <w:r>
              <w:rPr>
                <w:rFonts w:ascii="宋体" w:hAnsi="宋体"/>
                <w:bCs/>
                <w:color w:val="000000" w:themeColor="text1"/>
                <w:kern w:val="0"/>
                <w:sz w:val="24"/>
                <w:highlight w:val="none"/>
                <w14:textFill>
                  <w14:solidFill>
                    <w14:schemeClr w14:val="tx1"/>
                  </w14:solidFill>
                </w14:textFill>
              </w:rPr>
              <w:t>最高限价</w:t>
            </w:r>
            <w:r>
              <w:rPr>
                <w:rFonts w:hint="eastAsia" w:ascii="宋体" w:hAnsi="宋体"/>
                <w:bCs/>
                <w:color w:val="000000" w:themeColor="text1"/>
                <w:kern w:val="0"/>
                <w:sz w:val="24"/>
                <w:highlight w:val="none"/>
                <w14:textFill>
                  <w14:solidFill>
                    <w14:schemeClr w14:val="tx1"/>
                  </w14:solidFill>
                </w14:textFill>
              </w:rPr>
              <w:t>（元）</w:t>
            </w:r>
          </w:p>
        </w:tc>
        <w:tc>
          <w:tcPr>
            <w:tcW w:w="1523" w:type="dxa"/>
            <w:shd w:val="clear" w:color="auto" w:fill="auto"/>
            <w:vAlign w:val="center"/>
          </w:tcPr>
          <w:p w14:paraId="4AACC296">
            <w:pPr>
              <w:shd w:val="clear" w:color="auto" w:fill="FFFFFF"/>
              <w:spacing w:beforeAutospacing="0" w:afterAutospacing="0" w:line="540" w:lineRule="exact"/>
              <w:jc w:val="center"/>
              <w:rPr>
                <w:rFonts w:hint="eastAsia" w:ascii="宋体" w:hAnsi="宋体"/>
                <w:bCs/>
                <w:color w:val="000000" w:themeColor="text1"/>
                <w:kern w:val="0"/>
                <w:sz w:val="24"/>
                <w:highlight w:val="none"/>
                <w14:textFill>
                  <w14:solidFill>
                    <w14:schemeClr w14:val="tx1"/>
                  </w14:solidFill>
                </w14:textFill>
              </w:rPr>
            </w:pPr>
            <w:r>
              <w:rPr>
                <w:rFonts w:hint="eastAsia" w:ascii="宋体" w:hAnsi="宋体"/>
                <w:sz w:val="24"/>
                <w:szCs w:val="24"/>
                <w:lang w:val="en-US" w:eastAsia="zh-CN"/>
              </w:rPr>
              <w:t>是否专门面向中小企业</w:t>
            </w:r>
          </w:p>
        </w:tc>
        <w:tc>
          <w:tcPr>
            <w:tcW w:w="1306" w:type="dxa"/>
            <w:shd w:val="clear" w:color="auto" w:fill="auto"/>
            <w:vAlign w:val="center"/>
          </w:tcPr>
          <w:p w14:paraId="25AA4FCB">
            <w:pPr>
              <w:shd w:val="clear" w:color="auto" w:fill="FFFFFF"/>
              <w:spacing w:beforeAutospacing="0" w:afterAutospacing="0" w:line="540" w:lineRule="exact"/>
              <w:jc w:val="center"/>
              <w:rPr>
                <w:rFonts w:hint="eastAsia" w:ascii="宋体" w:hAnsi="宋体"/>
                <w:bCs/>
                <w:color w:val="000000" w:themeColor="text1"/>
                <w:kern w:val="0"/>
                <w:sz w:val="24"/>
                <w:highlight w:val="none"/>
                <w14:textFill>
                  <w14:solidFill>
                    <w14:schemeClr w14:val="tx1"/>
                  </w14:solidFill>
                </w14:textFill>
              </w:rPr>
            </w:pPr>
            <w:r>
              <w:rPr>
                <w:rFonts w:hint="eastAsia" w:ascii="宋体" w:hAnsi="宋体"/>
                <w:sz w:val="24"/>
                <w:szCs w:val="24"/>
                <w:lang w:val="en-US" w:eastAsia="zh-CN"/>
              </w:rPr>
              <w:t>采购预留金额（元）</w:t>
            </w:r>
          </w:p>
        </w:tc>
      </w:tr>
      <w:tr w14:paraId="682B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shd w:val="clear" w:color="auto" w:fill="auto"/>
            <w:vAlign w:val="center"/>
          </w:tcPr>
          <w:p w14:paraId="1B0FFEE7">
            <w:pPr>
              <w:shd w:val="clear" w:color="auto" w:fill="FFFFFF"/>
              <w:spacing w:beforeAutospacing="0" w:afterAutospacing="0" w:line="540" w:lineRule="exact"/>
              <w:jc w:val="center"/>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1</w:t>
            </w:r>
          </w:p>
        </w:tc>
        <w:tc>
          <w:tcPr>
            <w:tcW w:w="661" w:type="dxa"/>
            <w:shd w:val="clear" w:color="auto" w:fill="auto"/>
            <w:vAlign w:val="center"/>
          </w:tcPr>
          <w:p w14:paraId="09476AF3">
            <w:pPr>
              <w:shd w:val="clear" w:color="auto" w:fill="FFFFFF"/>
              <w:spacing w:beforeAutospacing="0" w:afterAutospacing="0" w:line="540" w:lineRule="exact"/>
              <w:jc w:val="center"/>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A</w:t>
            </w:r>
          </w:p>
        </w:tc>
        <w:tc>
          <w:tcPr>
            <w:tcW w:w="2635" w:type="dxa"/>
            <w:shd w:val="clear" w:color="auto" w:fill="auto"/>
            <w:vAlign w:val="center"/>
          </w:tcPr>
          <w:p w14:paraId="639A7DCC">
            <w:pPr>
              <w:shd w:val="clear" w:color="auto" w:fill="FFFFFF"/>
              <w:spacing w:beforeAutospacing="0" w:afterAutospacing="0" w:line="540" w:lineRule="exact"/>
              <w:rPr>
                <w:rFonts w:hint="eastAsia" w:ascii="宋体" w:hAnsi="宋体" w:eastAsia="宋体"/>
                <w:bCs/>
                <w:color w:val="000000" w:themeColor="text1"/>
                <w:kern w:val="0"/>
                <w:sz w:val="24"/>
                <w:highlight w:val="none"/>
                <w:lang w:eastAsia="zh-CN"/>
                <w14:textFill>
                  <w14:solidFill>
                    <w14:schemeClr w14:val="tx1"/>
                  </w14:solidFill>
                </w14:textFill>
              </w:rPr>
            </w:pPr>
            <w:r>
              <w:rPr>
                <w:rFonts w:hint="eastAsia" w:ascii="宋体" w:hAnsi="宋体" w:cs="宋体"/>
                <w:bCs/>
                <w:kern w:val="0"/>
                <w:sz w:val="24"/>
                <w:lang w:eastAsia="zh-CN"/>
              </w:rPr>
              <w:t>遂平县机关事务中心县委县政府办公区物业服务采购项目</w:t>
            </w:r>
          </w:p>
        </w:tc>
        <w:tc>
          <w:tcPr>
            <w:tcW w:w="1211" w:type="dxa"/>
            <w:shd w:val="clear" w:color="auto" w:fill="auto"/>
            <w:vAlign w:val="center"/>
          </w:tcPr>
          <w:p w14:paraId="192DBD95">
            <w:pPr>
              <w:shd w:val="clear" w:color="auto" w:fill="FFFFFF"/>
              <w:spacing w:beforeAutospacing="0" w:afterAutospacing="0" w:line="540" w:lineRule="exact"/>
              <w:jc w:val="center"/>
              <w:rPr>
                <w:rFonts w:hint="default" w:ascii="宋体" w:hAnsi="宋体"/>
                <w:bCs/>
                <w:color w:val="000000" w:themeColor="text1"/>
                <w:kern w:val="0"/>
                <w:sz w:val="24"/>
                <w:highlight w:val="none"/>
                <w:lang w:val="en-US"/>
                <w14:textFill>
                  <w14:solidFill>
                    <w14:schemeClr w14:val="tx1"/>
                  </w14:solidFill>
                </w14:textFill>
              </w:rPr>
            </w:pPr>
            <w:r>
              <w:rPr>
                <w:rFonts w:hint="eastAsia" w:ascii="宋体" w:hAnsi="宋体" w:cs="宋体"/>
                <w:kern w:val="0"/>
                <w:sz w:val="24"/>
                <w:lang w:eastAsia="zh-CN"/>
              </w:rPr>
              <w:t>2069208</w:t>
            </w:r>
          </w:p>
        </w:tc>
        <w:tc>
          <w:tcPr>
            <w:tcW w:w="1200" w:type="dxa"/>
            <w:shd w:val="clear" w:color="auto" w:fill="auto"/>
            <w:vAlign w:val="center"/>
          </w:tcPr>
          <w:p w14:paraId="6A3C27B8">
            <w:pPr>
              <w:shd w:val="clear" w:color="auto" w:fill="FFFFFF"/>
              <w:spacing w:beforeAutospacing="0" w:afterAutospacing="0" w:line="540" w:lineRule="exact"/>
              <w:jc w:val="center"/>
              <w:rPr>
                <w:rFonts w:hint="default" w:ascii="宋体" w:hAnsi="宋体"/>
                <w:bCs/>
                <w:color w:val="000000" w:themeColor="text1"/>
                <w:kern w:val="0"/>
                <w:sz w:val="24"/>
                <w:highlight w:val="none"/>
                <w:lang w:val="en-US"/>
                <w14:textFill>
                  <w14:solidFill>
                    <w14:schemeClr w14:val="tx1"/>
                  </w14:solidFill>
                </w14:textFill>
              </w:rPr>
            </w:pPr>
            <w:r>
              <w:rPr>
                <w:rFonts w:hint="eastAsia" w:ascii="宋体" w:hAnsi="宋体" w:cs="宋体"/>
                <w:kern w:val="0"/>
                <w:sz w:val="24"/>
                <w:lang w:eastAsia="zh-CN"/>
              </w:rPr>
              <w:t>2069208</w:t>
            </w:r>
          </w:p>
        </w:tc>
        <w:tc>
          <w:tcPr>
            <w:tcW w:w="1523" w:type="dxa"/>
            <w:shd w:val="clear" w:color="auto" w:fill="auto"/>
            <w:vAlign w:val="center"/>
          </w:tcPr>
          <w:p w14:paraId="4D4DAD58">
            <w:pPr>
              <w:shd w:val="clear" w:color="auto" w:fill="FFFFFF"/>
              <w:spacing w:beforeAutospacing="0" w:afterAutospacing="0" w:line="540" w:lineRule="exact"/>
              <w:jc w:val="center"/>
              <w:rPr>
                <w:rFonts w:hint="default" w:ascii="宋体" w:hAnsi="宋体" w:cs="宋体"/>
                <w:kern w:val="0"/>
                <w:sz w:val="24"/>
                <w:lang w:val="en-US" w:eastAsia="zh-CN"/>
              </w:rPr>
            </w:pPr>
            <w:r>
              <w:rPr>
                <w:rFonts w:hint="eastAsia" w:ascii="宋体" w:hAnsi="宋体" w:cs="宋体"/>
                <w:kern w:val="0"/>
                <w:sz w:val="24"/>
                <w:lang w:val="en-US" w:eastAsia="zh-CN"/>
              </w:rPr>
              <w:t>否</w:t>
            </w:r>
          </w:p>
        </w:tc>
        <w:tc>
          <w:tcPr>
            <w:tcW w:w="1306" w:type="dxa"/>
            <w:shd w:val="clear" w:color="auto" w:fill="auto"/>
            <w:vAlign w:val="center"/>
          </w:tcPr>
          <w:p w14:paraId="6EC00251">
            <w:pPr>
              <w:shd w:val="clear" w:color="auto" w:fill="FFFFFF"/>
              <w:spacing w:beforeAutospacing="0" w:afterAutospacing="0" w:line="540" w:lineRule="exact"/>
              <w:jc w:val="center"/>
              <w:rPr>
                <w:rFonts w:hint="eastAsia" w:ascii="宋体" w:hAnsi="宋体" w:cs="宋体"/>
                <w:kern w:val="0"/>
                <w:sz w:val="24"/>
                <w:lang w:eastAsia="zh-CN"/>
              </w:rPr>
            </w:pPr>
            <w:r>
              <w:rPr>
                <w:rFonts w:hint="eastAsia" w:ascii="宋体" w:hAnsi="宋体" w:cs="宋体"/>
                <w:kern w:val="0"/>
                <w:sz w:val="24"/>
                <w:lang w:eastAsia="zh-CN"/>
              </w:rPr>
              <w:t>2069208</w:t>
            </w:r>
          </w:p>
        </w:tc>
      </w:tr>
    </w:tbl>
    <w:p w14:paraId="2C81ACC7">
      <w:pPr>
        <w:pStyle w:val="31"/>
        <w:widowControl w:val="0"/>
        <w:spacing w:before="0" w:beforeAutospacing="0" w:after="0" w:afterAutospacing="0" w:line="400" w:lineRule="exact"/>
        <w:jc w:val="both"/>
        <w:rPr>
          <w:shd w:val="clear" w:color="auto" w:fill="FFFFFF"/>
        </w:rPr>
      </w:pPr>
    </w:p>
    <w:p w14:paraId="618B0ECD">
      <w:pPr>
        <w:pStyle w:val="31"/>
        <w:widowControl w:val="0"/>
        <w:numPr>
          <w:ilvl w:val="0"/>
          <w:numId w:val="1"/>
        </w:numPr>
        <w:spacing w:before="0" w:beforeAutospacing="0" w:after="0" w:afterAutospacing="0" w:line="400" w:lineRule="exact"/>
        <w:ind w:left="0" w:leftChars="0" w:firstLine="472" w:firstLineChars="0"/>
        <w:jc w:val="both"/>
        <w:rPr>
          <w:rFonts w:hint="eastAsia" w:ascii="宋体" w:hAnsi="宋体"/>
          <w:bCs/>
          <w:color w:val="000000" w:themeColor="text1"/>
          <w:kern w:val="0"/>
          <w:sz w:val="24"/>
          <w:highlight w:val="none"/>
          <w14:textFill>
            <w14:solidFill>
              <w14:schemeClr w14:val="tx1"/>
            </w14:solidFill>
          </w14:textFill>
        </w:rPr>
      </w:pPr>
      <w:r>
        <w:rPr>
          <w:rFonts w:hint="eastAsia"/>
          <w:shd w:val="clear" w:color="auto" w:fill="FFFFFF"/>
        </w:rPr>
        <w:t>采购需求：</w:t>
      </w:r>
      <w:r>
        <w:rPr>
          <w:rFonts w:hint="eastAsia" w:ascii="宋体" w:hAnsi="宋体"/>
          <w:bCs/>
          <w:color w:val="000000" w:themeColor="text1"/>
          <w:kern w:val="0"/>
          <w:sz w:val="24"/>
          <w:highlight w:val="none"/>
          <w14:textFill>
            <w14:solidFill>
              <w14:schemeClr w14:val="tx1"/>
            </w14:solidFill>
          </w14:textFill>
        </w:rPr>
        <w:t>（包括但不限于标的的名称、数量、简要技术需求或服务要求等）详见采购</w:t>
      </w:r>
      <w:r>
        <w:rPr>
          <w:rFonts w:ascii="宋体" w:hAnsi="宋体"/>
          <w:bCs/>
          <w:color w:val="000000" w:themeColor="text1"/>
          <w:kern w:val="0"/>
          <w:sz w:val="24"/>
          <w:highlight w:val="none"/>
          <w14:textFill>
            <w14:solidFill>
              <w14:schemeClr w14:val="tx1"/>
            </w14:solidFill>
          </w14:textFill>
        </w:rPr>
        <w:t>文件</w:t>
      </w:r>
      <w:r>
        <w:rPr>
          <w:rFonts w:hint="eastAsia" w:ascii="宋体" w:hAnsi="宋体"/>
          <w:bCs/>
          <w:color w:val="000000" w:themeColor="text1"/>
          <w:kern w:val="0"/>
          <w:sz w:val="24"/>
          <w:highlight w:val="none"/>
          <w14:textFill>
            <w14:solidFill>
              <w14:schemeClr w14:val="tx1"/>
            </w14:solidFill>
          </w14:textFill>
        </w:rPr>
        <w:t>。</w:t>
      </w:r>
    </w:p>
    <w:p w14:paraId="2115A54F">
      <w:pPr>
        <w:pStyle w:val="31"/>
        <w:widowControl w:val="0"/>
        <w:numPr>
          <w:ilvl w:val="0"/>
          <w:numId w:val="0"/>
        </w:numPr>
        <w:spacing w:before="0" w:beforeAutospacing="0" w:after="0" w:afterAutospacing="0" w:line="400" w:lineRule="exact"/>
        <w:ind w:left="472" w:leftChars="0"/>
        <w:jc w:val="both"/>
        <w:rPr>
          <w:highlight w:val="yellow"/>
          <w:shd w:val="clear" w:color="auto" w:fill="FFFFFF"/>
        </w:rPr>
      </w:pPr>
      <w:r>
        <w:rPr>
          <w:rFonts w:hint="eastAsia"/>
          <w:shd w:val="clear" w:color="auto" w:fill="FFFFFF"/>
        </w:rPr>
        <w:t>6、合同履行期限：</w:t>
      </w:r>
      <w:r>
        <w:rPr>
          <w:rFonts w:hint="eastAsia"/>
        </w:rPr>
        <w:t>合同签订之日起</w:t>
      </w:r>
      <w:r>
        <w:rPr>
          <w:rFonts w:hint="eastAsia"/>
          <w:lang w:val="en-US" w:eastAsia="zh-CN"/>
        </w:rPr>
        <w:t>三年</w:t>
      </w:r>
    </w:p>
    <w:p w14:paraId="16506C59">
      <w:pPr>
        <w:pStyle w:val="31"/>
        <w:widowControl w:val="0"/>
        <w:spacing w:before="0" w:beforeAutospacing="0" w:after="0" w:afterAutospacing="0" w:line="400" w:lineRule="exact"/>
        <w:ind w:firstLine="480" w:firstLineChars="200"/>
        <w:jc w:val="both"/>
        <w:rPr>
          <w:shd w:val="clear" w:color="auto" w:fill="FFFFFF"/>
        </w:rPr>
      </w:pPr>
      <w:r>
        <w:rPr>
          <w:rFonts w:hint="eastAsia"/>
          <w:shd w:val="clear" w:color="auto" w:fill="FFFFFF"/>
        </w:rPr>
        <w:t xml:space="preserve">7、本项目是否接受联合体投标：否 </w:t>
      </w:r>
    </w:p>
    <w:p w14:paraId="18925344">
      <w:pPr>
        <w:pStyle w:val="31"/>
        <w:widowControl w:val="0"/>
        <w:spacing w:before="0" w:beforeAutospacing="0" w:after="0" w:afterAutospacing="0" w:line="400" w:lineRule="exact"/>
        <w:ind w:firstLine="480" w:firstLineChars="200"/>
        <w:jc w:val="both"/>
        <w:rPr>
          <w:highlight w:val="yellow"/>
          <w:shd w:val="clear" w:color="auto" w:fill="FFFFFF"/>
        </w:rPr>
      </w:pPr>
      <w:r>
        <w:rPr>
          <w:rFonts w:hint="eastAsia"/>
          <w:shd w:val="clear" w:color="auto" w:fill="FFFFFF"/>
        </w:rPr>
        <w:t xml:space="preserve">8、是否接受进口产品：否 </w:t>
      </w:r>
    </w:p>
    <w:p w14:paraId="1233B297">
      <w:pPr>
        <w:pStyle w:val="2"/>
        <w:spacing w:before="0" w:after="0" w:line="400" w:lineRule="exact"/>
        <w:rPr>
          <w:rFonts w:cs="宋体"/>
          <w:kern w:val="0"/>
          <w:sz w:val="24"/>
          <w:szCs w:val="24"/>
        </w:rPr>
      </w:pPr>
      <w:r>
        <w:rPr>
          <w:rFonts w:hint="eastAsia" w:cs="宋体"/>
          <w:kern w:val="0"/>
          <w:sz w:val="24"/>
          <w:szCs w:val="24"/>
        </w:rPr>
        <w:t>二、申请人资格要求</w:t>
      </w:r>
    </w:p>
    <w:p w14:paraId="1B78D0B6">
      <w:pPr>
        <w:shd w:val="clear" w:color="auto" w:fill="FFFFFF"/>
        <w:spacing w:line="540" w:lineRule="exact"/>
        <w:ind w:firstLine="472"/>
        <w:rPr>
          <w:rFonts w:ascii="宋体" w:hAnsi="宋体"/>
          <w:bCs/>
          <w:kern w:val="0"/>
          <w:sz w:val="24"/>
        </w:rPr>
      </w:pPr>
      <w:r>
        <w:rPr>
          <w:rFonts w:ascii="宋体" w:hAnsi="宋体"/>
          <w:bCs/>
          <w:kern w:val="0"/>
          <w:sz w:val="24"/>
        </w:rPr>
        <w:t>1</w:t>
      </w:r>
      <w:r>
        <w:rPr>
          <w:rFonts w:hint="eastAsia" w:ascii="宋体" w:hAnsi="宋体"/>
          <w:bCs/>
          <w:kern w:val="0"/>
          <w:sz w:val="24"/>
        </w:rPr>
        <w:t>.满足《中华人民共和国政府采购法》第二十二条规定；</w:t>
      </w:r>
    </w:p>
    <w:p w14:paraId="66523F79">
      <w:pPr>
        <w:shd w:val="clear" w:color="auto" w:fill="FFFFFF"/>
        <w:spacing w:line="540" w:lineRule="exact"/>
        <w:ind w:firstLine="472"/>
        <w:rPr>
          <w:rFonts w:ascii="宋体" w:hAnsi="宋体"/>
          <w:bCs/>
          <w:kern w:val="0"/>
          <w:sz w:val="24"/>
        </w:rPr>
      </w:pPr>
      <w:r>
        <w:rPr>
          <w:rFonts w:ascii="宋体" w:hAnsi="宋体"/>
          <w:bCs/>
          <w:kern w:val="0"/>
          <w:sz w:val="24"/>
        </w:rPr>
        <w:t>2</w:t>
      </w:r>
      <w:r>
        <w:rPr>
          <w:rFonts w:hint="eastAsia" w:ascii="宋体" w:hAnsi="宋体"/>
          <w:bCs/>
          <w:kern w:val="0"/>
          <w:sz w:val="24"/>
        </w:rPr>
        <w:t>.落实政府采购政策需满足的资格要求：（如属于专门面向中小企业采购的项目,供应商应为中小微企业、监狱企业、残疾人福利性单位；属于节能产品政府采购品目清单规定必须强制采购的, 投标产品必须获得国家确定的认证机构出具的、处于有效期之内的节能产品认证证书；采购信息安全产品的，必须采购经国家认证的信息安全产品；政府机关采购计算机办公设备必须预装正版操作系统软件)</w:t>
      </w:r>
    </w:p>
    <w:p w14:paraId="7E9FD1BE">
      <w:pPr>
        <w:shd w:val="clear" w:color="auto" w:fill="FFFFFF"/>
        <w:spacing w:line="540" w:lineRule="exact"/>
        <w:ind w:firstLine="472"/>
        <w:rPr>
          <w:rFonts w:hint="eastAsia"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2.1</w:t>
      </w:r>
      <w:r>
        <w:rPr>
          <w:rFonts w:hint="eastAsia" w:ascii="宋体" w:hAnsi="宋体"/>
          <w:bCs/>
          <w:color w:val="000000" w:themeColor="text1"/>
          <w:kern w:val="0"/>
          <w:sz w:val="24"/>
          <w:highlight w:val="none"/>
          <w:lang w:val="en-US" w:eastAsia="zh-CN"/>
          <w14:textFill>
            <w14:solidFill>
              <w14:schemeClr w14:val="tx1"/>
            </w14:solidFill>
          </w14:textFill>
        </w:rPr>
        <w:t>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失信主体、政府采购严重违法失信行为记录名单的供应商（投标人），拒绝参与本项目的投标；【查询渠道：（www.creditchina.gov.cn）、“信用中国”网站、中国政府采购网（www.ccgp.gov.cn）】，查询时间为本项目发布公告日期之后；</w:t>
      </w:r>
    </w:p>
    <w:p w14:paraId="7ED2D92C">
      <w:pPr>
        <w:shd w:val="clear" w:color="auto" w:fill="FFFFFF"/>
        <w:spacing w:line="540" w:lineRule="exact"/>
        <w:ind w:firstLine="472"/>
        <w:rPr>
          <w:rFonts w:ascii="宋体" w:hAnsi="宋体"/>
          <w:bCs/>
          <w:kern w:val="0"/>
          <w:sz w:val="24"/>
        </w:rPr>
      </w:pPr>
      <w:r>
        <w:rPr>
          <w:rFonts w:ascii="宋体" w:hAnsi="宋体"/>
          <w:bCs/>
          <w:kern w:val="0"/>
          <w:sz w:val="24"/>
        </w:rPr>
        <w:t>3</w:t>
      </w:r>
      <w:r>
        <w:rPr>
          <w:rFonts w:hint="eastAsia" w:ascii="宋体" w:hAnsi="宋体"/>
          <w:bCs/>
          <w:kern w:val="0"/>
          <w:sz w:val="24"/>
        </w:rPr>
        <w:t>、本项目的特定资格要求：</w:t>
      </w:r>
    </w:p>
    <w:p w14:paraId="6653DC16">
      <w:pPr>
        <w:shd w:val="clear" w:color="auto" w:fill="FFFFFF"/>
        <w:spacing w:line="540" w:lineRule="exact"/>
        <w:ind w:firstLine="472"/>
        <w:rPr>
          <w:rFonts w:ascii="宋体" w:hAnsi="宋体"/>
          <w:bCs/>
          <w:kern w:val="0"/>
          <w:sz w:val="24"/>
        </w:rPr>
      </w:pPr>
      <w:r>
        <w:rPr>
          <w:rFonts w:hint="eastAsia" w:ascii="宋体" w:hAnsi="宋体"/>
          <w:bCs/>
          <w:kern w:val="0"/>
          <w:sz w:val="24"/>
        </w:rPr>
        <w:t>3.1具有独立企业法人资格，具有有效的营业执照、组织机构代码证、税务登记证（或三证合一证件）；</w:t>
      </w:r>
    </w:p>
    <w:p w14:paraId="66054531">
      <w:pPr>
        <w:spacing w:line="540" w:lineRule="exact"/>
        <w:ind w:firstLine="480" w:firstLineChars="200"/>
        <w:jc w:val="left"/>
        <w:rPr>
          <w:rFonts w:ascii="宋体" w:hAnsi="宋体" w:cs="宋体"/>
          <w:kern w:val="0"/>
          <w:sz w:val="24"/>
        </w:rPr>
      </w:pPr>
      <w:r>
        <w:rPr>
          <w:rStyle w:val="79"/>
          <w:rFonts w:hint="eastAsia" w:ascii="宋体" w:hAnsi="宋体"/>
          <w:kern w:val="0"/>
          <w:sz w:val="24"/>
        </w:rPr>
        <w:t>3.</w:t>
      </w:r>
      <w:r>
        <w:rPr>
          <w:rStyle w:val="79"/>
          <w:rFonts w:hint="eastAsia" w:ascii="宋体" w:hAnsi="宋体"/>
          <w:kern w:val="0"/>
          <w:sz w:val="24"/>
          <w:lang w:val="en-US" w:eastAsia="zh-CN"/>
        </w:rPr>
        <w:t>2法定代表人本人参加投标的，提供法人证明、身份证复印件；法定代表人委托代理人参加投标的，提供法人授权委托书原件、委托代理人的身份证复印件、劳动合同复印件及</w:t>
      </w:r>
      <w:r>
        <w:rPr>
          <w:rFonts w:hint="eastAsia" w:ascii="宋体" w:hAnsi="宋体" w:cs="宋体"/>
          <w:kern w:val="0"/>
          <w:sz w:val="24"/>
          <w:lang w:val="en-US" w:eastAsia="zh-CN"/>
        </w:rPr>
        <w:t>近半年内任意连续三个月的</w:t>
      </w:r>
      <w:r>
        <w:rPr>
          <w:rStyle w:val="79"/>
          <w:rFonts w:hint="eastAsia" w:ascii="宋体" w:hAnsi="宋体"/>
          <w:kern w:val="0"/>
          <w:sz w:val="24"/>
          <w:lang w:val="en-US" w:eastAsia="zh-CN"/>
        </w:rPr>
        <w:t>社保个人权益记录单；</w:t>
      </w:r>
    </w:p>
    <w:p w14:paraId="16980192">
      <w:pPr>
        <w:spacing w:line="540" w:lineRule="exact"/>
        <w:ind w:firstLine="480" w:firstLineChars="200"/>
        <w:jc w:val="left"/>
        <w:rPr>
          <w:rStyle w:val="79"/>
          <w:rFonts w:ascii="宋体" w:hAnsi="宋体"/>
          <w:kern w:val="0"/>
          <w:sz w:val="24"/>
        </w:rPr>
      </w:pPr>
      <w:r>
        <w:rPr>
          <w:rFonts w:hint="eastAsia" w:ascii="宋体" w:hAnsi="宋体" w:cs="宋体"/>
          <w:kern w:val="0"/>
          <w:sz w:val="24"/>
        </w:rPr>
        <w:t>3.3</w:t>
      </w:r>
      <w:r>
        <w:rPr>
          <w:rStyle w:val="79"/>
          <w:rFonts w:hint="eastAsia" w:ascii="宋体" w:hAnsi="宋体"/>
          <w:kern w:val="0"/>
          <w:sz w:val="24"/>
        </w:rPr>
        <w:t>本项目不接受联合体投标。</w:t>
      </w:r>
    </w:p>
    <w:p w14:paraId="7B76B286">
      <w:pPr>
        <w:pStyle w:val="31"/>
        <w:widowControl w:val="0"/>
        <w:spacing w:before="0" w:beforeAutospacing="0" w:after="0" w:afterAutospacing="0" w:line="400" w:lineRule="exact"/>
        <w:ind w:left="472"/>
        <w:jc w:val="both"/>
        <w:rPr>
          <w:b/>
          <w:bCs/>
          <w:shd w:val="clear" w:color="auto" w:fill="FFFFFF"/>
        </w:rPr>
      </w:pPr>
      <w:r>
        <w:rPr>
          <w:rFonts w:hint="eastAsia"/>
          <w:b/>
          <w:bCs/>
          <w:shd w:val="clear" w:color="auto" w:fill="FFFFFF"/>
        </w:rPr>
        <w:t>三、获取</w:t>
      </w:r>
      <w:r>
        <w:rPr>
          <w:rFonts w:hint="eastAsia"/>
          <w:b/>
          <w:bCs/>
          <w:shd w:val="clear" w:color="auto" w:fill="FFFFFF"/>
          <w:lang w:val="en-US" w:eastAsia="zh-CN"/>
        </w:rPr>
        <w:t>采购</w:t>
      </w:r>
      <w:r>
        <w:rPr>
          <w:rFonts w:hint="eastAsia"/>
          <w:b/>
          <w:bCs/>
          <w:shd w:val="clear" w:color="auto" w:fill="FFFFFF"/>
        </w:rPr>
        <w:t>文件</w:t>
      </w:r>
    </w:p>
    <w:p w14:paraId="08865054">
      <w:pPr>
        <w:shd w:val="clear" w:color="auto" w:fill="FFFFFF"/>
        <w:spacing w:line="540" w:lineRule="exact"/>
        <w:ind w:firstLine="472"/>
        <w:rPr>
          <w:rFonts w:ascii="宋体" w:hAnsi="宋体"/>
          <w:bCs/>
          <w:kern w:val="0"/>
          <w:sz w:val="24"/>
        </w:rPr>
      </w:pPr>
      <w:r>
        <w:rPr>
          <w:rFonts w:hint="eastAsia" w:ascii="宋体" w:hAnsi="宋体"/>
          <w:bCs/>
          <w:kern w:val="0"/>
          <w:sz w:val="24"/>
        </w:rPr>
        <w:t>1.时间：</w:t>
      </w:r>
      <w:r>
        <w:rPr>
          <w:rFonts w:hint="eastAsia" w:ascii="宋体" w:hAnsi="宋体"/>
          <w:bCs/>
          <w:kern w:val="0"/>
          <w:sz w:val="24"/>
          <w:u w:val="single"/>
        </w:rPr>
        <w:t>202</w:t>
      </w:r>
      <w:r>
        <w:rPr>
          <w:rFonts w:hint="eastAsia" w:ascii="宋体" w:hAnsi="宋体"/>
          <w:bCs/>
          <w:kern w:val="0"/>
          <w:sz w:val="24"/>
          <w:u w:val="single"/>
          <w:lang w:val="en-US" w:eastAsia="zh-CN"/>
        </w:rPr>
        <w:t>6</w:t>
      </w:r>
      <w:r>
        <w:rPr>
          <w:rFonts w:hint="eastAsia" w:ascii="宋体" w:hAnsi="宋体"/>
          <w:bCs/>
          <w:kern w:val="0"/>
          <w:sz w:val="24"/>
          <w:u w:val="single"/>
        </w:rPr>
        <w:t xml:space="preserve"> </w:t>
      </w:r>
      <w:r>
        <w:rPr>
          <w:rFonts w:hint="eastAsia" w:ascii="宋体" w:hAnsi="宋体"/>
          <w:bCs/>
          <w:kern w:val="0"/>
          <w:sz w:val="24"/>
        </w:rPr>
        <w:t>年</w:t>
      </w:r>
      <w:r>
        <w:rPr>
          <w:rFonts w:hint="eastAsia" w:ascii="宋体" w:hAnsi="宋体"/>
          <w:bCs/>
          <w:kern w:val="0"/>
          <w:sz w:val="24"/>
          <w:u w:val="single"/>
          <w:lang w:val="en-US" w:eastAsia="zh-CN"/>
        </w:rPr>
        <w:t>8</w:t>
      </w:r>
      <w:r>
        <w:rPr>
          <w:rFonts w:hint="eastAsia" w:ascii="宋体" w:hAnsi="宋体"/>
          <w:bCs/>
          <w:kern w:val="0"/>
          <w:sz w:val="24"/>
        </w:rPr>
        <w:t>月</w:t>
      </w:r>
      <w:r>
        <w:rPr>
          <w:rFonts w:hint="eastAsia" w:ascii="宋体" w:hAnsi="宋体"/>
          <w:bCs/>
          <w:kern w:val="0"/>
          <w:sz w:val="24"/>
          <w:u w:val="single"/>
          <w:lang w:val="en-US" w:eastAsia="zh-CN"/>
        </w:rPr>
        <w:t>5</w:t>
      </w:r>
      <w:r>
        <w:rPr>
          <w:rFonts w:hint="eastAsia" w:ascii="宋体" w:hAnsi="宋体"/>
          <w:bCs/>
          <w:kern w:val="0"/>
          <w:sz w:val="24"/>
        </w:rPr>
        <w:t>日至</w:t>
      </w:r>
      <w:r>
        <w:rPr>
          <w:rFonts w:hint="eastAsia" w:ascii="宋体" w:hAnsi="宋体"/>
          <w:bCs/>
          <w:kern w:val="0"/>
          <w:sz w:val="24"/>
          <w:u w:val="single"/>
        </w:rPr>
        <w:t xml:space="preserve"> 202</w:t>
      </w:r>
      <w:r>
        <w:rPr>
          <w:rFonts w:hint="eastAsia" w:ascii="宋体" w:hAnsi="宋体"/>
          <w:bCs/>
          <w:kern w:val="0"/>
          <w:sz w:val="24"/>
          <w:u w:val="single"/>
          <w:lang w:val="en-US" w:eastAsia="zh-CN"/>
        </w:rPr>
        <w:t>6</w:t>
      </w:r>
      <w:r>
        <w:rPr>
          <w:rFonts w:hint="eastAsia" w:ascii="宋体" w:hAnsi="宋体"/>
          <w:bCs/>
          <w:kern w:val="0"/>
          <w:sz w:val="24"/>
        </w:rPr>
        <w:t>年</w:t>
      </w:r>
      <w:r>
        <w:rPr>
          <w:rFonts w:hint="eastAsia" w:ascii="宋体" w:hAnsi="宋体"/>
          <w:bCs/>
          <w:kern w:val="0"/>
          <w:sz w:val="24"/>
          <w:u w:val="single"/>
          <w:lang w:val="en-US" w:eastAsia="zh-CN"/>
        </w:rPr>
        <w:t>8</w:t>
      </w:r>
      <w:r>
        <w:rPr>
          <w:rFonts w:hint="eastAsia" w:ascii="宋体" w:hAnsi="宋体"/>
          <w:bCs/>
          <w:kern w:val="0"/>
          <w:sz w:val="24"/>
        </w:rPr>
        <w:t>月</w:t>
      </w:r>
      <w:r>
        <w:rPr>
          <w:rFonts w:hint="eastAsia" w:ascii="宋体" w:hAnsi="宋体"/>
          <w:bCs/>
          <w:kern w:val="0"/>
          <w:sz w:val="24"/>
          <w:u w:val="single"/>
          <w:lang w:val="en-US" w:eastAsia="zh-CN"/>
        </w:rPr>
        <w:t>11</w:t>
      </w:r>
      <w:r>
        <w:rPr>
          <w:rFonts w:hint="eastAsia" w:ascii="宋体" w:hAnsi="宋体"/>
          <w:bCs/>
          <w:kern w:val="0"/>
          <w:sz w:val="24"/>
        </w:rPr>
        <w:t>日，每天上午</w:t>
      </w:r>
      <w:r>
        <w:rPr>
          <w:rFonts w:hint="eastAsia" w:ascii="宋体" w:hAnsi="宋体"/>
          <w:bCs/>
          <w:kern w:val="0"/>
          <w:sz w:val="24"/>
          <w:u w:val="single"/>
        </w:rPr>
        <w:t>08:00</w:t>
      </w:r>
      <w:r>
        <w:rPr>
          <w:rFonts w:hint="eastAsia" w:ascii="宋体" w:hAnsi="宋体"/>
          <w:bCs/>
          <w:kern w:val="0"/>
          <w:sz w:val="24"/>
        </w:rPr>
        <w:t>时至</w:t>
      </w:r>
      <w:r>
        <w:rPr>
          <w:rFonts w:hint="eastAsia" w:ascii="宋体" w:hAnsi="宋体"/>
          <w:bCs/>
          <w:kern w:val="0"/>
          <w:sz w:val="24"/>
          <w:u w:val="single"/>
        </w:rPr>
        <w:t>12:00时</w:t>
      </w:r>
      <w:r>
        <w:rPr>
          <w:rFonts w:hint="eastAsia" w:ascii="宋体" w:hAnsi="宋体"/>
          <w:bCs/>
          <w:kern w:val="0"/>
          <w:sz w:val="24"/>
        </w:rPr>
        <w:t>，下午</w:t>
      </w:r>
      <w:r>
        <w:rPr>
          <w:rFonts w:hint="eastAsia" w:ascii="宋体" w:hAnsi="宋体"/>
          <w:bCs/>
          <w:kern w:val="0"/>
          <w:sz w:val="24"/>
          <w:u w:val="single"/>
        </w:rPr>
        <w:t>12:01</w:t>
      </w:r>
      <w:r>
        <w:rPr>
          <w:rFonts w:hint="eastAsia" w:ascii="宋体" w:hAnsi="宋体"/>
          <w:bCs/>
          <w:kern w:val="0"/>
          <w:sz w:val="24"/>
        </w:rPr>
        <w:t>时至</w:t>
      </w:r>
      <w:r>
        <w:rPr>
          <w:rFonts w:hint="eastAsia" w:ascii="宋体" w:hAnsi="宋体"/>
          <w:bCs/>
          <w:kern w:val="0"/>
          <w:sz w:val="24"/>
          <w:u w:val="single"/>
        </w:rPr>
        <w:t>1</w:t>
      </w:r>
      <w:r>
        <w:rPr>
          <w:rFonts w:hint="eastAsia" w:ascii="宋体" w:hAnsi="宋体"/>
          <w:bCs/>
          <w:kern w:val="0"/>
          <w:sz w:val="24"/>
          <w:u w:val="single"/>
          <w:lang w:val="en-US" w:eastAsia="zh-CN"/>
        </w:rPr>
        <w:t>8</w:t>
      </w:r>
      <w:r>
        <w:rPr>
          <w:rFonts w:hint="eastAsia" w:ascii="宋体" w:hAnsi="宋体"/>
          <w:bCs/>
          <w:kern w:val="0"/>
          <w:sz w:val="24"/>
          <w:u w:val="single"/>
        </w:rPr>
        <w:t>:</w:t>
      </w:r>
      <w:r>
        <w:rPr>
          <w:rFonts w:hint="eastAsia" w:ascii="宋体" w:hAnsi="宋体"/>
          <w:bCs/>
          <w:kern w:val="0"/>
          <w:sz w:val="24"/>
          <w:u w:val="single"/>
          <w:lang w:val="en-US" w:eastAsia="zh-CN"/>
        </w:rPr>
        <w:t>0</w:t>
      </w:r>
      <w:r>
        <w:rPr>
          <w:rFonts w:hint="eastAsia" w:ascii="宋体" w:hAnsi="宋体"/>
          <w:bCs/>
          <w:kern w:val="0"/>
          <w:sz w:val="24"/>
          <w:u w:val="single"/>
        </w:rPr>
        <w:t>0</w:t>
      </w:r>
      <w:r>
        <w:rPr>
          <w:rFonts w:hint="eastAsia" w:ascii="宋体" w:hAnsi="宋体"/>
          <w:bCs/>
          <w:kern w:val="0"/>
          <w:sz w:val="24"/>
        </w:rPr>
        <w:t>（北京时间，</w:t>
      </w:r>
      <w:r>
        <w:rPr>
          <w:rFonts w:ascii="宋体" w:hAnsi="宋体"/>
          <w:bCs/>
          <w:kern w:val="0"/>
          <w:sz w:val="24"/>
        </w:rPr>
        <w:t>法定节假日</w:t>
      </w:r>
      <w:r>
        <w:rPr>
          <w:rFonts w:hint="eastAsia" w:ascii="宋体" w:hAnsi="宋体"/>
          <w:bCs/>
          <w:kern w:val="0"/>
          <w:sz w:val="24"/>
        </w:rPr>
        <w:t>除外。）</w:t>
      </w:r>
    </w:p>
    <w:p w14:paraId="292BCB02">
      <w:pPr>
        <w:shd w:val="clear" w:color="auto" w:fill="FFFFFF"/>
        <w:spacing w:line="540" w:lineRule="exact"/>
        <w:ind w:firstLine="472"/>
        <w:rPr>
          <w:rFonts w:ascii="宋体" w:hAnsi="宋体"/>
          <w:bCs/>
          <w:kern w:val="0"/>
          <w:sz w:val="24"/>
          <w:u w:val="single"/>
        </w:rPr>
      </w:pPr>
      <w:r>
        <w:rPr>
          <w:rFonts w:ascii="宋体" w:hAnsi="宋体"/>
          <w:bCs/>
          <w:kern w:val="0"/>
          <w:sz w:val="24"/>
        </w:rPr>
        <w:t>2</w:t>
      </w:r>
      <w:r>
        <w:rPr>
          <w:rFonts w:hint="eastAsia" w:ascii="宋体" w:hAnsi="宋体"/>
          <w:bCs/>
          <w:kern w:val="0"/>
          <w:sz w:val="24"/>
        </w:rPr>
        <w:t>.地点：驻马店市</w:t>
      </w:r>
      <w:r>
        <w:rPr>
          <w:rFonts w:ascii="宋体" w:hAnsi="宋体"/>
          <w:bCs/>
          <w:kern w:val="0"/>
          <w:sz w:val="24"/>
        </w:rPr>
        <w:t>公共资源交易中心</w:t>
      </w:r>
      <w:r>
        <w:rPr>
          <w:rFonts w:hint="eastAsia" w:ascii="宋体" w:hAnsi="宋体"/>
          <w:bCs/>
          <w:kern w:val="0"/>
          <w:sz w:val="24"/>
        </w:rPr>
        <w:t>电子</w:t>
      </w:r>
      <w:r>
        <w:rPr>
          <w:rFonts w:ascii="宋体" w:hAnsi="宋体"/>
          <w:bCs/>
          <w:kern w:val="0"/>
          <w:sz w:val="24"/>
        </w:rPr>
        <w:t>交易平台</w:t>
      </w:r>
    </w:p>
    <w:p w14:paraId="7CDE7069">
      <w:pPr>
        <w:shd w:val="clear" w:color="auto" w:fill="FFFFFF"/>
        <w:spacing w:line="540" w:lineRule="exact"/>
        <w:ind w:firstLine="472"/>
        <w:rPr>
          <w:rFonts w:ascii="宋体" w:hAnsi="宋体"/>
          <w:bCs/>
          <w:kern w:val="0"/>
          <w:sz w:val="24"/>
          <w:u w:val="single"/>
        </w:rPr>
      </w:pPr>
      <w:r>
        <w:rPr>
          <w:rFonts w:ascii="宋体" w:hAnsi="宋体"/>
          <w:bCs/>
          <w:kern w:val="0"/>
          <w:sz w:val="24"/>
        </w:rPr>
        <w:t>3</w:t>
      </w:r>
      <w:r>
        <w:rPr>
          <w:rFonts w:hint="eastAsia" w:ascii="宋体" w:hAnsi="宋体"/>
          <w:bCs/>
          <w:kern w:val="0"/>
          <w:sz w:val="24"/>
        </w:rPr>
        <w:t>.方式：网上</w:t>
      </w:r>
      <w:r>
        <w:rPr>
          <w:rFonts w:ascii="宋体" w:hAnsi="宋体"/>
          <w:bCs/>
          <w:kern w:val="0"/>
          <w:sz w:val="24"/>
        </w:rPr>
        <w:t>下载</w:t>
      </w:r>
    </w:p>
    <w:p w14:paraId="2675B53D">
      <w:pPr>
        <w:shd w:val="clear" w:color="auto" w:fill="FFFFFF"/>
        <w:spacing w:line="540" w:lineRule="exact"/>
        <w:ind w:firstLine="472"/>
        <w:rPr>
          <w:rFonts w:ascii="宋体" w:hAnsi="宋体"/>
          <w:bCs/>
          <w:kern w:val="0"/>
          <w:sz w:val="24"/>
        </w:rPr>
      </w:pPr>
      <w:r>
        <w:rPr>
          <w:rFonts w:hint="eastAsia" w:ascii="宋体" w:hAnsi="宋体"/>
          <w:bCs/>
          <w:kern w:val="0"/>
          <w:sz w:val="24"/>
        </w:rPr>
        <w:t>4.售价：0元</w:t>
      </w:r>
    </w:p>
    <w:p w14:paraId="631C28D1">
      <w:pPr>
        <w:shd w:val="clear" w:color="auto" w:fill="FFFFFF"/>
        <w:spacing w:line="540" w:lineRule="exact"/>
        <w:ind w:firstLine="472"/>
        <w:rPr>
          <w:rFonts w:ascii="宋体" w:hAnsi="宋体"/>
          <w:b/>
          <w:bCs/>
          <w:kern w:val="0"/>
          <w:sz w:val="24"/>
        </w:rPr>
      </w:pPr>
      <w:bookmarkStart w:id="6" w:name="_Toc35393801"/>
      <w:bookmarkStart w:id="7" w:name="_Toc28359092"/>
      <w:bookmarkStart w:id="8" w:name="_Toc35393632"/>
      <w:bookmarkStart w:id="9" w:name="_Toc28359015"/>
      <w:r>
        <w:rPr>
          <w:rFonts w:hint="eastAsia" w:ascii="宋体" w:hAnsi="宋体"/>
          <w:b/>
          <w:bCs/>
          <w:kern w:val="0"/>
          <w:sz w:val="24"/>
        </w:rPr>
        <w:t>四、</w:t>
      </w:r>
      <w:bookmarkEnd w:id="6"/>
      <w:bookmarkEnd w:id="7"/>
      <w:bookmarkEnd w:id="8"/>
      <w:bookmarkEnd w:id="9"/>
      <w:r>
        <w:rPr>
          <w:rFonts w:hint="eastAsia" w:ascii="宋体" w:hAnsi="宋体"/>
          <w:b/>
          <w:bCs/>
          <w:kern w:val="0"/>
          <w:sz w:val="24"/>
        </w:rPr>
        <w:t>投标文件提交/上传的截止时间及地点</w:t>
      </w:r>
    </w:p>
    <w:p w14:paraId="539B5033">
      <w:pPr>
        <w:shd w:val="clear" w:color="auto" w:fill="FFFFFF"/>
        <w:spacing w:line="540" w:lineRule="exact"/>
        <w:ind w:firstLine="472"/>
        <w:rPr>
          <w:rFonts w:ascii="宋体" w:hAnsi="宋体"/>
          <w:bCs/>
          <w:kern w:val="0"/>
          <w:sz w:val="24"/>
        </w:rPr>
      </w:pPr>
      <w:r>
        <w:rPr>
          <w:rFonts w:hint="eastAsia" w:ascii="宋体" w:hAnsi="宋体"/>
          <w:bCs/>
          <w:kern w:val="0"/>
          <w:sz w:val="24"/>
        </w:rPr>
        <w:t>1.截止时间：</w:t>
      </w:r>
      <w:r>
        <w:rPr>
          <w:rFonts w:hint="eastAsia" w:ascii="宋体" w:hAnsi="宋体"/>
          <w:bCs/>
          <w:kern w:val="0"/>
          <w:sz w:val="24"/>
          <w:u w:val="single"/>
        </w:rPr>
        <w:t>202</w:t>
      </w:r>
      <w:r>
        <w:rPr>
          <w:rFonts w:hint="eastAsia" w:ascii="宋体" w:hAnsi="宋体"/>
          <w:bCs/>
          <w:kern w:val="0"/>
          <w:sz w:val="24"/>
          <w:u w:val="single"/>
          <w:lang w:val="en-US" w:eastAsia="zh-CN"/>
        </w:rPr>
        <w:t>6</w:t>
      </w:r>
      <w:r>
        <w:rPr>
          <w:rFonts w:hint="eastAsia" w:ascii="宋体" w:hAnsi="宋体"/>
          <w:bCs/>
          <w:kern w:val="0"/>
          <w:sz w:val="24"/>
        </w:rPr>
        <w:t>年</w:t>
      </w:r>
      <w:r>
        <w:rPr>
          <w:rFonts w:hint="eastAsia" w:ascii="宋体" w:hAnsi="宋体"/>
          <w:bCs/>
          <w:kern w:val="0"/>
          <w:sz w:val="24"/>
          <w:u w:val="single"/>
        </w:rPr>
        <w:t xml:space="preserve"> </w:t>
      </w:r>
      <w:r>
        <w:rPr>
          <w:rFonts w:hint="eastAsia" w:ascii="宋体" w:hAnsi="宋体"/>
          <w:bCs/>
          <w:kern w:val="0"/>
          <w:sz w:val="24"/>
          <w:u w:val="single"/>
          <w:lang w:val="en-US" w:eastAsia="zh-CN"/>
        </w:rPr>
        <w:t>8</w:t>
      </w:r>
      <w:r>
        <w:rPr>
          <w:rFonts w:hint="eastAsia" w:ascii="宋体" w:hAnsi="宋体"/>
          <w:bCs/>
          <w:kern w:val="0"/>
          <w:sz w:val="24"/>
        </w:rPr>
        <w:t>月</w:t>
      </w:r>
      <w:r>
        <w:rPr>
          <w:rFonts w:hint="eastAsia" w:ascii="宋体" w:hAnsi="宋体"/>
          <w:bCs/>
          <w:kern w:val="0"/>
          <w:sz w:val="24"/>
          <w:u w:val="single"/>
          <w:lang w:val="en-US" w:eastAsia="zh-CN"/>
        </w:rPr>
        <w:t>25</w:t>
      </w:r>
      <w:r>
        <w:rPr>
          <w:rFonts w:hint="eastAsia" w:ascii="宋体" w:hAnsi="宋体"/>
          <w:bCs/>
          <w:kern w:val="0"/>
          <w:sz w:val="24"/>
        </w:rPr>
        <w:t>日</w:t>
      </w:r>
      <w:r>
        <w:rPr>
          <w:rFonts w:hint="eastAsia" w:ascii="宋体" w:hAnsi="宋体"/>
          <w:bCs/>
          <w:kern w:val="0"/>
          <w:sz w:val="24"/>
          <w:u w:val="single"/>
        </w:rPr>
        <w:t xml:space="preserve">9:00 </w:t>
      </w:r>
      <w:r>
        <w:rPr>
          <w:rFonts w:hint="eastAsia" w:ascii="宋体" w:hAnsi="宋体"/>
          <w:bCs/>
          <w:kern w:val="0"/>
          <w:sz w:val="24"/>
        </w:rPr>
        <w:t>时（北京时间）。</w:t>
      </w:r>
    </w:p>
    <w:p w14:paraId="0F9EC5DD">
      <w:pPr>
        <w:shd w:val="clear" w:color="auto" w:fill="FFFFFF"/>
        <w:spacing w:line="540" w:lineRule="exact"/>
        <w:ind w:firstLine="472"/>
        <w:rPr>
          <w:rFonts w:ascii="宋体" w:hAnsi="宋体"/>
          <w:bCs/>
          <w:kern w:val="0"/>
          <w:sz w:val="24"/>
        </w:rPr>
      </w:pPr>
      <w:r>
        <w:rPr>
          <w:rFonts w:ascii="宋体" w:hAnsi="宋体"/>
          <w:bCs/>
          <w:kern w:val="0"/>
          <w:sz w:val="24"/>
        </w:rPr>
        <w:t>2</w:t>
      </w:r>
      <w:r>
        <w:rPr>
          <w:rFonts w:hint="eastAsia" w:ascii="宋体" w:hAnsi="宋体"/>
          <w:bCs/>
          <w:kern w:val="0"/>
          <w:sz w:val="24"/>
        </w:rPr>
        <w:t>.</w:t>
      </w:r>
      <w:bookmarkStart w:id="10" w:name="_Toc28359016"/>
      <w:bookmarkStart w:id="11" w:name="_Toc35393633"/>
      <w:bookmarkStart w:id="12" w:name="_Toc28359093"/>
      <w:bookmarkStart w:id="13" w:name="_Toc35393802"/>
      <w:r>
        <w:rPr>
          <w:rFonts w:hint="eastAsia" w:ascii="宋体" w:hAnsi="宋体"/>
          <w:bCs/>
          <w:kern w:val="0"/>
          <w:sz w:val="24"/>
        </w:rPr>
        <w:t>地点：供应商应在规定的投标文件提交截止时间前将制作好的电子投标文件加密上传至驻马店市公共资源交易中心电子交易平台，</w:t>
      </w:r>
      <w:r>
        <w:rPr>
          <w:rFonts w:ascii="宋体" w:hAnsi="宋体"/>
          <w:bCs/>
          <w:kern w:val="0"/>
          <w:sz w:val="24"/>
        </w:rPr>
        <w:t>无需递交纸质文件。</w:t>
      </w:r>
      <w:r>
        <w:rPr>
          <w:rFonts w:hint="eastAsia" w:ascii="宋体" w:hAnsi="宋体"/>
          <w:bCs/>
          <w:kern w:val="0"/>
          <w:sz w:val="24"/>
        </w:rPr>
        <w:t>逾期上传其响应将被拒绝。</w:t>
      </w:r>
    </w:p>
    <w:p w14:paraId="4A04950C">
      <w:pPr>
        <w:shd w:val="clear" w:color="auto" w:fill="FFFFFF"/>
        <w:spacing w:line="540" w:lineRule="exact"/>
        <w:ind w:firstLine="472"/>
        <w:rPr>
          <w:rFonts w:ascii="宋体" w:hAnsi="宋体"/>
          <w:b/>
          <w:bCs/>
          <w:kern w:val="0"/>
          <w:sz w:val="24"/>
        </w:rPr>
      </w:pPr>
      <w:r>
        <w:rPr>
          <w:rFonts w:hint="eastAsia" w:ascii="宋体" w:hAnsi="宋体"/>
          <w:b/>
          <w:bCs/>
          <w:kern w:val="0"/>
          <w:sz w:val="24"/>
        </w:rPr>
        <w:t>五、投标文件开启</w:t>
      </w:r>
      <w:bookmarkEnd w:id="10"/>
      <w:bookmarkEnd w:id="11"/>
      <w:bookmarkEnd w:id="12"/>
      <w:bookmarkEnd w:id="13"/>
      <w:r>
        <w:rPr>
          <w:rFonts w:hint="eastAsia" w:ascii="宋体" w:hAnsi="宋体"/>
          <w:b/>
          <w:bCs/>
          <w:kern w:val="0"/>
          <w:sz w:val="24"/>
        </w:rPr>
        <w:t>：</w:t>
      </w:r>
    </w:p>
    <w:p w14:paraId="0BF3D921">
      <w:pPr>
        <w:shd w:val="clear" w:color="auto" w:fill="FFFFFF"/>
        <w:spacing w:line="540" w:lineRule="exact"/>
        <w:ind w:firstLine="472"/>
        <w:rPr>
          <w:rFonts w:ascii="宋体" w:hAnsi="宋体"/>
          <w:bCs/>
          <w:kern w:val="0"/>
          <w:sz w:val="24"/>
          <w:u w:val="single"/>
        </w:rPr>
      </w:pPr>
      <w:r>
        <w:rPr>
          <w:rFonts w:hint="eastAsia" w:ascii="宋体" w:hAnsi="宋体"/>
          <w:bCs/>
          <w:kern w:val="0"/>
          <w:sz w:val="24"/>
        </w:rPr>
        <w:t>1.时间：</w:t>
      </w:r>
      <w:r>
        <w:rPr>
          <w:rFonts w:hint="eastAsia" w:ascii="宋体" w:hAnsi="宋体"/>
          <w:bCs/>
          <w:kern w:val="0"/>
          <w:sz w:val="24"/>
          <w:u w:val="single"/>
        </w:rPr>
        <w:t>202</w:t>
      </w:r>
      <w:r>
        <w:rPr>
          <w:rFonts w:hint="eastAsia" w:ascii="宋体" w:hAnsi="宋体"/>
          <w:bCs/>
          <w:kern w:val="0"/>
          <w:sz w:val="24"/>
          <w:u w:val="single"/>
          <w:lang w:val="en-US" w:eastAsia="zh-CN"/>
        </w:rPr>
        <w:t>6</w:t>
      </w:r>
      <w:r>
        <w:rPr>
          <w:rFonts w:hint="eastAsia" w:ascii="宋体" w:hAnsi="宋体"/>
          <w:bCs/>
          <w:kern w:val="0"/>
          <w:sz w:val="24"/>
        </w:rPr>
        <w:t>年</w:t>
      </w:r>
      <w:r>
        <w:rPr>
          <w:rFonts w:hint="eastAsia" w:ascii="宋体" w:hAnsi="宋体"/>
          <w:bCs/>
          <w:kern w:val="0"/>
          <w:sz w:val="24"/>
          <w:u w:val="single"/>
        </w:rPr>
        <w:t xml:space="preserve"> </w:t>
      </w:r>
      <w:r>
        <w:rPr>
          <w:rFonts w:hint="eastAsia" w:ascii="宋体" w:hAnsi="宋体"/>
          <w:bCs/>
          <w:kern w:val="0"/>
          <w:sz w:val="24"/>
          <w:u w:val="single"/>
          <w:lang w:val="en-US" w:eastAsia="zh-CN"/>
        </w:rPr>
        <w:t>8</w:t>
      </w:r>
      <w:r>
        <w:rPr>
          <w:rFonts w:hint="eastAsia" w:ascii="宋体" w:hAnsi="宋体"/>
          <w:bCs/>
          <w:kern w:val="0"/>
          <w:sz w:val="24"/>
        </w:rPr>
        <w:t>月</w:t>
      </w:r>
      <w:r>
        <w:rPr>
          <w:rFonts w:hint="eastAsia" w:ascii="宋体" w:hAnsi="宋体"/>
          <w:bCs/>
          <w:kern w:val="0"/>
          <w:sz w:val="24"/>
          <w:u w:val="single"/>
          <w:lang w:val="en-US" w:eastAsia="zh-CN"/>
        </w:rPr>
        <w:t>25</w:t>
      </w:r>
      <w:r>
        <w:rPr>
          <w:rFonts w:hint="eastAsia" w:ascii="宋体" w:hAnsi="宋体"/>
          <w:bCs/>
          <w:kern w:val="0"/>
          <w:sz w:val="24"/>
        </w:rPr>
        <w:t>日</w:t>
      </w:r>
      <w:r>
        <w:rPr>
          <w:rFonts w:hint="eastAsia" w:ascii="宋体" w:hAnsi="宋体"/>
          <w:bCs/>
          <w:kern w:val="0"/>
          <w:sz w:val="24"/>
          <w:u w:val="single"/>
        </w:rPr>
        <w:t xml:space="preserve">9:00 </w:t>
      </w:r>
      <w:r>
        <w:rPr>
          <w:rFonts w:hint="eastAsia" w:ascii="宋体" w:hAnsi="宋体"/>
          <w:bCs/>
          <w:kern w:val="0"/>
          <w:sz w:val="24"/>
        </w:rPr>
        <w:t>时（北京时间）</w:t>
      </w:r>
    </w:p>
    <w:p w14:paraId="1150B291">
      <w:pPr>
        <w:shd w:val="clear" w:color="auto" w:fill="FFFFFF"/>
        <w:spacing w:line="540" w:lineRule="exact"/>
        <w:ind w:firstLine="472"/>
        <w:rPr>
          <w:rFonts w:ascii="宋体" w:hAnsi="宋体"/>
          <w:bCs/>
          <w:kern w:val="0"/>
          <w:sz w:val="24"/>
        </w:rPr>
      </w:pPr>
      <w:r>
        <w:rPr>
          <w:rFonts w:ascii="宋体" w:hAnsi="宋体"/>
          <w:bCs/>
          <w:kern w:val="0"/>
          <w:sz w:val="24"/>
        </w:rPr>
        <w:t>2</w:t>
      </w:r>
      <w:r>
        <w:rPr>
          <w:rFonts w:hint="eastAsia" w:ascii="宋体" w:hAnsi="宋体"/>
          <w:bCs/>
          <w:kern w:val="0"/>
          <w:sz w:val="24"/>
        </w:rPr>
        <w:t>.地点：</w:t>
      </w:r>
      <w:bookmarkStart w:id="14" w:name="_Toc35393803"/>
      <w:bookmarkStart w:id="15" w:name="_Toc35393634"/>
      <w:bookmarkStart w:id="16" w:name="_Toc28359094"/>
      <w:bookmarkStart w:id="17" w:name="_Toc28359017"/>
      <w:r>
        <w:rPr>
          <w:rFonts w:hint="eastAsia" w:ascii="宋体" w:hAnsi="宋体"/>
          <w:bCs/>
          <w:kern w:val="0"/>
          <w:sz w:val="24"/>
        </w:rPr>
        <w:t>遂平县公共资源交易中心</w:t>
      </w:r>
      <w:r>
        <w:rPr>
          <w:rFonts w:ascii="宋体" w:hAnsi="宋体"/>
          <w:bCs/>
          <w:kern w:val="0"/>
          <w:sz w:val="24"/>
        </w:rPr>
        <w:t>不见面开</w:t>
      </w:r>
      <w:r>
        <w:rPr>
          <w:rFonts w:hint="eastAsia" w:ascii="宋体" w:hAnsi="宋体"/>
          <w:bCs/>
          <w:kern w:val="0"/>
          <w:sz w:val="24"/>
        </w:rPr>
        <w:t>标</w:t>
      </w:r>
      <w:r>
        <w:rPr>
          <w:rFonts w:ascii="宋体" w:hAnsi="宋体"/>
          <w:bCs/>
          <w:kern w:val="0"/>
          <w:sz w:val="24"/>
        </w:rPr>
        <w:t>大厅</w:t>
      </w:r>
      <w:r>
        <w:rPr>
          <w:rFonts w:hint="eastAsia" w:ascii="宋体" w:hAnsi="宋体"/>
          <w:bCs/>
          <w:kern w:val="0"/>
          <w:sz w:val="24"/>
        </w:rPr>
        <w:t>。</w:t>
      </w:r>
    </w:p>
    <w:p w14:paraId="2F20F6FF">
      <w:pPr>
        <w:shd w:val="clear" w:color="auto" w:fill="FFFFFF"/>
        <w:spacing w:line="540" w:lineRule="exact"/>
        <w:ind w:firstLine="472"/>
        <w:rPr>
          <w:rFonts w:ascii="宋体" w:hAnsi="宋体"/>
          <w:b/>
          <w:bCs/>
          <w:kern w:val="0"/>
          <w:sz w:val="24"/>
        </w:rPr>
      </w:pPr>
      <w:r>
        <w:rPr>
          <w:rFonts w:hint="eastAsia" w:ascii="宋体" w:hAnsi="宋体"/>
          <w:b/>
          <w:bCs/>
          <w:kern w:val="0"/>
          <w:sz w:val="24"/>
        </w:rPr>
        <w:t>六、</w:t>
      </w:r>
      <w:bookmarkEnd w:id="14"/>
      <w:bookmarkEnd w:id="15"/>
      <w:bookmarkEnd w:id="16"/>
      <w:bookmarkEnd w:id="17"/>
      <w:r>
        <w:rPr>
          <w:rFonts w:hint="eastAsia" w:ascii="宋体" w:hAnsi="宋体"/>
          <w:b/>
          <w:bCs/>
          <w:kern w:val="0"/>
          <w:sz w:val="24"/>
        </w:rPr>
        <w:t>发布公告的媒介及公告期限：</w:t>
      </w:r>
    </w:p>
    <w:p w14:paraId="70D5E3B2">
      <w:pPr>
        <w:shd w:val="clear" w:color="auto" w:fill="FFFFFF"/>
        <w:spacing w:line="540" w:lineRule="exact"/>
        <w:ind w:firstLine="480" w:firstLineChars="200"/>
        <w:rPr>
          <w:rFonts w:ascii="宋体" w:hAnsi="宋体"/>
          <w:bCs/>
          <w:kern w:val="0"/>
          <w:sz w:val="24"/>
        </w:rPr>
      </w:pPr>
      <w:bookmarkStart w:id="18" w:name="_Toc35393635"/>
      <w:bookmarkStart w:id="19" w:name="_Toc35393804"/>
      <w:r>
        <w:rPr>
          <w:rFonts w:hint="eastAsia" w:ascii="宋体" w:hAnsi="宋体"/>
          <w:bCs/>
          <w:kern w:val="0"/>
          <w:sz w:val="24"/>
        </w:rPr>
        <w:t>本次公告在《河南省政府采购网》</w:t>
      </w:r>
      <w:r>
        <w:rPr>
          <w:rFonts w:hint="eastAsia" w:ascii="宋体" w:hAnsi="宋体"/>
          <w:bCs/>
          <w:kern w:val="0"/>
          <w:sz w:val="24"/>
          <w:lang w:eastAsia="zh-CN"/>
        </w:rPr>
        <w:t>、</w:t>
      </w:r>
      <w:r>
        <w:rPr>
          <w:rFonts w:ascii="宋体" w:hAnsi="宋体"/>
          <w:bCs/>
          <w:kern w:val="0"/>
          <w:sz w:val="24"/>
        </w:rPr>
        <w:t>《</w:t>
      </w:r>
      <w:r>
        <w:rPr>
          <w:rFonts w:hint="eastAsia" w:ascii="宋体" w:hAnsi="宋体"/>
          <w:bCs/>
          <w:kern w:val="0"/>
          <w:sz w:val="24"/>
        </w:rPr>
        <w:t>驻马店市</w:t>
      </w:r>
      <w:r>
        <w:rPr>
          <w:rFonts w:ascii="宋体" w:hAnsi="宋体"/>
          <w:bCs/>
          <w:kern w:val="0"/>
          <w:sz w:val="24"/>
        </w:rPr>
        <w:t>公共资源交易中心网》</w:t>
      </w:r>
      <w:r>
        <w:rPr>
          <w:rFonts w:hint="eastAsia" w:ascii="宋体" w:hAnsi="宋体"/>
          <w:bCs/>
          <w:kern w:val="0"/>
          <w:sz w:val="24"/>
        </w:rPr>
        <w:t>上</w:t>
      </w:r>
      <w:r>
        <w:rPr>
          <w:rFonts w:ascii="宋体" w:hAnsi="宋体"/>
          <w:bCs/>
          <w:kern w:val="0"/>
          <w:sz w:val="24"/>
        </w:rPr>
        <w:t>发布。</w:t>
      </w:r>
      <w:r>
        <w:rPr>
          <w:rFonts w:hint="eastAsia" w:ascii="宋体" w:hAnsi="宋体"/>
          <w:bCs/>
          <w:kern w:val="0"/>
          <w:sz w:val="24"/>
        </w:rPr>
        <w:t>公告</w:t>
      </w:r>
      <w:r>
        <w:rPr>
          <w:rFonts w:ascii="宋体" w:hAnsi="宋体"/>
          <w:bCs/>
          <w:kern w:val="0"/>
          <w:sz w:val="24"/>
        </w:rPr>
        <w:t>期限</w:t>
      </w:r>
      <w:r>
        <w:rPr>
          <w:rFonts w:hint="eastAsia" w:ascii="宋体" w:hAnsi="宋体"/>
          <w:bCs/>
          <w:kern w:val="0"/>
          <w:sz w:val="24"/>
        </w:rPr>
        <w:t>为五个工作日，</w:t>
      </w:r>
      <w:r>
        <w:rPr>
          <w:rFonts w:hint="eastAsia" w:ascii="宋体" w:hAnsi="宋体"/>
          <w:bCs/>
          <w:kern w:val="0"/>
          <w:sz w:val="24"/>
          <w:u w:val="single"/>
        </w:rPr>
        <w:t>202</w:t>
      </w:r>
      <w:r>
        <w:rPr>
          <w:rFonts w:hint="eastAsia" w:ascii="宋体" w:hAnsi="宋体"/>
          <w:bCs/>
          <w:kern w:val="0"/>
          <w:sz w:val="24"/>
          <w:u w:val="single"/>
          <w:lang w:val="en-US" w:eastAsia="zh-CN"/>
        </w:rPr>
        <w:t>6</w:t>
      </w:r>
      <w:r>
        <w:rPr>
          <w:rFonts w:hint="eastAsia" w:ascii="宋体" w:hAnsi="宋体"/>
          <w:bCs/>
          <w:kern w:val="0"/>
          <w:sz w:val="24"/>
          <w:u w:val="single"/>
        </w:rPr>
        <w:t xml:space="preserve"> </w:t>
      </w:r>
      <w:r>
        <w:rPr>
          <w:rFonts w:hint="eastAsia" w:ascii="宋体" w:hAnsi="宋体"/>
          <w:bCs/>
          <w:kern w:val="0"/>
          <w:sz w:val="24"/>
        </w:rPr>
        <w:t>年</w:t>
      </w:r>
      <w:r>
        <w:rPr>
          <w:rFonts w:hint="eastAsia" w:ascii="宋体" w:hAnsi="宋体"/>
          <w:bCs/>
          <w:kern w:val="0"/>
          <w:sz w:val="24"/>
          <w:u w:val="single"/>
          <w:lang w:val="en-US" w:eastAsia="zh-CN"/>
        </w:rPr>
        <w:t>8</w:t>
      </w:r>
      <w:r>
        <w:rPr>
          <w:rFonts w:hint="eastAsia" w:ascii="宋体" w:hAnsi="宋体"/>
          <w:bCs/>
          <w:kern w:val="0"/>
          <w:sz w:val="24"/>
        </w:rPr>
        <w:t>月</w:t>
      </w:r>
      <w:r>
        <w:rPr>
          <w:rFonts w:hint="eastAsia" w:ascii="宋体" w:hAnsi="宋体"/>
          <w:bCs/>
          <w:kern w:val="0"/>
          <w:sz w:val="24"/>
          <w:u w:val="single"/>
          <w:lang w:val="en-US" w:eastAsia="zh-CN"/>
        </w:rPr>
        <w:t>5</w:t>
      </w:r>
      <w:r>
        <w:rPr>
          <w:rFonts w:hint="eastAsia" w:ascii="宋体" w:hAnsi="宋体"/>
          <w:bCs/>
          <w:kern w:val="0"/>
          <w:sz w:val="24"/>
        </w:rPr>
        <w:t>日至</w:t>
      </w:r>
      <w:r>
        <w:rPr>
          <w:rFonts w:hint="eastAsia" w:ascii="宋体" w:hAnsi="宋体"/>
          <w:bCs/>
          <w:kern w:val="0"/>
          <w:sz w:val="24"/>
          <w:u w:val="single"/>
        </w:rPr>
        <w:t xml:space="preserve"> 202</w:t>
      </w:r>
      <w:r>
        <w:rPr>
          <w:rFonts w:hint="eastAsia" w:ascii="宋体" w:hAnsi="宋体"/>
          <w:bCs/>
          <w:kern w:val="0"/>
          <w:sz w:val="24"/>
          <w:u w:val="single"/>
          <w:lang w:val="en-US" w:eastAsia="zh-CN"/>
        </w:rPr>
        <w:t>6</w:t>
      </w:r>
      <w:r>
        <w:rPr>
          <w:rFonts w:hint="eastAsia" w:ascii="宋体" w:hAnsi="宋体"/>
          <w:bCs/>
          <w:kern w:val="0"/>
          <w:sz w:val="24"/>
        </w:rPr>
        <w:t>年</w:t>
      </w:r>
      <w:r>
        <w:rPr>
          <w:rFonts w:hint="eastAsia" w:ascii="宋体" w:hAnsi="宋体"/>
          <w:bCs/>
          <w:kern w:val="0"/>
          <w:sz w:val="24"/>
          <w:u w:val="single"/>
          <w:lang w:val="en-US" w:eastAsia="zh-CN"/>
        </w:rPr>
        <w:t>8</w:t>
      </w:r>
      <w:r>
        <w:rPr>
          <w:rFonts w:hint="eastAsia" w:ascii="宋体" w:hAnsi="宋体"/>
          <w:bCs/>
          <w:kern w:val="0"/>
          <w:sz w:val="24"/>
        </w:rPr>
        <w:t>月</w:t>
      </w:r>
      <w:r>
        <w:rPr>
          <w:rFonts w:hint="eastAsia" w:ascii="宋体" w:hAnsi="宋体"/>
          <w:bCs/>
          <w:kern w:val="0"/>
          <w:sz w:val="24"/>
          <w:u w:val="single"/>
          <w:lang w:val="en-US" w:eastAsia="zh-CN"/>
        </w:rPr>
        <w:t>11</w:t>
      </w:r>
      <w:r>
        <w:rPr>
          <w:rFonts w:hint="eastAsia" w:ascii="宋体" w:hAnsi="宋体"/>
          <w:bCs/>
          <w:kern w:val="0"/>
          <w:sz w:val="24"/>
        </w:rPr>
        <w:t>日。</w:t>
      </w:r>
    </w:p>
    <w:p w14:paraId="2D88937B">
      <w:pPr>
        <w:shd w:val="clear" w:color="auto" w:fill="FFFFFF"/>
        <w:spacing w:line="540" w:lineRule="exact"/>
        <w:ind w:firstLine="472"/>
        <w:rPr>
          <w:rFonts w:ascii="宋体" w:hAnsi="宋体"/>
          <w:b/>
          <w:bCs/>
          <w:kern w:val="0"/>
          <w:sz w:val="24"/>
        </w:rPr>
      </w:pPr>
      <w:r>
        <w:rPr>
          <w:rFonts w:hint="eastAsia" w:ascii="宋体" w:hAnsi="宋体"/>
          <w:b/>
          <w:bCs/>
          <w:kern w:val="0"/>
          <w:sz w:val="24"/>
        </w:rPr>
        <w:t>七、其他补充事宜</w:t>
      </w:r>
      <w:bookmarkEnd w:id="18"/>
      <w:bookmarkEnd w:id="19"/>
      <w:r>
        <w:rPr>
          <w:rFonts w:hint="eastAsia" w:ascii="宋体" w:hAnsi="宋体"/>
          <w:b/>
          <w:bCs/>
          <w:kern w:val="0"/>
          <w:sz w:val="24"/>
        </w:rPr>
        <w:t>：</w:t>
      </w:r>
    </w:p>
    <w:p w14:paraId="689C06EE">
      <w:pPr>
        <w:shd w:val="clear" w:color="auto" w:fill="FFFFFF"/>
        <w:spacing w:beforeAutospacing="0" w:afterAutospacing="0" w:line="540" w:lineRule="exact"/>
        <w:ind w:firstLine="472"/>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1.本项目使用远程不见面交易的模式。供应商应于响应文件提交截止时间前将加密电子响应文件(.zmdtf格式)在驻马店市公共资源交易中心电子交易平台加密上传，逾期上传其响应将被拒绝。</w:t>
      </w:r>
    </w:p>
    <w:p w14:paraId="4C222546">
      <w:pPr>
        <w:shd w:val="clear" w:color="auto" w:fill="FFFFFF"/>
        <w:spacing w:beforeAutospacing="0" w:afterAutospacing="0" w:line="540" w:lineRule="exact"/>
        <w:ind w:firstLine="472"/>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2.供应商注册:</w:t>
      </w:r>
    </w:p>
    <w:p w14:paraId="373451AB">
      <w:pPr>
        <w:shd w:val="clear" w:color="auto" w:fill="FFFFFF"/>
        <w:spacing w:beforeAutospacing="0" w:afterAutospacing="0" w:line="540" w:lineRule="exact"/>
        <w:ind w:firstLine="480" w:firstLineChars="200"/>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供应商首先通过“驻马店市公共资源交易中心（http://</w:t>
      </w:r>
      <w:r>
        <w:rPr>
          <w:rFonts w:hint="eastAsia" w:ascii="宋体" w:hAnsi="宋体"/>
          <w:bCs/>
          <w:color w:val="000000" w:themeColor="text1"/>
          <w:kern w:val="0"/>
          <w:sz w:val="24"/>
          <w:highlight w:val="none"/>
          <w:lang w:eastAsia="zh-CN"/>
          <w14:textFill>
            <w14:solidFill>
              <w14:schemeClr w14:val="tx1"/>
            </w14:solidFill>
          </w14:textFill>
        </w:rPr>
        <w:t>ggzy.zhumadian.gov.cn</w:t>
      </w:r>
      <w:r>
        <w:rPr>
          <w:rFonts w:hint="eastAsia" w:ascii="宋体" w:hAnsi="宋体"/>
          <w:bCs/>
          <w:color w:val="000000" w:themeColor="text1"/>
          <w:kern w:val="0"/>
          <w:sz w:val="24"/>
          <w:highlight w:val="none"/>
          <w14:textFill>
            <w14:solidFill>
              <w14:schemeClr w14:val="tx1"/>
            </w14:solidFill>
          </w14:textFill>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689FE294">
      <w:pPr>
        <w:shd w:val="clear" w:color="auto" w:fill="FFFFFF"/>
        <w:spacing w:beforeAutospacing="0" w:afterAutospacing="0" w:line="540" w:lineRule="exact"/>
        <w:ind w:firstLine="472"/>
        <w:rPr>
          <w:rFonts w:ascii="宋体" w:hAnsi="宋体"/>
          <w:bCs/>
          <w:color w:val="000000" w:themeColor="text1"/>
          <w:kern w:val="0"/>
          <w:sz w:val="24"/>
          <w:highlight w:val="none"/>
          <w14:textFill>
            <w14:solidFill>
              <w14:schemeClr w14:val="tx1"/>
            </w14:solidFill>
          </w14:textFill>
        </w:rPr>
      </w:pPr>
      <w:r>
        <w:rPr>
          <w:rFonts w:ascii="宋体" w:hAnsi="宋体"/>
          <w:bCs/>
          <w:color w:val="000000" w:themeColor="text1"/>
          <w:kern w:val="0"/>
          <w:sz w:val="24"/>
          <w:highlight w:val="none"/>
          <w14:textFill>
            <w14:solidFill>
              <w14:schemeClr w14:val="tx1"/>
            </w14:solidFill>
          </w14:textFill>
        </w:rPr>
        <w:t>3</w:t>
      </w:r>
      <w:r>
        <w:rPr>
          <w:rFonts w:hint="eastAsia" w:ascii="宋体" w:hAnsi="宋体"/>
          <w:bCs/>
          <w:color w:val="000000" w:themeColor="text1"/>
          <w:kern w:val="0"/>
          <w:sz w:val="24"/>
          <w:highlight w:val="none"/>
          <w14:textFill>
            <w14:solidFill>
              <w14:schemeClr w14:val="tx1"/>
            </w14:solidFill>
          </w14:textFill>
        </w:rPr>
        <w:t xml:space="preserve">.采购文件下载: </w:t>
      </w:r>
    </w:p>
    <w:p w14:paraId="6673D7D5">
      <w:pPr>
        <w:shd w:val="clear" w:color="auto" w:fill="FFFFFF"/>
        <w:spacing w:beforeAutospacing="0" w:afterAutospacing="0" w:line="540" w:lineRule="exact"/>
        <w:ind w:firstLine="472"/>
        <w:rPr>
          <w:rFonts w:ascii="宋体" w:hAnsi="宋体"/>
          <w:bCs/>
          <w:color w:val="000000" w:themeColor="text1"/>
          <w:kern w:val="0"/>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凡有意参加谈判者，登录“驻马店市公共资源交易中心（http://</w:t>
      </w:r>
      <w:r>
        <w:rPr>
          <w:rFonts w:hint="eastAsia" w:ascii="宋体" w:hAnsi="宋体"/>
          <w:bCs/>
          <w:color w:val="000000" w:themeColor="text1"/>
          <w:kern w:val="0"/>
          <w:sz w:val="24"/>
          <w:highlight w:val="none"/>
          <w:lang w:eastAsia="zh-CN"/>
          <w14:textFill>
            <w14:solidFill>
              <w14:schemeClr w14:val="tx1"/>
            </w14:solidFill>
          </w14:textFill>
        </w:rPr>
        <w:t>ggzy.zhumadian.gov.cn</w:t>
      </w:r>
      <w:r>
        <w:rPr>
          <w:rFonts w:hint="eastAsia" w:ascii="宋体" w:hAnsi="宋体"/>
          <w:bCs/>
          <w:color w:val="000000" w:themeColor="text1"/>
          <w:kern w:val="0"/>
          <w:sz w:val="24"/>
          <w:highlight w:val="none"/>
          <w14:textFill>
            <w14:solidFill>
              <w14:schemeClr w14:val="tx1"/>
            </w14:solidFill>
          </w14:textFill>
        </w:rPr>
        <w:t>/）”网站，凭领取的企业身份认证锁（CA密钥）登录系统进行网上免费下载采购文件。供应商未按规定在网上下载采购文件的，其响应将被拒绝。</w:t>
      </w:r>
    </w:p>
    <w:p w14:paraId="1E7EB753">
      <w:pPr>
        <w:pStyle w:val="31"/>
        <w:widowControl w:val="0"/>
        <w:spacing w:before="0" w:beforeAutospacing="0" w:after="0" w:afterAutospacing="0" w:line="400" w:lineRule="exact"/>
        <w:jc w:val="both"/>
        <w:rPr>
          <w:rFonts w:hint="eastAsia"/>
          <w:b/>
          <w:bCs/>
          <w:shd w:val="clear" w:color="auto" w:fill="FFFFFF"/>
        </w:rPr>
      </w:pPr>
    </w:p>
    <w:p w14:paraId="3D31AF50">
      <w:pPr>
        <w:pStyle w:val="31"/>
        <w:widowControl w:val="0"/>
        <w:spacing w:before="0" w:beforeAutospacing="0" w:after="0" w:afterAutospacing="0" w:line="400" w:lineRule="exact"/>
        <w:ind w:firstLine="482" w:firstLineChars="200"/>
        <w:jc w:val="both"/>
        <w:rPr>
          <w:b/>
          <w:bCs/>
          <w:shd w:val="clear" w:color="auto" w:fill="FFFFFF"/>
        </w:rPr>
      </w:pPr>
      <w:r>
        <w:rPr>
          <w:rFonts w:hint="eastAsia"/>
          <w:b/>
          <w:bCs/>
          <w:shd w:val="clear" w:color="auto" w:fill="FFFFFF"/>
        </w:rPr>
        <w:t xml:space="preserve">八、凡对本次招标提出询问，请按照以下方式联系 </w:t>
      </w:r>
    </w:p>
    <w:p w14:paraId="486A8E8C">
      <w:pPr>
        <w:pStyle w:val="31"/>
        <w:widowControl w:val="0"/>
        <w:spacing w:before="0" w:beforeAutospacing="0" w:after="0" w:afterAutospacing="0" w:line="400" w:lineRule="exact"/>
        <w:ind w:left="472"/>
        <w:jc w:val="both"/>
        <w:rPr>
          <w:shd w:val="clear" w:color="auto" w:fill="FFFFFF"/>
        </w:rPr>
      </w:pPr>
      <w:r>
        <w:rPr>
          <w:rFonts w:hint="eastAsia"/>
          <w:shd w:val="clear" w:color="auto" w:fill="FFFFFF"/>
        </w:rPr>
        <w:t xml:space="preserve">1. 采购人信息 </w:t>
      </w:r>
    </w:p>
    <w:p w14:paraId="7894F70B">
      <w:pPr>
        <w:pStyle w:val="31"/>
        <w:widowControl w:val="0"/>
        <w:spacing w:before="0" w:beforeAutospacing="0" w:after="0" w:afterAutospacing="0" w:line="400" w:lineRule="exact"/>
        <w:ind w:left="472"/>
        <w:jc w:val="both"/>
        <w:rPr>
          <w:rFonts w:hint="eastAsia" w:eastAsia="宋体"/>
          <w:shd w:val="clear" w:color="auto" w:fill="FFFFFF"/>
          <w:lang w:eastAsia="zh-CN"/>
        </w:rPr>
      </w:pPr>
      <w:r>
        <w:rPr>
          <w:rFonts w:hint="eastAsia"/>
          <w:shd w:val="clear" w:color="auto" w:fill="FFFFFF"/>
        </w:rPr>
        <w:t>名称：</w:t>
      </w:r>
      <w:r>
        <w:rPr>
          <w:rFonts w:hint="eastAsia"/>
          <w:bCs/>
          <w:shd w:val="clear" w:color="auto" w:fill="FFFFFF"/>
          <w:lang w:eastAsia="zh-CN"/>
        </w:rPr>
        <w:t>遂平县机关事务中心</w:t>
      </w:r>
    </w:p>
    <w:p w14:paraId="091DF6B2">
      <w:pPr>
        <w:pStyle w:val="31"/>
        <w:widowControl w:val="0"/>
        <w:spacing w:before="0" w:beforeAutospacing="0" w:after="0" w:afterAutospacing="0" w:line="400" w:lineRule="exact"/>
        <w:ind w:left="472"/>
        <w:jc w:val="both"/>
        <w:rPr>
          <w:shd w:val="clear" w:color="auto" w:fill="FFFFFF"/>
        </w:rPr>
      </w:pPr>
      <w:r>
        <w:rPr>
          <w:rFonts w:hint="eastAsia"/>
          <w:shd w:val="clear" w:color="auto" w:fill="FFFFFF"/>
        </w:rPr>
        <w:t>地址：</w:t>
      </w:r>
      <w:r>
        <w:rPr>
          <w:shd w:val="clear" w:color="auto" w:fill="FFFFFF"/>
        </w:rPr>
        <w:t>遂平县城南新区</w:t>
      </w:r>
      <w:r>
        <w:rPr>
          <w:rFonts w:hint="eastAsia"/>
          <w:shd w:val="clear" w:color="auto" w:fill="FFFFFF"/>
          <w:lang w:val="en-US" w:eastAsia="zh-CN"/>
        </w:rPr>
        <w:t>3</w:t>
      </w:r>
      <w:r>
        <w:rPr>
          <w:shd w:val="clear" w:color="auto" w:fill="FFFFFF"/>
        </w:rPr>
        <w:t>#楼</w:t>
      </w:r>
    </w:p>
    <w:p w14:paraId="5B339753">
      <w:pPr>
        <w:pStyle w:val="31"/>
        <w:widowControl w:val="0"/>
        <w:spacing w:before="0" w:beforeAutospacing="0" w:after="0" w:afterAutospacing="0" w:line="400" w:lineRule="exact"/>
        <w:ind w:left="472"/>
        <w:jc w:val="both"/>
        <w:rPr>
          <w:shd w:val="clear" w:color="auto" w:fill="FFFFFF"/>
        </w:rPr>
      </w:pPr>
      <w:r>
        <w:rPr>
          <w:rFonts w:hint="eastAsia"/>
          <w:shd w:val="clear" w:color="auto" w:fill="FFFFFF"/>
        </w:rPr>
        <w:t>联系人：</w:t>
      </w:r>
      <w:r>
        <w:rPr>
          <w:rFonts w:hint="eastAsia"/>
          <w:shd w:val="clear" w:color="auto" w:fill="FFFFFF"/>
          <w:lang w:val="en-US" w:eastAsia="zh-CN"/>
        </w:rPr>
        <w:t>魏</w:t>
      </w:r>
      <w:r>
        <w:rPr>
          <w:rFonts w:hint="eastAsia"/>
          <w:shd w:val="clear" w:color="auto" w:fill="FFFFFF"/>
        </w:rPr>
        <w:t xml:space="preserve">先生  </w:t>
      </w:r>
    </w:p>
    <w:p w14:paraId="4A254405">
      <w:pPr>
        <w:pStyle w:val="31"/>
        <w:widowControl w:val="0"/>
        <w:spacing w:before="0" w:beforeAutospacing="0" w:after="0" w:afterAutospacing="0" w:line="400" w:lineRule="exact"/>
        <w:ind w:left="472"/>
        <w:jc w:val="both"/>
        <w:rPr>
          <w:rFonts w:hint="default" w:eastAsia="宋体"/>
          <w:shd w:val="clear" w:color="auto" w:fill="FFFFFF"/>
          <w:lang w:val="en-US" w:eastAsia="zh-CN"/>
        </w:rPr>
      </w:pPr>
      <w:r>
        <w:rPr>
          <w:rFonts w:hint="eastAsia"/>
          <w:shd w:val="clear" w:color="auto" w:fill="FFFFFF"/>
        </w:rPr>
        <w:t>联系方式：</w:t>
      </w:r>
      <w:r>
        <w:rPr>
          <w:rFonts w:hint="eastAsia"/>
          <w:shd w:val="clear" w:color="auto" w:fill="FFFFFF"/>
          <w:lang w:val="en-US" w:eastAsia="zh-CN"/>
        </w:rPr>
        <w:t>13319805247</w:t>
      </w:r>
    </w:p>
    <w:p w14:paraId="7A67FD47">
      <w:pPr>
        <w:pStyle w:val="31"/>
        <w:widowControl w:val="0"/>
        <w:spacing w:before="0" w:beforeAutospacing="0" w:after="0" w:afterAutospacing="0" w:line="400" w:lineRule="exact"/>
        <w:ind w:left="472"/>
        <w:jc w:val="both"/>
        <w:rPr>
          <w:shd w:val="clear" w:color="auto" w:fill="FFFFFF"/>
        </w:rPr>
      </w:pPr>
      <w:r>
        <w:rPr>
          <w:rFonts w:hint="eastAsia"/>
          <w:shd w:val="clear" w:color="auto" w:fill="FFFFFF"/>
        </w:rPr>
        <w:t xml:space="preserve">2.采购代理机构信息 </w:t>
      </w:r>
    </w:p>
    <w:p w14:paraId="70AFA216">
      <w:pPr>
        <w:pStyle w:val="31"/>
        <w:widowControl w:val="0"/>
        <w:spacing w:before="0" w:beforeAutospacing="0" w:after="0" w:afterAutospacing="0" w:line="400" w:lineRule="exact"/>
        <w:ind w:left="472"/>
        <w:jc w:val="both"/>
        <w:rPr>
          <w:rFonts w:hint="eastAsia" w:eastAsia="宋体"/>
          <w:shd w:val="clear" w:color="auto" w:fill="FFFFFF"/>
          <w:lang w:eastAsia="zh-CN"/>
        </w:rPr>
      </w:pPr>
      <w:r>
        <w:rPr>
          <w:rFonts w:hint="eastAsia"/>
          <w:shd w:val="clear" w:color="auto" w:fill="FFFFFF"/>
        </w:rPr>
        <w:t>名  称：</w:t>
      </w:r>
      <w:r>
        <w:rPr>
          <w:rFonts w:hint="eastAsia"/>
          <w:shd w:val="clear" w:color="auto" w:fill="FFFFFF"/>
          <w:lang w:eastAsia="zh-CN"/>
        </w:rPr>
        <w:t>遂平县公共资源交易中心</w:t>
      </w:r>
    </w:p>
    <w:p w14:paraId="20138083">
      <w:pPr>
        <w:pStyle w:val="31"/>
        <w:widowControl w:val="0"/>
        <w:spacing w:before="0" w:beforeAutospacing="0" w:after="0" w:afterAutospacing="0" w:line="400" w:lineRule="exact"/>
        <w:ind w:left="472"/>
        <w:jc w:val="both"/>
        <w:rPr>
          <w:shd w:val="clear" w:color="auto" w:fill="FFFFFF"/>
        </w:rPr>
      </w:pPr>
      <w:r>
        <w:rPr>
          <w:shd w:val="clear" w:color="auto" w:fill="FFFFFF"/>
        </w:rPr>
        <w:t>地  址：遂平县城南新区5#楼3楼</w:t>
      </w:r>
    </w:p>
    <w:p w14:paraId="5C164217">
      <w:pPr>
        <w:pStyle w:val="31"/>
        <w:widowControl w:val="0"/>
        <w:spacing w:before="0" w:beforeAutospacing="0" w:after="0" w:afterAutospacing="0" w:line="400" w:lineRule="exact"/>
        <w:ind w:left="472"/>
        <w:jc w:val="both"/>
        <w:rPr>
          <w:shd w:val="clear" w:color="auto" w:fill="FFFFFF"/>
        </w:rPr>
      </w:pPr>
      <w:r>
        <w:rPr>
          <w:shd w:val="clear" w:color="auto" w:fill="FFFFFF"/>
        </w:rPr>
        <w:t>联系人：</w:t>
      </w:r>
      <w:r>
        <w:rPr>
          <w:rFonts w:hint="eastAsia"/>
          <w:shd w:val="clear" w:color="auto" w:fill="FFFFFF"/>
        </w:rPr>
        <w:t>刘先生</w:t>
      </w:r>
    </w:p>
    <w:p w14:paraId="20934B43">
      <w:pPr>
        <w:pStyle w:val="31"/>
        <w:widowControl w:val="0"/>
        <w:spacing w:before="0" w:beforeAutospacing="0" w:after="0" w:afterAutospacing="0" w:line="400" w:lineRule="exact"/>
        <w:ind w:left="472"/>
        <w:jc w:val="both"/>
        <w:rPr>
          <w:shd w:val="clear" w:color="auto" w:fill="FFFFFF"/>
        </w:rPr>
      </w:pPr>
      <w:r>
        <w:rPr>
          <w:shd w:val="clear" w:color="auto" w:fill="FFFFFF"/>
        </w:rPr>
        <w:t>联系电话：</w:t>
      </w:r>
      <w:r>
        <w:rPr>
          <w:rFonts w:hint="eastAsia"/>
          <w:shd w:val="clear" w:color="auto" w:fill="FFFFFF"/>
        </w:rPr>
        <w:t>0396-</w:t>
      </w:r>
      <w:r>
        <w:rPr>
          <w:rFonts w:hint="eastAsia"/>
          <w:shd w:val="clear" w:color="auto" w:fill="FFFFFF"/>
          <w:lang w:val="en-US" w:eastAsia="zh-CN"/>
        </w:rPr>
        <w:t>4961087</w:t>
      </w:r>
    </w:p>
    <w:p w14:paraId="7E0E2835">
      <w:pPr>
        <w:pStyle w:val="31"/>
        <w:widowControl w:val="0"/>
        <w:spacing w:before="0" w:beforeAutospacing="0" w:after="0" w:afterAutospacing="0" w:line="400" w:lineRule="exact"/>
        <w:ind w:left="472"/>
        <w:jc w:val="both"/>
        <w:rPr>
          <w:shd w:val="clear" w:color="auto" w:fill="FFFFFF"/>
        </w:rPr>
      </w:pPr>
      <w:r>
        <w:rPr>
          <w:rFonts w:hint="eastAsia"/>
          <w:shd w:val="clear" w:color="auto" w:fill="FFFFFF"/>
        </w:rPr>
        <w:t>3、</w:t>
      </w:r>
      <w:r>
        <w:rPr>
          <w:shd w:val="clear" w:color="auto" w:fill="FFFFFF"/>
        </w:rPr>
        <w:t>监督单位：遂平县人民政府采购管理办公室</w:t>
      </w:r>
    </w:p>
    <w:p w14:paraId="1F96ADBC">
      <w:pPr>
        <w:pStyle w:val="31"/>
        <w:widowControl w:val="0"/>
        <w:spacing w:before="0" w:beforeAutospacing="0" w:after="0" w:afterAutospacing="0" w:line="400" w:lineRule="exact"/>
        <w:ind w:left="472"/>
        <w:jc w:val="both"/>
        <w:rPr>
          <w:shd w:val="clear" w:color="auto" w:fill="FFFFFF"/>
        </w:rPr>
      </w:pPr>
      <w:r>
        <w:rPr>
          <w:shd w:val="clear" w:color="auto" w:fill="FFFFFF"/>
        </w:rPr>
        <w:t>地  址：遂平县城南新区2#楼5楼</w:t>
      </w:r>
    </w:p>
    <w:p w14:paraId="13040226">
      <w:pPr>
        <w:pStyle w:val="31"/>
        <w:widowControl w:val="0"/>
        <w:spacing w:before="0" w:beforeAutospacing="0" w:after="0" w:afterAutospacing="0" w:line="400" w:lineRule="exact"/>
        <w:ind w:left="472"/>
        <w:jc w:val="both"/>
        <w:rPr>
          <w:shd w:val="clear" w:color="auto" w:fill="FFFFFF"/>
        </w:rPr>
      </w:pPr>
      <w:r>
        <w:rPr>
          <w:shd w:val="clear" w:color="auto" w:fill="FFFFFF"/>
        </w:rPr>
        <w:t>联系电话：0396-4902783</w:t>
      </w:r>
    </w:p>
    <w:p w14:paraId="4940D9FF">
      <w:pPr>
        <w:pStyle w:val="31"/>
        <w:widowControl w:val="0"/>
        <w:spacing w:before="0" w:beforeAutospacing="0" w:after="0" w:afterAutospacing="0" w:line="400" w:lineRule="exact"/>
        <w:ind w:left="472"/>
        <w:jc w:val="both"/>
        <w:rPr>
          <w:shd w:val="clear" w:color="auto" w:fill="FFFFFF"/>
        </w:rPr>
      </w:pPr>
    </w:p>
    <w:p w14:paraId="67A7D3E2">
      <w:pPr>
        <w:spacing w:beforeLines="50" w:afterLines="50" w:line="440" w:lineRule="exact"/>
        <w:ind w:firstLine="602"/>
        <w:jc w:val="left"/>
        <w:rPr>
          <w:rFonts w:hint="eastAsia" w:ascii="宋体" w:hAnsi="宋体" w:eastAsia="宋体" w:cs="宋体"/>
          <w:kern w:val="0"/>
          <w:sz w:val="24"/>
          <w:shd w:val="clear" w:color="auto" w:fill="FFFFFF"/>
          <w:lang w:eastAsia="zh-CN"/>
        </w:rPr>
      </w:pPr>
      <w:r>
        <w:rPr>
          <w:rFonts w:hint="eastAsia" w:ascii="宋体" w:hAnsi="宋体"/>
          <w:bCs/>
          <w:sz w:val="24"/>
          <w:szCs w:val="24"/>
          <w:lang w:eastAsia="zh-CN"/>
        </w:rPr>
        <w:t>遂平县机关事务中心</w:t>
      </w:r>
      <w:r>
        <w:rPr>
          <w:rFonts w:hint="eastAsia"/>
          <w:bCs/>
          <w:sz w:val="24"/>
        </w:rPr>
        <w:t xml:space="preserve">                         </w:t>
      </w:r>
      <w:r>
        <w:rPr>
          <w:rFonts w:hint="eastAsia"/>
          <w:bCs/>
          <w:sz w:val="24"/>
          <w:lang w:val="en-US" w:eastAsia="zh-CN"/>
        </w:rPr>
        <w:t xml:space="preserve"> </w:t>
      </w:r>
      <w:r>
        <w:rPr>
          <w:rFonts w:hint="eastAsia"/>
          <w:bCs/>
          <w:sz w:val="24"/>
        </w:rPr>
        <w:t xml:space="preserve">  </w:t>
      </w:r>
      <w:r>
        <w:rPr>
          <w:rFonts w:hint="eastAsia" w:ascii="宋体" w:hAnsi="宋体" w:cs="宋体"/>
          <w:kern w:val="0"/>
          <w:sz w:val="24"/>
          <w:shd w:val="clear" w:color="auto" w:fill="FFFFFF"/>
          <w:lang w:eastAsia="zh-CN"/>
        </w:rPr>
        <w:t>遂平县公共资源交易中心</w:t>
      </w:r>
    </w:p>
    <w:p w14:paraId="3C6FB3C0">
      <w:pPr>
        <w:pStyle w:val="31"/>
        <w:widowControl w:val="0"/>
        <w:spacing w:before="0" w:beforeAutospacing="0" w:after="0" w:afterAutospacing="0" w:line="400" w:lineRule="exact"/>
        <w:ind w:left="472" w:right="480"/>
        <w:jc w:val="center"/>
        <w:rPr>
          <w:shd w:val="clear" w:color="auto" w:fill="FFFFFF"/>
        </w:rPr>
      </w:pPr>
      <w:r>
        <w:rPr>
          <w:rFonts w:hint="eastAsia"/>
          <w:shd w:val="clear" w:color="auto" w:fill="FFFFFF"/>
        </w:rPr>
        <w:t xml:space="preserve">                                            </w:t>
      </w:r>
    </w:p>
    <w:p w14:paraId="00B89D99">
      <w:pPr>
        <w:pStyle w:val="31"/>
        <w:widowControl w:val="0"/>
        <w:spacing w:before="0" w:beforeAutospacing="0" w:after="0" w:afterAutospacing="0" w:line="400" w:lineRule="exact"/>
        <w:ind w:left="472" w:right="480"/>
        <w:jc w:val="center"/>
        <w:rPr>
          <w:shd w:val="clear" w:color="auto" w:fill="FFFFFF"/>
        </w:rPr>
      </w:pPr>
      <w:r>
        <w:rPr>
          <w:rFonts w:hint="eastAsia"/>
          <w:shd w:val="clear" w:color="auto" w:fill="FFFFFF"/>
        </w:rPr>
        <w:t xml:space="preserve">                                            202</w:t>
      </w:r>
      <w:r>
        <w:rPr>
          <w:rFonts w:hint="eastAsia"/>
          <w:shd w:val="clear" w:color="auto" w:fill="FFFFFF"/>
          <w:lang w:val="en-US" w:eastAsia="zh-CN"/>
        </w:rPr>
        <w:t>6</w:t>
      </w:r>
      <w:r>
        <w:rPr>
          <w:rFonts w:hint="eastAsia"/>
          <w:shd w:val="clear" w:color="auto" w:fill="FFFFFF"/>
        </w:rPr>
        <w:t>年</w:t>
      </w:r>
      <w:r>
        <w:rPr>
          <w:rFonts w:hint="eastAsia"/>
          <w:shd w:val="clear" w:color="auto" w:fill="FFFFFF"/>
          <w:lang w:val="en-US" w:eastAsia="zh-CN"/>
        </w:rPr>
        <w:t>8</w:t>
      </w:r>
      <w:r>
        <w:rPr>
          <w:rFonts w:hint="eastAsia"/>
          <w:shd w:val="clear" w:color="auto" w:fill="FFFFFF"/>
        </w:rPr>
        <w:t>月</w:t>
      </w:r>
      <w:r>
        <w:rPr>
          <w:rFonts w:hint="eastAsia"/>
          <w:shd w:val="clear" w:color="auto" w:fill="FFFFFF"/>
          <w:lang w:val="en-US" w:eastAsia="zh-CN"/>
        </w:rPr>
        <w:t>4</w:t>
      </w:r>
      <w:r>
        <w:rPr>
          <w:rFonts w:hint="eastAsia"/>
          <w:shd w:val="clear" w:color="auto" w:fill="FFFFFF"/>
        </w:rPr>
        <w:t>日</w:t>
      </w:r>
    </w:p>
    <w:p w14:paraId="42395FAC">
      <w:pPr>
        <w:spacing w:beforeLines="50" w:afterLines="50" w:line="276" w:lineRule="auto"/>
        <w:rPr>
          <w:b/>
          <w:bCs/>
          <w:sz w:val="32"/>
          <w:szCs w:val="32"/>
        </w:rPr>
      </w:pPr>
    </w:p>
    <w:p w14:paraId="44077421">
      <w:pPr>
        <w:spacing w:beforeLines="50" w:afterLines="50" w:line="276" w:lineRule="auto"/>
        <w:ind w:firstLine="602"/>
        <w:jc w:val="center"/>
        <w:rPr>
          <w:sz w:val="32"/>
          <w:szCs w:val="32"/>
        </w:rPr>
      </w:pPr>
      <w:r>
        <w:rPr>
          <w:rFonts w:hint="eastAsia"/>
          <w:b/>
          <w:bCs/>
          <w:sz w:val="32"/>
          <w:szCs w:val="32"/>
        </w:rPr>
        <w:t>特 别 提 示</w:t>
      </w:r>
    </w:p>
    <w:p w14:paraId="2A21D670">
      <w:pPr>
        <w:spacing w:line="360" w:lineRule="auto"/>
        <w:ind w:firstLine="480" w:firstLineChars="200"/>
        <w:rPr>
          <w:rFonts w:ascii="宋体" w:hAnsi="宋体" w:cs="宋体"/>
          <w:kern w:val="0"/>
          <w:sz w:val="24"/>
        </w:rPr>
      </w:pPr>
      <w:r>
        <w:rPr>
          <w:rFonts w:hint="eastAsia" w:ascii="宋体" w:hAnsi="宋体" w:cs="宋体"/>
          <w:kern w:val="0"/>
          <w:sz w:val="24"/>
        </w:rPr>
        <w:t>1、因驻马店不见面交易系统具备视频直播、语音通话等，对网络带宽及硬件要求相对较高的功能，故投标人在参与使用不见面交易系统开标的项目时，需确认是否满足如下要求：</w:t>
      </w:r>
    </w:p>
    <w:p w14:paraId="30A9F133">
      <w:pPr>
        <w:spacing w:line="360" w:lineRule="auto"/>
        <w:rPr>
          <w:rFonts w:ascii="宋体" w:hAnsi="宋体" w:cs="宋体"/>
          <w:kern w:val="0"/>
          <w:sz w:val="24"/>
        </w:rPr>
      </w:pPr>
      <w:r>
        <w:rPr>
          <w:rFonts w:hint="eastAsia" w:ascii="宋体" w:hAnsi="宋体" w:cs="宋体"/>
          <w:kern w:val="0"/>
          <w:sz w:val="24"/>
        </w:rPr>
        <w:t>1.1、网络要求：网络带宽4M以上。</w:t>
      </w:r>
    </w:p>
    <w:p w14:paraId="5AE636EC">
      <w:pPr>
        <w:spacing w:line="360" w:lineRule="auto"/>
        <w:rPr>
          <w:rFonts w:ascii="宋体" w:hAnsi="宋体" w:cs="宋体"/>
          <w:kern w:val="0"/>
          <w:sz w:val="24"/>
        </w:rPr>
      </w:pPr>
      <w:r>
        <w:rPr>
          <w:rFonts w:hint="eastAsia" w:ascii="宋体" w:hAnsi="宋体" w:cs="宋体"/>
          <w:kern w:val="0"/>
          <w:sz w:val="24"/>
        </w:rPr>
        <w:t>1.2、硬件要求：电脑要求内存4G及以上，且需配套网络摄像头、麦克风、音箱等，并确保其均能正常运转。操作系统要求Windows7及以上，IE浏览器IE11及以上。</w:t>
      </w:r>
    </w:p>
    <w:p w14:paraId="4527EBB6">
      <w:pPr>
        <w:spacing w:line="360" w:lineRule="auto"/>
        <w:rPr>
          <w:rFonts w:ascii="宋体" w:hAnsi="宋体" w:cs="宋体"/>
          <w:kern w:val="0"/>
          <w:sz w:val="24"/>
        </w:rPr>
      </w:pPr>
      <w:r>
        <w:rPr>
          <w:rFonts w:hint="eastAsia" w:ascii="宋体" w:hAnsi="宋体" w:cs="宋体"/>
          <w:kern w:val="0"/>
          <w:sz w:val="24"/>
        </w:rPr>
        <w:t>1.3、人员要求：对于参与驻马店不见面交易系统开标的投标企业代表，要求能熟练掌握电脑基础操作。</w:t>
      </w:r>
    </w:p>
    <w:p w14:paraId="3D9DD001">
      <w:pPr>
        <w:spacing w:line="360" w:lineRule="auto"/>
        <w:ind w:firstLine="480" w:firstLineChars="200"/>
        <w:rPr>
          <w:rFonts w:ascii="宋体" w:hAnsi="宋体" w:cs="宋体"/>
          <w:kern w:val="0"/>
          <w:sz w:val="24"/>
        </w:rPr>
      </w:pPr>
      <w:r>
        <w:rPr>
          <w:rFonts w:hint="eastAsia" w:ascii="宋体" w:hAnsi="宋体" w:cs="宋体"/>
          <w:kern w:val="0"/>
          <w:sz w:val="24"/>
        </w:rPr>
        <w:t>2、不见面开标需要使用CA数字证书登陆不见面开标大厅，并且使用CA锁来解密招投标文件，各交易主体务必关注CA数字证书的过期时间，提前办理相关延期业务，避免因为过期而无法解密。</w:t>
      </w:r>
    </w:p>
    <w:p w14:paraId="62139183">
      <w:pPr>
        <w:spacing w:line="360" w:lineRule="auto"/>
        <w:ind w:firstLine="480" w:firstLineChars="200"/>
        <w:rPr>
          <w:rFonts w:ascii="宋体" w:hAnsi="宋体" w:cs="宋体"/>
          <w:kern w:val="0"/>
          <w:sz w:val="24"/>
        </w:rPr>
      </w:pPr>
      <w:r>
        <w:rPr>
          <w:rFonts w:hint="eastAsia" w:ascii="宋体" w:hAnsi="宋体" w:cs="宋体"/>
          <w:kern w:val="0"/>
          <w:sz w:val="24"/>
        </w:rPr>
        <w:t>3、不见面开标操作手册下载地址：</w:t>
      </w:r>
    </w:p>
    <w:p w14:paraId="366A2BDA">
      <w:pPr>
        <w:spacing w:line="360" w:lineRule="auto"/>
        <w:ind w:firstLine="924" w:firstLineChars="385"/>
        <w:rPr>
          <w:rFonts w:hint="eastAsia" w:ascii="宋体" w:hAnsi="宋体" w:cs="宋体"/>
          <w:kern w:val="0"/>
          <w:sz w:val="24"/>
          <w:szCs w:val="22"/>
        </w:rPr>
      </w:pPr>
      <w:r>
        <w:rPr>
          <w:rFonts w:hint="eastAsia" w:ascii="宋体" w:hAnsi="宋体" w:cs="宋体"/>
          <w:kern w:val="0"/>
          <w:sz w:val="24"/>
        </w:rPr>
        <w:t>（</w:t>
      </w:r>
      <w:r>
        <w:rPr>
          <w:rFonts w:hint="eastAsia" w:ascii="宋体" w:hAnsi="宋体" w:cs="宋体"/>
          <w:kern w:val="0"/>
          <w:sz w:val="24"/>
          <w:lang w:eastAsia="zh-CN"/>
        </w:rPr>
        <w:t>http://ggzy.zhumadian.gov.cn/TPFront/InfoDetail/?InfoID=6e085538-6be5-4d25-80b2-12f5fc669ba1&amp;CategoryNum=026005</w:t>
      </w:r>
      <w:r>
        <w:rPr>
          <w:rFonts w:hint="eastAsia" w:ascii="宋体" w:hAnsi="宋体" w:cs="宋体"/>
          <w:kern w:val="0"/>
          <w:sz w:val="24"/>
          <w:szCs w:val="22"/>
        </w:rPr>
        <w:t>）</w:t>
      </w:r>
      <w:bookmarkEnd w:id="0"/>
      <w:bookmarkEnd w:id="1"/>
    </w:p>
    <w:p w14:paraId="499022B1">
      <w:pPr>
        <w:widowControl/>
        <w:shd w:val="clear" w:color="auto" w:fill="FFFFFF"/>
        <w:spacing w:line="360" w:lineRule="auto"/>
        <w:jc w:val="center"/>
        <w:rPr>
          <w:rFonts w:hint="eastAsia" w:ascii="黑体" w:hAnsi="宋体" w:eastAsia="黑体" w:cs="宋体"/>
          <w:b/>
          <w:bCs/>
          <w:kern w:val="0"/>
          <w:sz w:val="32"/>
          <w:szCs w:val="32"/>
        </w:rPr>
      </w:pPr>
      <w:bookmarkStart w:id="20" w:name="_Toc34304785"/>
    </w:p>
    <w:p w14:paraId="548CFD72">
      <w:pPr>
        <w:widowControl/>
        <w:shd w:val="clear" w:color="auto" w:fill="FFFFFF"/>
        <w:spacing w:line="360" w:lineRule="auto"/>
        <w:jc w:val="center"/>
        <w:rPr>
          <w:rFonts w:hint="eastAsia" w:ascii="黑体" w:hAnsi="宋体" w:eastAsia="黑体" w:cs="宋体"/>
          <w:b/>
          <w:bCs/>
          <w:kern w:val="0"/>
          <w:sz w:val="32"/>
          <w:szCs w:val="32"/>
        </w:rPr>
      </w:pPr>
    </w:p>
    <w:p w14:paraId="28DCC69D">
      <w:pPr>
        <w:widowControl/>
        <w:shd w:val="clear" w:color="auto" w:fill="FFFFFF"/>
        <w:spacing w:line="360" w:lineRule="auto"/>
        <w:jc w:val="center"/>
        <w:rPr>
          <w:rFonts w:ascii="黑体" w:hAnsi="宋体" w:eastAsia="黑体" w:cs="宋体"/>
          <w:b/>
          <w:bCs/>
          <w:kern w:val="0"/>
          <w:sz w:val="32"/>
          <w:szCs w:val="32"/>
        </w:rPr>
      </w:pPr>
      <w:r>
        <w:rPr>
          <w:rFonts w:hint="eastAsia" w:ascii="黑体" w:hAnsi="宋体" w:eastAsia="黑体" w:cs="宋体"/>
          <w:b/>
          <w:bCs/>
          <w:kern w:val="0"/>
          <w:sz w:val="32"/>
          <w:szCs w:val="32"/>
        </w:rPr>
        <w:t>第二章  采购需求</w:t>
      </w:r>
    </w:p>
    <w:p w14:paraId="459A8A1D">
      <w:pPr>
        <w:widowControl/>
        <w:shd w:val="clear" w:color="auto" w:fill="FFFFFF"/>
        <w:spacing w:line="460" w:lineRule="atLeast"/>
        <w:rPr>
          <w:rFonts w:hint="eastAsia" w:ascii="宋体" w:hAnsi="宋体" w:eastAsia="宋体" w:cs="宋体"/>
          <w:bCs/>
          <w:kern w:val="0"/>
          <w:sz w:val="24"/>
          <w:lang w:eastAsia="zh-CN"/>
        </w:rPr>
      </w:pPr>
      <w:r>
        <w:rPr>
          <w:rFonts w:hint="eastAsia" w:ascii="宋体" w:hAnsi="宋体" w:cs="宋体"/>
          <w:b/>
          <w:kern w:val="0"/>
          <w:sz w:val="24"/>
        </w:rPr>
        <w:t>项目名称：</w:t>
      </w:r>
      <w:r>
        <w:rPr>
          <w:rFonts w:hint="eastAsia" w:ascii="宋体" w:hAnsi="宋体" w:cs="宋体"/>
          <w:bCs/>
          <w:kern w:val="0"/>
          <w:sz w:val="24"/>
          <w:lang w:eastAsia="zh-CN"/>
        </w:rPr>
        <w:t>遂平县机关事务中心县委县政府办公区物业服务采购项目</w:t>
      </w:r>
    </w:p>
    <w:p w14:paraId="5D13C38A">
      <w:pPr>
        <w:widowControl/>
        <w:shd w:val="clear" w:color="auto" w:fill="FFFFFF"/>
        <w:spacing w:line="460" w:lineRule="atLeast"/>
        <w:rPr>
          <w:rFonts w:hint="eastAsia" w:ascii="宋体" w:hAnsi="宋体" w:eastAsia="宋体" w:cs="宋体"/>
          <w:bCs/>
          <w:kern w:val="0"/>
          <w:sz w:val="24"/>
          <w:lang w:eastAsia="zh-CN"/>
        </w:rPr>
      </w:pPr>
      <w:r>
        <w:rPr>
          <w:rFonts w:hint="eastAsia" w:ascii="宋体" w:hAnsi="宋体" w:cs="宋体"/>
          <w:b/>
          <w:kern w:val="0"/>
          <w:sz w:val="24"/>
        </w:rPr>
        <w:t>项目编号：</w:t>
      </w:r>
      <w:r>
        <w:rPr>
          <w:rFonts w:hint="eastAsia" w:ascii="宋体" w:hAnsi="宋体" w:cs="宋体"/>
          <w:bCs/>
          <w:kern w:val="0"/>
          <w:sz w:val="24"/>
          <w:lang w:eastAsia="zh-CN"/>
        </w:rPr>
        <w:t>遂政采招【2026】52号</w:t>
      </w:r>
    </w:p>
    <w:p w14:paraId="2C64050A">
      <w:pPr>
        <w:widowControl/>
        <w:shd w:val="clear" w:color="auto" w:fill="FFFFFF"/>
        <w:spacing w:line="460" w:lineRule="atLeast"/>
        <w:rPr>
          <w:rFonts w:hint="eastAsia" w:ascii="宋体" w:hAnsi="宋体" w:cs="宋体"/>
          <w:color w:val="000000"/>
          <w:sz w:val="24"/>
        </w:rPr>
      </w:pPr>
      <w:r>
        <w:rPr>
          <w:rFonts w:hint="eastAsia" w:hAnsi="宋体" w:cs="宋体"/>
          <w:b/>
          <w:bCs/>
          <w:kern w:val="0"/>
          <w:sz w:val="24"/>
        </w:rPr>
        <w:t>一、服务技术需求</w:t>
      </w:r>
      <w:r>
        <w:rPr>
          <w:rFonts w:hint="eastAsia" w:ascii="宋体" w:hAnsi="宋体" w:cs="宋体"/>
          <w:kern w:val="0"/>
          <w:sz w:val="24"/>
        </w:rPr>
        <w:t xml:space="preserve">    </w:t>
      </w:r>
      <w:r>
        <w:rPr>
          <w:kern w:val="0"/>
          <w:sz w:val="24"/>
        </w:rPr>
        <w:t xml:space="preserve">            </w:t>
      </w:r>
      <w:bookmarkStart w:id="21" w:name="_Toc15988"/>
      <w:bookmarkStart w:id="22" w:name="_Toc22250"/>
      <w:bookmarkStart w:id="23" w:name="_Toc4541"/>
      <w:bookmarkStart w:id="24" w:name="_Toc30745"/>
    </w:p>
    <w:p w14:paraId="7F631CA2">
      <w:pPr>
        <w:numPr>
          <w:ilvl w:val="0"/>
          <w:numId w:val="0"/>
        </w:numPr>
        <w:spacing w:line="360" w:lineRule="auto"/>
        <w:rPr>
          <w:rFonts w:hint="eastAsia" w:ascii="宋体" w:hAnsi="宋体" w:cs="宋体"/>
          <w:b/>
          <w:bCs/>
          <w:sz w:val="24"/>
          <w:lang w:eastAsia="zh-CN"/>
        </w:rPr>
      </w:pPr>
      <w:r>
        <w:rPr>
          <w:rFonts w:hint="eastAsia" w:ascii="宋体" w:hAnsi="宋体" w:cs="宋体"/>
          <w:b/>
          <w:bCs/>
          <w:sz w:val="24"/>
          <w:lang w:val="en-US" w:eastAsia="zh-CN"/>
        </w:rPr>
        <w:t>本项目物业服务包括</w:t>
      </w:r>
      <w:r>
        <w:rPr>
          <w:rFonts w:hint="eastAsia" w:ascii="宋体" w:hAnsi="宋体" w:cs="宋体"/>
          <w:b/>
          <w:bCs/>
          <w:sz w:val="24"/>
          <w:lang w:eastAsia="zh-CN"/>
        </w:rPr>
        <w:t>保洁服务、绿化服务、餐饮服务、会务服务、工程维修及消防服务等。</w:t>
      </w:r>
    </w:p>
    <w:tbl>
      <w:tblPr>
        <w:tblStyle w:val="36"/>
        <w:tblW w:w="92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1706"/>
        <w:gridCol w:w="849"/>
        <w:gridCol w:w="876"/>
        <w:gridCol w:w="1235"/>
        <w:gridCol w:w="1142"/>
        <w:gridCol w:w="2654"/>
      </w:tblGrid>
      <w:tr w14:paraId="4094B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D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9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4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3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45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基本工资</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A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A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4450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1131">
            <w:pPr>
              <w:keepNext w:val="0"/>
              <w:keepLines w:val="0"/>
              <w:widowControl/>
              <w:suppressLineNumbers w:val="0"/>
              <w:jc w:val="center"/>
              <w:textAlignment w:val="center"/>
              <w:rPr>
                <w:rFonts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1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项目经理</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58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DF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7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A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4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物业服务全面管理工作</w:t>
            </w:r>
          </w:p>
        </w:tc>
      </w:tr>
      <w:tr w14:paraId="5D1A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4382">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C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园艺师</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2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0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F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5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C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办公区绿植养护</w:t>
            </w:r>
          </w:p>
        </w:tc>
      </w:tr>
      <w:tr w14:paraId="3F7FB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AC53">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4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保洁员</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ED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A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A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4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8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办公区保洁服务</w:t>
            </w:r>
          </w:p>
        </w:tc>
      </w:tr>
      <w:tr w14:paraId="0015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85C6">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F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勤杂工</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2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4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7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7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3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垃圾转运服务</w:t>
            </w:r>
          </w:p>
        </w:tc>
      </w:tr>
      <w:tr w14:paraId="5018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48CB">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C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理发师</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B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B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3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E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9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理发服务</w:t>
            </w:r>
          </w:p>
        </w:tc>
      </w:tr>
      <w:tr w14:paraId="6CCF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4C0B">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D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厨师</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5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2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3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7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5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内部餐饮服务</w:t>
            </w:r>
          </w:p>
        </w:tc>
      </w:tr>
      <w:tr w14:paraId="6641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D567">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9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帮厨</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3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1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3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0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F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内部餐饮服务</w:t>
            </w:r>
          </w:p>
        </w:tc>
      </w:tr>
      <w:tr w14:paraId="7F121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BAC5">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9</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8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厨房杂工</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D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9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D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7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0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内部餐饮服务</w:t>
            </w:r>
          </w:p>
        </w:tc>
      </w:tr>
      <w:tr w14:paraId="29E29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46E0">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10</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E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5F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3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7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4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6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日常维修</w:t>
            </w:r>
          </w:p>
        </w:tc>
      </w:tr>
      <w:tr w14:paraId="34D92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DB2B">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12</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7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服装</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D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48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2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9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7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17人（春秋2件，夏装2件，冬装2件，共六件）</w:t>
            </w:r>
          </w:p>
        </w:tc>
      </w:tr>
      <w:tr w14:paraId="7E2B4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AEB2">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13</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1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维修材料</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C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C6A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B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4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9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院区500元以下维修费</w:t>
            </w:r>
          </w:p>
        </w:tc>
      </w:tr>
      <w:tr w14:paraId="23893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E169">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14</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0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保洁用品及耗材</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BE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C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2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7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6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院区保洁用品及耗材费</w:t>
            </w:r>
          </w:p>
        </w:tc>
      </w:tr>
      <w:tr w14:paraId="3F6B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8A72">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15</w:t>
            </w:r>
          </w:p>
        </w:tc>
        <w:tc>
          <w:tcPr>
            <w:tcW w:w="46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FE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8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D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CB80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47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A4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三年合计（包括保险、福利等费用）</w:t>
            </w:r>
          </w:p>
        </w:tc>
        <w:tc>
          <w:tcPr>
            <w:tcW w:w="37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90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r>
    </w:tbl>
    <w:p w14:paraId="7A2BD8DF">
      <w:pPr>
        <w:numPr>
          <w:ilvl w:val="0"/>
          <w:numId w:val="0"/>
        </w:numPr>
        <w:spacing w:line="360" w:lineRule="auto"/>
        <w:rPr>
          <w:rFonts w:hint="eastAsia" w:ascii="宋体" w:hAnsi="宋体" w:cs="宋体"/>
          <w:b/>
          <w:bCs/>
          <w:sz w:val="24"/>
          <w:lang w:eastAsia="zh-CN"/>
        </w:rPr>
      </w:pPr>
    </w:p>
    <w:p w14:paraId="1E27D496">
      <w:pPr>
        <w:numPr>
          <w:ilvl w:val="0"/>
          <w:numId w:val="0"/>
        </w:numPr>
        <w:spacing w:line="360" w:lineRule="auto"/>
        <w:rPr>
          <w:rFonts w:hint="default" w:ascii="宋体" w:hAnsi="宋体" w:eastAsia="宋体" w:cs="宋体"/>
          <w:b/>
          <w:bCs/>
          <w:sz w:val="24"/>
          <w:lang w:val="en-US" w:eastAsia="zh-CN"/>
        </w:rPr>
      </w:pPr>
      <w:r>
        <w:rPr>
          <w:rFonts w:hint="eastAsia" w:ascii="宋体" w:hAnsi="宋体" w:cs="宋体"/>
          <w:b/>
          <w:bCs/>
          <w:sz w:val="24"/>
          <w:lang w:eastAsia="zh-CN"/>
        </w:rPr>
        <w:t>（</w:t>
      </w:r>
      <w:r>
        <w:rPr>
          <w:rFonts w:hint="eastAsia" w:ascii="宋体" w:hAnsi="宋体" w:cs="宋体"/>
          <w:b/>
          <w:bCs/>
          <w:sz w:val="24"/>
          <w:lang w:val="en-US" w:eastAsia="zh-CN"/>
        </w:rPr>
        <w:t>一</w:t>
      </w:r>
      <w:r>
        <w:rPr>
          <w:rFonts w:hint="eastAsia" w:ascii="宋体" w:hAnsi="宋体" w:cs="宋体"/>
          <w:b/>
          <w:bCs/>
          <w:sz w:val="24"/>
          <w:lang w:eastAsia="zh-CN"/>
        </w:rPr>
        <w:t>）</w:t>
      </w:r>
      <w:r>
        <w:rPr>
          <w:rFonts w:hint="eastAsia" w:ascii="宋体" w:hAnsi="宋体" w:cs="宋体"/>
          <w:b/>
          <w:bCs/>
          <w:sz w:val="24"/>
        </w:rPr>
        <w:t>中标供应商</w:t>
      </w:r>
      <w:r>
        <w:rPr>
          <w:rFonts w:hint="eastAsia" w:ascii="宋体" w:hAnsi="宋体" w:cs="宋体"/>
          <w:b/>
          <w:bCs/>
          <w:sz w:val="24"/>
          <w:lang w:val="en-US" w:eastAsia="zh-CN"/>
        </w:rPr>
        <w:t>人员配置及基本要求</w:t>
      </w:r>
    </w:p>
    <w:p w14:paraId="59C1C4D4">
      <w:pPr>
        <w:numPr>
          <w:ilvl w:val="0"/>
          <w:numId w:val="2"/>
        </w:numPr>
        <w:spacing w:line="360" w:lineRule="auto"/>
        <w:ind w:firstLine="480" w:firstLineChars="200"/>
        <w:rPr>
          <w:rFonts w:hint="eastAsia" w:ascii="宋体" w:hAnsi="宋体" w:eastAsia="宋体" w:cs="宋体"/>
          <w:sz w:val="24"/>
          <w:lang w:eastAsia="zh-CN"/>
        </w:rPr>
      </w:pPr>
      <w:r>
        <w:rPr>
          <w:rFonts w:hint="eastAsia" w:ascii="宋体" w:hAnsi="宋体" w:cs="宋体"/>
          <w:sz w:val="24"/>
        </w:rPr>
        <w:t>物业服务人员不少于</w:t>
      </w:r>
      <w:r>
        <w:rPr>
          <w:rFonts w:hint="eastAsia" w:ascii="宋体" w:hAnsi="宋体" w:cs="宋体"/>
          <w:sz w:val="24"/>
          <w:lang w:val="en-US" w:eastAsia="zh-CN"/>
        </w:rPr>
        <w:t>17</w:t>
      </w:r>
      <w:r>
        <w:rPr>
          <w:rFonts w:hint="eastAsia" w:ascii="宋体" w:hAnsi="宋体" w:cs="宋体"/>
          <w:sz w:val="24"/>
        </w:rPr>
        <w:t>人，</w:t>
      </w:r>
      <w:r>
        <w:rPr>
          <w:rFonts w:hint="eastAsia" w:ascii="宋体" w:hAnsi="宋体" w:cs="宋体"/>
          <w:sz w:val="24"/>
          <w:lang w:val="en-US" w:eastAsia="zh-CN"/>
        </w:rPr>
        <w:t>主要包括：</w:t>
      </w:r>
      <w:r>
        <w:rPr>
          <w:rFonts w:hint="eastAsia" w:ascii="宋体" w:hAnsi="宋体" w:cs="宋体"/>
          <w:sz w:val="24"/>
        </w:rPr>
        <w:t>项目经理1人，</w:t>
      </w:r>
      <w:r>
        <w:rPr>
          <w:rFonts w:hint="eastAsia" w:ascii="宋体" w:hAnsi="宋体" w:cs="宋体"/>
          <w:sz w:val="24"/>
          <w:lang w:val="en-US" w:eastAsia="zh-CN"/>
        </w:rPr>
        <w:t>负责物业服务全面管理工作；园艺师1人，负责县委县政府办公区绿植养护公章；保洁员8人，负责县委县政府办公区保洁服务；勤杂工1人，负责垃圾转运服务；理发师1人，负责理发服务；厨师2人，帮厨1人，杂工1人，负责内部餐饮服务；工程1人，负责县委县政府办公区日常维修工作。</w:t>
      </w:r>
      <w:r>
        <w:rPr>
          <w:rFonts w:hint="eastAsia" w:ascii="宋体" w:hAnsi="宋体" w:cs="宋体"/>
          <w:sz w:val="24"/>
        </w:rPr>
        <w:t>录用人员</w:t>
      </w:r>
      <w:r>
        <w:rPr>
          <w:rFonts w:hint="eastAsia" w:ascii="宋体" w:hAnsi="宋体" w:cs="宋体"/>
          <w:sz w:val="24"/>
          <w:lang w:val="en-US" w:eastAsia="zh-CN"/>
        </w:rPr>
        <w:t>具有</w:t>
      </w:r>
      <w:r>
        <w:rPr>
          <w:rFonts w:hint="eastAsia" w:ascii="宋体" w:hAnsi="宋体" w:cs="宋体"/>
          <w:sz w:val="24"/>
        </w:rPr>
        <w:t>上岗资格证</w:t>
      </w:r>
      <w:r>
        <w:rPr>
          <w:rFonts w:hint="eastAsia" w:ascii="宋体" w:hAnsi="宋体" w:cs="宋体"/>
          <w:sz w:val="24"/>
          <w:lang w:eastAsia="zh-CN"/>
        </w:rPr>
        <w:t>。</w:t>
      </w:r>
    </w:p>
    <w:p w14:paraId="0A3AF22B">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员工按岗位要求统一着装、言行规范，要求注意仪容仪表、公众形象</w:t>
      </w:r>
      <w:r>
        <w:rPr>
          <w:rFonts w:hint="eastAsia" w:ascii="宋体" w:hAnsi="宋体" w:cs="宋体"/>
          <w:sz w:val="24"/>
          <w:highlight w:val="none"/>
        </w:rPr>
        <w:t>，保洁人员年龄不超过5</w:t>
      </w:r>
      <w:r>
        <w:rPr>
          <w:rFonts w:hint="eastAsia" w:ascii="宋体" w:hAnsi="宋体" w:cs="宋体"/>
          <w:sz w:val="24"/>
          <w:highlight w:val="none"/>
          <w:lang w:val="en-US" w:eastAsia="zh-CN"/>
        </w:rPr>
        <w:t>5</w:t>
      </w:r>
      <w:r>
        <w:rPr>
          <w:rFonts w:hint="eastAsia" w:ascii="宋体" w:hAnsi="宋体" w:cs="宋体"/>
          <w:sz w:val="24"/>
          <w:highlight w:val="none"/>
        </w:rPr>
        <w:t>周岁</w:t>
      </w:r>
      <w:r>
        <w:rPr>
          <w:rFonts w:hint="eastAsia" w:ascii="宋体" w:hAnsi="宋体" w:cs="宋体"/>
          <w:sz w:val="24"/>
          <w:highlight w:val="none"/>
          <w:lang w:eastAsia="zh-CN"/>
        </w:rPr>
        <w:t>，</w:t>
      </w:r>
      <w:r>
        <w:rPr>
          <w:rFonts w:hint="eastAsia" w:ascii="宋体" w:hAnsi="宋体" w:cs="宋体"/>
          <w:sz w:val="24"/>
          <w:highlight w:val="none"/>
          <w:lang w:val="en-US" w:eastAsia="zh-CN"/>
        </w:rPr>
        <w:t>维修人员年龄不超过55周岁。</w:t>
      </w:r>
    </w:p>
    <w:p w14:paraId="1A41D4EA">
      <w:pPr>
        <w:spacing w:line="360" w:lineRule="auto"/>
        <w:ind w:firstLine="480" w:firstLineChars="200"/>
        <w:rPr>
          <w:rFonts w:hint="eastAsia" w:ascii="宋体" w:hAnsi="宋体" w:cs="宋体"/>
          <w:sz w:val="24"/>
          <w:highlight w:val="none"/>
        </w:rPr>
      </w:pPr>
      <w:r>
        <w:rPr>
          <w:rFonts w:hint="eastAsia" w:ascii="宋体" w:hAnsi="宋体" w:cs="宋体"/>
          <w:sz w:val="24"/>
          <w:lang w:val="en-US" w:eastAsia="zh-CN"/>
        </w:rPr>
        <w:t xml:space="preserve">3. </w:t>
      </w:r>
      <w:r>
        <w:rPr>
          <w:rFonts w:hint="eastAsia" w:ascii="宋体" w:hAnsi="宋体" w:cs="宋体"/>
          <w:color w:val="000000"/>
          <w:sz w:val="24"/>
        </w:rPr>
        <w:t>房屋主体、基础设施、设施设备、水电管线等维修事项，维修超过500元项目，报招标方审核解决；500元以下维修及器物更换事项，由中标方负责。</w:t>
      </w:r>
    </w:p>
    <w:p w14:paraId="3A65960D">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．委托物业管理服务期限为：</w:t>
      </w:r>
      <w:r>
        <w:rPr>
          <w:rFonts w:hint="eastAsia" w:ascii="宋体" w:hAnsi="宋体" w:cs="宋体"/>
          <w:color w:val="000000"/>
          <w:sz w:val="24"/>
          <w:highlight w:val="none"/>
        </w:rPr>
        <w:t>三年。</w:t>
      </w:r>
    </w:p>
    <w:p w14:paraId="1A33DEB5">
      <w:pPr>
        <w:spacing w:line="360" w:lineRule="auto"/>
        <w:ind w:firstLine="480" w:firstLineChars="200"/>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w:t>
      </w:r>
      <w:r>
        <w:rPr>
          <w:rFonts w:hint="eastAsia" w:ascii="宋体" w:hAnsi="宋体" w:cs="宋体"/>
          <w:sz w:val="24"/>
          <w:highlight w:val="none"/>
        </w:rPr>
        <w:t>对本项目制定并实施的节能减排措施。</w:t>
      </w:r>
    </w:p>
    <w:p w14:paraId="0E295D54">
      <w:pPr>
        <w:spacing w:line="360" w:lineRule="auto"/>
        <w:ind w:firstLine="480" w:firstLineChars="200"/>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w:t>
      </w:r>
      <w:r>
        <w:rPr>
          <w:rFonts w:hint="eastAsia" w:ascii="宋体" w:hAnsi="宋体" w:cs="宋体"/>
          <w:sz w:val="24"/>
          <w:highlight w:val="none"/>
        </w:rPr>
        <w:t>制定详细物业管理服务工作计划并组织实施，妥善管理与物业相关的工程图纸、技术资料及竣工验收资料，有合理完善的档案保管方式。</w:t>
      </w:r>
    </w:p>
    <w:p w14:paraId="72F88934">
      <w:pPr>
        <w:spacing w:line="360" w:lineRule="auto"/>
        <w:ind w:firstLine="480" w:firstLineChars="200"/>
        <w:rPr>
          <w:rFonts w:hint="eastAsia" w:ascii="宋体" w:hAnsi="宋体" w:cs="宋体"/>
          <w:color w:val="000000"/>
          <w:sz w:val="24"/>
        </w:rPr>
      </w:pPr>
      <w:r>
        <w:rPr>
          <w:rFonts w:hint="eastAsia" w:ascii="宋体" w:hAnsi="宋体" w:cs="宋体"/>
          <w:sz w:val="24"/>
          <w:lang w:val="en-US" w:eastAsia="zh-CN"/>
        </w:rPr>
        <w:t>7</w:t>
      </w:r>
      <w:r>
        <w:rPr>
          <w:rFonts w:hint="eastAsia" w:ascii="宋体" w:hAnsi="宋体" w:cs="宋体"/>
          <w:sz w:val="24"/>
        </w:rPr>
        <w:t>．</w:t>
      </w:r>
      <w:r>
        <w:rPr>
          <w:rFonts w:hint="eastAsia" w:ascii="宋体" w:hAnsi="宋体" w:cs="宋体"/>
          <w:sz w:val="24"/>
          <w:highlight w:val="none"/>
        </w:rPr>
        <w:t>处理服务范围内的公共性事务，受理业主的咨询和投诉，业主投诉要在24小时内答复处理意见。</w:t>
      </w:r>
    </w:p>
    <w:p w14:paraId="69BDF194">
      <w:pPr>
        <w:spacing w:line="360" w:lineRule="auto"/>
        <w:ind w:firstLine="480" w:firstLineChars="200"/>
        <w:rPr>
          <w:rFonts w:hint="eastAsia" w:ascii="宋体" w:hAnsi="宋体" w:cs="宋体"/>
          <w:color w:val="000000"/>
          <w:sz w:val="24"/>
        </w:rPr>
      </w:pPr>
      <w:r>
        <w:rPr>
          <w:rFonts w:hint="eastAsia" w:ascii="宋体" w:hAnsi="宋体" w:cs="宋体"/>
          <w:color w:val="000000"/>
          <w:sz w:val="24"/>
          <w:lang w:val="en-US" w:eastAsia="zh-CN"/>
        </w:rPr>
        <w:t xml:space="preserve">8. </w:t>
      </w:r>
      <w:r>
        <w:rPr>
          <w:rFonts w:hint="eastAsia" w:ascii="宋体" w:hAnsi="宋体" w:cs="宋体"/>
          <w:sz w:val="24"/>
          <w:highlight w:val="none"/>
        </w:rPr>
        <w:t>24小时受理业主报修，接到任何报修后10分钟内到达现场查看处理，大项维修事项及时向</w:t>
      </w:r>
      <w:r>
        <w:rPr>
          <w:rFonts w:hint="eastAsia" w:ascii="宋体" w:hAnsi="宋体" w:cs="宋体"/>
          <w:sz w:val="24"/>
          <w:highlight w:val="none"/>
          <w:lang w:val="en-US" w:eastAsia="zh-CN"/>
        </w:rPr>
        <w:t>业主</w:t>
      </w:r>
      <w:r>
        <w:rPr>
          <w:rFonts w:hint="eastAsia" w:ascii="宋体" w:hAnsi="宋体" w:cs="宋体"/>
          <w:sz w:val="24"/>
          <w:highlight w:val="none"/>
        </w:rPr>
        <w:t>报告。</w:t>
      </w:r>
    </w:p>
    <w:p w14:paraId="1C2E9B69">
      <w:pPr>
        <w:spacing w:line="360" w:lineRule="auto"/>
        <w:rPr>
          <w:rFonts w:hint="eastAsia" w:ascii="宋体" w:hAnsi="宋体" w:cs="宋体"/>
          <w:b/>
          <w:bCs/>
          <w:sz w:val="24"/>
          <w:highlight w:val="none"/>
        </w:rPr>
      </w:pPr>
      <w:r>
        <w:rPr>
          <w:rFonts w:hint="eastAsia" w:ascii="宋体" w:hAnsi="宋体" w:cs="宋体"/>
          <w:b/>
          <w:bCs/>
          <w:sz w:val="24"/>
          <w:highlight w:val="none"/>
          <w:lang w:val="en-US" w:eastAsia="zh-CN"/>
        </w:rPr>
        <w:t>（二）</w:t>
      </w:r>
      <w:r>
        <w:rPr>
          <w:rFonts w:hint="eastAsia" w:ascii="宋体" w:hAnsi="宋体" w:cs="宋体"/>
          <w:b/>
          <w:bCs/>
          <w:sz w:val="24"/>
          <w:highlight w:val="none"/>
        </w:rPr>
        <w:t>公共区域清洁卫生服务</w:t>
      </w:r>
    </w:p>
    <w:p w14:paraId="0766804D">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1．室外环境清洁</w:t>
      </w:r>
    </w:p>
    <w:p w14:paraId="4692AD5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 保持外庭院地面无杂物、无积水、积尘、无烟头、无油迹。</w:t>
      </w:r>
    </w:p>
    <w:p w14:paraId="183B7E3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1.2 建筑物屋面、天台保持干净整洁，</w:t>
      </w:r>
      <w:r>
        <w:rPr>
          <w:rFonts w:hint="eastAsia" w:ascii="宋体" w:hAnsi="宋体" w:cs="宋体"/>
          <w:sz w:val="24"/>
          <w:highlight w:val="none"/>
          <w:lang w:val="en-US" w:eastAsia="zh-CN"/>
        </w:rPr>
        <w:t>每周</w:t>
      </w:r>
      <w:r>
        <w:rPr>
          <w:rFonts w:hint="eastAsia" w:ascii="宋体" w:hAnsi="宋体" w:cs="宋体"/>
          <w:sz w:val="24"/>
          <w:highlight w:val="none"/>
        </w:rPr>
        <w:t>清</w:t>
      </w:r>
      <w:r>
        <w:rPr>
          <w:rFonts w:hint="eastAsia" w:ascii="宋体" w:hAnsi="宋体" w:cs="宋体"/>
          <w:sz w:val="24"/>
          <w:highlight w:val="none"/>
          <w:lang w:val="en-US" w:eastAsia="zh-CN"/>
        </w:rPr>
        <w:t>洁</w:t>
      </w:r>
      <w:r>
        <w:rPr>
          <w:rFonts w:hint="eastAsia" w:ascii="宋体" w:hAnsi="宋体" w:cs="宋体"/>
          <w:sz w:val="24"/>
          <w:highlight w:val="none"/>
        </w:rPr>
        <w:t>1次。</w:t>
      </w:r>
    </w:p>
    <w:p w14:paraId="72525CA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1.3 垃圾</w:t>
      </w:r>
      <w:r>
        <w:rPr>
          <w:rFonts w:hint="eastAsia" w:ascii="宋体" w:hAnsi="宋体" w:cs="宋体"/>
          <w:sz w:val="24"/>
          <w:highlight w:val="none"/>
          <w:lang w:val="en-US" w:eastAsia="zh-CN"/>
        </w:rPr>
        <w:t>内部转运</w:t>
      </w:r>
      <w:r>
        <w:rPr>
          <w:rFonts w:hint="eastAsia" w:ascii="宋体" w:hAnsi="宋体" w:cs="宋体"/>
          <w:sz w:val="24"/>
          <w:highlight w:val="none"/>
        </w:rPr>
        <w:t>。</w:t>
      </w:r>
    </w:p>
    <w:p w14:paraId="5A9D225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2．建筑物内公共区域的清洁</w:t>
      </w:r>
    </w:p>
    <w:p w14:paraId="2097349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2.1大堂、其它主要公共区域内，墙面不出现污渍、尘土、霉变，地面不出现污渍、尘土，玻璃、镜面、不锈钢表面不得出现1米以外可见的污渍、尘土、印迹。</w:t>
      </w:r>
    </w:p>
    <w:p w14:paraId="7DE0240E">
      <w:pPr>
        <w:spacing w:line="360" w:lineRule="auto"/>
        <w:rPr>
          <w:rFonts w:hint="eastAsia" w:ascii="宋体" w:hAnsi="宋体" w:cs="宋体"/>
          <w:sz w:val="24"/>
          <w:highlight w:val="none"/>
        </w:rPr>
      </w:pPr>
      <w:r>
        <w:rPr>
          <w:rFonts w:hint="eastAsia" w:ascii="宋体" w:hAnsi="宋体" w:cs="宋体"/>
          <w:sz w:val="24"/>
          <w:highlight w:val="none"/>
        </w:rPr>
        <w:t>2.2大堂墙面：每周擦拭1次。</w:t>
      </w:r>
    </w:p>
    <w:p w14:paraId="595A0F2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2.3楼梯间及通道的天花板和墙壁：每两周除尘1次，无蛛网、无积尘。</w:t>
      </w:r>
    </w:p>
    <w:p w14:paraId="4979536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2.4地砖：每天清洁，并循环保洁。</w:t>
      </w:r>
    </w:p>
    <w:p w14:paraId="6DB518C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2.5公共卫生间：</w:t>
      </w:r>
      <w:r>
        <w:rPr>
          <w:rFonts w:hint="eastAsia" w:ascii="宋体" w:hAnsi="宋体" w:cs="宋体"/>
          <w:color w:val="auto"/>
          <w:sz w:val="24"/>
          <w:highlight w:val="none"/>
        </w:rPr>
        <w:t>保证所有卫生间擦手纸、洗手液配备和摆放，每</w:t>
      </w:r>
      <w:r>
        <w:rPr>
          <w:rFonts w:hint="eastAsia" w:ascii="宋体" w:hAnsi="宋体" w:cs="宋体"/>
          <w:sz w:val="24"/>
          <w:highlight w:val="none"/>
        </w:rPr>
        <w:t>日定时打扫、循环保洁，地面清洁无尘、无积水，定期用专用消毒液对洗手盆、水龙头、大小便器、门把手和地板简易消毒；每月至少1次用毛巾擦灯具，清洁天花板。</w:t>
      </w:r>
    </w:p>
    <w:p w14:paraId="62F08E4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2.6所有清洁剂、消毒剂、保养材料必须符合国家环保要求。</w:t>
      </w:r>
    </w:p>
    <w:p w14:paraId="7BFB476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2.7墙面清洁：每月除尘1次，脏污处随时清洁。</w:t>
      </w:r>
    </w:p>
    <w:p w14:paraId="67B7008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2.8公共区域内墙面：每周清抹1次，每月清洗1次。</w:t>
      </w:r>
    </w:p>
    <w:p w14:paraId="1DCEFC6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2.9公共区域乳胶漆墙面清洁：每月除尘1次，随时擦拭或擦洗污渍处。</w:t>
      </w:r>
    </w:p>
    <w:p w14:paraId="6F2433D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2.10灯具、通风口：定期擦拭。</w:t>
      </w:r>
    </w:p>
    <w:p w14:paraId="626B2F05">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2.11楼梯、扶手等每日擦拭，循环保洁。</w:t>
      </w:r>
    </w:p>
    <w:p w14:paraId="155F0E8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2.12各种设施设备及时擦拭。</w:t>
      </w:r>
    </w:p>
    <w:p w14:paraId="37C30A5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3.停车场</w:t>
      </w:r>
    </w:p>
    <w:p w14:paraId="14E1405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3.1地面无积水、油污、杂物、纸屑。</w:t>
      </w:r>
    </w:p>
    <w:p w14:paraId="7D58CFD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3.2各类设施设备表面清洁，无积尘。</w:t>
      </w:r>
    </w:p>
    <w:p w14:paraId="639986FE">
      <w:pPr>
        <w:spacing w:line="360" w:lineRule="auto"/>
        <w:rPr>
          <w:rFonts w:hint="eastAsia" w:ascii="宋体" w:hAnsi="宋体" w:cs="宋体"/>
          <w:b/>
          <w:bCs/>
          <w:sz w:val="24"/>
          <w:highlight w:val="none"/>
        </w:rPr>
      </w:pP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三</w:t>
      </w:r>
      <w:r>
        <w:rPr>
          <w:rFonts w:hint="eastAsia" w:ascii="宋体" w:hAnsi="宋体" w:cs="宋体"/>
          <w:b/>
          <w:bCs/>
          <w:sz w:val="24"/>
          <w:highlight w:val="none"/>
          <w:lang w:eastAsia="zh-CN"/>
        </w:rPr>
        <w:t>）</w:t>
      </w:r>
      <w:r>
        <w:rPr>
          <w:rFonts w:hint="eastAsia" w:ascii="宋体" w:hAnsi="宋体" w:cs="宋体"/>
          <w:b/>
          <w:bCs/>
          <w:sz w:val="24"/>
          <w:highlight w:val="none"/>
        </w:rPr>
        <w:t>设备维护与保养服务</w:t>
      </w:r>
    </w:p>
    <w:p w14:paraId="512B014C">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1．给水系统的运行和设备维护保养</w:t>
      </w:r>
    </w:p>
    <w:p w14:paraId="31DBF35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1.1建立供水管理制度，加强日常巡视，保证给水系统正常运行使用。</w:t>
      </w:r>
    </w:p>
    <w:p w14:paraId="6E35F53F">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2</w:t>
      </w:r>
      <w:r>
        <w:rPr>
          <w:rFonts w:hint="eastAsia" w:ascii="宋体" w:hAnsi="宋体" w:cs="宋体"/>
          <w:sz w:val="24"/>
          <w:highlight w:val="none"/>
        </w:rPr>
        <w:t xml:space="preserve"> 加强巡视检查，防止跑、冒、滴、渗、漏现象，保证设备设施完好。</w:t>
      </w:r>
    </w:p>
    <w:p w14:paraId="5976C86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3</w:t>
      </w:r>
      <w:r>
        <w:rPr>
          <w:rFonts w:hint="eastAsia" w:ascii="宋体" w:hAnsi="宋体" w:cs="宋体"/>
          <w:sz w:val="24"/>
          <w:highlight w:val="none"/>
        </w:rPr>
        <w:t xml:space="preserve"> 供水设备每周检查、打扫一次，保持泵房整洁卫生。</w:t>
      </w:r>
    </w:p>
    <w:p w14:paraId="2CA84741">
      <w:pPr>
        <w:spacing w:line="360" w:lineRule="auto"/>
        <w:ind w:firstLine="480" w:firstLineChars="200"/>
        <w:rPr>
          <w:rFonts w:hint="eastAsia" w:ascii="宋体" w:hAnsi="宋体" w:eastAsia="宋体" w:cs="宋体"/>
          <w:sz w:val="24"/>
          <w:highlight w:val="red"/>
          <w:lang w:eastAsia="zh-CN"/>
        </w:rPr>
      </w:pPr>
      <w:r>
        <w:rPr>
          <w:rFonts w:hint="eastAsia" w:ascii="宋体" w:hAnsi="宋体" w:cs="宋体"/>
          <w:sz w:val="24"/>
          <w:highlight w:val="none"/>
        </w:rPr>
        <w:t>1.</w:t>
      </w:r>
      <w:r>
        <w:rPr>
          <w:rFonts w:hint="eastAsia" w:ascii="宋体" w:hAnsi="宋体" w:cs="宋体"/>
          <w:sz w:val="24"/>
          <w:highlight w:val="none"/>
          <w:lang w:val="en-US" w:eastAsia="zh-CN"/>
        </w:rPr>
        <w:t>4</w:t>
      </w:r>
      <w:r>
        <w:rPr>
          <w:rFonts w:hint="eastAsia" w:ascii="宋体" w:hAnsi="宋体" w:cs="宋体"/>
          <w:sz w:val="24"/>
          <w:highlight w:val="none"/>
        </w:rPr>
        <w:t>每季加注润滑油一次，每年对管道、水泵保养一次</w:t>
      </w:r>
      <w:r>
        <w:rPr>
          <w:rFonts w:hint="eastAsia" w:ascii="宋体" w:hAnsi="宋体" w:cs="宋体"/>
          <w:sz w:val="24"/>
          <w:highlight w:val="none"/>
          <w:lang w:eastAsia="zh-CN"/>
        </w:rPr>
        <w:t>。</w:t>
      </w:r>
    </w:p>
    <w:p w14:paraId="32D0FC94">
      <w:pPr>
        <w:spacing w:line="360" w:lineRule="auto"/>
        <w:rPr>
          <w:rFonts w:hint="eastAsia" w:ascii="宋体" w:hAnsi="宋体" w:cs="宋体"/>
          <w:sz w:val="24"/>
          <w:highlight w:val="none"/>
        </w:rPr>
      </w:pPr>
      <w:r>
        <w:rPr>
          <w:rFonts w:hint="eastAsia" w:ascii="宋体" w:hAnsi="宋体" w:cs="宋体"/>
          <w:sz w:val="24"/>
          <w:highlight w:val="none"/>
          <w:lang w:val="en-US" w:eastAsia="zh-CN"/>
        </w:rPr>
        <w:t xml:space="preserve">    1</w:t>
      </w:r>
      <w:r>
        <w:rPr>
          <w:rFonts w:hint="eastAsia" w:ascii="宋体" w:hAnsi="宋体" w:cs="宋体"/>
          <w:sz w:val="24"/>
          <w:highlight w:val="none"/>
        </w:rPr>
        <w:t>.</w:t>
      </w:r>
      <w:r>
        <w:rPr>
          <w:rFonts w:hint="eastAsia" w:ascii="宋体" w:hAnsi="宋体" w:cs="宋体"/>
          <w:sz w:val="24"/>
          <w:highlight w:val="none"/>
          <w:lang w:val="en-US" w:eastAsia="zh-CN"/>
        </w:rPr>
        <w:t>5</w:t>
      </w:r>
      <w:r>
        <w:rPr>
          <w:rFonts w:hint="eastAsia" w:ascii="宋体" w:hAnsi="宋体" w:cs="宋体"/>
          <w:sz w:val="24"/>
          <w:highlight w:val="none"/>
        </w:rPr>
        <w:t xml:space="preserve"> 保持室内外给水系统畅通。</w:t>
      </w:r>
    </w:p>
    <w:p w14:paraId="0D1B4DD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6壁挂机</w:t>
      </w:r>
      <w:r>
        <w:rPr>
          <w:rFonts w:hint="eastAsia" w:ascii="宋体" w:hAnsi="宋体" w:cs="宋体"/>
          <w:sz w:val="24"/>
          <w:highlight w:val="none"/>
        </w:rPr>
        <w:t>定期维护，夏季维护检修，冬季防护维护，保证供暖期间正常运行。</w:t>
      </w:r>
    </w:p>
    <w:p w14:paraId="74F75FA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7</w:t>
      </w:r>
      <w:r>
        <w:rPr>
          <w:rFonts w:hint="eastAsia" w:ascii="宋体" w:hAnsi="宋体" w:cs="宋体"/>
          <w:sz w:val="24"/>
          <w:highlight w:val="none"/>
        </w:rPr>
        <w:t>节约用水，符合政府规定的节水要求，做好节约用水工作。</w:t>
      </w:r>
    </w:p>
    <w:p w14:paraId="5BB868F2">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2．排水系统的运行和设备维护保养</w:t>
      </w:r>
    </w:p>
    <w:p w14:paraId="02C8F0F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 加强日常巡视，保证排水系统的正常运行使用。</w:t>
      </w:r>
    </w:p>
    <w:p w14:paraId="6B76D73D">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2.2加强巡视检查，保证设备设施正常使用，定期对便器电池予以更换。</w:t>
      </w:r>
    </w:p>
    <w:p w14:paraId="0E070267">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3．配电系统的运行和设备维护保养</w:t>
      </w:r>
    </w:p>
    <w:p w14:paraId="4733CCE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3.1统筹规划，做到合理、节约用电。</w:t>
      </w:r>
    </w:p>
    <w:p w14:paraId="767C13D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3.2 供电运行和维修人员必须持证上岗。</w:t>
      </w:r>
    </w:p>
    <w:p w14:paraId="29FC9F3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3</w:t>
      </w:r>
      <w:r>
        <w:rPr>
          <w:rFonts w:hint="eastAsia" w:ascii="宋体" w:hAnsi="宋体" w:cs="宋体"/>
          <w:sz w:val="24"/>
          <w:highlight w:val="none"/>
        </w:rPr>
        <w:t>加强日常维护检修，公共照明、安全指示灯具、线路、各层配电设施控制开关保持使用正常，每周对公共照明设施巡查一次，及时修复损坏的灯座、灯泡、开关等电气设备，完好率保持98%以上。</w:t>
      </w:r>
    </w:p>
    <w:p w14:paraId="28D95C9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4</w:t>
      </w:r>
      <w:r>
        <w:rPr>
          <w:rFonts w:hint="eastAsia" w:ascii="宋体" w:hAnsi="宋体" w:cs="宋体"/>
          <w:sz w:val="24"/>
          <w:highlight w:val="none"/>
        </w:rPr>
        <w:t>保证夜景照明、节日灯系统正常运行，并按时关启。</w:t>
      </w:r>
    </w:p>
    <w:p w14:paraId="50B20A6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5</w:t>
      </w:r>
      <w:r>
        <w:rPr>
          <w:rFonts w:hint="eastAsia" w:ascii="宋体" w:hAnsi="宋体" w:cs="宋体"/>
          <w:sz w:val="24"/>
          <w:highlight w:val="none"/>
        </w:rPr>
        <w:t>供配电设备定期维护。</w:t>
      </w:r>
    </w:p>
    <w:p w14:paraId="0FEAD0FB">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6</w:t>
      </w:r>
      <w:r>
        <w:rPr>
          <w:rFonts w:hint="eastAsia" w:ascii="宋体" w:hAnsi="宋体" w:cs="宋体"/>
          <w:sz w:val="24"/>
          <w:highlight w:val="none"/>
        </w:rPr>
        <w:t>严格执行国家有关用电安全规范和供配电岗位作业规范，确保用电安全。</w:t>
      </w:r>
    </w:p>
    <w:p w14:paraId="0F71222B">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7</w:t>
      </w:r>
      <w:r>
        <w:rPr>
          <w:rFonts w:hint="eastAsia" w:ascii="宋体" w:hAnsi="宋体" w:cs="宋体"/>
          <w:sz w:val="24"/>
          <w:highlight w:val="none"/>
        </w:rPr>
        <w:t>按照规定及时检查、维护项目的供电、防雷系统，确保电气性能完好且符合相关标准规定，运作正常。</w:t>
      </w:r>
    </w:p>
    <w:p w14:paraId="3EF9F58B">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8</w:t>
      </w:r>
      <w:r>
        <w:rPr>
          <w:rFonts w:hint="eastAsia" w:ascii="宋体" w:hAnsi="宋体" w:cs="宋体"/>
          <w:sz w:val="24"/>
          <w:highlight w:val="none"/>
        </w:rPr>
        <w:t>各类标示标识完整有效。</w:t>
      </w:r>
    </w:p>
    <w:p w14:paraId="027A3FA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lang w:val="en-US" w:eastAsia="zh-CN"/>
        </w:rPr>
        <w:t>4、</w:t>
      </w:r>
      <w:r>
        <w:rPr>
          <w:rFonts w:hint="eastAsia" w:ascii="宋体" w:hAnsi="宋体" w:cs="宋体"/>
          <w:b/>
          <w:bCs/>
          <w:sz w:val="24"/>
          <w:highlight w:val="none"/>
        </w:rPr>
        <w:t>绿化服务</w:t>
      </w:r>
    </w:p>
    <w:p w14:paraId="25B9E1B8">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4.1</w:t>
      </w:r>
      <w:r>
        <w:rPr>
          <w:rFonts w:hint="eastAsia" w:ascii="宋体" w:hAnsi="宋体" w:cs="宋体"/>
          <w:sz w:val="24"/>
          <w:highlight w:val="none"/>
        </w:rPr>
        <w:t>全面负责管辖区域内的绿地、</w:t>
      </w:r>
      <w:r>
        <w:rPr>
          <w:rFonts w:hint="eastAsia" w:ascii="宋体" w:hAnsi="宋体" w:cs="宋体"/>
          <w:sz w:val="24"/>
          <w:highlight w:val="none"/>
          <w:lang w:val="en-US" w:eastAsia="zh-CN"/>
        </w:rPr>
        <w:t>灌木</w:t>
      </w:r>
      <w:r>
        <w:rPr>
          <w:rFonts w:hint="eastAsia" w:ascii="宋体" w:hAnsi="宋体" w:cs="宋体"/>
          <w:sz w:val="24"/>
          <w:highlight w:val="none"/>
        </w:rPr>
        <w:t>的养护管理；</w:t>
      </w:r>
    </w:p>
    <w:p w14:paraId="0CC4250C">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4.2</w:t>
      </w:r>
      <w:r>
        <w:rPr>
          <w:rFonts w:hint="eastAsia" w:ascii="宋体" w:hAnsi="宋体" w:cs="宋体"/>
          <w:sz w:val="24"/>
          <w:highlight w:val="none"/>
        </w:rPr>
        <w:t>绿化监管及绿化带内垃圾杂物的清除：每日捡拾园林绿地内垃圾杂物，保持干净；换季期间做好各种植物保护措施。</w:t>
      </w:r>
    </w:p>
    <w:p w14:paraId="504CE0EB">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4.3</w:t>
      </w:r>
      <w:r>
        <w:rPr>
          <w:rFonts w:hint="eastAsia" w:ascii="宋体" w:hAnsi="宋体" w:cs="宋体"/>
          <w:sz w:val="24"/>
          <w:highlight w:val="none"/>
        </w:rPr>
        <w:t>负责绿地、花木的浇水、施肥、除杂草、松土、除病虫、喷药、修剪整形、防护等工作，杂草面积不得大于3%。</w:t>
      </w:r>
    </w:p>
    <w:p w14:paraId="3C0E373A">
      <w:pPr>
        <w:spacing w:line="360" w:lineRule="auto"/>
        <w:ind w:firstLine="480" w:firstLineChars="200"/>
        <w:rPr>
          <w:rFonts w:hint="default" w:ascii="宋体" w:hAnsi="宋体" w:cs="宋体"/>
          <w:sz w:val="24"/>
          <w:highlight w:val="none"/>
          <w:lang w:val="en-US"/>
        </w:rPr>
      </w:pPr>
      <w:r>
        <w:rPr>
          <w:rFonts w:hint="eastAsia" w:ascii="宋体" w:hAnsi="宋体" w:cs="宋体"/>
          <w:sz w:val="24"/>
          <w:highlight w:val="none"/>
          <w:lang w:val="en-US" w:eastAsia="zh-CN"/>
        </w:rPr>
        <w:t>4.4</w:t>
      </w:r>
      <w:r>
        <w:rPr>
          <w:rFonts w:hint="eastAsia" w:ascii="宋体" w:hAnsi="宋体" w:cs="宋体"/>
          <w:sz w:val="24"/>
          <w:highlight w:val="none"/>
        </w:rPr>
        <w:t>公共绿地无破坏、践踏、无虫害及随意占用想象，绿化</w:t>
      </w:r>
      <w:r>
        <w:rPr>
          <w:rFonts w:hint="eastAsia" w:ascii="宋体" w:hAnsi="宋体" w:cs="宋体"/>
          <w:sz w:val="24"/>
          <w:highlight w:val="none"/>
          <w:lang w:eastAsia="zh-CN"/>
        </w:rPr>
        <w:t>达</w:t>
      </w:r>
      <w:r>
        <w:rPr>
          <w:rFonts w:hint="eastAsia" w:ascii="宋体" w:hAnsi="宋体" w:cs="宋体"/>
          <w:sz w:val="24"/>
          <w:highlight w:val="none"/>
        </w:rPr>
        <w:t>标率100%。</w:t>
      </w:r>
    </w:p>
    <w:p w14:paraId="7B2D5A53">
      <w:pPr>
        <w:spacing w:line="360" w:lineRule="auto"/>
        <w:ind w:firstLine="482" w:firstLineChars="200"/>
        <w:rPr>
          <w:rFonts w:hint="eastAsia" w:ascii="宋体" w:hAnsi="宋体" w:cs="宋体"/>
          <w:sz w:val="24"/>
          <w:highlight w:val="red"/>
        </w:rPr>
      </w:pPr>
      <w:r>
        <w:rPr>
          <w:rFonts w:hint="eastAsia" w:ascii="宋体" w:hAnsi="宋体" w:cs="宋体"/>
          <w:b/>
          <w:bCs/>
          <w:sz w:val="24"/>
          <w:highlight w:val="none"/>
          <w:lang w:val="en-US" w:eastAsia="zh-CN"/>
        </w:rPr>
        <w:t>5、</w:t>
      </w:r>
      <w:r>
        <w:rPr>
          <w:rFonts w:hint="eastAsia" w:ascii="宋体" w:hAnsi="宋体" w:cs="宋体"/>
          <w:b/>
          <w:bCs/>
          <w:sz w:val="24"/>
          <w:highlight w:val="none"/>
        </w:rPr>
        <w:t>其它公共服务</w:t>
      </w:r>
    </w:p>
    <w:p w14:paraId="5042D899">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5.1</w:t>
      </w:r>
      <w:r>
        <w:rPr>
          <w:rFonts w:hint="eastAsia" w:ascii="宋体" w:hAnsi="宋体" w:cs="宋体"/>
          <w:sz w:val="24"/>
          <w:highlight w:val="none"/>
        </w:rPr>
        <w:t>公共部位房屋结构每年检查2次，涉及使用安全的部位每季检查一次，并有记录，发现损坏及时安排专项修理并告知相关业主、使用人。</w:t>
      </w:r>
    </w:p>
    <w:p w14:paraId="54778425">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5.2</w:t>
      </w:r>
      <w:r>
        <w:rPr>
          <w:rFonts w:hint="eastAsia" w:ascii="宋体" w:hAnsi="宋体" w:cs="宋体"/>
          <w:sz w:val="24"/>
          <w:highlight w:val="none"/>
        </w:rPr>
        <w:t>每周巡查一次道路、路面、侧石、井盖等，发现损坏及时修复。</w:t>
      </w:r>
    </w:p>
    <w:p w14:paraId="234F50A7">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5.3</w:t>
      </w:r>
      <w:r>
        <w:rPr>
          <w:rFonts w:hint="eastAsia" w:ascii="宋体" w:hAnsi="宋体" w:cs="宋体"/>
          <w:sz w:val="24"/>
          <w:highlight w:val="none"/>
        </w:rPr>
        <w:t>道路、公共活动场地、绿地、楼道每日循环清扫，扶手、栏杆、室外标识牌、宣传牌、小型外露设施，每天擦拭一次，保持干净无灰尘。</w:t>
      </w:r>
    </w:p>
    <w:p w14:paraId="3C9C27E0">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5.4</w:t>
      </w:r>
      <w:r>
        <w:rPr>
          <w:rFonts w:hint="eastAsia" w:ascii="宋体" w:hAnsi="宋体" w:cs="宋体"/>
          <w:sz w:val="24"/>
          <w:highlight w:val="none"/>
        </w:rPr>
        <w:t>消防栓、指示牌等公共设施隔日擦抹一次，表面干净无灰尘。</w:t>
      </w:r>
    </w:p>
    <w:p w14:paraId="00C76807">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5.5</w:t>
      </w:r>
      <w:r>
        <w:rPr>
          <w:rFonts w:hint="eastAsia" w:ascii="宋体" w:hAnsi="宋体" w:cs="宋体"/>
          <w:sz w:val="24"/>
          <w:highlight w:val="none"/>
        </w:rPr>
        <w:t>公共灯具每月除尘一次，目视无灰尘、无污迹、无蜘蛛网。</w:t>
      </w:r>
    </w:p>
    <w:p w14:paraId="08421969">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5.6</w:t>
      </w:r>
      <w:r>
        <w:rPr>
          <w:rFonts w:hint="eastAsia" w:ascii="宋体" w:hAnsi="宋体" w:cs="宋体"/>
          <w:sz w:val="24"/>
          <w:highlight w:val="none"/>
        </w:rPr>
        <w:t>天台、屋顶 保持清洁、无垃圾。</w:t>
      </w:r>
    </w:p>
    <w:p w14:paraId="0A9B09FC">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5.7</w:t>
      </w:r>
      <w:r>
        <w:rPr>
          <w:rFonts w:hint="eastAsia" w:ascii="宋体" w:hAnsi="宋体" w:cs="宋体"/>
          <w:sz w:val="24"/>
          <w:highlight w:val="none"/>
        </w:rPr>
        <w:t>垃圾按区域设置收集点，每日早上或晚上定时清理一次，垃圾收集点周围地面无散落、无污迹、无异味，应尽量推动分类存放。</w:t>
      </w:r>
    </w:p>
    <w:p w14:paraId="3A508FD5">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5.8冬季</w:t>
      </w:r>
      <w:r>
        <w:rPr>
          <w:rFonts w:hint="eastAsia" w:ascii="宋体" w:hAnsi="宋体" w:cs="宋体"/>
          <w:sz w:val="24"/>
          <w:highlight w:val="none"/>
        </w:rPr>
        <w:t>每周对生活垃圾容器进行</w:t>
      </w:r>
      <w:r>
        <w:rPr>
          <w:rFonts w:hint="eastAsia" w:ascii="宋体" w:hAnsi="宋体" w:cs="宋体"/>
          <w:sz w:val="24"/>
          <w:highlight w:val="none"/>
          <w:lang w:val="en-US" w:eastAsia="zh-CN"/>
        </w:rPr>
        <w:t>1</w:t>
      </w:r>
      <w:r>
        <w:rPr>
          <w:rFonts w:hint="eastAsia" w:ascii="宋体" w:hAnsi="宋体" w:cs="宋体"/>
          <w:sz w:val="24"/>
          <w:highlight w:val="none"/>
        </w:rPr>
        <w:t>次清</w:t>
      </w:r>
      <w:r>
        <w:rPr>
          <w:rFonts w:hint="eastAsia" w:ascii="宋体" w:hAnsi="宋体" w:cs="宋体"/>
          <w:sz w:val="24"/>
          <w:highlight w:val="none"/>
          <w:lang w:val="en-US" w:eastAsia="zh-CN"/>
        </w:rPr>
        <w:t>洗</w:t>
      </w:r>
      <w:r>
        <w:rPr>
          <w:rFonts w:hint="eastAsia" w:ascii="宋体" w:hAnsi="宋体" w:cs="宋体"/>
          <w:sz w:val="24"/>
          <w:highlight w:val="none"/>
        </w:rPr>
        <w:t>、保洁、灭害</w:t>
      </w:r>
      <w:r>
        <w:rPr>
          <w:rFonts w:hint="eastAsia" w:ascii="宋体" w:hAnsi="宋体" w:cs="宋体"/>
          <w:sz w:val="24"/>
          <w:highlight w:val="none"/>
          <w:lang w:eastAsia="zh-CN"/>
        </w:rPr>
        <w:t>、</w:t>
      </w:r>
      <w:r>
        <w:rPr>
          <w:rFonts w:hint="eastAsia" w:ascii="宋体" w:hAnsi="宋体" w:cs="宋体"/>
          <w:sz w:val="24"/>
          <w:highlight w:val="none"/>
          <w:lang w:val="en-US" w:eastAsia="zh-CN"/>
        </w:rPr>
        <w:t>消杀</w:t>
      </w:r>
      <w:r>
        <w:rPr>
          <w:rFonts w:hint="eastAsia" w:ascii="宋体" w:hAnsi="宋体" w:cs="宋体"/>
          <w:sz w:val="24"/>
          <w:highlight w:val="none"/>
        </w:rPr>
        <w:t>工作，保障无异味、无污迹。夏季每</w:t>
      </w:r>
      <w:r>
        <w:rPr>
          <w:rFonts w:hint="eastAsia" w:ascii="宋体" w:hAnsi="宋体" w:cs="宋体"/>
          <w:sz w:val="24"/>
          <w:highlight w:val="none"/>
          <w:lang w:val="en-US" w:eastAsia="zh-CN"/>
        </w:rPr>
        <w:t>天</w:t>
      </w:r>
      <w:r>
        <w:rPr>
          <w:rFonts w:hint="eastAsia" w:ascii="宋体" w:hAnsi="宋体" w:cs="宋体"/>
          <w:sz w:val="24"/>
          <w:highlight w:val="none"/>
        </w:rPr>
        <w:t>清洗、消杀</w:t>
      </w:r>
      <w:r>
        <w:rPr>
          <w:rFonts w:hint="eastAsia" w:ascii="宋体" w:hAnsi="宋体" w:cs="宋体"/>
          <w:sz w:val="24"/>
          <w:highlight w:val="none"/>
          <w:lang w:val="en-US" w:eastAsia="zh-CN"/>
        </w:rPr>
        <w:t>1</w:t>
      </w:r>
      <w:r>
        <w:rPr>
          <w:rFonts w:hint="eastAsia" w:ascii="宋体" w:hAnsi="宋体" w:cs="宋体"/>
          <w:sz w:val="24"/>
          <w:highlight w:val="none"/>
        </w:rPr>
        <w:t>次。</w:t>
      </w:r>
    </w:p>
    <w:p w14:paraId="14827E16">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5.9</w:t>
      </w:r>
      <w:r>
        <w:rPr>
          <w:rFonts w:hint="eastAsia" w:ascii="宋体" w:hAnsi="宋体" w:cs="宋体"/>
          <w:sz w:val="24"/>
          <w:highlight w:val="none"/>
        </w:rPr>
        <w:t>地下管道的疏通,随时保持畅通。</w:t>
      </w:r>
    </w:p>
    <w:p w14:paraId="7AE3C9FB">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5.10</w:t>
      </w:r>
      <w:r>
        <w:rPr>
          <w:rFonts w:hint="eastAsia" w:ascii="宋体" w:hAnsi="宋体" w:cs="宋体"/>
          <w:sz w:val="24"/>
          <w:highlight w:val="none"/>
        </w:rPr>
        <w:t>排水沟清洁：随时保持畅通、无异味。</w:t>
      </w:r>
    </w:p>
    <w:p w14:paraId="5655E247">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5.11</w:t>
      </w:r>
      <w:r>
        <w:rPr>
          <w:rFonts w:hint="eastAsia" w:ascii="宋体" w:hAnsi="宋体" w:cs="宋体"/>
          <w:sz w:val="24"/>
          <w:highlight w:val="none"/>
        </w:rPr>
        <w:t>雨雪天气及时清扫，有完善应急预案。</w:t>
      </w:r>
    </w:p>
    <w:p w14:paraId="5D100692">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5.12</w:t>
      </w:r>
      <w:r>
        <w:rPr>
          <w:rFonts w:hint="eastAsia" w:ascii="宋体" w:hAnsi="宋体" w:cs="宋体"/>
          <w:sz w:val="24"/>
          <w:highlight w:val="none"/>
        </w:rPr>
        <w:t>场区内各种室外管井、管沟、管线的维护、检查管理,随时保持各种管井管沟管线的疏通和设备状态正常，除设备严重损坏需购买更换外，一般性堵塞及设备故障时间不得超过8小时。</w:t>
      </w:r>
    </w:p>
    <w:p w14:paraId="331103A6">
      <w:pPr>
        <w:spacing w:line="360" w:lineRule="auto"/>
        <w:ind w:firstLine="480" w:firstLineChars="200"/>
        <w:rPr>
          <w:rFonts w:hint="eastAsia" w:ascii="宋体" w:hAnsi="宋体" w:eastAsia="宋体" w:cs="宋体"/>
          <w:sz w:val="24"/>
          <w:highlight w:val="none"/>
        </w:rPr>
      </w:pPr>
      <w:r>
        <w:rPr>
          <w:rFonts w:hint="eastAsia" w:ascii="宋体" w:hAnsi="宋体" w:cs="宋体"/>
          <w:sz w:val="24"/>
          <w:highlight w:val="none"/>
          <w:lang w:val="en-US" w:eastAsia="zh-CN"/>
        </w:rPr>
        <w:t>5.13</w:t>
      </w:r>
      <w:r>
        <w:rPr>
          <w:rFonts w:hint="eastAsia" w:ascii="宋体" w:hAnsi="宋体" w:cs="宋体"/>
          <w:sz w:val="24"/>
          <w:highlight w:val="none"/>
        </w:rPr>
        <w:t xml:space="preserve"> 供配电24小时服务,不低于政府主管部门相关要</w:t>
      </w:r>
      <w:r>
        <w:rPr>
          <w:rFonts w:hint="eastAsia" w:ascii="宋体" w:hAnsi="宋体" w:eastAsia="宋体" w:cs="宋体"/>
          <w:sz w:val="24"/>
          <w:highlight w:val="none"/>
        </w:rPr>
        <w:t>求。</w:t>
      </w:r>
      <w:bookmarkEnd w:id="21"/>
      <w:bookmarkEnd w:id="22"/>
      <w:bookmarkEnd w:id="23"/>
      <w:bookmarkEnd w:id="24"/>
    </w:p>
    <w:p w14:paraId="176334FE">
      <w:pPr>
        <w:widowControl/>
        <w:numPr>
          <w:ilvl w:val="0"/>
          <w:numId w:val="3"/>
        </w:numPr>
        <w:shd w:val="clear" w:color="auto" w:fill="FFFFFF"/>
        <w:spacing w:before="156" w:after="156"/>
        <w:rPr>
          <w:rFonts w:hint="eastAsia" w:ascii="宋体" w:hAnsi="宋体" w:cs="宋体"/>
          <w:b/>
          <w:bCs/>
          <w:kern w:val="0"/>
          <w:sz w:val="24"/>
        </w:rPr>
      </w:pPr>
      <w:r>
        <w:rPr>
          <w:rFonts w:hint="eastAsia" w:ascii="宋体" w:hAnsi="宋体" w:cs="宋体"/>
          <w:b/>
          <w:bCs/>
          <w:kern w:val="0"/>
          <w:sz w:val="24"/>
        </w:rPr>
        <w:t>商务要求</w:t>
      </w:r>
    </w:p>
    <w:tbl>
      <w:tblPr>
        <w:tblStyle w:val="36"/>
        <w:tblW w:w="875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15" w:type="dxa"/>
          <w:left w:w="15" w:type="dxa"/>
          <w:bottom w:w="15" w:type="dxa"/>
          <w:right w:w="15" w:type="dxa"/>
        </w:tblCellMar>
      </w:tblPr>
      <w:tblGrid>
        <w:gridCol w:w="1649"/>
        <w:gridCol w:w="7106"/>
      </w:tblGrid>
      <w:tr w14:paraId="49D1AB7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536" w:hRule="atLeast"/>
        </w:trPr>
        <w:tc>
          <w:tcPr>
            <w:tcW w:w="1649"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AE5412">
            <w:pPr>
              <w:pStyle w:val="31"/>
              <w:spacing w:line="315" w:lineRule="atLeast"/>
              <w:jc w:val="both"/>
              <w:rPr>
                <w:sz w:val="21"/>
                <w:szCs w:val="21"/>
              </w:rPr>
            </w:pPr>
            <w:r>
              <w:rPr>
                <w:rFonts w:hint="eastAsia" w:ascii="宋体" w:hAnsi="宋体"/>
              </w:rPr>
              <w:t>服务期限</w:t>
            </w:r>
          </w:p>
        </w:tc>
        <w:tc>
          <w:tcPr>
            <w:tcW w:w="710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A459459">
            <w:pPr>
              <w:pStyle w:val="31"/>
              <w:spacing w:line="315" w:lineRule="atLeast"/>
              <w:jc w:val="both"/>
              <w:rPr>
                <w:rFonts w:ascii="宋体" w:hAnsi="宋体"/>
              </w:rPr>
            </w:pPr>
            <w:r>
              <w:rPr>
                <w:rFonts w:hint="eastAsia" w:cs="宋体"/>
                <w:bCs/>
                <w:szCs w:val="24"/>
              </w:rPr>
              <w:t>合同签订之日起三年。</w:t>
            </w:r>
          </w:p>
        </w:tc>
      </w:tr>
      <w:tr w14:paraId="7442578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555" w:hRule="atLeast"/>
        </w:trPr>
        <w:tc>
          <w:tcPr>
            <w:tcW w:w="1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15B3B9F">
            <w:pPr>
              <w:pStyle w:val="31"/>
              <w:spacing w:line="315" w:lineRule="atLeast"/>
              <w:jc w:val="both"/>
              <w:rPr>
                <w:sz w:val="21"/>
                <w:szCs w:val="21"/>
              </w:rPr>
            </w:pPr>
            <w:r>
              <w:rPr>
                <w:rFonts w:hint="eastAsia" w:ascii="宋体" w:hAnsi="宋体"/>
              </w:rPr>
              <w:t>服务地点</w:t>
            </w:r>
          </w:p>
        </w:tc>
        <w:tc>
          <w:tcPr>
            <w:tcW w:w="710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08DBE01">
            <w:pPr>
              <w:pStyle w:val="31"/>
              <w:spacing w:line="315" w:lineRule="atLeast"/>
              <w:jc w:val="both"/>
              <w:rPr>
                <w:rFonts w:hint="default" w:ascii="宋体" w:hAnsi="宋体" w:eastAsia="宋体"/>
                <w:lang w:val="en-US" w:eastAsia="zh-CN"/>
              </w:rPr>
            </w:pPr>
            <w:r>
              <w:rPr>
                <w:rFonts w:hint="eastAsia" w:cs="宋体"/>
                <w:bCs/>
                <w:szCs w:val="24"/>
              </w:rPr>
              <w:t>遂平县</w:t>
            </w:r>
            <w:r>
              <w:rPr>
                <w:rFonts w:hint="eastAsia" w:cs="宋体"/>
                <w:bCs/>
                <w:szCs w:val="24"/>
                <w:lang w:val="en-US" w:eastAsia="zh-CN"/>
              </w:rPr>
              <w:t>县委县政府院内。</w:t>
            </w:r>
          </w:p>
        </w:tc>
      </w:tr>
      <w:tr w14:paraId="75C96DA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555" w:hRule="atLeast"/>
        </w:trPr>
        <w:tc>
          <w:tcPr>
            <w:tcW w:w="1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697A85">
            <w:pPr>
              <w:pStyle w:val="31"/>
              <w:spacing w:line="360" w:lineRule="auto"/>
              <w:jc w:val="both"/>
              <w:rPr>
                <w:rFonts w:hint="eastAsia" w:ascii="宋体" w:hAnsi="宋体"/>
              </w:rPr>
            </w:pPr>
            <w:r>
              <w:rPr>
                <w:rFonts w:hint="eastAsia" w:ascii="宋体" w:hAnsi="宋体" w:cs="宋体"/>
                <w:szCs w:val="24"/>
              </w:rPr>
              <w:t>质量标准</w:t>
            </w:r>
          </w:p>
        </w:tc>
        <w:tc>
          <w:tcPr>
            <w:tcW w:w="710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038715">
            <w:pPr>
              <w:pStyle w:val="31"/>
              <w:spacing w:line="360" w:lineRule="auto"/>
              <w:jc w:val="both"/>
              <w:rPr>
                <w:rFonts w:hint="eastAsia" w:ascii="宋体" w:hAnsi="宋体"/>
              </w:rPr>
            </w:pPr>
            <w:r>
              <w:rPr>
                <w:rFonts w:hint="eastAsia" w:cs="宋体"/>
                <w:bCs/>
                <w:szCs w:val="24"/>
              </w:rPr>
              <w:t xml:space="preserve">符合全国物业服务示范大厦标准。 </w:t>
            </w:r>
          </w:p>
        </w:tc>
      </w:tr>
      <w:tr w14:paraId="4367E5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19" w:hRule="atLeast"/>
        </w:trPr>
        <w:tc>
          <w:tcPr>
            <w:tcW w:w="1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CC4CDA">
            <w:pPr>
              <w:pStyle w:val="31"/>
              <w:spacing w:line="315" w:lineRule="atLeast"/>
              <w:jc w:val="both"/>
              <w:rPr>
                <w:sz w:val="21"/>
                <w:szCs w:val="21"/>
              </w:rPr>
            </w:pPr>
            <w:r>
              <w:rPr>
                <w:rFonts w:hint="eastAsia" w:ascii="宋体" w:hAnsi="宋体"/>
              </w:rPr>
              <w:t>合同签订时间</w:t>
            </w:r>
          </w:p>
        </w:tc>
        <w:tc>
          <w:tcPr>
            <w:tcW w:w="710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22C6E03">
            <w:pPr>
              <w:pStyle w:val="31"/>
              <w:spacing w:line="315" w:lineRule="atLeast"/>
              <w:jc w:val="both"/>
              <w:rPr>
                <w:rFonts w:ascii="宋体" w:hAnsi="宋体"/>
              </w:rPr>
            </w:pPr>
            <w:r>
              <w:rPr>
                <w:rFonts w:hint="eastAsia" w:ascii="宋体" w:hAnsi="宋体" w:cs="宋体"/>
              </w:rPr>
              <w:t>中标通知书发出之日起</w:t>
            </w:r>
            <w:r>
              <w:rPr>
                <w:rFonts w:hint="eastAsia" w:ascii="宋体" w:hAnsi="宋体" w:cs="宋体"/>
                <w:u w:val="single"/>
              </w:rPr>
              <w:t> </w:t>
            </w:r>
            <w:r>
              <w:rPr>
                <w:rFonts w:hint="eastAsia" w:ascii="宋体" w:hAnsi="宋体" w:cs="宋体"/>
                <w:u w:val="single"/>
                <w:lang w:val="en-US" w:eastAsia="zh-CN"/>
              </w:rPr>
              <w:t>2</w:t>
            </w:r>
            <w:r>
              <w:rPr>
                <w:rFonts w:hint="eastAsia" w:ascii="宋体" w:hAnsi="宋体" w:cs="宋体"/>
              </w:rPr>
              <w:t>日内签订合同</w:t>
            </w:r>
          </w:p>
        </w:tc>
      </w:tr>
      <w:tr w14:paraId="0A6541A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64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BC8B14">
            <w:pPr>
              <w:pStyle w:val="31"/>
              <w:spacing w:line="315" w:lineRule="atLeast"/>
              <w:jc w:val="both"/>
              <w:rPr>
                <w:sz w:val="21"/>
                <w:szCs w:val="21"/>
              </w:rPr>
            </w:pPr>
            <w:r>
              <w:rPr>
                <w:rFonts w:hint="eastAsia" w:ascii="宋体" w:hAnsi="宋体"/>
              </w:rPr>
              <w:t>付款方式</w:t>
            </w:r>
          </w:p>
        </w:tc>
        <w:tc>
          <w:tcPr>
            <w:tcW w:w="710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F73328">
            <w:pPr>
              <w:pStyle w:val="31"/>
              <w:spacing w:line="315" w:lineRule="atLeast"/>
              <w:jc w:val="both"/>
              <w:rPr>
                <w:rFonts w:ascii="宋体" w:hAnsi="宋体"/>
              </w:rPr>
            </w:pPr>
            <w:r>
              <w:rPr>
                <w:rFonts w:hint="eastAsia" w:ascii="宋体" w:hAnsi="宋体"/>
                <w:highlight w:val="none"/>
              </w:rPr>
              <w:t xml:space="preserve"> </w:t>
            </w:r>
            <w:r>
              <w:rPr>
                <w:rFonts w:hint="eastAsia" w:ascii="宋体" w:hAnsi="宋体" w:cs="宋体"/>
                <w:kern w:val="0"/>
                <w:sz w:val="24"/>
                <w:highlight w:val="none"/>
                <w:lang w:val="en-US" w:eastAsia="zh-CN"/>
              </w:rPr>
              <w:t>依据驻财购（2022）9号文第七条：政府采购合同首付款比例原则上不低于合同金额的30%，对于中小企业首付款比例原则上不低于合同金额的40%，余款3年内付清。（具体付款方式合同另行约定）</w:t>
            </w:r>
          </w:p>
        </w:tc>
      </w:tr>
    </w:tbl>
    <w:p w14:paraId="2F1C9CAD">
      <w:pPr>
        <w:widowControl/>
        <w:shd w:val="clear" w:color="auto" w:fill="FFFFFF"/>
        <w:spacing w:line="405" w:lineRule="atLeast"/>
        <w:rPr>
          <w:rFonts w:ascii="宋体" w:hAnsi="宋体"/>
          <w:b/>
          <w:bCs/>
          <w:kern w:val="0"/>
          <w:sz w:val="24"/>
        </w:rPr>
      </w:pPr>
    </w:p>
    <w:p w14:paraId="20B2062F">
      <w:pPr>
        <w:widowControl/>
        <w:shd w:val="clear" w:color="auto" w:fill="FFFFFF"/>
        <w:spacing w:line="405" w:lineRule="atLeast"/>
        <w:rPr>
          <w:kern w:val="0"/>
          <w:sz w:val="28"/>
          <w:szCs w:val="28"/>
        </w:rPr>
      </w:pPr>
      <w:r>
        <w:rPr>
          <w:rFonts w:hint="eastAsia" w:ascii="宋体" w:hAnsi="宋体"/>
          <w:b/>
          <w:bCs/>
          <w:kern w:val="0"/>
          <w:sz w:val="24"/>
        </w:rPr>
        <w:t>三、采购人对项目的特殊要求及说明</w:t>
      </w:r>
    </w:p>
    <w:tbl>
      <w:tblPr>
        <w:tblStyle w:val="36"/>
        <w:tblW w:w="8522" w:type="dxa"/>
        <w:tblInd w:w="0" w:type="dxa"/>
        <w:shd w:val="clear" w:color="auto" w:fill="FFFFFF"/>
        <w:tblLayout w:type="fixed"/>
        <w:tblCellMar>
          <w:top w:w="0" w:type="dxa"/>
          <w:left w:w="0" w:type="dxa"/>
          <w:bottom w:w="0" w:type="dxa"/>
          <w:right w:w="0" w:type="dxa"/>
        </w:tblCellMar>
      </w:tblPr>
      <w:tblGrid>
        <w:gridCol w:w="1367"/>
        <w:gridCol w:w="7155"/>
      </w:tblGrid>
      <w:tr w14:paraId="6405D445">
        <w:tblPrEx>
          <w:shd w:val="clear" w:color="auto" w:fill="FFFFFF"/>
          <w:tblCellMar>
            <w:top w:w="0" w:type="dxa"/>
            <w:left w:w="0" w:type="dxa"/>
            <w:bottom w:w="0" w:type="dxa"/>
            <w:right w:w="0" w:type="dxa"/>
          </w:tblCellMar>
        </w:tblPrEx>
        <w:trPr>
          <w:trHeight w:val="973" w:hRule="atLeast"/>
        </w:trPr>
        <w:tc>
          <w:tcPr>
            <w:tcW w:w="136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14BEEB">
            <w:pPr>
              <w:widowControl/>
              <w:snapToGrid w:val="0"/>
              <w:spacing w:line="4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采购人的特殊要求及说明理由</w:t>
            </w:r>
          </w:p>
        </w:tc>
        <w:tc>
          <w:tcPr>
            <w:tcW w:w="715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BF608AE">
            <w:pPr>
              <w:widowControl/>
              <w:snapToGrid w:val="0"/>
              <w:spacing w:line="400" w:lineRule="exact"/>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1、本项目不收取履约保证金。</w:t>
            </w:r>
          </w:p>
          <w:p w14:paraId="4D65A55D">
            <w:pPr>
              <w:widowControl/>
              <w:snapToGrid w:val="0"/>
              <w:spacing w:line="400" w:lineRule="exact"/>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2、本项目不接受联合体投标。</w:t>
            </w:r>
          </w:p>
          <w:p w14:paraId="1C4DC41E">
            <w:pPr>
              <w:widowControl/>
              <w:snapToGrid w:val="0"/>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3、采购人授权评标委员会推荐三名成交候选供应商。 </w:t>
            </w:r>
          </w:p>
          <w:p w14:paraId="4EFA15AA">
            <w:pP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4、验收时间：此次项目所有人员到位后，三个工作日内验收。 </w:t>
            </w:r>
          </w:p>
          <w:p w14:paraId="2E0E1A75">
            <w:pP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r>
              <w:rPr>
                <w:rFonts w:hint="eastAsia" w:ascii="宋体" w:hAnsi="宋体" w:eastAsia="宋体" w:cs="宋体"/>
                <w:kern w:val="0"/>
                <w:sz w:val="24"/>
                <w:szCs w:val="24"/>
                <w:lang w:val="en-US" w:eastAsia="zh-CN" w:bidi="ar-SA"/>
              </w:rPr>
              <w:t xml:space="preserve">验收方式：采购人组织相关人员验收。 </w:t>
            </w:r>
          </w:p>
          <w:p w14:paraId="102E720C">
            <w:pP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6、</w:t>
            </w:r>
            <w:r>
              <w:rPr>
                <w:rFonts w:hint="eastAsia" w:ascii="宋体" w:hAnsi="宋体" w:eastAsia="宋体" w:cs="宋体"/>
                <w:kern w:val="0"/>
                <w:sz w:val="24"/>
                <w:szCs w:val="24"/>
                <w:lang w:val="en-US" w:eastAsia="zh-CN" w:bidi="ar-SA"/>
              </w:rPr>
              <w:t>验收标准：验收小组依据中标供应商投标文件中的承诺,对人员、物资、装备等逐一核对检查，要求与投标文件无出入。</w:t>
            </w:r>
          </w:p>
          <w:p w14:paraId="73DBB034">
            <w:pP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r>
              <w:rPr>
                <w:rFonts w:hint="eastAsia" w:ascii="宋体" w:hAnsi="宋体" w:eastAsia="宋体" w:cs="宋体"/>
                <w:kern w:val="0"/>
                <w:sz w:val="24"/>
                <w:szCs w:val="24"/>
                <w:lang w:val="en-US" w:eastAsia="zh-CN" w:bidi="ar-SA"/>
              </w:rPr>
              <w:t xml:space="preserve">依据《政府采购促进中小企业发展管理办法》(财库〔2020〕46号) 的规定享受扶持政策获得政府采购合同的，小微企业不得将合同分包给大中型企业，中型企业不得将合同分包给大型企业。 </w:t>
            </w:r>
          </w:p>
          <w:p w14:paraId="2ED8A8BD">
            <w:pP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8、</w:t>
            </w:r>
            <w:r>
              <w:rPr>
                <w:rFonts w:hint="eastAsia" w:ascii="宋体" w:hAnsi="宋体" w:eastAsia="宋体" w:cs="宋体"/>
                <w:kern w:val="0"/>
                <w:sz w:val="24"/>
                <w:szCs w:val="24"/>
                <w:lang w:val="en-US" w:eastAsia="zh-CN" w:bidi="ar-SA"/>
              </w:rPr>
              <w:t>采购标的对应的中小企业划分标准所属行业为：租赁和商务服务业。</w:t>
            </w:r>
          </w:p>
        </w:tc>
      </w:tr>
    </w:tbl>
    <w:p w14:paraId="54D434EA">
      <w:pPr>
        <w:outlineLvl w:val="0"/>
        <w:rPr>
          <w:b/>
          <w:sz w:val="30"/>
          <w:szCs w:val="30"/>
        </w:rPr>
      </w:pPr>
    </w:p>
    <w:p w14:paraId="1E47283C">
      <w:pPr>
        <w:widowControl/>
        <w:shd w:val="clear" w:color="auto" w:fill="FFFFFF"/>
        <w:spacing w:line="360" w:lineRule="auto"/>
        <w:jc w:val="center"/>
        <w:rPr>
          <w:kern w:val="0"/>
          <w:sz w:val="28"/>
          <w:szCs w:val="28"/>
        </w:rPr>
      </w:pPr>
      <w:r>
        <w:rPr>
          <w:rFonts w:hint="eastAsia" w:ascii="黑体" w:hAnsi="宋体" w:eastAsia="黑体" w:cs="宋体"/>
          <w:b/>
          <w:bCs/>
          <w:kern w:val="0"/>
          <w:sz w:val="32"/>
          <w:szCs w:val="32"/>
        </w:rPr>
        <w:t>第三章</w:t>
      </w:r>
      <w:r>
        <w:rPr>
          <w:rFonts w:hint="eastAsia" w:eastAsia="黑体"/>
          <w:b/>
          <w:bCs/>
          <w:kern w:val="0"/>
          <w:sz w:val="32"/>
          <w:szCs w:val="32"/>
        </w:rPr>
        <w:t xml:space="preserve"> </w:t>
      </w:r>
      <w:r>
        <w:rPr>
          <w:rFonts w:hint="eastAsia" w:ascii="黑体" w:hAnsi="宋体" w:eastAsia="黑体" w:cs="宋体"/>
          <w:b/>
          <w:bCs/>
          <w:kern w:val="0"/>
          <w:sz w:val="32"/>
          <w:szCs w:val="32"/>
        </w:rPr>
        <w:t xml:space="preserve"> 供应商须知</w:t>
      </w:r>
      <w:r>
        <w:rPr>
          <w:rFonts w:hint="eastAsia" w:ascii="宋体" w:hAnsi="宋体" w:cs="宋体"/>
          <w:b/>
          <w:bCs/>
          <w:kern w:val="0"/>
          <w:sz w:val="24"/>
        </w:rPr>
        <w:t xml:space="preserve">      </w:t>
      </w:r>
    </w:p>
    <w:p w14:paraId="34D854B5">
      <w:pPr>
        <w:widowControl/>
        <w:shd w:val="clear" w:color="auto" w:fill="FFFFFF"/>
        <w:spacing w:line="360" w:lineRule="auto"/>
        <w:jc w:val="center"/>
        <w:rPr>
          <w:rFonts w:ascii="宋体" w:hAnsi="宋体" w:cs="宋体"/>
          <w:b/>
          <w:bCs/>
          <w:kern w:val="0"/>
          <w:sz w:val="24"/>
        </w:rPr>
      </w:pPr>
    </w:p>
    <w:p w14:paraId="21BC585E">
      <w:pPr>
        <w:widowControl/>
        <w:shd w:val="clear" w:color="auto" w:fill="FFFFFF"/>
        <w:spacing w:line="360" w:lineRule="auto"/>
        <w:jc w:val="center"/>
        <w:rPr>
          <w:kern w:val="0"/>
          <w:sz w:val="28"/>
          <w:szCs w:val="28"/>
        </w:rPr>
      </w:pPr>
      <w:r>
        <w:rPr>
          <w:rFonts w:hint="eastAsia" w:ascii="宋体" w:hAnsi="宋体" w:cs="宋体"/>
          <w:b/>
          <w:bCs/>
          <w:kern w:val="0"/>
          <w:sz w:val="24"/>
        </w:rPr>
        <w:t xml:space="preserve"> 供应商须知前附表</w:t>
      </w:r>
    </w:p>
    <w:tbl>
      <w:tblPr>
        <w:tblStyle w:val="36"/>
        <w:tblW w:w="9240" w:type="dxa"/>
        <w:tblInd w:w="0" w:type="dxa"/>
        <w:tblLayout w:type="fixed"/>
        <w:tblCellMar>
          <w:top w:w="0" w:type="dxa"/>
          <w:left w:w="0" w:type="dxa"/>
          <w:bottom w:w="0" w:type="dxa"/>
          <w:right w:w="0" w:type="dxa"/>
        </w:tblCellMar>
      </w:tblPr>
      <w:tblGrid>
        <w:gridCol w:w="869"/>
        <w:gridCol w:w="6"/>
        <w:gridCol w:w="8305"/>
        <w:gridCol w:w="60"/>
      </w:tblGrid>
      <w:tr w14:paraId="08C79898">
        <w:tblPrEx>
          <w:tblCellMar>
            <w:top w:w="0" w:type="dxa"/>
            <w:left w:w="0" w:type="dxa"/>
            <w:bottom w:w="0" w:type="dxa"/>
            <w:right w:w="0" w:type="dxa"/>
          </w:tblCellMar>
        </w:tblPrEx>
        <w:trPr>
          <w:trHeight w:val="409" w:hRule="atLeast"/>
        </w:trPr>
        <w:tc>
          <w:tcPr>
            <w:tcW w:w="86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17C40B">
            <w:pPr>
              <w:widowControl/>
              <w:spacing w:line="360" w:lineRule="auto"/>
              <w:jc w:val="center"/>
              <w:rPr>
                <w:kern w:val="0"/>
                <w:sz w:val="28"/>
                <w:szCs w:val="28"/>
              </w:rPr>
            </w:pPr>
            <w:r>
              <w:rPr>
                <w:rFonts w:hint="eastAsia" w:ascii="宋体" w:hAnsi="宋体" w:cs="宋体"/>
                <w:kern w:val="0"/>
                <w:sz w:val="24"/>
              </w:rPr>
              <w:t>序号</w:t>
            </w:r>
          </w:p>
        </w:tc>
        <w:tc>
          <w:tcPr>
            <w:tcW w:w="8371"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5D65CF7">
            <w:pPr>
              <w:widowControl/>
              <w:spacing w:line="360" w:lineRule="auto"/>
              <w:ind w:firstLine="3240"/>
              <w:jc w:val="left"/>
              <w:rPr>
                <w:kern w:val="0"/>
                <w:sz w:val="28"/>
                <w:szCs w:val="28"/>
              </w:rPr>
            </w:pPr>
            <w:r>
              <w:rPr>
                <w:rFonts w:hint="eastAsia" w:ascii="宋体" w:hAnsi="宋体" w:cs="宋体"/>
                <w:kern w:val="0"/>
                <w:sz w:val="24"/>
              </w:rPr>
              <w:t>内容、要求</w:t>
            </w:r>
          </w:p>
        </w:tc>
      </w:tr>
      <w:tr w14:paraId="6813DD48">
        <w:tblPrEx>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03179E5">
            <w:pPr>
              <w:widowControl/>
              <w:spacing w:line="360" w:lineRule="auto"/>
              <w:jc w:val="center"/>
              <w:rPr>
                <w:kern w:val="0"/>
                <w:sz w:val="28"/>
                <w:szCs w:val="28"/>
              </w:rPr>
            </w:pPr>
            <w:r>
              <w:rPr>
                <w:rFonts w:hint="eastAsia" w:ascii="宋体" w:hAnsi="宋体" w:cs="宋体"/>
                <w:kern w:val="0"/>
                <w:sz w:val="24"/>
              </w:rPr>
              <w:t>1</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B08D931">
            <w:pPr>
              <w:widowControl/>
              <w:shd w:val="clear" w:color="auto" w:fill="FFFFFF"/>
              <w:spacing w:line="460" w:lineRule="atLeast"/>
              <w:rPr>
                <w:rFonts w:hint="eastAsia" w:ascii="宋体" w:hAnsi="宋体" w:eastAsia="宋体"/>
                <w:kern w:val="0"/>
                <w:sz w:val="24"/>
                <w:lang w:eastAsia="zh-CN"/>
              </w:rPr>
            </w:pPr>
            <w:r>
              <w:rPr>
                <w:rFonts w:hint="eastAsia" w:ascii="宋体" w:hAnsi="宋体" w:cs="宋体"/>
                <w:kern w:val="0"/>
                <w:sz w:val="24"/>
              </w:rPr>
              <w:t>1.1 项目名称：</w:t>
            </w:r>
            <w:r>
              <w:rPr>
                <w:rFonts w:hint="eastAsia" w:ascii="宋体" w:hAnsi="宋体" w:cs="宋体"/>
                <w:bCs/>
                <w:kern w:val="0"/>
                <w:sz w:val="24"/>
                <w:lang w:eastAsia="zh-CN"/>
              </w:rPr>
              <w:t>遂平县机关事务中心县委县政府办公区物业服务采购项目</w:t>
            </w:r>
          </w:p>
          <w:p w14:paraId="1F63B1FD">
            <w:pPr>
              <w:widowControl/>
              <w:spacing w:line="360" w:lineRule="auto"/>
              <w:jc w:val="left"/>
              <w:rPr>
                <w:rFonts w:hint="eastAsia" w:eastAsia="宋体"/>
                <w:kern w:val="0"/>
                <w:sz w:val="28"/>
                <w:szCs w:val="28"/>
                <w:lang w:eastAsia="zh-CN"/>
              </w:rPr>
            </w:pPr>
            <w:r>
              <w:rPr>
                <w:rFonts w:hint="eastAsia" w:ascii="宋体" w:hAnsi="宋体" w:cs="宋体"/>
                <w:kern w:val="0"/>
                <w:sz w:val="24"/>
              </w:rPr>
              <w:t>1.2 采购人名称：</w:t>
            </w:r>
            <w:r>
              <w:rPr>
                <w:rFonts w:hint="eastAsia" w:ascii="宋体" w:hAnsi="宋体" w:cs="宋体"/>
                <w:kern w:val="0"/>
                <w:sz w:val="24"/>
                <w:lang w:eastAsia="zh-CN"/>
              </w:rPr>
              <w:t>遂平县机关事务中心</w:t>
            </w:r>
          </w:p>
          <w:p w14:paraId="0A14E0AD">
            <w:pPr>
              <w:widowControl/>
              <w:shd w:val="clear" w:color="auto" w:fill="FFFFFF"/>
              <w:spacing w:line="360" w:lineRule="auto"/>
              <w:jc w:val="left"/>
              <w:rPr>
                <w:rFonts w:hint="eastAsia" w:ascii="宋体" w:hAnsi="宋体" w:eastAsia="宋体" w:cs="宋体"/>
                <w:bCs/>
                <w:kern w:val="0"/>
                <w:sz w:val="24"/>
                <w:lang w:eastAsia="zh-CN"/>
              </w:rPr>
            </w:pPr>
            <w:r>
              <w:rPr>
                <w:rFonts w:hint="eastAsia" w:ascii="宋体" w:hAnsi="宋体" w:cs="宋体"/>
                <w:kern w:val="0"/>
                <w:sz w:val="24"/>
              </w:rPr>
              <w:t>1.3 项目内容：</w:t>
            </w:r>
            <w:r>
              <w:rPr>
                <w:rFonts w:hint="eastAsia" w:ascii="宋体" w:hAnsi="宋体" w:cs="宋体"/>
                <w:bCs/>
                <w:kern w:val="0"/>
                <w:sz w:val="24"/>
                <w:lang w:eastAsia="zh-CN"/>
              </w:rPr>
              <w:t>遂平县机关事务中心县委县政府办公区物业服务采购项目</w:t>
            </w:r>
          </w:p>
          <w:p w14:paraId="6821B592">
            <w:pPr>
              <w:widowControl/>
              <w:shd w:val="clear" w:color="auto" w:fill="FFFFFF"/>
              <w:spacing w:line="360" w:lineRule="auto"/>
              <w:jc w:val="left"/>
              <w:rPr>
                <w:rFonts w:hint="eastAsia" w:eastAsia="宋体"/>
                <w:kern w:val="0"/>
                <w:sz w:val="28"/>
                <w:szCs w:val="28"/>
                <w:lang w:eastAsia="zh-CN"/>
              </w:rPr>
            </w:pPr>
            <w:r>
              <w:rPr>
                <w:rFonts w:hint="eastAsia" w:ascii="宋体" w:hAnsi="宋体" w:cs="宋体"/>
                <w:kern w:val="0"/>
                <w:sz w:val="24"/>
              </w:rPr>
              <w:t>1.4 项目编号：</w:t>
            </w:r>
            <w:r>
              <w:rPr>
                <w:rFonts w:hint="eastAsia" w:ascii="宋体" w:hAnsi="宋体" w:cs="宋体"/>
                <w:kern w:val="0"/>
                <w:sz w:val="24"/>
                <w:lang w:eastAsia="zh-CN"/>
              </w:rPr>
              <w:t>遂政采招【2026】52号</w:t>
            </w:r>
          </w:p>
        </w:tc>
      </w:tr>
      <w:tr w14:paraId="3438FA8C">
        <w:tblPrEx>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1CB9D4">
            <w:pPr>
              <w:widowControl/>
              <w:spacing w:line="360" w:lineRule="auto"/>
              <w:jc w:val="center"/>
              <w:rPr>
                <w:kern w:val="0"/>
                <w:sz w:val="28"/>
                <w:szCs w:val="28"/>
              </w:rPr>
            </w:pPr>
            <w:r>
              <w:rPr>
                <w:rFonts w:hint="eastAsia" w:ascii="宋体" w:hAnsi="宋体" w:cs="宋体"/>
                <w:kern w:val="0"/>
                <w:sz w:val="24"/>
              </w:rPr>
              <w:t>2</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3AF1089">
            <w:pPr>
              <w:widowControl/>
              <w:spacing w:line="360" w:lineRule="auto"/>
              <w:jc w:val="left"/>
              <w:rPr>
                <w:kern w:val="0"/>
                <w:sz w:val="28"/>
                <w:szCs w:val="28"/>
              </w:rPr>
            </w:pPr>
            <w:r>
              <w:rPr>
                <w:rFonts w:hint="eastAsia" w:ascii="宋体" w:hAnsi="宋体" w:cs="宋体"/>
                <w:kern w:val="0"/>
                <w:sz w:val="24"/>
              </w:rPr>
              <w:t>合格供应商：具备</w:t>
            </w:r>
            <w:r>
              <w:rPr>
                <w:rFonts w:hint="eastAsia" w:ascii="宋体" w:hAnsi="宋体" w:cs="宋体"/>
                <w:kern w:val="0"/>
                <w:sz w:val="24"/>
                <w:lang w:eastAsia="zh-CN"/>
              </w:rPr>
              <w:t>采购公告</w:t>
            </w:r>
            <w:r>
              <w:rPr>
                <w:rFonts w:hint="eastAsia" w:ascii="宋体" w:hAnsi="宋体" w:cs="宋体"/>
                <w:kern w:val="0"/>
                <w:sz w:val="24"/>
              </w:rPr>
              <w:t>第</w:t>
            </w:r>
            <w:r>
              <w:rPr>
                <w:rFonts w:hint="eastAsia" w:ascii="宋体" w:hAnsi="宋体" w:cs="宋体"/>
                <w:kern w:val="0"/>
                <w:sz w:val="24"/>
                <w:lang w:val="en-US" w:eastAsia="zh-CN"/>
              </w:rPr>
              <w:t>二</w:t>
            </w:r>
            <w:r>
              <w:rPr>
                <w:rFonts w:hint="eastAsia" w:ascii="宋体" w:hAnsi="宋体" w:cs="宋体"/>
                <w:kern w:val="0"/>
                <w:sz w:val="24"/>
              </w:rPr>
              <w:t>项规定的条件。</w:t>
            </w:r>
          </w:p>
        </w:tc>
      </w:tr>
      <w:tr w14:paraId="40442AD4">
        <w:tblPrEx>
          <w:tblCellMar>
            <w:top w:w="0" w:type="dxa"/>
            <w:left w:w="0" w:type="dxa"/>
            <w:bottom w:w="0" w:type="dxa"/>
            <w:right w:w="0" w:type="dxa"/>
          </w:tblCellMar>
        </w:tblPrEx>
        <w:trPr>
          <w:trHeight w:val="84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69C285">
            <w:pPr>
              <w:widowControl/>
              <w:spacing w:line="360" w:lineRule="auto"/>
              <w:jc w:val="center"/>
              <w:rPr>
                <w:kern w:val="0"/>
                <w:sz w:val="28"/>
                <w:szCs w:val="28"/>
              </w:rPr>
            </w:pPr>
            <w:r>
              <w:rPr>
                <w:rFonts w:hint="eastAsia" w:ascii="宋体" w:hAnsi="宋体" w:cs="宋体"/>
                <w:kern w:val="0"/>
                <w:sz w:val="24"/>
              </w:rPr>
              <w:t>3</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3EDBE75">
            <w:pPr>
              <w:widowControl/>
              <w:snapToGrid w:val="0"/>
              <w:spacing w:line="460" w:lineRule="exact"/>
              <w:jc w:val="left"/>
              <w:rPr>
                <w:rFonts w:ascii="宋体" w:hAnsi="宋体" w:cs="宋体"/>
                <w:kern w:val="0"/>
                <w:sz w:val="24"/>
              </w:rPr>
            </w:pPr>
            <w:r>
              <w:rPr>
                <w:rFonts w:hint="eastAsia" w:ascii="宋体" w:hAnsi="宋体" w:cs="宋体"/>
                <w:kern w:val="0"/>
                <w:sz w:val="24"/>
              </w:rPr>
              <w:t>投标报价及费用：</w:t>
            </w:r>
          </w:p>
          <w:p w14:paraId="3479910D">
            <w:pPr>
              <w:widowControl/>
              <w:snapToGrid w:val="0"/>
              <w:spacing w:line="460" w:lineRule="exact"/>
              <w:jc w:val="left"/>
              <w:rPr>
                <w:rFonts w:ascii="宋体" w:hAnsi="宋体" w:cs="宋体"/>
                <w:kern w:val="0"/>
                <w:sz w:val="24"/>
              </w:rPr>
            </w:pPr>
            <w:r>
              <w:rPr>
                <w:rFonts w:hint="eastAsia" w:ascii="宋体" w:hAnsi="宋体" w:cs="宋体"/>
                <w:kern w:val="0"/>
                <w:sz w:val="24"/>
              </w:rPr>
              <w:t>3.1 本项目投标以人民币报价。</w:t>
            </w:r>
          </w:p>
          <w:p w14:paraId="37411673">
            <w:pPr>
              <w:widowControl/>
              <w:snapToGrid w:val="0"/>
              <w:spacing w:line="460" w:lineRule="exact"/>
              <w:jc w:val="left"/>
              <w:rPr>
                <w:rFonts w:ascii="宋体" w:hAnsi="宋体" w:cs="宋体"/>
                <w:kern w:val="0"/>
                <w:sz w:val="24"/>
              </w:rPr>
            </w:pPr>
            <w:r>
              <w:rPr>
                <w:rFonts w:hint="eastAsia" w:ascii="宋体" w:hAnsi="宋体" w:cs="宋体"/>
                <w:kern w:val="0"/>
                <w:sz w:val="24"/>
              </w:rPr>
              <w:t>3.2 投标人的报价均超过采购预算或</w:t>
            </w:r>
            <w:r>
              <w:rPr>
                <w:rFonts w:ascii="宋体" w:hAnsi="宋体" w:cs="宋体"/>
                <w:kern w:val="0"/>
                <w:sz w:val="24"/>
              </w:rPr>
              <w:t>最高限价</w:t>
            </w:r>
            <w:r>
              <w:rPr>
                <w:rFonts w:hint="eastAsia" w:ascii="宋体" w:hAnsi="宋体" w:cs="宋体"/>
                <w:kern w:val="0"/>
                <w:sz w:val="24"/>
              </w:rPr>
              <w:t>，采购人不能支付的，按废标处理。</w:t>
            </w:r>
          </w:p>
          <w:p w14:paraId="2CAB6A98">
            <w:pPr>
              <w:widowControl/>
              <w:snapToGrid w:val="0"/>
              <w:spacing w:line="460" w:lineRule="exact"/>
              <w:jc w:val="left"/>
              <w:rPr>
                <w:rFonts w:ascii="宋体" w:hAnsi="宋体" w:cs="宋体"/>
                <w:kern w:val="0"/>
                <w:sz w:val="24"/>
              </w:rPr>
            </w:pPr>
            <w:r>
              <w:rPr>
                <w:rFonts w:ascii="宋体" w:hAnsi="宋体" w:cs="宋体"/>
                <w:kern w:val="0"/>
                <w:sz w:val="24"/>
              </w:rPr>
              <w:t xml:space="preserve">3.3 </w:t>
            </w:r>
            <w:r>
              <w:rPr>
                <w:rFonts w:hint="eastAsia" w:ascii="宋体" w:hAnsi="宋体" w:cs="宋体"/>
                <w:kern w:val="0"/>
                <w:sz w:val="24"/>
              </w:rPr>
              <w:t>本项目不收取代理服务费。</w:t>
            </w:r>
          </w:p>
        </w:tc>
      </w:tr>
      <w:tr w14:paraId="4B629BB9">
        <w:tblPrEx>
          <w:tblCellMar>
            <w:top w:w="0" w:type="dxa"/>
            <w:left w:w="0" w:type="dxa"/>
            <w:bottom w:w="0" w:type="dxa"/>
            <w:right w:w="0" w:type="dxa"/>
          </w:tblCellMar>
        </w:tblPrEx>
        <w:trPr>
          <w:trHeight w:val="586"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88C547">
            <w:pPr>
              <w:widowControl/>
              <w:spacing w:line="360" w:lineRule="auto"/>
              <w:jc w:val="center"/>
              <w:rPr>
                <w:kern w:val="0"/>
                <w:sz w:val="28"/>
                <w:szCs w:val="28"/>
              </w:rPr>
            </w:pPr>
            <w:r>
              <w:rPr>
                <w:rFonts w:hint="eastAsia" w:ascii="宋体" w:hAnsi="宋体" w:cs="宋体"/>
                <w:kern w:val="0"/>
                <w:sz w:val="24"/>
              </w:rPr>
              <w:t>4</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1EA416B">
            <w:pPr>
              <w:widowControl/>
              <w:spacing w:line="360" w:lineRule="auto"/>
              <w:jc w:val="left"/>
              <w:rPr>
                <w:kern w:val="0"/>
                <w:sz w:val="28"/>
                <w:szCs w:val="28"/>
              </w:rPr>
            </w:pPr>
            <w:r>
              <w:rPr>
                <w:rFonts w:hint="eastAsia" w:ascii="宋体" w:hAnsi="宋体" w:cs="宋体"/>
                <w:kern w:val="0"/>
                <w:sz w:val="24"/>
              </w:rPr>
              <w:t xml:space="preserve">现场踏勘或标前答疑：本项目不组织现场踏勘或标前答疑会。 </w:t>
            </w:r>
          </w:p>
        </w:tc>
      </w:tr>
      <w:tr w14:paraId="10EC6458">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429140">
            <w:pPr>
              <w:widowControl/>
              <w:spacing w:line="360" w:lineRule="auto"/>
              <w:jc w:val="center"/>
              <w:rPr>
                <w:kern w:val="0"/>
                <w:sz w:val="28"/>
                <w:szCs w:val="28"/>
              </w:rPr>
            </w:pPr>
            <w:r>
              <w:rPr>
                <w:rFonts w:hint="eastAsia" w:ascii="宋体" w:hAnsi="宋体" w:cs="宋体"/>
                <w:kern w:val="0"/>
                <w:sz w:val="24"/>
              </w:rPr>
              <w:t>5</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53FAC1">
            <w:pPr>
              <w:widowControl/>
              <w:spacing w:line="360" w:lineRule="auto"/>
              <w:jc w:val="left"/>
              <w:textAlignment w:val="bottom"/>
              <w:rPr>
                <w:kern w:val="0"/>
                <w:sz w:val="28"/>
                <w:szCs w:val="28"/>
              </w:rPr>
            </w:pPr>
            <w:r>
              <w:rPr>
                <w:rFonts w:hint="eastAsia" w:ascii="宋体" w:hAnsi="宋体" w:cs="宋体"/>
                <w:kern w:val="0"/>
                <w:sz w:val="24"/>
              </w:rPr>
              <w:t>响应文件组成:</w:t>
            </w:r>
            <w:r>
              <w:rPr>
                <w:rFonts w:hint="eastAsia" w:ascii="宋体" w:hAnsi="宋体" w:cs="宋体"/>
                <w:snapToGrid w:val="0"/>
                <w:sz w:val="24"/>
              </w:rPr>
              <w:t>加密版电子投标文件。加密的电子投标文件壹份（*.zmdtf 格式，在会员系统指定位置上传）。无需提供电子投标文件U盘、纸质投标文件</w:t>
            </w:r>
            <w:r>
              <w:rPr>
                <w:rFonts w:hint="eastAsia" w:ascii="宋体" w:hAnsi="宋体" w:cs="宋体"/>
                <w:kern w:val="0"/>
                <w:sz w:val="24"/>
              </w:rPr>
              <w:t>。</w:t>
            </w:r>
          </w:p>
        </w:tc>
      </w:tr>
      <w:tr w14:paraId="2AA7B849">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F95DF81">
            <w:pPr>
              <w:widowControl/>
              <w:spacing w:line="360" w:lineRule="auto"/>
              <w:jc w:val="center"/>
              <w:rPr>
                <w:kern w:val="0"/>
                <w:sz w:val="28"/>
                <w:szCs w:val="28"/>
              </w:rPr>
            </w:pPr>
            <w:r>
              <w:rPr>
                <w:rFonts w:hint="eastAsia" w:ascii="宋体" w:hAnsi="宋体" w:cs="宋体"/>
                <w:kern w:val="0"/>
                <w:sz w:val="24"/>
              </w:rPr>
              <w:t>6</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3A6E2A6">
            <w:pPr>
              <w:widowControl/>
              <w:spacing w:line="360" w:lineRule="auto"/>
              <w:jc w:val="left"/>
              <w:rPr>
                <w:kern w:val="0"/>
                <w:sz w:val="28"/>
                <w:szCs w:val="28"/>
              </w:rPr>
            </w:pPr>
            <w:r>
              <w:rPr>
                <w:rFonts w:hint="eastAsia" w:ascii="宋体" w:hAnsi="宋体" w:cs="宋体"/>
                <w:kern w:val="0"/>
                <w:sz w:val="24"/>
              </w:rPr>
              <w:t>递交响应文件截止时间及地点：详见</w:t>
            </w:r>
            <w:r>
              <w:rPr>
                <w:rFonts w:hint="eastAsia" w:ascii="宋体" w:hAnsi="宋体" w:cs="宋体"/>
                <w:kern w:val="0"/>
                <w:sz w:val="24"/>
                <w:lang w:eastAsia="zh-CN"/>
              </w:rPr>
              <w:t>采购公告</w:t>
            </w:r>
            <w:r>
              <w:rPr>
                <w:rFonts w:hint="eastAsia" w:ascii="宋体" w:hAnsi="宋体" w:cs="宋体"/>
                <w:kern w:val="0"/>
                <w:sz w:val="24"/>
              </w:rPr>
              <w:t>。</w:t>
            </w:r>
          </w:p>
        </w:tc>
      </w:tr>
      <w:tr w14:paraId="2084DECD">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C1C09E2">
            <w:pPr>
              <w:widowControl/>
              <w:spacing w:line="360" w:lineRule="auto"/>
              <w:jc w:val="center"/>
              <w:rPr>
                <w:kern w:val="0"/>
                <w:sz w:val="28"/>
                <w:szCs w:val="28"/>
              </w:rPr>
            </w:pPr>
            <w:r>
              <w:rPr>
                <w:rFonts w:hint="eastAsia" w:ascii="宋体" w:hAnsi="宋体" w:cs="宋体"/>
                <w:kern w:val="0"/>
                <w:sz w:val="24"/>
              </w:rPr>
              <w:t>7</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8B1E117">
            <w:pPr>
              <w:widowControl/>
              <w:spacing w:line="360" w:lineRule="auto"/>
              <w:jc w:val="left"/>
              <w:rPr>
                <w:kern w:val="0"/>
                <w:sz w:val="28"/>
                <w:szCs w:val="28"/>
              </w:rPr>
            </w:pPr>
            <w:r>
              <w:rPr>
                <w:rFonts w:hint="eastAsia" w:ascii="宋体" w:hAnsi="宋体" w:cs="宋体"/>
                <w:kern w:val="0"/>
                <w:sz w:val="24"/>
                <w:lang w:val="en-US" w:eastAsia="zh-CN"/>
              </w:rPr>
              <w:t>开标</w:t>
            </w:r>
            <w:r>
              <w:rPr>
                <w:rFonts w:hint="eastAsia" w:ascii="宋体" w:hAnsi="宋体" w:cs="宋体"/>
                <w:kern w:val="0"/>
                <w:sz w:val="24"/>
              </w:rPr>
              <w:t>时间及地点：详见</w:t>
            </w:r>
            <w:r>
              <w:rPr>
                <w:rFonts w:hint="eastAsia" w:ascii="宋体" w:hAnsi="宋体" w:cs="宋体"/>
                <w:kern w:val="0"/>
                <w:sz w:val="24"/>
                <w:lang w:eastAsia="zh-CN"/>
              </w:rPr>
              <w:t>采购公告</w:t>
            </w:r>
            <w:r>
              <w:rPr>
                <w:rFonts w:hint="eastAsia" w:ascii="宋体" w:hAnsi="宋体" w:cs="宋体"/>
                <w:kern w:val="0"/>
                <w:sz w:val="24"/>
              </w:rPr>
              <w:t>。</w:t>
            </w:r>
          </w:p>
        </w:tc>
      </w:tr>
      <w:tr w14:paraId="5852B5B3">
        <w:tblPrEx>
          <w:tblCellMar>
            <w:top w:w="0" w:type="dxa"/>
            <w:left w:w="0" w:type="dxa"/>
            <w:bottom w:w="0" w:type="dxa"/>
            <w:right w:w="0" w:type="dxa"/>
          </w:tblCellMar>
        </w:tblPrEx>
        <w:trPr>
          <w:trHeight w:val="64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EE1666F">
            <w:pPr>
              <w:widowControl/>
              <w:spacing w:line="360" w:lineRule="auto"/>
              <w:jc w:val="center"/>
              <w:rPr>
                <w:kern w:val="0"/>
                <w:sz w:val="28"/>
                <w:szCs w:val="28"/>
              </w:rPr>
            </w:pPr>
            <w:r>
              <w:rPr>
                <w:rFonts w:hint="eastAsia" w:ascii="宋体" w:hAnsi="宋体" w:cs="宋体"/>
                <w:kern w:val="0"/>
                <w:sz w:val="24"/>
              </w:rPr>
              <w:t>8</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8F12A92">
            <w:pPr>
              <w:widowControl/>
              <w:spacing w:line="360" w:lineRule="auto"/>
              <w:jc w:val="left"/>
              <w:textAlignment w:val="bottom"/>
              <w:rPr>
                <w:rFonts w:ascii="宋体" w:hAnsi="宋体" w:cs="宋体"/>
                <w:kern w:val="0"/>
                <w:sz w:val="24"/>
              </w:rPr>
            </w:pPr>
            <w:r>
              <w:rPr>
                <w:rFonts w:hint="eastAsia" w:ascii="宋体" w:hAnsi="宋体" w:cs="宋体"/>
                <w:kern w:val="0"/>
                <w:sz w:val="24"/>
              </w:rPr>
              <w:t>评定办法：综合评分法，是指响应文件满足磋商文件全部实质性要求，且按评审因素的量化指标评审得分最高的供应商为成交候选供应商的评审办法。</w:t>
            </w:r>
          </w:p>
        </w:tc>
      </w:tr>
      <w:tr w14:paraId="2570D786">
        <w:tblPrEx>
          <w:tblCellMar>
            <w:top w:w="0" w:type="dxa"/>
            <w:left w:w="0" w:type="dxa"/>
            <w:bottom w:w="0" w:type="dxa"/>
            <w:right w:w="0" w:type="dxa"/>
          </w:tblCellMar>
        </w:tblPrEx>
        <w:trPr>
          <w:trHeight w:val="63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C2EF7DB">
            <w:pPr>
              <w:widowControl/>
              <w:spacing w:line="360" w:lineRule="auto"/>
              <w:jc w:val="center"/>
              <w:rPr>
                <w:kern w:val="0"/>
                <w:sz w:val="28"/>
                <w:szCs w:val="28"/>
              </w:rPr>
            </w:pPr>
            <w:r>
              <w:rPr>
                <w:rFonts w:hint="eastAsia" w:ascii="宋体" w:hAnsi="宋体" w:cs="宋体"/>
                <w:kern w:val="0"/>
                <w:sz w:val="24"/>
              </w:rPr>
              <w:t>9</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9DC435D">
            <w:pPr>
              <w:widowControl/>
              <w:spacing w:line="360" w:lineRule="auto"/>
              <w:jc w:val="left"/>
              <w:textAlignment w:val="bottom"/>
              <w:rPr>
                <w:kern w:val="0"/>
                <w:sz w:val="28"/>
                <w:szCs w:val="28"/>
              </w:rPr>
            </w:pPr>
            <w:r>
              <w:rPr>
                <w:rFonts w:hint="eastAsia" w:ascii="宋体" w:hAnsi="宋体" w:cs="宋体"/>
                <w:kern w:val="0"/>
                <w:sz w:val="24"/>
              </w:rPr>
              <w:t>成交公告及成交通知书：由采购人授权评标委员会</w:t>
            </w:r>
            <w:r>
              <w:rPr>
                <w:rFonts w:hint="eastAsia" w:ascii="宋体" w:hAnsi="宋体" w:cs="宋体"/>
                <w:kern w:val="0"/>
                <w:sz w:val="24"/>
                <w:lang w:val="en-US" w:eastAsia="zh-CN"/>
              </w:rPr>
              <w:t>推荐</w:t>
            </w:r>
            <w:r>
              <w:rPr>
                <w:rFonts w:hint="eastAsia" w:ascii="宋体" w:hAnsi="宋体" w:cs="宋体"/>
                <w:kern w:val="0"/>
                <w:sz w:val="24"/>
              </w:rPr>
              <w:t>中标候选</w:t>
            </w:r>
            <w:r>
              <w:rPr>
                <w:rFonts w:hint="eastAsia" w:ascii="宋体" w:hAnsi="宋体" w:cs="宋体"/>
                <w:kern w:val="0"/>
                <w:sz w:val="24"/>
                <w:lang w:val="en-US" w:eastAsia="zh-CN"/>
              </w:rPr>
              <w:t>供应商</w:t>
            </w:r>
            <w:r>
              <w:rPr>
                <w:rFonts w:hint="eastAsia" w:ascii="宋体" w:hAnsi="宋体" w:cs="宋体"/>
                <w:kern w:val="0"/>
                <w:sz w:val="24"/>
              </w:rPr>
              <w:t>。</w:t>
            </w:r>
            <w:r>
              <w:rPr>
                <w:rFonts w:hint="eastAsia" w:ascii="宋体" w:hAnsi="宋体" w:cs="宋体"/>
                <w:kern w:val="0"/>
                <w:sz w:val="24"/>
                <w:lang w:val="en-US" w:eastAsia="zh-CN"/>
              </w:rPr>
              <w:t>根据全体</w:t>
            </w:r>
            <w:r>
              <w:rPr>
                <w:rFonts w:hint="eastAsia" w:ascii="宋体" w:hAnsi="宋体" w:cs="宋体"/>
                <w:kern w:val="0"/>
                <w:sz w:val="24"/>
              </w:rPr>
              <w:t>评标委员会</w:t>
            </w:r>
            <w:r>
              <w:rPr>
                <w:rFonts w:hint="eastAsia" w:ascii="宋体" w:hAnsi="宋体" w:cs="宋体"/>
                <w:kern w:val="0"/>
                <w:sz w:val="24"/>
                <w:lang w:val="en-US" w:eastAsia="zh-CN"/>
              </w:rPr>
              <w:t>成员签字的原始评审记录和评审结果编写评审报告，</w:t>
            </w:r>
            <w:r>
              <w:rPr>
                <w:rFonts w:hint="eastAsia" w:ascii="宋体" w:hAnsi="宋体" w:cs="宋体"/>
                <w:kern w:val="0"/>
                <w:sz w:val="24"/>
              </w:rPr>
              <w:t>采购代理机构在评标结束后2个工作日内将评</w:t>
            </w:r>
            <w:r>
              <w:rPr>
                <w:rFonts w:hint="eastAsia" w:ascii="宋体" w:hAnsi="宋体" w:cs="宋体"/>
                <w:kern w:val="0"/>
                <w:sz w:val="24"/>
                <w:lang w:val="en-US" w:eastAsia="zh-CN"/>
              </w:rPr>
              <w:t>审</w:t>
            </w:r>
            <w:r>
              <w:rPr>
                <w:rFonts w:hint="eastAsia" w:ascii="宋体" w:hAnsi="宋体" w:cs="宋体"/>
                <w:kern w:val="0"/>
                <w:sz w:val="24"/>
              </w:rPr>
              <w:t>报告通过公共资源电子交易系统提交采购人，采购人应当在收到评标报告1个工作日内通过公共资源电子交易系统线上确定中标供应商，在中标供应商确定后，采购代理机构应及时在《河南省政府采购网》、《驻马店市公共资源交易中心</w:t>
            </w:r>
            <w:r>
              <w:rPr>
                <w:rFonts w:hint="eastAsia" w:ascii="宋体" w:hAnsi="宋体" w:cs="宋体"/>
                <w:kern w:val="0"/>
                <w:sz w:val="24"/>
                <w:lang w:val="en-US" w:eastAsia="zh-CN"/>
              </w:rPr>
              <w:t>网</w:t>
            </w:r>
            <w:r>
              <w:rPr>
                <w:rFonts w:hint="eastAsia" w:ascii="宋体" w:hAnsi="宋体" w:cs="宋体"/>
                <w:kern w:val="0"/>
                <w:sz w:val="24"/>
              </w:rPr>
              <w:t>》等相关媒体上发布中标公告，同时向中标供应商发出中标通知书</w:t>
            </w:r>
            <w:r>
              <w:rPr>
                <w:rFonts w:hint="eastAsia" w:ascii="宋体" w:hAnsi="宋体"/>
                <w:kern w:val="0"/>
                <w:sz w:val="24"/>
              </w:rPr>
              <w:t>。</w:t>
            </w:r>
          </w:p>
        </w:tc>
      </w:tr>
      <w:tr w14:paraId="3D123477">
        <w:tblPrEx>
          <w:tblCellMar>
            <w:top w:w="0" w:type="dxa"/>
            <w:left w:w="0" w:type="dxa"/>
            <w:bottom w:w="0" w:type="dxa"/>
            <w:right w:w="0" w:type="dxa"/>
          </w:tblCellMar>
        </w:tblPrEx>
        <w:trPr>
          <w:trHeight w:val="28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A454CF">
            <w:pPr>
              <w:widowControl/>
              <w:spacing w:line="360" w:lineRule="auto"/>
              <w:jc w:val="center"/>
              <w:rPr>
                <w:kern w:val="0"/>
                <w:sz w:val="28"/>
                <w:szCs w:val="28"/>
              </w:rPr>
            </w:pPr>
            <w:r>
              <w:rPr>
                <w:rFonts w:hint="eastAsia" w:ascii="宋体" w:hAnsi="宋体" w:cs="宋体"/>
                <w:kern w:val="0"/>
                <w:sz w:val="24"/>
              </w:rPr>
              <w:t>10</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21D1886">
            <w:pPr>
              <w:widowControl/>
              <w:spacing w:line="360" w:lineRule="auto"/>
              <w:jc w:val="left"/>
              <w:textAlignment w:val="bottom"/>
              <w:rPr>
                <w:rFonts w:ascii="宋体" w:hAnsi="宋体" w:cs="宋体"/>
                <w:kern w:val="0"/>
                <w:sz w:val="24"/>
              </w:rPr>
            </w:pPr>
            <w:r>
              <w:rPr>
                <w:rFonts w:hint="eastAsia" w:ascii="宋体" w:hAnsi="宋体" w:cs="宋体"/>
                <w:kern w:val="0"/>
                <w:sz w:val="24"/>
              </w:rPr>
              <w:t>投标保证金交纳与退还：本项目不收取投标保证金。</w:t>
            </w:r>
          </w:p>
        </w:tc>
      </w:tr>
      <w:tr w14:paraId="21573AD5">
        <w:tblPrEx>
          <w:tblCellMar>
            <w:top w:w="0" w:type="dxa"/>
            <w:left w:w="0" w:type="dxa"/>
            <w:bottom w:w="0" w:type="dxa"/>
            <w:right w:w="0" w:type="dxa"/>
          </w:tblCellMar>
        </w:tblPrEx>
        <w:trPr>
          <w:trHeight w:val="61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F04D1F">
            <w:pPr>
              <w:widowControl/>
              <w:spacing w:line="360" w:lineRule="auto"/>
              <w:jc w:val="center"/>
              <w:rPr>
                <w:kern w:val="0"/>
                <w:sz w:val="28"/>
                <w:szCs w:val="28"/>
              </w:rPr>
            </w:pPr>
            <w:r>
              <w:rPr>
                <w:rFonts w:hint="eastAsia" w:ascii="宋体" w:hAnsi="宋体" w:cs="宋体"/>
                <w:kern w:val="0"/>
                <w:sz w:val="24"/>
              </w:rPr>
              <w:t>11</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AF9AD60">
            <w:pPr>
              <w:widowControl/>
              <w:spacing w:line="360" w:lineRule="auto"/>
              <w:jc w:val="left"/>
              <w:textAlignment w:val="bottom"/>
              <w:rPr>
                <w:kern w:val="0"/>
                <w:sz w:val="28"/>
                <w:szCs w:val="28"/>
              </w:rPr>
            </w:pPr>
            <w:r>
              <w:rPr>
                <w:rFonts w:hint="eastAsia" w:ascii="宋体" w:hAnsi="宋体" w:cs="宋体"/>
                <w:kern w:val="0"/>
                <w:sz w:val="24"/>
              </w:rPr>
              <w:t>签订合同时间：详见第二章采购需求第二项商务要求。</w:t>
            </w:r>
          </w:p>
        </w:tc>
      </w:tr>
      <w:tr w14:paraId="34B10239">
        <w:tblPrEx>
          <w:tblCellMar>
            <w:top w:w="0" w:type="dxa"/>
            <w:left w:w="0" w:type="dxa"/>
            <w:bottom w:w="0" w:type="dxa"/>
            <w:right w:w="0" w:type="dxa"/>
          </w:tblCellMar>
        </w:tblPrEx>
        <w:trPr>
          <w:trHeight w:val="724"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ADABD9">
            <w:pPr>
              <w:widowControl/>
              <w:spacing w:line="360" w:lineRule="auto"/>
              <w:jc w:val="center"/>
              <w:rPr>
                <w:rFonts w:ascii="宋体" w:hAnsi="宋体" w:cs="宋体"/>
                <w:kern w:val="0"/>
                <w:sz w:val="24"/>
              </w:rPr>
            </w:pPr>
            <w:r>
              <w:rPr>
                <w:rFonts w:hint="eastAsia" w:ascii="宋体" w:hAnsi="宋体" w:cs="宋体"/>
                <w:kern w:val="0"/>
                <w:sz w:val="24"/>
              </w:rPr>
              <w:t>12</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A3ABD74">
            <w:pPr>
              <w:widowControl/>
              <w:snapToGrid w:val="0"/>
              <w:spacing w:line="460" w:lineRule="exact"/>
              <w:jc w:val="left"/>
              <w:textAlignment w:val="bottom"/>
              <w:rPr>
                <w:rFonts w:ascii="宋体" w:hAnsi="宋体" w:cs="宋体"/>
                <w:kern w:val="0"/>
                <w:sz w:val="24"/>
              </w:rPr>
            </w:pPr>
            <w:r>
              <w:rPr>
                <w:rFonts w:hint="eastAsia" w:ascii="宋体" w:hAnsi="宋体" w:cs="宋体"/>
                <w:kern w:val="0"/>
                <w:sz w:val="24"/>
              </w:rPr>
              <w:t>履约保证金的收取及退还: 本项目不收取履约保证金。</w:t>
            </w:r>
          </w:p>
        </w:tc>
      </w:tr>
      <w:tr w14:paraId="04A255A3">
        <w:tblPrEx>
          <w:tblCellMar>
            <w:top w:w="0" w:type="dxa"/>
            <w:left w:w="0" w:type="dxa"/>
            <w:bottom w:w="0" w:type="dxa"/>
            <w:right w:w="0" w:type="dxa"/>
          </w:tblCellMar>
        </w:tblPrEx>
        <w:trPr>
          <w:trHeight w:val="683"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E663FC3">
            <w:pPr>
              <w:widowControl/>
              <w:spacing w:line="360" w:lineRule="auto"/>
              <w:jc w:val="center"/>
              <w:rPr>
                <w:rFonts w:ascii="宋体" w:hAnsi="宋体" w:cs="宋体"/>
                <w:kern w:val="0"/>
                <w:sz w:val="24"/>
              </w:rPr>
            </w:pPr>
            <w:r>
              <w:rPr>
                <w:rFonts w:hint="eastAsia" w:ascii="宋体" w:hAnsi="宋体" w:cs="宋体"/>
                <w:kern w:val="0"/>
                <w:sz w:val="24"/>
              </w:rPr>
              <w:t>13</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B562EF7">
            <w:pPr>
              <w:widowControl/>
              <w:spacing w:line="360" w:lineRule="auto"/>
              <w:jc w:val="left"/>
              <w:textAlignment w:val="bottom"/>
              <w:rPr>
                <w:rFonts w:ascii="宋体" w:hAnsi="宋体" w:cs="宋体"/>
                <w:kern w:val="0"/>
                <w:sz w:val="24"/>
              </w:rPr>
            </w:pPr>
            <w:r>
              <w:rPr>
                <w:rFonts w:hint="eastAsia" w:ascii="宋体" w:hAnsi="宋体"/>
                <w:kern w:val="0"/>
                <w:sz w:val="24"/>
              </w:rPr>
              <w:t>采购资金来源：</w:t>
            </w:r>
            <w:r>
              <w:rPr>
                <w:rFonts w:hint="eastAsia" w:ascii="宋体" w:hAnsi="宋体" w:cs="宋体"/>
                <w:kern w:val="0"/>
                <w:sz w:val="24"/>
              </w:rPr>
              <w:t>财政性资金。</w:t>
            </w:r>
          </w:p>
        </w:tc>
      </w:tr>
      <w:tr w14:paraId="18976E4A">
        <w:tblPrEx>
          <w:tblCellMar>
            <w:top w:w="0" w:type="dxa"/>
            <w:left w:w="0" w:type="dxa"/>
            <w:bottom w:w="0" w:type="dxa"/>
            <w:right w:w="0" w:type="dxa"/>
          </w:tblCellMar>
        </w:tblPrEx>
        <w:trPr>
          <w:trHeight w:val="731"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85EF6E">
            <w:pPr>
              <w:widowControl/>
              <w:spacing w:line="360" w:lineRule="auto"/>
              <w:jc w:val="center"/>
              <w:rPr>
                <w:kern w:val="0"/>
                <w:sz w:val="28"/>
                <w:szCs w:val="28"/>
              </w:rPr>
            </w:pPr>
            <w:r>
              <w:rPr>
                <w:rFonts w:hint="eastAsia" w:ascii="宋体" w:hAnsi="宋体" w:cs="宋体"/>
                <w:kern w:val="0"/>
                <w:sz w:val="24"/>
              </w:rPr>
              <w:t>14</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769D671">
            <w:pPr>
              <w:widowControl/>
              <w:spacing w:line="360" w:lineRule="auto"/>
              <w:jc w:val="left"/>
              <w:textAlignment w:val="bottom"/>
              <w:rPr>
                <w:kern w:val="0"/>
                <w:sz w:val="28"/>
                <w:szCs w:val="28"/>
              </w:rPr>
            </w:pPr>
            <w:r>
              <w:rPr>
                <w:rFonts w:hint="eastAsia" w:ascii="宋体" w:hAnsi="宋体" w:cs="宋体"/>
                <w:kern w:val="0"/>
                <w:sz w:val="24"/>
              </w:rPr>
              <w:t>付款方式：详见第二章采购需求第二项商务要求。</w:t>
            </w:r>
          </w:p>
        </w:tc>
      </w:tr>
      <w:tr w14:paraId="6EBCDCA9">
        <w:tblPrEx>
          <w:tblCellMar>
            <w:top w:w="0" w:type="dxa"/>
            <w:left w:w="0" w:type="dxa"/>
            <w:bottom w:w="0" w:type="dxa"/>
            <w:right w:w="0" w:type="dxa"/>
          </w:tblCellMar>
        </w:tblPrEx>
        <w:trPr>
          <w:trHeight w:val="5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BF2DE8">
            <w:pPr>
              <w:widowControl/>
              <w:spacing w:line="360" w:lineRule="auto"/>
              <w:jc w:val="center"/>
              <w:rPr>
                <w:kern w:val="0"/>
                <w:sz w:val="28"/>
                <w:szCs w:val="28"/>
              </w:rPr>
            </w:pPr>
            <w:r>
              <w:rPr>
                <w:rFonts w:hint="eastAsia" w:ascii="宋体" w:hAnsi="宋体" w:cs="宋体"/>
                <w:kern w:val="0"/>
                <w:sz w:val="24"/>
              </w:rPr>
              <w:t>1</w:t>
            </w:r>
            <w:r>
              <w:rPr>
                <w:rFonts w:ascii="宋体" w:hAnsi="宋体" w:cs="宋体"/>
                <w:kern w:val="0"/>
                <w:sz w:val="24"/>
              </w:rPr>
              <w:t>5</w:t>
            </w:r>
          </w:p>
        </w:tc>
        <w:tc>
          <w:tcPr>
            <w:tcW w:w="8371"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DEE8876">
            <w:pPr>
              <w:widowControl/>
              <w:spacing w:line="360" w:lineRule="auto"/>
              <w:jc w:val="left"/>
              <w:textAlignment w:val="bottom"/>
              <w:rPr>
                <w:kern w:val="0"/>
                <w:sz w:val="28"/>
                <w:szCs w:val="28"/>
              </w:rPr>
            </w:pPr>
            <w:r>
              <w:rPr>
                <w:rFonts w:hint="eastAsia" w:ascii="宋体" w:hAnsi="宋体" w:cs="宋体"/>
                <w:kern w:val="0"/>
                <w:sz w:val="24"/>
              </w:rPr>
              <w:t>响应文件有效期：</w:t>
            </w:r>
            <w:r>
              <w:rPr>
                <w:rFonts w:hint="eastAsia" w:ascii="宋体" w:hAnsi="宋体"/>
                <w:kern w:val="0"/>
                <w:sz w:val="24"/>
              </w:rPr>
              <w:t>递交响应文件截止期结束后60日。成交供应商的响应文件是合同的组成部分,有效期至合同完全履行止。</w:t>
            </w:r>
          </w:p>
        </w:tc>
      </w:tr>
      <w:tr w14:paraId="0018F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44FBC369">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16</w:t>
            </w:r>
          </w:p>
        </w:tc>
        <w:tc>
          <w:tcPr>
            <w:tcW w:w="8305" w:type="dxa"/>
            <w:tcBorders>
              <w:top w:val="single" w:color="auto" w:sz="4" w:space="0"/>
              <w:left w:val="single" w:color="auto" w:sz="4" w:space="0"/>
              <w:bottom w:val="nil"/>
              <w:right w:val="single" w:color="auto" w:sz="4" w:space="0"/>
            </w:tcBorders>
            <w:noWrap w:val="0"/>
            <w:vAlign w:val="center"/>
          </w:tcPr>
          <w:p w14:paraId="099C32DE">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中标人可以以政府采购合同为担保向金融机构进行贷款融资。</w:t>
            </w:r>
          </w:p>
        </w:tc>
      </w:tr>
      <w:tr w14:paraId="1E91F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746A6ABB">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17</w:t>
            </w:r>
          </w:p>
        </w:tc>
        <w:tc>
          <w:tcPr>
            <w:tcW w:w="8305" w:type="dxa"/>
            <w:tcBorders>
              <w:top w:val="single" w:color="auto" w:sz="4" w:space="0"/>
              <w:left w:val="single" w:color="auto" w:sz="4" w:space="0"/>
              <w:bottom w:val="single" w:color="auto" w:sz="4" w:space="0"/>
              <w:right w:val="single" w:color="auto" w:sz="4" w:space="0"/>
            </w:tcBorders>
            <w:noWrap w:val="0"/>
            <w:vAlign w:val="center"/>
          </w:tcPr>
          <w:p w14:paraId="41F4F059">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投标文件有效期：投标截止期结束后90日。中标人的投标文件是合同的组成部分,有效期至合同完全履行止。</w:t>
            </w:r>
          </w:p>
        </w:tc>
      </w:tr>
      <w:tr w14:paraId="076E9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4E272D93">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18</w:t>
            </w:r>
          </w:p>
        </w:tc>
        <w:tc>
          <w:tcPr>
            <w:tcW w:w="8305" w:type="dxa"/>
            <w:tcBorders>
              <w:top w:val="single" w:color="auto" w:sz="4" w:space="0"/>
              <w:left w:val="single" w:color="auto" w:sz="4" w:space="0"/>
              <w:bottom w:val="nil"/>
              <w:right w:val="single" w:color="auto" w:sz="4" w:space="0"/>
            </w:tcBorders>
            <w:noWrap w:val="0"/>
            <w:vAlign w:val="center"/>
          </w:tcPr>
          <w:p w14:paraId="7A3A62CD">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开标当日，采购人将通过“信用中国”网站（www.creditchina.gov.cn）、“中国政府采购网”（www.ccgp.gov.cn）查询投标人是否被列入失信被执行人、</w:t>
            </w:r>
            <w:r>
              <w:rPr>
                <w:rFonts w:hint="eastAsia" w:ascii="宋体" w:hAnsi="宋体" w:cs="宋体"/>
                <w:kern w:val="0"/>
                <w:sz w:val="24"/>
                <w:lang w:eastAsia="zh-CN"/>
              </w:rPr>
              <w:t>重大税收违法失信主体</w:t>
            </w:r>
            <w:r>
              <w:rPr>
                <w:rFonts w:hint="eastAsia" w:ascii="宋体" w:hAnsi="宋体" w:cs="宋体"/>
                <w:kern w:val="0"/>
                <w:sz w:val="24"/>
              </w:rPr>
              <w:t>和政府采购严重违法失信行为记录名单，并将查询结果存档。采购人查询之后，网站信息发生的任何变化不再作为评审依据；投标人自行提供的与网站信息不一致的其他证明材料不作为评审依据。</w:t>
            </w:r>
          </w:p>
        </w:tc>
      </w:tr>
      <w:tr w14:paraId="59978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73E33C26">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19</w:t>
            </w:r>
          </w:p>
        </w:tc>
        <w:tc>
          <w:tcPr>
            <w:tcW w:w="8305" w:type="dxa"/>
            <w:tcBorders>
              <w:top w:val="single" w:color="auto" w:sz="4" w:space="0"/>
              <w:left w:val="single" w:color="auto" w:sz="4" w:space="0"/>
              <w:bottom w:val="nil"/>
              <w:right w:val="single" w:color="auto" w:sz="4" w:space="0"/>
            </w:tcBorders>
            <w:noWrap w:val="0"/>
            <w:vAlign w:val="center"/>
          </w:tcPr>
          <w:p w14:paraId="7B324621">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质疑和投诉：详见第三章投标人须知第10条。</w:t>
            </w:r>
          </w:p>
        </w:tc>
      </w:tr>
      <w:tr w14:paraId="595D06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1B8D9CB4">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20</w:t>
            </w:r>
          </w:p>
        </w:tc>
        <w:tc>
          <w:tcPr>
            <w:tcW w:w="8305" w:type="dxa"/>
            <w:tcBorders>
              <w:top w:val="single" w:color="auto" w:sz="4" w:space="0"/>
              <w:left w:val="single" w:color="auto" w:sz="4" w:space="0"/>
              <w:bottom w:val="nil"/>
              <w:right w:val="single" w:color="auto" w:sz="4" w:space="0"/>
            </w:tcBorders>
            <w:noWrap w:val="0"/>
            <w:vAlign w:val="center"/>
          </w:tcPr>
          <w:p w14:paraId="25F2D88C">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本项目使用远程不见面交易的模式。投标人应于投标截止时间前将加密电子投标文件(.zmdtf格式)在驻马店市公共资源交易中心电子交易平台加密上传，逾期上传其投标将被拒绝。</w:t>
            </w:r>
          </w:p>
        </w:tc>
      </w:tr>
      <w:tr w14:paraId="4F0DE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6CDCEB15">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21</w:t>
            </w:r>
          </w:p>
        </w:tc>
        <w:tc>
          <w:tcPr>
            <w:tcW w:w="8305" w:type="dxa"/>
            <w:tcBorders>
              <w:top w:val="single" w:color="auto" w:sz="4" w:space="0"/>
              <w:left w:val="single" w:color="auto" w:sz="4" w:space="0"/>
              <w:bottom w:val="nil"/>
              <w:right w:val="single" w:color="auto" w:sz="4" w:space="0"/>
            </w:tcBorders>
            <w:noWrap w:val="0"/>
            <w:vAlign w:val="center"/>
          </w:tcPr>
          <w:p w14:paraId="42001831">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投标人注册:</w:t>
            </w:r>
          </w:p>
          <w:p w14:paraId="2A4AED70">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投标人首先通过“驻马店市公共资源交易中心（</w:t>
            </w:r>
            <w:r>
              <w:rPr>
                <w:rFonts w:hint="eastAsia" w:ascii="宋体" w:hAnsi="宋体" w:cs="宋体"/>
                <w:kern w:val="0"/>
                <w:sz w:val="24"/>
                <w:lang w:eastAsia="zh-CN"/>
              </w:rPr>
              <w:t>http://ggzy.zhumadian.gov.cn</w:t>
            </w:r>
            <w:r>
              <w:rPr>
                <w:rFonts w:hint="eastAsia" w:ascii="宋体" w:hAnsi="宋体" w:cs="宋体"/>
                <w:kern w:val="0"/>
                <w:sz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3250C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0B9C6024">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22</w:t>
            </w:r>
          </w:p>
        </w:tc>
        <w:tc>
          <w:tcPr>
            <w:tcW w:w="8305" w:type="dxa"/>
            <w:tcBorders>
              <w:top w:val="single" w:color="auto" w:sz="4" w:space="0"/>
              <w:left w:val="single" w:color="auto" w:sz="4" w:space="0"/>
              <w:bottom w:val="nil"/>
              <w:right w:val="single" w:color="auto" w:sz="4" w:space="0"/>
            </w:tcBorders>
            <w:noWrap w:val="0"/>
            <w:vAlign w:val="center"/>
          </w:tcPr>
          <w:p w14:paraId="3202344C">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 xml:space="preserve">招标文件下载: </w:t>
            </w:r>
          </w:p>
          <w:p w14:paraId="3320D302">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凡有意参加投标者，登录“驻马店市公共资源交易中心（</w:t>
            </w:r>
            <w:r>
              <w:rPr>
                <w:rFonts w:hint="eastAsia" w:ascii="宋体" w:hAnsi="宋体" w:cs="宋体"/>
                <w:kern w:val="0"/>
                <w:sz w:val="24"/>
                <w:lang w:eastAsia="zh-CN"/>
              </w:rPr>
              <w:t>http://ggzy.zhumadian.gov.cn</w:t>
            </w:r>
            <w:r>
              <w:rPr>
                <w:rFonts w:hint="eastAsia" w:ascii="宋体" w:hAnsi="宋体" w:cs="宋体"/>
                <w:kern w:val="0"/>
                <w:sz w:val="24"/>
              </w:rPr>
              <w:t>/）”网站，凭领取的企业身份认证锁（CA密钥）登录系统进行网上免费下载招标文件。投标人未按规定在网上下载招标文件的，其投标将被拒绝。</w:t>
            </w:r>
          </w:p>
        </w:tc>
      </w:tr>
      <w:tr w14:paraId="691A4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37BEA08A">
            <w:pPr>
              <w:widowControl/>
              <w:spacing w:line="360" w:lineRule="auto"/>
              <w:ind w:firstLine="240" w:firstLineChars="100"/>
              <w:jc w:val="left"/>
              <w:textAlignment w:val="bottom"/>
              <w:rPr>
                <w:rFonts w:hint="eastAsia" w:ascii="宋体" w:hAnsi="宋体" w:cs="宋体"/>
                <w:kern w:val="0"/>
                <w:sz w:val="24"/>
              </w:rPr>
            </w:pPr>
            <w:r>
              <w:rPr>
                <w:rFonts w:hint="eastAsia" w:ascii="宋体" w:hAnsi="宋体" w:cs="宋体"/>
                <w:kern w:val="0"/>
                <w:sz w:val="24"/>
              </w:rPr>
              <w:t>23</w:t>
            </w:r>
          </w:p>
        </w:tc>
        <w:tc>
          <w:tcPr>
            <w:tcW w:w="8305" w:type="dxa"/>
            <w:tcBorders>
              <w:top w:val="single" w:color="auto" w:sz="4" w:space="0"/>
              <w:left w:val="single" w:color="auto" w:sz="4" w:space="0"/>
              <w:bottom w:val="nil"/>
              <w:right w:val="single" w:color="auto" w:sz="4" w:space="0"/>
            </w:tcBorders>
            <w:noWrap w:val="0"/>
            <w:vAlign w:val="center"/>
          </w:tcPr>
          <w:p w14:paraId="3FD3E782">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 xml:space="preserve">投标文件制作: </w:t>
            </w:r>
          </w:p>
          <w:p w14:paraId="3846999C">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1、投标人通过“驻马店市公共资源交易中心（</w:t>
            </w:r>
            <w:r>
              <w:rPr>
                <w:rFonts w:hint="eastAsia" w:ascii="宋体" w:hAnsi="宋体" w:cs="宋体"/>
                <w:kern w:val="0"/>
                <w:sz w:val="24"/>
                <w:lang w:eastAsia="zh-CN"/>
              </w:rPr>
              <w:t>http://ggzy.zhumadian.gov.cn</w:t>
            </w:r>
            <w:r>
              <w:rPr>
                <w:rFonts w:hint="eastAsia" w:ascii="宋体" w:hAnsi="宋体" w:cs="宋体"/>
                <w:kern w:val="0"/>
                <w:sz w:val="24"/>
              </w:rPr>
              <w:t>/）”网站下载中心（政府采购类）：下载“新点投标文件制作软件（驻马店）”。</w:t>
            </w:r>
          </w:p>
          <w:p w14:paraId="6280DE71">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2、投标人凭 CA 密钥登陆交易系统下载招标文件(.zmdzf 格 式)。</w:t>
            </w:r>
          </w:p>
          <w:p w14:paraId="56EC5A91">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3、投标人须在投标截止时间前制作并提交加密的电子投标文件（.zmdtf 格式）, 应在投标截止时间前通过“驻马店市公共资源交易中心（</w:t>
            </w:r>
            <w:r>
              <w:rPr>
                <w:rFonts w:hint="eastAsia" w:ascii="宋体" w:hAnsi="宋体" w:cs="宋体"/>
                <w:kern w:val="0"/>
                <w:sz w:val="24"/>
                <w:lang w:eastAsia="zh-CN"/>
              </w:rPr>
              <w:t>http://ggzy.zhumadian.gov.cn</w:t>
            </w:r>
            <w:r>
              <w:rPr>
                <w:rFonts w:hint="eastAsia" w:ascii="宋体" w:hAnsi="宋体" w:cs="宋体"/>
                <w:kern w:val="0"/>
                <w:sz w:val="24"/>
              </w:rPr>
              <w:t>/）”电子交易平台内上传。</w:t>
            </w:r>
          </w:p>
          <w:p w14:paraId="51E13906">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4、加密的电子投标文件为“驻马店市公共资源交易中心（</w:t>
            </w:r>
            <w:r>
              <w:rPr>
                <w:rFonts w:hint="eastAsia" w:ascii="宋体" w:hAnsi="宋体" w:cs="宋体"/>
                <w:kern w:val="0"/>
                <w:sz w:val="24"/>
                <w:lang w:eastAsia="zh-CN"/>
              </w:rPr>
              <w:t>http://ggzy.zhumadian.gov.cn</w:t>
            </w:r>
            <w:r>
              <w:rPr>
                <w:rFonts w:hint="eastAsia" w:ascii="宋体" w:hAnsi="宋体" w:cs="宋体"/>
                <w:kern w:val="0"/>
                <w:sz w:val="24"/>
              </w:rPr>
              <w:t>/）”网站提供的“新点投标文件制作软件（驻马店）”制作生成的加密版投标文件。</w:t>
            </w:r>
          </w:p>
          <w:p w14:paraId="4B9448A4">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5、投标人在编制电子投标文件时，生成后的电子投标文件须按招标文件的格式要求完成电子签字或盖章，无法直接完成电子签字或盖章的投标文件格式内容，投标人须将盖章签字后的扫描图片替换到相应格式中。</w:t>
            </w:r>
          </w:p>
          <w:p w14:paraId="2C4A6734">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6、招标文件格式所要求包含的全部资料应全部制作在投标文件内，严格按照本项目招标文件所有格式如实填写（不涉及的内容除外），不应存在漏项或缺项，否则将存在投标文件被拒绝的风险。</w:t>
            </w:r>
          </w:p>
          <w:p w14:paraId="6DCD1790">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7、投标文件以外的任何资料采购人和采购代理机构将拒收。</w:t>
            </w:r>
          </w:p>
          <w:p w14:paraId="02572344">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8、投标人编辑电子投标文件时，根据招标文件要求用法人 CA 密钥和企业CA 密钥进行签章制作；最后一步生成电子投标文件（.zmdtf 格式和.nzmdtf 格式）时，只能用本单位的企业 CA 密钥。</w:t>
            </w:r>
          </w:p>
          <w:p w14:paraId="3512ED11">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9、电子投标文件制作流程，可参考驻马店市公共资源交易中心官方网站的下载中心板块的视频（</w:t>
            </w:r>
            <w:r>
              <w:rPr>
                <w:rFonts w:hint="eastAsia" w:ascii="宋体" w:hAnsi="宋体" w:cs="宋体"/>
                <w:kern w:val="0"/>
                <w:sz w:val="24"/>
                <w:lang w:eastAsia="zh-CN"/>
              </w:rPr>
              <w:t>http://ggzy.zhumadian.gov.cn</w:t>
            </w:r>
            <w:r>
              <w:rPr>
                <w:rFonts w:hint="eastAsia" w:ascii="宋体" w:hAnsi="宋体" w:cs="宋体"/>
                <w:kern w:val="0"/>
                <w:sz w:val="24"/>
              </w:rPr>
              <w:t>/TPFront/InfoDetail/?InfoID=844e0ea7-2b6c-425d-99f6-91bd5b500e5e&amp;CategoryNum=026002）</w:t>
            </w:r>
          </w:p>
        </w:tc>
      </w:tr>
      <w:tr w14:paraId="42B95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66263F34">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24</w:t>
            </w:r>
          </w:p>
        </w:tc>
        <w:tc>
          <w:tcPr>
            <w:tcW w:w="8305" w:type="dxa"/>
            <w:tcBorders>
              <w:top w:val="single" w:color="auto" w:sz="4" w:space="0"/>
              <w:left w:val="single" w:color="auto" w:sz="4" w:space="0"/>
              <w:bottom w:val="nil"/>
              <w:right w:val="single" w:color="auto" w:sz="4" w:space="0"/>
            </w:tcBorders>
            <w:noWrap w:val="0"/>
            <w:vAlign w:val="center"/>
          </w:tcPr>
          <w:p w14:paraId="4E2986A8">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投标文件上传:详见第三章投标人须知第22条</w:t>
            </w:r>
          </w:p>
        </w:tc>
      </w:tr>
      <w:tr w14:paraId="7813E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77B54312">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25</w:t>
            </w:r>
          </w:p>
        </w:tc>
        <w:tc>
          <w:tcPr>
            <w:tcW w:w="8305" w:type="dxa"/>
            <w:tcBorders>
              <w:top w:val="single" w:color="auto" w:sz="4" w:space="0"/>
              <w:left w:val="single" w:color="auto" w:sz="4" w:space="0"/>
              <w:bottom w:val="nil"/>
              <w:right w:val="single" w:color="auto" w:sz="4" w:space="0"/>
            </w:tcBorders>
            <w:noWrap w:val="0"/>
            <w:vAlign w:val="center"/>
          </w:tcPr>
          <w:p w14:paraId="3385A0D0">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 xml:space="preserve">招标文件的澄清与变更: </w:t>
            </w:r>
          </w:p>
          <w:p w14:paraId="6589CF98">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1、采购人、采购代理机构对已发出的招标文件进行的澄清、更正或更改，澄清、更正或更改的内容将作为招标文件的组成部分。采购代理机构将通过网站“变更公告”和“答疑文件”告知投标人。各投标人须下载招标文件和最新的答疑文件，以此编制投标文件。</w:t>
            </w:r>
          </w:p>
          <w:p w14:paraId="2BC936C5">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2、因驻马店市公共资源交易中心电子交易平台在开标前具有保密性，投标人在投标截止时间前须自行查看项目进展、变更通知、澄清及回复，因投标人未及时查看而造成的后果自负。</w:t>
            </w:r>
          </w:p>
        </w:tc>
      </w:tr>
      <w:tr w14:paraId="7CAAC5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51666BEB">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26</w:t>
            </w:r>
          </w:p>
        </w:tc>
        <w:tc>
          <w:tcPr>
            <w:tcW w:w="8305" w:type="dxa"/>
            <w:tcBorders>
              <w:top w:val="single" w:color="auto" w:sz="4" w:space="0"/>
              <w:left w:val="single" w:color="auto" w:sz="4" w:space="0"/>
              <w:bottom w:val="nil"/>
              <w:right w:val="single" w:color="auto" w:sz="4" w:space="0"/>
            </w:tcBorders>
            <w:noWrap w:val="0"/>
            <w:vAlign w:val="center"/>
          </w:tcPr>
          <w:p w14:paraId="211FF611">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开标：</w:t>
            </w:r>
          </w:p>
          <w:p w14:paraId="417E2EFC">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1、开标当日，投标人无需到达开标现场，仅需在任意地点使用企业CA 密钥登入驻马店市公共资源交易中心电子交易平台不见面开标大厅（http://</w:t>
            </w:r>
            <w:r>
              <w:rPr>
                <w:rFonts w:hint="eastAsia" w:ascii="宋体" w:hAnsi="宋体" w:cs="宋体"/>
                <w:kern w:val="0"/>
                <w:sz w:val="24"/>
                <w:lang w:eastAsia="zh-CN"/>
              </w:rPr>
              <w:t>ggzy.zhumadian.gov.cn</w:t>
            </w:r>
            <w:r>
              <w:rPr>
                <w:rFonts w:hint="eastAsia" w:ascii="宋体" w:hAnsi="宋体" w:cs="宋体"/>
                <w:kern w:val="0"/>
                <w:sz w:val="24"/>
              </w:rPr>
              <w:t>:9190/BidOpening/bidopeninghallaction/hall/login）及相应的配套硬件设备（摄像头、话筒、麦克风等）</w:t>
            </w:r>
            <w:r>
              <w:rPr>
                <w:rFonts w:hint="eastAsia" w:ascii="宋体" w:hAnsi="宋体" w:cs="宋体"/>
                <w:kern w:val="0"/>
                <w:sz w:val="24"/>
                <w:lang w:val="en-US" w:eastAsia="zh-CN"/>
              </w:rPr>
              <w:t>在签到后</w:t>
            </w:r>
            <w:r>
              <w:rPr>
                <w:rFonts w:hint="eastAsia" w:ascii="宋体" w:hAnsi="宋体" w:cs="宋体"/>
                <w:kern w:val="0"/>
                <w:sz w:val="24"/>
              </w:rPr>
              <w:t>参加开标会议。</w:t>
            </w:r>
          </w:p>
          <w:p w14:paraId="7D07666C">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2、开标时，投标人必须使用能正确解密投标文件的CA 密钥在规定的时间（十分钟）内完成远程解密，因投标人原因未能解密、解密失败或解密超时，视为投标人撤销其投标文件，系统内投标文件将被退回；因招标人原因或网上招投标平台发生故障，导致投标人无法按时完成投标文件解密或开、评标工作无法进行的，可根据实际情况报请批准后相应延迟解密时间或调整开、评标时间（友情提示：若投标人已领取副锁（含多把副锁）请注意正副锁的使用差别）。</w:t>
            </w:r>
          </w:p>
          <w:p w14:paraId="57FCD23B">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3、远程开标前，投标人务必在驻马店市公共资源交易中心电子交易平台（</w:t>
            </w:r>
            <w:r>
              <w:rPr>
                <w:rFonts w:hint="eastAsia" w:ascii="宋体" w:hAnsi="宋体" w:cs="宋体"/>
                <w:kern w:val="0"/>
                <w:sz w:val="24"/>
                <w:lang w:eastAsia="zh-CN"/>
              </w:rPr>
              <w:t>http://ggzy.zhumadian.gov.cn</w:t>
            </w:r>
            <w:r>
              <w:rPr>
                <w:rFonts w:hint="eastAsia" w:ascii="宋体" w:hAnsi="宋体" w:cs="宋体"/>
                <w:kern w:val="0"/>
                <w:sz w:val="24"/>
              </w:rPr>
              <w:t>:8820/TPBidder）投标文件上传模块中使用“模拟解密”功能，验证本机远程自助解密环境。</w:t>
            </w:r>
          </w:p>
          <w:p w14:paraId="371B0837">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4、特别提醒：</w:t>
            </w:r>
          </w:p>
          <w:p w14:paraId="100C0643">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 xml:space="preserve">    因驻马店市公共资源交易中心电子交易平台不见面交易系统具备视频直播、语音通话等，对网络带宽及硬件要求相对较高的功能，故投标人在参与使用不见面交易系统开标的项目时，需确认是否满足如下要求：</w:t>
            </w:r>
          </w:p>
          <w:p w14:paraId="773D5A83">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（1）网络要求：网络带宽4M以上。</w:t>
            </w:r>
          </w:p>
          <w:p w14:paraId="6E939A61">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（2）硬件要求：电脑要求内存4G及以上，且需配套网络摄像头、麦克风、音箱等，并确保其均能正常运转。操作系统要求Windows7及以上，IE浏览器IE11及以上。</w:t>
            </w:r>
          </w:p>
          <w:p w14:paraId="38F45D0C">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（3）人员要求：对于参与驻马店市公共资源交易中心电子交易平台不见面交易系统开标的投标人，要求能熟练掌握电脑基础操作。不见面开标操作手册下载地址：</w:t>
            </w:r>
          </w:p>
          <w:p w14:paraId="7834C435">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w:t>
            </w:r>
            <w:r>
              <w:rPr>
                <w:rFonts w:hint="eastAsia" w:ascii="宋体" w:hAnsi="宋体" w:cs="宋体"/>
                <w:kern w:val="0"/>
                <w:sz w:val="24"/>
                <w:lang w:eastAsia="zh-CN"/>
              </w:rPr>
              <w:t>http://ggzy.zhumadian.gov.cn/TPFront/InfoDetail/?InfoID=6e085538-6be5-4d25-80b2-12f5fc669ba1&amp;CategoryNum=026005</w:t>
            </w:r>
            <w:r>
              <w:rPr>
                <w:rFonts w:hint="eastAsia" w:ascii="宋体" w:hAnsi="宋体" w:cs="宋体"/>
                <w:kern w:val="0"/>
                <w:sz w:val="24"/>
              </w:rPr>
              <w:t>）</w:t>
            </w:r>
          </w:p>
        </w:tc>
      </w:tr>
      <w:tr w14:paraId="1ECAB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14:paraId="5C00E06A">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27</w:t>
            </w:r>
          </w:p>
        </w:tc>
        <w:tc>
          <w:tcPr>
            <w:tcW w:w="8305" w:type="dxa"/>
            <w:tcBorders>
              <w:top w:val="single" w:color="auto" w:sz="4" w:space="0"/>
              <w:left w:val="single" w:color="auto" w:sz="4" w:space="0"/>
              <w:bottom w:val="nil"/>
              <w:right w:val="single" w:color="auto" w:sz="4" w:space="0"/>
            </w:tcBorders>
            <w:noWrap w:val="0"/>
            <w:vAlign w:val="center"/>
          </w:tcPr>
          <w:p w14:paraId="747CD5E6">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评标：详见第三章投标人须知第25、26、27、28条</w:t>
            </w:r>
          </w:p>
        </w:tc>
      </w:tr>
      <w:tr w14:paraId="7936EB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0" w:type="dxa"/>
          <w:trHeight w:val="585" w:hRule="atLeast"/>
        </w:trPr>
        <w:tc>
          <w:tcPr>
            <w:tcW w:w="875" w:type="dxa"/>
            <w:gridSpan w:val="2"/>
            <w:tcBorders>
              <w:top w:val="single" w:color="auto" w:sz="4" w:space="0"/>
              <w:left w:val="single" w:color="auto" w:sz="4" w:space="0"/>
              <w:bottom w:val="single" w:color="auto" w:sz="4" w:space="0"/>
              <w:right w:val="single" w:color="auto" w:sz="4" w:space="0"/>
            </w:tcBorders>
            <w:noWrap w:val="0"/>
            <w:vAlign w:val="center"/>
          </w:tcPr>
          <w:p w14:paraId="68439E74">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28</w:t>
            </w:r>
          </w:p>
        </w:tc>
        <w:tc>
          <w:tcPr>
            <w:tcW w:w="8305" w:type="dxa"/>
            <w:tcBorders>
              <w:top w:val="single" w:color="auto" w:sz="4" w:space="0"/>
              <w:left w:val="single" w:color="auto" w:sz="4" w:space="0"/>
              <w:bottom w:val="single" w:color="auto" w:sz="4" w:space="0"/>
              <w:right w:val="single" w:color="auto" w:sz="4" w:space="0"/>
            </w:tcBorders>
            <w:noWrap w:val="0"/>
            <w:vAlign w:val="center"/>
          </w:tcPr>
          <w:p w14:paraId="7D499765">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解释：构成本招标文件的各个组成文件应互为解释，互为说明；如有不明确或不一致，构成合同文件组成内容的，以合同文件约定内容为准；除招标文件中有特殊规定外，仅适用于招标投标阶段的规定，按招标公告、投标人须知、评标办法、投标文件格式的先后顺序解释；同一组成文件中就同一事项的规定或约定不一致的，以编排顺序在后者为准；当招标文件与招标文件的澄清、修改或补充通知就同一内容的表述不一致时，以最后发出的书面文件为准。合同文件约定或后者明显错误的除外。</w:t>
            </w:r>
          </w:p>
          <w:p w14:paraId="1D2DBE76">
            <w:pPr>
              <w:widowControl/>
              <w:spacing w:line="360" w:lineRule="auto"/>
              <w:jc w:val="left"/>
              <w:textAlignment w:val="bottom"/>
              <w:rPr>
                <w:rFonts w:hint="eastAsia" w:ascii="宋体" w:hAnsi="宋体" w:cs="宋体"/>
                <w:kern w:val="0"/>
                <w:sz w:val="24"/>
              </w:rPr>
            </w:pPr>
            <w:r>
              <w:rPr>
                <w:rFonts w:hint="eastAsia" w:ascii="宋体" w:hAnsi="宋体" w:cs="宋体"/>
                <w:kern w:val="0"/>
                <w:sz w:val="24"/>
              </w:rPr>
              <w:t>按本款前述规定仍不能形成结论的，由采购人（或采购代理机构）负责解释。</w:t>
            </w:r>
          </w:p>
        </w:tc>
      </w:tr>
    </w:tbl>
    <w:p w14:paraId="74F14128">
      <w:pPr>
        <w:jc w:val="center"/>
        <w:rPr>
          <w:rFonts w:ascii="黑体" w:hAnsi="黑体" w:eastAsia="黑体"/>
          <w:b/>
          <w:sz w:val="36"/>
          <w:szCs w:val="36"/>
        </w:rPr>
      </w:pPr>
      <w:r>
        <w:rPr>
          <w:rFonts w:hint="eastAsia" w:ascii="黑体" w:hAnsi="黑体" w:eastAsia="黑体"/>
          <w:b/>
          <w:sz w:val="36"/>
          <w:szCs w:val="36"/>
        </w:rPr>
        <w:t>一  说    明</w:t>
      </w:r>
    </w:p>
    <w:p w14:paraId="7A937BCD">
      <w:pPr>
        <w:ind w:firstLine="562" w:firstLineChars="200"/>
        <w:rPr>
          <w:rFonts w:ascii="黑体" w:hAnsi="黑体" w:eastAsia="黑体"/>
          <w:b/>
          <w:sz w:val="28"/>
          <w:szCs w:val="28"/>
        </w:rPr>
      </w:pPr>
    </w:p>
    <w:p w14:paraId="1BB19DF5">
      <w:pPr>
        <w:ind w:firstLine="562" w:firstLineChars="200"/>
        <w:rPr>
          <w:rFonts w:ascii="黑体" w:hAnsi="黑体" w:eastAsia="黑体"/>
          <w:b/>
          <w:sz w:val="28"/>
          <w:szCs w:val="28"/>
        </w:rPr>
      </w:pPr>
      <w:r>
        <w:rPr>
          <w:rFonts w:hint="eastAsia" w:ascii="黑体" w:hAnsi="黑体" w:eastAsia="黑体"/>
          <w:b/>
          <w:sz w:val="28"/>
          <w:szCs w:val="28"/>
        </w:rPr>
        <w:t>1.适用范围</w:t>
      </w:r>
    </w:p>
    <w:p w14:paraId="4A8E63F3">
      <w:pPr>
        <w:ind w:firstLine="560" w:firstLineChars="200"/>
        <w:rPr>
          <w:rFonts w:hint="eastAsia" w:ascii="宋体" w:hAnsi="宋体" w:cs="宋体"/>
          <w:kern w:val="0"/>
          <w:sz w:val="28"/>
          <w:szCs w:val="28"/>
        </w:rPr>
      </w:pPr>
      <w:r>
        <w:rPr>
          <w:rFonts w:hint="eastAsia" w:ascii="宋体" w:hAnsi="宋体" w:cs="宋体"/>
          <w:kern w:val="0"/>
          <w:sz w:val="28"/>
          <w:szCs w:val="28"/>
        </w:rPr>
        <w:t>本招标文件仅适用于招标公告中所叙述项目的</w:t>
      </w:r>
      <w:r>
        <w:rPr>
          <w:rFonts w:hint="eastAsia" w:ascii="宋体" w:hAnsi="宋体"/>
          <w:sz w:val="28"/>
          <w:szCs w:val="28"/>
        </w:rPr>
        <w:t>相关服务</w:t>
      </w:r>
      <w:r>
        <w:rPr>
          <w:rFonts w:hint="eastAsia" w:ascii="宋体" w:hAnsi="宋体" w:cs="宋体"/>
          <w:kern w:val="0"/>
          <w:sz w:val="28"/>
          <w:szCs w:val="28"/>
        </w:rPr>
        <w:t>采购。</w:t>
      </w:r>
    </w:p>
    <w:p w14:paraId="7A62D3BA">
      <w:pPr>
        <w:ind w:firstLine="562" w:firstLineChars="200"/>
        <w:rPr>
          <w:rFonts w:ascii="黑体" w:hAnsi="黑体" w:eastAsia="黑体"/>
          <w:b/>
          <w:sz w:val="28"/>
          <w:szCs w:val="28"/>
        </w:rPr>
      </w:pPr>
      <w:r>
        <w:rPr>
          <w:rFonts w:hint="eastAsia" w:ascii="黑体" w:hAnsi="黑体" w:eastAsia="黑体"/>
          <w:b/>
          <w:sz w:val="28"/>
          <w:szCs w:val="28"/>
        </w:rPr>
        <w:t>2.定义</w:t>
      </w:r>
    </w:p>
    <w:p w14:paraId="7B768AD8">
      <w:pPr>
        <w:ind w:firstLine="560" w:firstLineChars="200"/>
        <w:rPr>
          <w:rFonts w:hint="eastAsia" w:ascii="宋体" w:hAnsi="宋体" w:cs="宋体"/>
          <w:kern w:val="0"/>
          <w:sz w:val="28"/>
          <w:szCs w:val="28"/>
        </w:rPr>
      </w:pPr>
      <w:r>
        <w:rPr>
          <w:rFonts w:hint="eastAsia" w:ascii="宋体" w:hAnsi="宋体" w:cs="宋体"/>
          <w:kern w:val="0"/>
          <w:sz w:val="28"/>
          <w:szCs w:val="28"/>
        </w:rPr>
        <w:t>2.1 “采购人”系指本次采购项目的业主方。</w:t>
      </w:r>
    </w:p>
    <w:p w14:paraId="0F8761CD">
      <w:pPr>
        <w:widowControl/>
        <w:ind w:firstLine="560" w:firstLineChars="200"/>
        <w:jc w:val="left"/>
        <w:rPr>
          <w:rFonts w:hint="eastAsia" w:ascii="宋体" w:hAnsi="宋体" w:cs="宋体"/>
          <w:kern w:val="0"/>
          <w:sz w:val="28"/>
          <w:szCs w:val="28"/>
        </w:rPr>
      </w:pPr>
      <w:r>
        <w:rPr>
          <w:rFonts w:hint="eastAsia" w:ascii="宋体" w:hAnsi="宋体" w:cs="宋体"/>
          <w:kern w:val="0"/>
          <w:sz w:val="28"/>
          <w:szCs w:val="28"/>
        </w:rPr>
        <w:t>2.2 “采购代理机构”系指本次招标采购项目活动组织方。</w:t>
      </w:r>
    </w:p>
    <w:p w14:paraId="3F1D856A">
      <w:pPr>
        <w:widowControl/>
        <w:ind w:firstLine="560" w:firstLineChars="200"/>
        <w:jc w:val="left"/>
        <w:rPr>
          <w:rFonts w:hint="eastAsia" w:ascii="宋体" w:hAnsi="宋体" w:cs="宋体"/>
          <w:kern w:val="0"/>
          <w:sz w:val="28"/>
          <w:szCs w:val="28"/>
        </w:rPr>
      </w:pPr>
      <w:r>
        <w:rPr>
          <w:rFonts w:hint="eastAsia" w:ascii="宋体" w:hAnsi="宋体" w:cs="宋体"/>
          <w:kern w:val="0"/>
          <w:sz w:val="28"/>
          <w:szCs w:val="28"/>
        </w:rPr>
        <w:t>2.3 “投标人”系指下载了本招标文件，且已经提交本次投标文件的制造商或经销商。</w:t>
      </w:r>
    </w:p>
    <w:p w14:paraId="043F9611">
      <w:pPr>
        <w:widowControl/>
        <w:ind w:firstLine="560" w:firstLineChars="200"/>
        <w:jc w:val="left"/>
        <w:rPr>
          <w:rFonts w:hint="eastAsia" w:ascii="宋体" w:hAnsi="宋体" w:cs="宋体"/>
          <w:kern w:val="0"/>
          <w:sz w:val="28"/>
          <w:szCs w:val="28"/>
        </w:rPr>
      </w:pPr>
      <w:r>
        <w:rPr>
          <w:rFonts w:hint="eastAsia" w:ascii="宋体" w:hAnsi="宋体" w:cs="宋体"/>
          <w:kern w:val="0"/>
          <w:sz w:val="28"/>
          <w:szCs w:val="28"/>
        </w:rPr>
        <w:t>2.4 “投标人代表”系指代表投标人参加本次招标活动的投标人的法定代表人或其委托代理人。</w:t>
      </w:r>
    </w:p>
    <w:p w14:paraId="1095B843">
      <w:pPr>
        <w:widowControl/>
        <w:spacing w:line="360"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2.5 “服务”系指招标文件规定投标人须承担的与本次</w:t>
      </w:r>
      <w:r>
        <w:rPr>
          <w:rFonts w:hint="eastAsia" w:ascii="宋体" w:hAnsi="宋体" w:cs="宋体"/>
          <w:kern w:val="0"/>
          <w:sz w:val="28"/>
          <w:szCs w:val="28"/>
          <w:lang w:val="en-US" w:eastAsia="zh-CN"/>
        </w:rPr>
        <w:t>项目</w:t>
      </w:r>
      <w:r>
        <w:rPr>
          <w:rFonts w:hint="eastAsia" w:ascii="宋体" w:hAnsi="宋体" w:cs="宋体"/>
          <w:kern w:val="0"/>
          <w:sz w:val="28"/>
          <w:szCs w:val="28"/>
        </w:rPr>
        <w:t>相关的义务。</w:t>
      </w:r>
    </w:p>
    <w:p w14:paraId="40086C9F">
      <w:pPr>
        <w:ind w:firstLine="562" w:firstLineChars="200"/>
        <w:rPr>
          <w:rFonts w:ascii="黑体" w:hAnsi="黑体" w:eastAsia="黑体"/>
          <w:b/>
          <w:sz w:val="28"/>
          <w:szCs w:val="28"/>
        </w:rPr>
      </w:pPr>
      <w:r>
        <w:rPr>
          <w:rFonts w:hint="eastAsia" w:ascii="黑体" w:hAnsi="黑体" w:eastAsia="黑体"/>
          <w:b/>
          <w:sz w:val="28"/>
          <w:szCs w:val="28"/>
        </w:rPr>
        <w:t>3.采购预算（最高投标限价）</w:t>
      </w:r>
    </w:p>
    <w:p w14:paraId="0805809A">
      <w:pPr>
        <w:spacing w:line="560" w:lineRule="exact"/>
        <w:ind w:firstLine="840" w:firstLineChars="300"/>
        <w:rPr>
          <w:rFonts w:hint="eastAsia" w:ascii="宋体" w:hAnsi="宋体" w:cs="宋体"/>
          <w:kern w:val="0"/>
          <w:sz w:val="28"/>
          <w:szCs w:val="28"/>
        </w:rPr>
      </w:pPr>
      <w:r>
        <w:rPr>
          <w:rFonts w:hint="eastAsia" w:ascii="宋体" w:hAnsi="宋体" w:eastAsia="宋体" w:cs="宋体"/>
          <w:kern w:val="0"/>
          <w:sz w:val="28"/>
          <w:szCs w:val="28"/>
        </w:rPr>
        <w:t>采购预算（最高投标限价）</w:t>
      </w:r>
      <w:r>
        <w:rPr>
          <w:rFonts w:hint="eastAsia" w:ascii="宋体" w:hAnsi="宋体" w:eastAsia="宋体" w:cs="宋体"/>
          <w:kern w:val="0"/>
          <w:sz w:val="28"/>
          <w:szCs w:val="28"/>
          <w:lang w:eastAsia="zh-CN"/>
        </w:rPr>
        <w:t>：</w:t>
      </w:r>
      <w:r>
        <w:rPr>
          <w:rFonts w:hint="eastAsia" w:ascii="宋体" w:hAnsi="宋体"/>
          <w:sz w:val="28"/>
          <w:szCs w:val="28"/>
          <w:lang w:eastAsia="zh-CN"/>
        </w:rPr>
        <w:t>2069208</w:t>
      </w:r>
      <w:r>
        <w:rPr>
          <w:rFonts w:hint="eastAsia" w:ascii="宋体" w:hAnsi="宋体"/>
          <w:sz w:val="28"/>
          <w:szCs w:val="28"/>
        </w:rPr>
        <w:t>元</w:t>
      </w:r>
    </w:p>
    <w:p w14:paraId="5AAC7CE0">
      <w:pPr>
        <w:ind w:firstLine="562" w:firstLineChars="200"/>
        <w:rPr>
          <w:rFonts w:ascii="黑体" w:hAnsi="黑体" w:eastAsia="黑体"/>
          <w:b/>
          <w:sz w:val="28"/>
          <w:szCs w:val="28"/>
        </w:rPr>
      </w:pPr>
      <w:r>
        <w:rPr>
          <w:rFonts w:hint="eastAsia" w:ascii="黑体" w:hAnsi="黑体" w:eastAsia="黑体"/>
          <w:b/>
          <w:sz w:val="28"/>
          <w:szCs w:val="28"/>
        </w:rPr>
        <w:t>4.投标人应提交的证明文件</w:t>
      </w:r>
    </w:p>
    <w:p w14:paraId="4D8434B3">
      <w:pPr>
        <w:ind w:firstLine="560" w:firstLineChars="200"/>
        <w:rPr>
          <w:rFonts w:hint="eastAsia" w:ascii="宋体" w:hAnsi="宋体" w:eastAsia="宋体" w:cs="Times New Roman"/>
          <w:sz w:val="28"/>
          <w:szCs w:val="28"/>
          <w:lang w:val="en-US" w:eastAsia="zh-CN"/>
        </w:rPr>
      </w:pPr>
      <w:r>
        <w:rPr>
          <w:rFonts w:hint="eastAsia" w:ascii="宋体" w:hAnsi="宋体" w:cs="宋体"/>
          <w:kern w:val="0"/>
          <w:sz w:val="28"/>
          <w:szCs w:val="28"/>
        </w:rPr>
        <w:t xml:space="preserve">4.1 </w:t>
      </w:r>
      <w:r>
        <w:rPr>
          <w:rFonts w:hint="eastAsia" w:ascii="宋体" w:hAnsi="宋体" w:eastAsia="宋体" w:cs="Times New Roman"/>
          <w:sz w:val="28"/>
          <w:szCs w:val="28"/>
          <w:lang w:val="en-US" w:eastAsia="zh-CN"/>
        </w:rPr>
        <w:t>符合《中华人民共和国政府采购法》第二十二条规定：</w:t>
      </w:r>
    </w:p>
    <w:p w14:paraId="095062C4">
      <w:pPr>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（一）具有独立承担民事责任的能力；</w:t>
      </w:r>
    </w:p>
    <w:p w14:paraId="32B2D55A">
      <w:pPr>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（二）具有良好的商业信誉和健全的财务会计制度；</w:t>
      </w:r>
    </w:p>
    <w:p w14:paraId="0DDBB526">
      <w:pPr>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（三）具有履行合同所必需的设备和专业技术能力；</w:t>
      </w:r>
    </w:p>
    <w:p w14:paraId="5D47E2A9">
      <w:pPr>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（四）有依法缴纳税收和社会保障资金的良好记录；</w:t>
      </w:r>
    </w:p>
    <w:p w14:paraId="47899D3A">
      <w:pPr>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（五）参加政府采购活动前三年内，在经营活动中没有重大违法记录；</w:t>
      </w:r>
    </w:p>
    <w:p w14:paraId="4CCE44D2">
      <w:pPr>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（六）未被列入严重失信主体名单、失信被执行人、税收违法黑名单、政府采购严重违法失信行为记录名单，未曾作出虚假承诺；</w:t>
      </w:r>
    </w:p>
    <w:p w14:paraId="270B2C34">
      <w:pPr>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（七）符合法律、行政法规规定的其他条件。</w:t>
      </w:r>
    </w:p>
    <w:p w14:paraId="21FD8291">
      <w:pPr>
        <w:ind w:firstLine="560" w:firstLineChars="200"/>
        <w:rPr>
          <w:rFonts w:hint="eastAsia" w:ascii="宋体" w:hAnsi="宋体" w:cs="宋体"/>
          <w:kern w:val="0"/>
          <w:sz w:val="28"/>
          <w:szCs w:val="28"/>
        </w:rPr>
      </w:pPr>
      <w:r>
        <w:rPr>
          <w:rFonts w:hint="eastAsia" w:ascii="宋体" w:hAnsi="宋体" w:eastAsia="宋体" w:cs="Times New Roman"/>
          <w:sz w:val="28"/>
          <w:szCs w:val="28"/>
          <w:lang w:val="en-US" w:eastAsia="zh-CN"/>
        </w:rPr>
        <w:t>根据《关于推行政府采购资格审查环节信用承诺制的通知》（驻财购[2022]15号）的规定，供应商在投标时，按照规定提供信用承诺函(格式见第五章附件)，无需提交上述证明材料。</w:t>
      </w:r>
    </w:p>
    <w:p w14:paraId="563696D2">
      <w:pPr>
        <w:spacing w:line="360" w:lineRule="auto"/>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4.2具有独立企业法人资格，具有有效的营业执照、组织机构代码证、税务登记证（或三证合一证件）；</w:t>
      </w:r>
    </w:p>
    <w:p w14:paraId="106E50A8">
      <w:pPr>
        <w:spacing w:line="360" w:lineRule="auto"/>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4.3法定代表人本人参加投标的，提供法人证明、身份证复印件；法定代表人委托代理人参加投标的，提供法人授权委托书原件、委托代理人的身份证复印件、劳动合同复印件及近半年内任意连续三个月的社保个人权益记录单；</w:t>
      </w:r>
    </w:p>
    <w:p w14:paraId="59AB91A9">
      <w:pPr>
        <w:spacing w:line="360" w:lineRule="auto"/>
        <w:ind w:firstLine="560" w:firstLineChars="200"/>
        <w:rPr>
          <w:rFonts w:hint="eastAsia" w:ascii="宋体" w:hAnsi="宋体" w:cs="宋体"/>
          <w:sz w:val="28"/>
          <w:szCs w:val="28"/>
        </w:rPr>
      </w:pPr>
      <w:r>
        <w:rPr>
          <w:rFonts w:hint="eastAsia" w:ascii="宋体" w:hAnsi="宋体" w:cs="宋体"/>
          <w:sz w:val="28"/>
          <w:szCs w:val="28"/>
        </w:rPr>
        <w:t>4.</w:t>
      </w:r>
      <w:r>
        <w:rPr>
          <w:rFonts w:hint="eastAsia" w:ascii="宋体" w:hAnsi="宋体" w:cs="宋体"/>
          <w:sz w:val="28"/>
          <w:szCs w:val="28"/>
          <w:lang w:val="en-US" w:eastAsia="zh-CN"/>
        </w:rPr>
        <w:t>4</w:t>
      </w:r>
      <w:r>
        <w:rPr>
          <w:rFonts w:hint="eastAsia" w:ascii="宋体" w:hAnsi="宋体" w:eastAsia="宋体" w:cs="Times New Roman"/>
          <w:sz w:val="28"/>
          <w:szCs w:val="28"/>
        </w:rPr>
        <w:t>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w:t>
      </w:r>
      <w:r>
        <w:rPr>
          <w:rFonts w:hint="eastAsia" w:ascii="宋体" w:hAnsi="宋体" w:eastAsia="宋体" w:cs="Times New Roman"/>
          <w:sz w:val="28"/>
          <w:szCs w:val="28"/>
          <w:lang w:eastAsia="zh-CN"/>
        </w:rPr>
        <w:t>重大税收违法失信主体</w:t>
      </w:r>
      <w:r>
        <w:rPr>
          <w:rFonts w:hint="eastAsia" w:ascii="宋体" w:hAnsi="宋体" w:eastAsia="宋体" w:cs="Times New Roman"/>
          <w:sz w:val="28"/>
          <w:szCs w:val="28"/>
        </w:rPr>
        <w:t>、政府采购严重违法失信行为记录名单的供应商（投标人），拒绝参与本项目的投标；【查询渠道：（www.creditchina.gov.cn）、“信用中国”网站、中国政府采购网（www.ccgp.gov.cn）】</w:t>
      </w:r>
      <w:r>
        <w:rPr>
          <w:rFonts w:hint="eastAsia" w:ascii="宋体" w:hAnsi="宋体" w:eastAsia="宋体" w:cs="Times New Roman"/>
          <w:sz w:val="28"/>
          <w:szCs w:val="28"/>
          <w:lang w:eastAsia="zh-CN"/>
        </w:rPr>
        <w:t>，</w:t>
      </w:r>
      <w:r>
        <w:rPr>
          <w:rFonts w:hint="eastAsia" w:ascii="宋体" w:hAnsi="宋体" w:eastAsia="宋体" w:cs="Times New Roman"/>
          <w:sz w:val="28"/>
          <w:szCs w:val="28"/>
        </w:rPr>
        <w:t>查询时间为本项目发布公告日期之后</w:t>
      </w:r>
      <w:r>
        <w:rPr>
          <w:rFonts w:hint="eastAsia" w:ascii="宋体" w:hAnsi="宋体" w:eastAsia="宋体" w:cs="Times New Roman"/>
          <w:sz w:val="28"/>
          <w:szCs w:val="28"/>
          <w:lang w:eastAsia="zh-CN"/>
        </w:rPr>
        <w:t>；</w:t>
      </w:r>
    </w:p>
    <w:p w14:paraId="0F5F785A">
      <w:pPr>
        <w:spacing w:line="560" w:lineRule="exact"/>
        <w:ind w:firstLine="560" w:firstLineChars="200"/>
        <w:rPr>
          <w:rFonts w:hint="eastAsia" w:ascii="宋体" w:hAnsi="宋体" w:cs="宋体"/>
          <w:kern w:val="0"/>
          <w:sz w:val="28"/>
          <w:szCs w:val="28"/>
        </w:rPr>
      </w:pPr>
      <w:r>
        <w:rPr>
          <w:rFonts w:hint="eastAsia" w:ascii="宋体" w:hAnsi="宋体" w:cs="宋体"/>
          <w:kern w:val="0"/>
          <w:sz w:val="28"/>
          <w:szCs w:val="28"/>
        </w:rPr>
        <w:t>4.</w:t>
      </w:r>
      <w:r>
        <w:rPr>
          <w:rFonts w:hint="eastAsia" w:ascii="宋体" w:hAnsi="宋体" w:cs="宋体"/>
          <w:kern w:val="0"/>
          <w:sz w:val="28"/>
          <w:szCs w:val="28"/>
          <w:lang w:val="en-US" w:eastAsia="zh-CN"/>
        </w:rPr>
        <w:t>5</w:t>
      </w:r>
      <w:r>
        <w:rPr>
          <w:rFonts w:hint="eastAsia" w:ascii="宋体" w:hAnsi="宋体" w:cs="宋体"/>
          <w:kern w:val="0"/>
          <w:sz w:val="28"/>
          <w:szCs w:val="28"/>
        </w:rPr>
        <w:t>其他证明文件（采购人根据项目需要提出且为本次采购所必要的）。</w:t>
      </w:r>
    </w:p>
    <w:p w14:paraId="5EA6A2C9">
      <w:pPr>
        <w:widowControl/>
        <w:spacing w:line="360" w:lineRule="auto"/>
        <w:ind w:firstLine="560" w:firstLineChars="200"/>
        <w:jc w:val="left"/>
        <w:rPr>
          <w:rFonts w:hint="eastAsia" w:ascii="宋体" w:hAnsi="宋体" w:cs="宋体"/>
          <w:kern w:val="0"/>
          <w:sz w:val="28"/>
          <w:szCs w:val="28"/>
        </w:rPr>
      </w:pPr>
      <w:r>
        <w:rPr>
          <w:rFonts w:hint="eastAsia" w:ascii="宋体" w:hAnsi="宋体" w:cs="宋体"/>
          <w:kern w:val="0"/>
          <w:sz w:val="28"/>
          <w:szCs w:val="28"/>
        </w:rPr>
        <w:t>……</w:t>
      </w:r>
    </w:p>
    <w:p w14:paraId="69825F82">
      <w:pPr>
        <w:widowControl/>
        <w:spacing w:line="360" w:lineRule="auto"/>
        <w:ind w:firstLine="602" w:firstLineChars="200"/>
        <w:jc w:val="left"/>
        <w:rPr>
          <w:rFonts w:hint="eastAsia" w:ascii="宋体" w:hAnsi="宋体" w:cs="方正小标宋简体"/>
          <w:b/>
          <w:bCs/>
          <w:kern w:val="0"/>
          <w:sz w:val="30"/>
          <w:szCs w:val="30"/>
        </w:rPr>
      </w:pPr>
      <w:r>
        <w:rPr>
          <w:rFonts w:hint="eastAsia" w:ascii="宋体" w:hAnsi="宋体" w:cs="方正小标宋简体"/>
          <w:b/>
          <w:bCs/>
          <w:kern w:val="0"/>
          <w:sz w:val="30"/>
          <w:szCs w:val="30"/>
        </w:rPr>
        <w:t>注：以上为必须提供的材料。本项目采用不见面交易，供应商在上传响应文件截止时间前应及时完善主体诚信库中企业信息及扫描件，提交并自行核验通过。同时在“资格审查材料（不见面开标）”菜单下按分包挑选该包所用资格审查材料，以供评审过程中谈判小组查阅。供应商应确保主体诚信库信息与电子响应文件信息一致，上传的资料要真实并清晰可辨。评审时以电子响应文件及资格审查及评审材料"菜单中选取的企业信息为准。</w:t>
      </w:r>
    </w:p>
    <w:p w14:paraId="45C476EB">
      <w:pPr>
        <w:ind w:firstLine="562" w:firstLineChars="200"/>
        <w:rPr>
          <w:rFonts w:ascii="黑体" w:hAnsi="黑体" w:eastAsia="黑体"/>
          <w:b/>
          <w:sz w:val="28"/>
          <w:szCs w:val="28"/>
        </w:rPr>
      </w:pPr>
      <w:r>
        <w:rPr>
          <w:rFonts w:hint="eastAsia" w:ascii="黑体" w:hAnsi="黑体" w:eastAsia="黑体"/>
          <w:b/>
          <w:sz w:val="28"/>
          <w:szCs w:val="28"/>
        </w:rPr>
        <w:t>5.投标费用</w:t>
      </w:r>
    </w:p>
    <w:p w14:paraId="540DC944">
      <w:pPr>
        <w:ind w:firstLine="560" w:firstLineChars="200"/>
        <w:rPr>
          <w:rFonts w:hint="eastAsia" w:ascii="宋体" w:hAnsi="宋体" w:cs="宋体"/>
          <w:kern w:val="0"/>
          <w:sz w:val="28"/>
          <w:szCs w:val="28"/>
        </w:rPr>
      </w:pPr>
      <w:r>
        <w:rPr>
          <w:rFonts w:hint="eastAsia" w:ascii="宋体" w:hAnsi="宋体" w:cs="宋体"/>
          <w:kern w:val="0"/>
          <w:sz w:val="28"/>
          <w:szCs w:val="28"/>
        </w:rPr>
        <w:t>不论投标结果如何，投标人均应自行承担所有与投标有关的全部费用。</w:t>
      </w:r>
    </w:p>
    <w:p w14:paraId="4B196341">
      <w:pPr>
        <w:ind w:firstLine="562" w:firstLineChars="200"/>
        <w:rPr>
          <w:rFonts w:ascii="黑体" w:hAnsi="黑体" w:eastAsia="黑体"/>
          <w:b/>
          <w:sz w:val="28"/>
          <w:szCs w:val="28"/>
        </w:rPr>
      </w:pPr>
      <w:r>
        <w:rPr>
          <w:rFonts w:hint="eastAsia" w:ascii="黑体" w:hAnsi="黑体" w:eastAsia="黑体"/>
          <w:b/>
          <w:sz w:val="28"/>
          <w:szCs w:val="28"/>
        </w:rPr>
        <w:t>6.联合体投标</w:t>
      </w:r>
    </w:p>
    <w:p w14:paraId="3126CD30">
      <w:pPr>
        <w:ind w:firstLine="560" w:firstLineChars="200"/>
        <w:rPr>
          <w:rFonts w:hint="eastAsia" w:ascii="宋体" w:hAnsi="宋体" w:cs="宋体"/>
          <w:kern w:val="0"/>
          <w:sz w:val="28"/>
          <w:szCs w:val="28"/>
        </w:rPr>
      </w:pPr>
      <w:r>
        <w:rPr>
          <w:rFonts w:hint="eastAsia" w:ascii="宋体" w:hAnsi="宋体" w:cs="宋体"/>
          <w:kern w:val="0"/>
          <w:sz w:val="28"/>
          <w:szCs w:val="28"/>
        </w:rPr>
        <w:t>本项目不接受联合体投标。</w:t>
      </w:r>
    </w:p>
    <w:p w14:paraId="158BA2DE">
      <w:pPr>
        <w:ind w:firstLine="562" w:firstLineChars="200"/>
        <w:rPr>
          <w:rFonts w:ascii="黑体" w:hAnsi="黑体" w:eastAsia="黑体"/>
          <w:b/>
          <w:sz w:val="28"/>
          <w:szCs w:val="28"/>
        </w:rPr>
      </w:pPr>
      <w:r>
        <w:rPr>
          <w:rFonts w:hint="eastAsia" w:ascii="黑体" w:hAnsi="黑体" w:eastAsia="黑体"/>
          <w:b/>
          <w:sz w:val="28"/>
          <w:szCs w:val="28"/>
        </w:rPr>
        <w:t>7.关联企业投标</w:t>
      </w:r>
    </w:p>
    <w:p w14:paraId="5F4123B7">
      <w:pPr>
        <w:ind w:firstLine="560" w:firstLineChars="200"/>
        <w:rPr>
          <w:rFonts w:ascii="宋体" w:hAnsi="宋体" w:cs="宋体"/>
          <w:kern w:val="0"/>
          <w:sz w:val="28"/>
          <w:szCs w:val="28"/>
        </w:rPr>
      </w:pPr>
      <w:r>
        <w:rPr>
          <w:rFonts w:hint="eastAsia" w:ascii="宋体" w:hAnsi="宋体" w:cs="宋体"/>
          <w:kern w:val="0"/>
          <w:sz w:val="28"/>
          <w:szCs w:val="28"/>
        </w:rPr>
        <w:t>7.1 本招标文件所称关联企业,是指存在关联关系的企业。“关联关系”的界定适用《中华人民共和国公司法》第二百一十七条、《中华人民共和国政府采购法实施条例》第十八条之规定。</w:t>
      </w:r>
    </w:p>
    <w:p w14:paraId="73CC68F9">
      <w:pPr>
        <w:ind w:firstLine="560" w:firstLineChars="200"/>
        <w:rPr>
          <w:sz w:val="28"/>
          <w:szCs w:val="28"/>
        </w:rPr>
      </w:pPr>
      <w:r>
        <w:rPr>
          <w:rFonts w:hint="eastAsia"/>
          <w:sz w:val="28"/>
          <w:szCs w:val="28"/>
        </w:rPr>
        <w:t>7.2 关联企业中, 同一个法定代表人的两个及两个以上法人，母公司、全资子公司及其控股公司，都不得同时投标。</w:t>
      </w:r>
      <w:r>
        <w:rPr>
          <w:rFonts w:hint="eastAsia"/>
          <w:sz w:val="28"/>
          <w:szCs w:val="28"/>
          <w:shd w:val="clear" w:color="auto" w:fill="FFFFFF"/>
        </w:rPr>
        <w:t>单位负责人为同一人或者存在直接控股、管理关系的不同供应商，不得参加同一合同项下的投标。</w:t>
      </w:r>
      <w:r>
        <w:rPr>
          <w:rFonts w:hint="eastAsia"/>
          <w:sz w:val="28"/>
          <w:szCs w:val="28"/>
        </w:rPr>
        <w:t>一经发现，将导致投标同时被拒绝。</w:t>
      </w:r>
    </w:p>
    <w:p w14:paraId="67552C27">
      <w:pPr>
        <w:ind w:firstLine="560" w:firstLineChars="200"/>
        <w:rPr>
          <w:sz w:val="28"/>
          <w:szCs w:val="28"/>
        </w:rPr>
      </w:pPr>
      <w:r>
        <w:rPr>
          <w:rFonts w:hint="eastAsia"/>
          <w:sz w:val="28"/>
          <w:szCs w:val="28"/>
        </w:rPr>
        <w:t>7.3</w:t>
      </w:r>
      <w:r>
        <w:rPr>
          <w:rFonts w:hint="eastAsia"/>
          <w:sz w:val="28"/>
          <w:szCs w:val="28"/>
          <w:shd w:val="clear" w:color="auto" w:fill="FFFFFF"/>
        </w:rPr>
        <w:t xml:space="preserve"> 为采购项目提供整体设计、规范编制或者项目管理、监理、</w:t>
      </w:r>
      <w:r>
        <w:rPr>
          <w:rFonts w:hint="eastAsia"/>
          <w:sz w:val="28"/>
          <w:szCs w:val="28"/>
        </w:rPr>
        <w:t>检测等服务的供应商，不得再参加该采购项目的投标活动。</w:t>
      </w:r>
    </w:p>
    <w:p w14:paraId="2D80AFB3">
      <w:pPr>
        <w:ind w:firstLine="562" w:firstLineChars="200"/>
        <w:rPr>
          <w:rFonts w:ascii="黑体" w:hAnsi="黑体" w:eastAsia="黑体"/>
          <w:b/>
          <w:sz w:val="28"/>
          <w:szCs w:val="28"/>
        </w:rPr>
      </w:pPr>
      <w:r>
        <w:rPr>
          <w:rFonts w:hint="eastAsia" w:ascii="黑体" w:hAnsi="黑体" w:eastAsia="黑体"/>
          <w:b/>
          <w:sz w:val="28"/>
          <w:szCs w:val="28"/>
        </w:rPr>
        <w:t>8.转包与分包</w:t>
      </w:r>
    </w:p>
    <w:p w14:paraId="1F05F9A0">
      <w:pPr>
        <w:ind w:firstLine="560" w:firstLineChars="200"/>
        <w:rPr>
          <w:rFonts w:ascii="宋体" w:hAnsi="宋体" w:cs="宋体"/>
          <w:kern w:val="0"/>
          <w:sz w:val="28"/>
          <w:szCs w:val="28"/>
        </w:rPr>
      </w:pPr>
      <w:r>
        <w:rPr>
          <w:rFonts w:hint="eastAsia" w:ascii="宋体" w:hAnsi="宋体" w:cs="宋体"/>
          <w:kern w:val="0"/>
          <w:sz w:val="28"/>
          <w:szCs w:val="28"/>
        </w:rPr>
        <w:t>8.1 本项目不允许采取转包方式履行合</w:t>
      </w:r>
      <w:r>
        <w:rPr>
          <w:rFonts w:hint="eastAsia" w:cs="宋体"/>
          <w:kern w:val="0"/>
          <w:sz w:val="28"/>
          <w:szCs w:val="28"/>
        </w:rPr>
        <w:t>同</w:t>
      </w:r>
      <w:r>
        <w:rPr>
          <w:rFonts w:hint="eastAsia" w:ascii="宋体" w:hAnsi="宋体" w:cs="宋体"/>
          <w:kern w:val="0"/>
          <w:sz w:val="28"/>
          <w:szCs w:val="28"/>
        </w:rPr>
        <w:t>。</w:t>
      </w:r>
    </w:p>
    <w:p w14:paraId="198FAAB2">
      <w:pPr>
        <w:ind w:firstLine="560" w:firstLineChars="200"/>
        <w:rPr>
          <w:sz w:val="28"/>
          <w:szCs w:val="28"/>
          <w:shd w:val="clear" w:color="auto" w:fill="FFFFFF"/>
        </w:rPr>
      </w:pPr>
      <w:r>
        <w:rPr>
          <w:rFonts w:hint="eastAsia"/>
          <w:sz w:val="28"/>
          <w:szCs w:val="28"/>
        </w:rPr>
        <w:t>8.2本项目不允许采取分包方式履行合同</w:t>
      </w:r>
      <w:r>
        <w:rPr>
          <w:rFonts w:hint="eastAsia"/>
          <w:sz w:val="28"/>
          <w:szCs w:val="28"/>
          <w:shd w:val="clear" w:color="auto" w:fill="FFFFFF"/>
        </w:rPr>
        <w:t>。</w:t>
      </w:r>
    </w:p>
    <w:p w14:paraId="11AE2366">
      <w:pPr>
        <w:ind w:firstLine="562" w:firstLineChars="200"/>
        <w:rPr>
          <w:rFonts w:ascii="黑体" w:hAnsi="黑体" w:eastAsia="黑体"/>
          <w:b/>
          <w:sz w:val="28"/>
          <w:szCs w:val="28"/>
        </w:rPr>
      </w:pPr>
      <w:r>
        <w:rPr>
          <w:rFonts w:hint="eastAsia" w:ascii="黑体" w:hAnsi="黑体" w:eastAsia="黑体"/>
          <w:b/>
          <w:sz w:val="28"/>
          <w:szCs w:val="28"/>
        </w:rPr>
        <w:t>9.特别说明：</w:t>
      </w:r>
    </w:p>
    <w:p w14:paraId="242D6501">
      <w:pPr>
        <w:ind w:firstLine="560" w:firstLineChars="200"/>
        <w:rPr>
          <w:sz w:val="28"/>
          <w:szCs w:val="28"/>
          <w:shd w:val="clear" w:color="auto" w:fill="FFFFFF"/>
        </w:rPr>
      </w:pPr>
      <w:r>
        <w:rPr>
          <w:rFonts w:hint="eastAsia"/>
          <w:sz w:val="28"/>
          <w:szCs w:val="28"/>
          <w:shd w:val="clear" w:color="auto" w:fill="FFFFFF"/>
        </w:rPr>
        <w:t>9.1投标人投标所使用的资格、信誉、荣誉、业绩与企业认证必须为本投标人所拥有。</w:t>
      </w:r>
    </w:p>
    <w:p w14:paraId="0498B3A1">
      <w:pPr>
        <w:ind w:firstLine="560" w:firstLineChars="200"/>
        <w:rPr>
          <w:sz w:val="28"/>
          <w:szCs w:val="28"/>
          <w:shd w:val="clear" w:color="auto" w:fill="FFFFFF"/>
        </w:rPr>
      </w:pPr>
      <w:r>
        <w:rPr>
          <w:rFonts w:hint="eastAsia"/>
          <w:sz w:val="28"/>
          <w:szCs w:val="28"/>
          <w:shd w:val="clear" w:color="auto" w:fill="FFFFFF"/>
        </w:rPr>
        <w:t>9.2 投标人代表只能接受一个投标人的委托参加投标。</w:t>
      </w:r>
    </w:p>
    <w:p w14:paraId="5FB61858">
      <w:pPr>
        <w:ind w:firstLine="560" w:firstLineChars="200"/>
        <w:rPr>
          <w:sz w:val="28"/>
          <w:szCs w:val="28"/>
          <w:shd w:val="clear" w:color="auto" w:fill="FFFFFF"/>
        </w:rPr>
      </w:pPr>
      <w:r>
        <w:rPr>
          <w:rFonts w:hint="eastAsia"/>
          <w:sz w:val="28"/>
          <w:szCs w:val="28"/>
          <w:shd w:val="clear" w:color="auto" w:fill="FFFFFF"/>
        </w:rPr>
        <w:t>9.3 《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7583AE5D">
      <w:pPr>
        <w:ind w:firstLine="560" w:firstLineChars="200"/>
        <w:rPr>
          <w:rFonts w:ascii="宋体" w:hAnsi="宋体" w:cs="宋体"/>
          <w:kern w:val="0"/>
          <w:sz w:val="28"/>
          <w:szCs w:val="28"/>
        </w:rPr>
      </w:pPr>
      <w:r>
        <w:rPr>
          <w:rFonts w:hint="eastAsia" w:ascii="宋体" w:hAnsi="宋体" w:cs="宋体"/>
          <w:kern w:val="0"/>
          <w:sz w:val="28"/>
          <w:szCs w:val="28"/>
        </w:rPr>
        <w:t>9.4投标人在投标活动中提供虚假材料或从事其他违法活动的,其投标无效，由相关部门查处。</w:t>
      </w:r>
    </w:p>
    <w:p w14:paraId="3566A432">
      <w:pPr>
        <w:ind w:firstLine="562" w:firstLineChars="200"/>
        <w:rPr>
          <w:rFonts w:ascii="黑体" w:hAnsi="黑体" w:eastAsia="黑体"/>
          <w:b/>
          <w:sz w:val="28"/>
          <w:szCs w:val="28"/>
        </w:rPr>
      </w:pPr>
      <w:r>
        <w:rPr>
          <w:rFonts w:hint="eastAsia" w:ascii="黑体" w:hAnsi="黑体" w:eastAsia="黑体"/>
          <w:b/>
          <w:sz w:val="28"/>
          <w:szCs w:val="28"/>
        </w:rPr>
        <w:t>10.质疑和投诉</w:t>
      </w:r>
    </w:p>
    <w:p w14:paraId="36F0FD0D">
      <w:pPr>
        <w:ind w:firstLine="560" w:firstLineChars="200"/>
        <w:rPr>
          <w:rFonts w:ascii="宋体" w:hAnsi="宋体"/>
          <w:sz w:val="28"/>
          <w:szCs w:val="28"/>
        </w:rPr>
      </w:pPr>
      <w:r>
        <w:rPr>
          <w:rFonts w:hint="eastAsia" w:ascii="宋体" w:hAnsi="宋体" w:cs="宋体"/>
          <w:bCs/>
          <w:kern w:val="0"/>
          <w:sz w:val="28"/>
          <w:szCs w:val="28"/>
        </w:rPr>
        <w:t>10.1投标人认为招标文件使自己的合法权益受到损害的，</w:t>
      </w:r>
      <w:r>
        <w:rPr>
          <w:rFonts w:hint="eastAsia" w:ascii="宋体" w:hAnsi="宋体" w:cs="宋体"/>
          <w:kern w:val="0"/>
          <w:sz w:val="28"/>
          <w:szCs w:val="28"/>
        </w:rPr>
        <w:t>应当在招标公告期限届满之日(或收到招标文件之日)起</w:t>
      </w:r>
      <w:r>
        <w:rPr>
          <w:rFonts w:hint="eastAsia" w:ascii="宋体" w:hAnsi="宋体"/>
          <w:kern w:val="0"/>
          <w:sz w:val="28"/>
          <w:szCs w:val="28"/>
        </w:rPr>
        <w:t>7个工作日之内</w:t>
      </w:r>
      <w:r>
        <w:rPr>
          <w:rFonts w:hint="eastAsia" w:ascii="宋体" w:hAnsi="宋体" w:cs="宋体"/>
          <w:kern w:val="0"/>
          <w:sz w:val="28"/>
          <w:szCs w:val="28"/>
        </w:rPr>
        <w:t>向</w:t>
      </w:r>
      <w:r>
        <w:rPr>
          <w:rFonts w:hint="eastAsia" w:ascii="宋体" w:hAnsi="宋体" w:cs="宋体"/>
          <w:bCs/>
          <w:kern w:val="0"/>
          <w:sz w:val="28"/>
          <w:szCs w:val="28"/>
        </w:rPr>
        <w:t>采购人或</w:t>
      </w:r>
      <w:r>
        <w:rPr>
          <w:rFonts w:hint="eastAsia" w:ascii="宋体" w:hAnsi="宋体" w:cs="宋体"/>
          <w:kern w:val="0"/>
          <w:sz w:val="28"/>
          <w:szCs w:val="28"/>
        </w:rPr>
        <w:t>采购代理机构</w:t>
      </w:r>
      <w:r>
        <w:rPr>
          <w:rFonts w:hint="eastAsia" w:ascii="宋体" w:hAnsi="宋体" w:cs="宋体"/>
          <w:bCs/>
          <w:kern w:val="0"/>
          <w:sz w:val="28"/>
          <w:szCs w:val="28"/>
        </w:rPr>
        <w:t>提出质疑；投标人认为招标过程和中标结果使自己的合法权益受到损害的，应当在知道或者应知其权益受到损害之日起7个工作日内提出质疑,</w:t>
      </w:r>
      <w:r>
        <w:rPr>
          <w:rFonts w:hint="eastAsia" w:ascii="宋体" w:hAnsi="宋体" w:cs="宋体"/>
          <w:kern w:val="0"/>
          <w:sz w:val="28"/>
          <w:szCs w:val="28"/>
        </w:rPr>
        <w:t>逾期不再受理,</w:t>
      </w:r>
      <w:r>
        <w:rPr>
          <w:rFonts w:hint="eastAsia" w:ascii="宋体" w:hAnsi="宋体" w:cs="宋体"/>
          <w:bCs/>
          <w:kern w:val="0"/>
          <w:sz w:val="28"/>
          <w:szCs w:val="28"/>
        </w:rPr>
        <w:t>投标人在法定质疑期内应一次性提出针对同一采购环节的质疑。</w:t>
      </w:r>
      <w:r>
        <w:rPr>
          <w:rFonts w:hint="eastAsia" w:ascii="宋体" w:hAnsi="宋体"/>
          <w:sz w:val="28"/>
          <w:szCs w:val="28"/>
        </w:rPr>
        <w:t>关于对招标程序、招标文件格式性条款、评审结果的询问和质疑,请向采购代理机构提出；关于对投标人特殊资质要求、技术参数和技术标准、商务要求、综合评分标准的询问和质疑，请向采购人提出。</w:t>
      </w:r>
    </w:p>
    <w:p w14:paraId="42EC2176">
      <w:pPr>
        <w:ind w:firstLine="560" w:firstLineChars="200"/>
        <w:rPr>
          <w:rFonts w:ascii="宋体" w:hAnsi="宋体" w:cs="宋体"/>
          <w:kern w:val="0"/>
          <w:sz w:val="28"/>
          <w:szCs w:val="28"/>
        </w:rPr>
      </w:pPr>
      <w:r>
        <w:rPr>
          <w:rFonts w:hint="eastAsia" w:ascii="宋体" w:hAnsi="宋体" w:cs="宋体"/>
          <w:kern w:val="0"/>
          <w:sz w:val="28"/>
          <w:szCs w:val="28"/>
        </w:rPr>
        <w:t>投标人对</w:t>
      </w:r>
      <w:r>
        <w:rPr>
          <w:rFonts w:hint="eastAsia" w:ascii="宋体" w:hAnsi="宋体" w:cs="宋体"/>
          <w:bCs/>
          <w:kern w:val="0"/>
          <w:sz w:val="28"/>
          <w:szCs w:val="28"/>
        </w:rPr>
        <w:t>采购人或采购代理机构</w:t>
      </w:r>
      <w:r>
        <w:rPr>
          <w:rFonts w:hint="eastAsia" w:ascii="宋体" w:hAnsi="宋体" w:cs="宋体"/>
          <w:kern w:val="0"/>
          <w:sz w:val="28"/>
          <w:szCs w:val="28"/>
        </w:rPr>
        <w:t>的质疑答复不满意,或</w:t>
      </w:r>
      <w:r>
        <w:rPr>
          <w:rFonts w:hint="eastAsia" w:ascii="宋体" w:hAnsi="宋体" w:cs="宋体"/>
          <w:bCs/>
          <w:kern w:val="0"/>
          <w:sz w:val="28"/>
          <w:szCs w:val="28"/>
        </w:rPr>
        <w:t>采购人或采购代理机构</w:t>
      </w:r>
      <w:r>
        <w:rPr>
          <w:rFonts w:hint="eastAsia" w:ascii="宋体" w:hAnsi="宋体" w:cs="宋体"/>
          <w:kern w:val="0"/>
          <w:sz w:val="28"/>
          <w:szCs w:val="28"/>
        </w:rPr>
        <w:t>未在规定时间内作出答复的，可以在答复期满后15个工作日内向同级财政部门投诉。</w:t>
      </w:r>
    </w:p>
    <w:p w14:paraId="6B82B1A8">
      <w:pPr>
        <w:ind w:firstLine="560" w:firstLineChars="200"/>
        <w:rPr>
          <w:rFonts w:ascii="宋体" w:hAnsi="宋体" w:cs="宋体"/>
          <w:bCs/>
          <w:kern w:val="0"/>
          <w:sz w:val="28"/>
          <w:szCs w:val="28"/>
        </w:rPr>
      </w:pPr>
      <w:r>
        <w:rPr>
          <w:rFonts w:hint="eastAsia" w:ascii="宋体" w:hAnsi="宋体" w:cs="宋体"/>
          <w:bCs/>
          <w:kern w:val="0"/>
          <w:sz w:val="28"/>
          <w:szCs w:val="28"/>
        </w:rPr>
        <w:t>10.2质疑、投诉应当采用书面形式。质疑书、投诉书均应明确阐述招标文件、招标过程和中标结果中使自己合法权益受到损害的实质性内容，提供相关事实、依据和证据及其来源或线索，便于有关单位调查、答复和处理。</w:t>
      </w:r>
    </w:p>
    <w:p w14:paraId="5065F27C">
      <w:pPr>
        <w:ind w:firstLine="562" w:firstLineChars="200"/>
        <w:rPr>
          <w:rFonts w:ascii="黑体" w:hAnsi="黑体" w:eastAsia="黑体"/>
          <w:b/>
          <w:sz w:val="28"/>
          <w:szCs w:val="28"/>
        </w:rPr>
      </w:pPr>
      <w:r>
        <w:rPr>
          <w:rFonts w:hint="eastAsia" w:ascii="黑体" w:hAnsi="黑体" w:eastAsia="黑体"/>
          <w:b/>
          <w:sz w:val="28"/>
          <w:szCs w:val="28"/>
        </w:rPr>
        <w:t>11.投标人的风险</w:t>
      </w:r>
    </w:p>
    <w:p w14:paraId="3FACD407">
      <w:pPr>
        <w:ind w:firstLine="560" w:firstLineChars="200"/>
        <w:rPr>
          <w:rFonts w:ascii="宋体" w:hAnsi="宋体" w:cs="宋体"/>
          <w:kern w:val="0"/>
          <w:sz w:val="28"/>
          <w:szCs w:val="28"/>
        </w:rPr>
      </w:pPr>
      <w:r>
        <w:rPr>
          <w:rFonts w:hint="eastAsia" w:ascii="宋体" w:hAnsi="宋体" w:cs="宋体"/>
          <w:kern w:val="0"/>
          <w:sz w:val="28"/>
          <w:szCs w:val="28"/>
        </w:rPr>
        <w:t>投标人没有按照招标文件要求提供全部资料，或者投标人没有对招标文件在各方面都作出实质性响应是投标人的风险，并可能导致其投标被拒绝。</w:t>
      </w:r>
    </w:p>
    <w:p w14:paraId="7BCB243A">
      <w:pPr>
        <w:ind w:firstLine="585"/>
        <w:jc w:val="center"/>
        <w:rPr>
          <w:rFonts w:ascii="黑体" w:hAnsi="黑体" w:eastAsia="黑体"/>
          <w:b/>
          <w:sz w:val="36"/>
          <w:szCs w:val="36"/>
        </w:rPr>
      </w:pPr>
      <w:r>
        <w:rPr>
          <w:rFonts w:hint="eastAsia" w:ascii="黑体" w:hAnsi="黑体" w:eastAsia="黑体"/>
          <w:b/>
          <w:sz w:val="36"/>
          <w:szCs w:val="36"/>
        </w:rPr>
        <w:t>二  招标文件</w:t>
      </w:r>
    </w:p>
    <w:p w14:paraId="5716BDF3">
      <w:pPr>
        <w:ind w:firstLine="562" w:firstLineChars="200"/>
        <w:rPr>
          <w:rFonts w:ascii="黑体" w:hAnsi="黑体" w:eastAsia="黑体"/>
          <w:b/>
          <w:sz w:val="28"/>
          <w:szCs w:val="28"/>
        </w:rPr>
      </w:pPr>
    </w:p>
    <w:p w14:paraId="4A3E96F1">
      <w:pPr>
        <w:ind w:firstLine="562" w:firstLineChars="200"/>
        <w:rPr>
          <w:rFonts w:ascii="黑体" w:hAnsi="黑体" w:eastAsia="黑体"/>
          <w:b/>
          <w:sz w:val="28"/>
          <w:szCs w:val="28"/>
        </w:rPr>
      </w:pPr>
      <w:r>
        <w:rPr>
          <w:rFonts w:hint="eastAsia" w:ascii="黑体" w:hAnsi="黑体" w:eastAsia="黑体"/>
          <w:b/>
          <w:sz w:val="28"/>
          <w:szCs w:val="28"/>
        </w:rPr>
        <w:t>12.招标文件的构成。本招标文件由以下部分组成：</w:t>
      </w:r>
    </w:p>
    <w:p w14:paraId="241EB3EB">
      <w:pPr>
        <w:ind w:firstLine="560" w:firstLineChars="200"/>
        <w:rPr>
          <w:rFonts w:ascii="宋体" w:hAnsi="宋体" w:cs="宋体"/>
          <w:kern w:val="0"/>
          <w:sz w:val="28"/>
          <w:szCs w:val="28"/>
        </w:rPr>
      </w:pPr>
      <w:r>
        <w:rPr>
          <w:rFonts w:hint="eastAsia" w:ascii="宋体" w:hAnsi="宋体" w:cs="宋体"/>
          <w:kern w:val="0"/>
          <w:sz w:val="28"/>
          <w:szCs w:val="28"/>
        </w:rPr>
        <w:t>12.1 招标公告</w:t>
      </w:r>
    </w:p>
    <w:p w14:paraId="4ADDC566">
      <w:pPr>
        <w:ind w:firstLine="560" w:firstLineChars="200"/>
        <w:rPr>
          <w:rFonts w:ascii="宋体" w:hAnsi="宋体" w:cs="宋体"/>
          <w:kern w:val="0"/>
          <w:sz w:val="28"/>
          <w:szCs w:val="28"/>
        </w:rPr>
      </w:pPr>
      <w:r>
        <w:rPr>
          <w:rFonts w:hint="eastAsia" w:ascii="宋体" w:hAnsi="宋体" w:cs="宋体"/>
          <w:kern w:val="0"/>
          <w:sz w:val="28"/>
          <w:szCs w:val="28"/>
        </w:rPr>
        <w:t>12.2 招标需求</w:t>
      </w:r>
    </w:p>
    <w:p w14:paraId="2A816270">
      <w:pPr>
        <w:ind w:firstLine="560" w:firstLineChars="200"/>
        <w:rPr>
          <w:rFonts w:ascii="宋体" w:hAnsi="宋体" w:cs="宋体"/>
          <w:kern w:val="0"/>
          <w:sz w:val="28"/>
          <w:szCs w:val="28"/>
        </w:rPr>
      </w:pPr>
      <w:r>
        <w:rPr>
          <w:rFonts w:hint="eastAsia" w:ascii="宋体" w:hAnsi="宋体" w:cs="宋体"/>
          <w:kern w:val="0"/>
          <w:sz w:val="28"/>
          <w:szCs w:val="28"/>
        </w:rPr>
        <w:t>12.3 投标人须知</w:t>
      </w:r>
    </w:p>
    <w:p w14:paraId="150437E7">
      <w:pPr>
        <w:ind w:firstLine="560" w:firstLineChars="200"/>
        <w:rPr>
          <w:rFonts w:ascii="宋体" w:hAnsi="宋体" w:cs="宋体"/>
          <w:kern w:val="0"/>
          <w:sz w:val="28"/>
          <w:szCs w:val="28"/>
        </w:rPr>
      </w:pPr>
      <w:r>
        <w:rPr>
          <w:rFonts w:hint="eastAsia" w:ascii="宋体" w:hAnsi="宋体" w:cs="宋体"/>
          <w:kern w:val="0"/>
          <w:sz w:val="28"/>
          <w:szCs w:val="28"/>
        </w:rPr>
        <w:t>12.4 评标办法及标准</w:t>
      </w:r>
    </w:p>
    <w:p w14:paraId="2B8903E5">
      <w:pPr>
        <w:ind w:firstLine="560" w:firstLineChars="200"/>
        <w:rPr>
          <w:rFonts w:ascii="宋体" w:hAnsi="宋体" w:cs="宋体"/>
          <w:kern w:val="0"/>
          <w:sz w:val="28"/>
          <w:szCs w:val="28"/>
        </w:rPr>
      </w:pPr>
      <w:r>
        <w:rPr>
          <w:rFonts w:hint="eastAsia" w:ascii="宋体" w:hAnsi="宋体" w:cs="宋体"/>
          <w:kern w:val="0"/>
          <w:sz w:val="28"/>
          <w:szCs w:val="28"/>
        </w:rPr>
        <w:t>12.5 合同主要条款</w:t>
      </w:r>
    </w:p>
    <w:p w14:paraId="3ECA49C1">
      <w:pPr>
        <w:ind w:firstLine="560" w:firstLineChars="200"/>
        <w:rPr>
          <w:rFonts w:ascii="宋体" w:hAnsi="宋体" w:cs="宋体"/>
          <w:kern w:val="0"/>
          <w:sz w:val="28"/>
          <w:szCs w:val="28"/>
        </w:rPr>
      </w:pPr>
      <w:r>
        <w:rPr>
          <w:rFonts w:hint="eastAsia" w:ascii="宋体" w:hAnsi="宋体" w:cs="宋体"/>
          <w:kern w:val="0"/>
          <w:sz w:val="28"/>
          <w:szCs w:val="28"/>
        </w:rPr>
        <w:t>12.6 投标文件格式</w:t>
      </w:r>
    </w:p>
    <w:p w14:paraId="0968A0A6">
      <w:pPr>
        <w:ind w:firstLine="562" w:firstLineChars="200"/>
        <w:rPr>
          <w:rFonts w:ascii="黑体" w:hAnsi="黑体" w:eastAsia="黑体"/>
          <w:b/>
          <w:sz w:val="28"/>
          <w:szCs w:val="28"/>
        </w:rPr>
      </w:pPr>
      <w:r>
        <w:rPr>
          <w:rFonts w:hint="eastAsia" w:ascii="黑体" w:hAnsi="黑体" w:eastAsia="黑体"/>
          <w:b/>
          <w:sz w:val="28"/>
          <w:szCs w:val="28"/>
        </w:rPr>
        <w:t>13.招标文件的澄清与修改</w:t>
      </w:r>
    </w:p>
    <w:p w14:paraId="3AD3852F">
      <w:pPr>
        <w:ind w:firstLine="560" w:firstLineChars="200"/>
        <w:rPr>
          <w:rFonts w:cs="宋体"/>
          <w:kern w:val="0"/>
          <w:sz w:val="28"/>
          <w:szCs w:val="28"/>
        </w:rPr>
      </w:pPr>
      <w:r>
        <w:rPr>
          <w:rFonts w:hint="eastAsia" w:ascii="宋体" w:hAnsi="宋体" w:cs="宋体"/>
          <w:kern w:val="0"/>
          <w:sz w:val="28"/>
          <w:szCs w:val="28"/>
        </w:rPr>
        <w:t>13.1</w:t>
      </w:r>
      <w:r>
        <w:rPr>
          <w:kern w:val="0"/>
          <w:sz w:val="28"/>
          <w:szCs w:val="28"/>
        </w:rPr>
        <w:t xml:space="preserve"> </w:t>
      </w:r>
      <w:r>
        <w:rPr>
          <w:rFonts w:hint="eastAsia" w:cs="宋体"/>
          <w:kern w:val="0"/>
          <w:sz w:val="28"/>
          <w:szCs w:val="28"/>
        </w:rPr>
        <w:t>采购代理机构对已发出的招标文件进行必要澄清、修改或补充的，应当在投标截止时间</w:t>
      </w:r>
      <w:r>
        <w:rPr>
          <w:kern w:val="0"/>
          <w:sz w:val="28"/>
          <w:szCs w:val="28"/>
        </w:rPr>
        <w:t>15</w:t>
      </w:r>
      <w:r>
        <w:rPr>
          <w:rFonts w:hint="eastAsia" w:cs="宋体"/>
          <w:bCs/>
          <w:kern w:val="0"/>
          <w:sz w:val="28"/>
          <w:szCs w:val="28"/>
        </w:rPr>
        <w:t>日（如至原定截止时间不足</w:t>
      </w:r>
      <w:r>
        <w:rPr>
          <w:rFonts w:hint="eastAsia" w:ascii="宋体" w:hAnsi="宋体" w:cs="宋体"/>
          <w:bCs/>
          <w:kern w:val="0"/>
          <w:sz w:val="28"/>
          <w:szCs w:val="28"/>
        </w:rPr>
        <w:t>15</w:t>
      </w:r>
      <w:r>
        <w:rPr>
          <w:rFonts w:hint="eastAsia" w:cs="宋体"/>
          <w:bCs/>
          <w:kern w:val="0"/>
          <w:sz w:val="28"/>
          <w:szCs w:val="28"/>
        </w:rPr>
        <w:t>日，则需延长开标时间，</w:t>
      </w:r>
      <w:r>
        <w:rPr>
          <w:rFonts w:hint="eastAsia" w:cs="Arial"/>
          <w:bCs/>
          <w:kern w:val="0"/>
          <w:sz w:val="28"/>
          <w:szCs w:val="28"/>
        </w:rPr>
        <w:t>招标文件获取时间、</w:t>
      </w:r>
      <w:r>
        <w:rPr>
          <w:rFonts w:hint="eastAsia" w:cs="宋体"/>
          <w:kern w:val="0"/>
          <w:sz w:val="28"/>
          <w:szCs w:val="28"/>
        </w:rPr>
        <w:t>递交样品截止时间等可以相应延长</w:t>
      </w:r>
      <w:r>
        <w:rPr>
          <w:rFonts w:hint="eastAsia" w:cs="宋体"/>
          <w:bCs/>
          <w:kern w:val="0"/>
          <w:sz w:val="28"/>
          <w:szCs w:val="28"/>
        </w:rPr>
        <w:t>）</w:t>
      </w:r>
      <w:r>
        <w:rPr>
          <w:rFonts w:hint="eastAsia" w:cs="宋体"/>
          <w:kern w:val="0"/>
          <w:sz w:val="28"/>
          <w:szCs w:val="28"/>
        </w:rPr>
        <w:t>前，在河南</w:t>
      </w:r>
      <w:r>
        <w:rPr>
          <w:rFonts w:hint="eastAsia" w:cs="Arial"/>
          <w:kern w:val="0"/>
          <w:sz w:val="28"/>
          <w:szCs w:val="28"/>
        </w:rPr>
        <w:t>省政府采购网、驻马店市公共资源交易中心网</w:t>
      </w:r>
      <w:r>
        <w:rPr>
          <w:rFonts w:ascii="宋体" w:hAnsi="宋体" w:cs="Arial"/>
          <w:kern w:val="0"/>
          <w:sz w:val="28"/>
          <w:szCs w:val="28"/>
        </w:rPr>
        <w:fldChar w:fldCharType="begin"/>
      </w:r>
      <w:r>
        <w:rPr>
          <w:rFonts w:ascii="宋体" w:hAnsi="宋体" w:cs="Arial"/>
          <w:kern w:val="0"/>
          <w:sz w:val="28"/>
          <w:szCs w:val="28"/>
        </w:rPr>
        <w:instrText xml:space="preserve"> HYPERLINK "http://www.sxztb.gov.cn/" </w:instrText>
      </w:r>
      <w:r>
        <w:rPr>
          <w:rFonts w:ascii="宋体" w:hAnsi="宋体" w:cs="Arial"/>
          <w:kern w:val="0"/>
          <w:sz w:val="28"/>
          <w:szCs w:val="28"/>
        </w:rPr>
        <w:fldChar w:fldCharType="separate"/>
      </w:r>
      <w:r>
        <w:rPr>
          <w:rFonts w:ascii="宋体" w:hAnsi="宋体" w:cs="Arial"/>
          <w:kern w:val="0"/>
          <w:sz w:val="28"/>
          <w:szCs w:val="28"/>
        </w:rPr>
        <w:fldChar w:fldCharType="end"/>
      </w:r>
      <w:r>
        <w:rPr>
          <w:rFonts w:hint="eastAsia" w:cs="Arial"/>
          <w:kern w:val="0"/>
          <w:sz w:val="28"/>
          <w:szCs w:val="28"/>
        </w:rPr>
        <w:t>等相关媒体</w:t>
      </w:r>
      <w:r>
        <w:rPr>
          <w:rFonts w:hint="eastAsia" w:cs="宋体"/>
          <w:kern w:val="0"/>
          <w:sz w:val="28"/>
          <w:szCs w:val="28"/>
        </w:rPr>
        <w:t>上发布更正公告或变更公告。</w:t>
      </w:r>
    </w:p>
    <w:p w14:paraId="15F293D2">
      <w:pPr>
        <w:ind w:firstLine="560" w:firstLineChars="200"/>
        <w:rPr>
          <w:rFonts w:ascii="宋体" w:hAnsi="宋体" w:cs="宋体"/>
          <w:kern w:val="0"/>
          <w:sz w:val="28"/>
          <w:szCs w:val="28"/>
        </w:rPr>
      </w:pPr>
      <w:r>
        <w:rPr>
          <w:rFonts w:hint="eastAsia" w:ascii="宋体" w:hAnsi="宋体" w:cs="宋体"/>
          <w:kern w:val="0"/>
          <w:sz w:val="28"/>
          <w:szCs w:val="28"/>
        </w:rPr>
        <w:t>13.2 招标文件澄清、修改或补充的内容为招标文件的组成部分。</w:t>
      </w:r>
    </w:p>
    <w:p w14:paraId="15ED3422">
      <w:pPr>
        <w:ind w:firstLine="560" w:firstLineChars="200"/>
        <w:rPr>
          <w:rFonts w:ascii="宋体" w:hAnsi="宋体" w:cs="宋体"/>
          <w:kern w:val="0"/>
          <w:sz w:val="28"/>
          <w:szCs w:val="28"/>
        </w:rPr>
      </w:pPr>
      <w:r>
        <w:rPr>
          <w:rFonts w:hint="eastAsia" w:ascii="宋体" w:hAnsi="宋体" w:cs="宋体"/>
          <w:kern w:val="0"/>
          <w:sz w:val="28"/>
          <w:szCs w:val="28"/>
        </w:rPr>
        <w:t>13.3 招标文件的澄清、修改或补充都应通过本代理机构以法定形式发布。采购人未通过本代理机构对招标文件进行的澄清、修改或补充无效，评标时不予认可。</w:t>
      </w:r>
    </w:p>
    <w:p w14:paraId="7F165C12">
      <w:pPr>
        <w:ind w:firstLine="560" w:firstLineChars="200"/>
        <w:rPr>
          <w:rFonts w:ascii="宋体" w:hAnsi="宋体" w:cs="宋体"/>
          <w:kern w:val="0"/>
          <w:sz w:val="28"/>
          <w:szCs w:val="28"/>
        </w:rPr>
      </w:pPr>
      <w:r>
        <w:rPr>
          <w:rFonts w:hint="eastAsia" w:ascii="宋体" w:hAnsi="宋体" w:cs="宋体"/>
          <w:kern w:val="0"/>
          <w:sz w:val="28"/>
          <w:szCs w:val="28"/>
        </w:rPr>
        <w:t>13.4 采购代理机构可以视采购具体情况延长投标截止时间和开标时间，但至少应当在投标截止时间3</w:t>
      </w:r>
      <w:r>
        <w:rPr>
          <w:rFonts w:hint="eastAsia" w:ascii="宋体" w:hAnsi="宋体" w:cs="宋体"/>
          <w:bCs/>
          <w:kern w:val="0"/>
          <w:sz w:val="28"/>
          <w:szCs w:val="28"/>
        </w:rPr>
        <w:t>日</w:t>
      </w:r>
      <w:r>
        <w:rPr>
          <w:rFonts w:hint="eastAsia" w:ascii="宋体" w:hAnsi="宋体" w:cs="宋体"/>
          <w:kern w:val="0"/>
          <w:sz w:val="28"/>
          <w:szCs w:val="28"/>
        </w:rPr>
        <w:t>前，将变更时间在河南</w:t>
      </w:r>
      <w:r>
        <w:rPr>
          <w:rFonts w:hint="eastAsia" w:ascii="宋体" w:hAnsi="宋体" w:cs="Arial"/>
          <w:kern w:val="0"/>
          <w:sz w:val="28"/>
          <w:szCs w:val="28"/>
        </w:rPr>
        <w:t>省政府采购网、驻马店市公共资源交易中心网</w:t>
      </w:r>
      <w:r>
        <w:rPr>
          <w:rFonts w:ascii="宋体" w:hAnsi="宋体" w:cs="Arial"/>
          <w:kern w:val="0"/>
          <w:sz w:val="28"/>
          <w:szCs w:val="28"/>
        </w:rPr>
        <w:fldChar w:fldCharType="begin"/>
      </w:r>
      <w:r>
        <w:rPr>
          <w:rFonts w:ascii="宋体" w:hAnsi="宋体" w:cs="Arial"/>
          <w:kern w:val="0"/>
          <w:sz w:val="28"/>
          <w:szCs w:val="28"/>
        </w:rPr>
        <w:instrText xml:space="preserve"> HYPERLINK "http://www.sxztb.gov.cn/" </w:instrText>
      </w:r>
      <w:r>
        <w:rPr>
          <w:rFonts w:ascii="宋体" w:hAnsi="宋体" w:cs="Arial"/>
          <w:kern w:val="0"/>
          <w:sz w:val="28"/>
          <w:szCs w:val="28"/>
        </w:rPr>
        <w:fldChar w:fldCharType="separate"/>
      </w:r>
      <w:r>
        <w:rPr>
          <w:rFonts w:ascii="宋体" w:hAnsi="宋体" w:cs="Arial"/>
          <w:kern w:val="0"/>
          <w:sz w:val="28"/>
          <w:szCs w:val="28"/>
        </w:rPr>
        <w:fldChar w:fldCharType="end"/>
      </w:r>
      <w:r>
        <w:rPr>
          <w:rFonts w:hint="eastAsia" w:ascii="宋体" w:hAnsi="宋体" w:cs="Arial"/>
          <w:kern w:val="0"/>
          <w:sz w:val="28"/>
          <w:szCs w:val="28"/>
        </w:rPr>
        <w:t>等相关媒体</w:t>
      </w:r>
      <w:r>
        <w:rPr>
          <w:rFonts w:hint="eastAsia" w:ascii="宋体" w:hAnsi="宋体" w:cs="宋体"/>
          <w:kern w:val="0"/>
          <w:sz w:val="28"/>
          <w:szCs w:val="28"/>
        </w:rPr>
        <w:t>上发布更正公告</w:t>
      </w:r>
      <w:r>
        <w:rPr>
          <w:rFonts w:hint="eastAsia" w:cs="宋体"/>
          <w:kern w:val="0"/>
          <w:sz w:val="28"/>
          <w:szCs w:val="28"/>
        </w:rPr>
        <w:t>或变更公告</w:t>
      </w:r>
      <w:r>
        <w:rPr>
          <w:rFonts w:hint="eastAsia" w:ascii="宋体" w:hAnsi="宋体" w:cs="宋体"/>
          <w:kern w:val="0"/>
          <w:sz w:val="28"/>
          <w:szCs w:val="28"/>
        </w:rPr>
        <w:t>。</w:t>
      </w:r>
    </w:p>
    <w:p w14:paraId="0FE94129">
      <w:pPr>
        <w:ind w:firstLine="643" w:firstLineChars="200"/>
        <w:rPr>
          <w:rFonts w:hint="eastAsia" w:ascii="宋体" w:hAnsi="宋体" w:cs="宋体"/>
          <w:b/>
          <w:kern w:val="0"/>
          <w:sz w:val="32"/>
          <w:szCs w:val="32"/>
        </w:rPr>
      </w:pPr>
      <w:r>
        <w:rPr>
          <w:rFonts w:hint="eastAsia" w:ascii="宋体" w:hAnsi="宋体" w:cs="宋体"/>
          <w:b/>
          <w:kern w:val="0"/>
          <w:sz w:val="32"/>
          <w:szCs w:val="32"/>
        </w:rPr>
        <w:t xml:space="preserve"> </w:t>
      </w:r>
    </w:p>
    <w:p w14:paraId="1759B0B0">
      <w:pPr>
        <w:widowControl/>
        <w:spacing w:line="360" w:lineRule="auto"/>
        <w:ind w:firstLine="200"/>
        <w:jc w:val="center"/>
        <w:rPr>
          <w:rFonts w:hint="eastAsia" w:ascii="黑体" w:hAnsi="宋体" w:eastAsia="黑体" w:cs="宋体"/>
          <w:b/>
          <w:kern w:val="0"/>
          <w:sz w:val="36"/>
          <w:szCs w:val="36"/>
        </w:rPr>
      </w:pPr>
      <w:r>
        <w:rPr>
          <w:rFonts w:hint="eastAsia" w:ascii="黑体" w:hAnsi="宋体" w:eastAsia="黑体" w:cs="宋体"/>
          <w:b/>
          <w:kern w:val="0"/>
          <w:sz w:val="36"/>
          <w:szCs w:val="36"/>
        </w:rPr>
        <w:t>三   投标文件的编制</w:t>
      </w:r>
    </w:p>
    <w:p w14:paraId="5B6692CF">
      <w:pPr>
        <w:widowControl/>
        <w:spacing w:line="360" w:lineRule="auto"/>
        <w:ind w:firstLine="567"/>
        <w:jc w:val="left"/>
        <w:rPr>
          <w:rFonts w:ascii="黑体" w:hAnsi="黑体" w:eastAsia="黑体"/>
          <w:b/>
          <w:sz w:val="28"/>
          <w:szCs w:val="28"/>
        </w:rPr>
      </w:pPr>
      <w:r>
        <w:rPr>
          <w:rFonts w:hint="eastAsia" w:ascii="黑体" w:hAnsi="黑体" w:eastAsia="黑体"/>
          <w:b/>
          <w:sz w:val="28"/>
          <w:szCs w:val="28"/>
        </w:rPr>
        <w:t>14.要求</w:t>
      </w:r>
    </w:p>
    <w:p w14:paraId="4C7988C0">
      <w:pPr>
        <w:ind w:firstLine="560" w:firstLineChars="200"/>
        <w:rPr>
          <w:rFonts w:ascii="宋体" w:hAnsi="宋体" w:cs="宋体"/>
          <w:kern w:val="0"/>
          <w:sz w:val="28"/>
          <w:szCs w:val="28"/>
        </w:rPr>
      </w:pPr>
      <w:r>
        <w:rPr>
          <w:rFonts w:hint="eastAsia" w:ascii="宋体" w:hAnsi="宋体" w:cs="宋体"/>
          <w:kern w:val="0"/>
          <w:sz w:val="28"/>
          <w:szCs w:val="28"/>
        </w:rPr>
        <w:t>14.1 投标人应仔细阅读招标文件的所有内容，按照招标文件</w:t>
      </w:r>
      <w:r>
        <w:rPr>
          <w:rFonts w:hint="eastAsia" w:ascii="宋体" w:hAnsi="宋体" w:cs="Lucida Sans Unicode"/>
          <w:kern w:val="0"/>
          <w:sz w:val="28"/>
          <w:szCs w:val="28"/>
        </w:rPr>
        <w:t>提供的格式编写投标文件，不得缺少或留空任何招标文件要求填写的表格或提交的资料。招标文件提供格式的按格式填列，未提供格式的可自行拟定。</w:t>
      </w:r>
      <w:r>
        <w:rPr>
          <w:rFonts w:hint="eastAsia" w:ascii="宋体" w:hAnsi="宋体" w:cs="宋体"/>
          <w:kern w:val="0"/>
          <w:sz w:val="28"/>
          <w:szCs w:val="28"/>
        </w:rPr>
        <w:t>投标文件应对招标文件的要求作出实质性响应（包括投标人资格要求、</w:t>
      </w:r>
      <w:r>
        <w:rPr>
          <w:rFonts w:hint="eastAsia" w:ascii="宋体" w:hAnsi="宋体"/>
          <w:sz w:val="28"/>
          <w:szCs w:val="28"/>
        </w:rPr>
        <w:t>技术参数和技术标准</w:t>
      </w:r>
      <w:r>
        <w:rPr>
          <w:rFonts w:hint="eastAsia" w:ascii="宋体" w:hAnsi="宋体" w:cs="宋体"/>
          <w:kern w:val="0"/>
          <w:sz w:val="28"/>
          <w:szCs w:val="28"/>
        </w:rPr>
        <w:t>、商务要求和</w:t>
      </w:r>
      <w:r>
        <w:rPr>
          <w:rFonts w:hint="eastAsia" w:ascii="宋体" w:hAnsi="宋体" w:cs="Lucida Sans Unicode"/>
          <w:kern w:val="0"/>
          <w:sz w:val="28"/>
          <w:szCs w:val="28"/>
        </w:rPr>
        <w:t>投标文件格式中对</w:t>
      </w:r>
      <w:r>
        <w:rPr>
          <w:rFonts w:hint="eastAsia" w:ascii="宋体" w:hAnsi="宋体" w:cs="宋体"/>
          <w:kern w:val="0"/>
          <w:sz w:val="28"/>
          <w:szCs w:val="28"/>
        </w:rPr>
        <w:t>投标的要求），投标人对所提供的全部资料的合法性、真实性负责。</w:t>
      </w:r>
    </w:p>
    <w:p w14:paraId="5ED0F6E9">
      <w:pPr>
        <w:ind w:firstLine="560" w:firstLineChars="200"/>
        <w:rPr>
          <w:rFonts w:ascii="宋体" w:hAnsi="宋体" w:cs="宋体"/>
          <w:kern w:val="0"/>
          <w:sz w:val="28"/>
          <w:szCs w:val="28"/>
        </w:rPr>
      </w:pPr>
      <w:r>
        <w:rPr>
          <w:rFonts w:ascii="宋体" w:hAnsi="宋体" w:cs="宋体"/>
          <w:kern w:val="0"/>
          <w:sz w:val="28"/>
          <w:szCs w:val="28"/>
        </w:rPr>
        <w:t xml:space="preserve">14.2 </w:t>
      </w:r>
      <w:r>
        <w:rPr>
          <w:rFonts w:hint="eastAsia" w:ascii="宋体" w:hAnsi="宋体" w:cs="宋体"/>
          <w:kern w:val="0"/>
          <w:sz w:val="28"/>
          <w:szCs w:val="28"/>
        </w:rPr>
        <w:t>投标人应完整签署投标文件格式附件中《投标书》和《抵制商业贿赂承诺》，不得增减或修改内容。否则视为对招标文件未作出实质性响应。</w:t>
      </w:r>
    </w:p>
    <w:p w14:paraId="78E6D048">
      <w:pPr>
        <w:ind w:firstLine="562" w:firstLineChars="200"/>
        <w:rPr>
          <w:rFonts w:ascii="黑体" w:hAnsi="黑体" w:eastAsia="黑体"/>
          <w:b/>
          <w:sz w:val="28"/>
          <w:szCs w:val="28"/>
        </w:rPr>
      </w:pPr>
      <w:r>
        <w:rPr>
          <w:rFonts w:hint="eastAsia" w:ascii="黑体" w:hAnsi="黑体" w:eastAsia="黑体"/>
          <w:b/>
          <w:sz w:val="28"/>
          <w:szCs w:val="28"/>
        </w:rPr>
        <w:t>15.投标文件的语言和计量单位</w:t>
      </w:r>
    </w:p>
    <w:p w14:paraId="169BDAAC">
      <w:pPr>
        <w:ind w:firstLine="560" w:firstLineChars="200"/>
        <w:rPr>
          <w:rFonts w:ascii="宋体" w:hAnsi="宋体" w:cs="宋体"/>
          <w:kern w:val="0"/>
          <w:sz w:val="28"/>
          <w:szCs w:val="28"/>
        </w:rPr>
      </w:pPr>
      <w:r>
        <w:rPr>
          <w:rFonts w:hint="eastAsia" w:ascii="宋体" w:hAnsi="宋体" w:cs="宋体"/>
          <w:kern w:val="0"/>
          <w:sz w:val="28"/>
          <w:szCs w:val="28"/>
        </w:rPr>
        <w:t>15.1投标文件以及投标人与采购人就有关投标事宜的所有来往函电均应使用简体中文书写。</w:t>
      </w:r>
    </w:p>
    <w:p w14:paraId="1E67E5E9">
      <w:pPr>
        <w:ind w:firstLine="560" w:firstLineChars="200"/>
        <w:rPr>
          <w:rFonts w:ascii="宋体" w:hAnsi="宋体" w:cs="宋体"/>
          <w:kern w:val="0"/>
          <w:sz w:val="28"/>
          <w:szCs w:val="28"/>
        </w:rPr>
      </w:pPr>
      <w:r>
        <w:rPr>
          <w:rFonts w:hint="eastAsia" w:ascii="宋体" w:hAnsi="宋体" w:cs="宋体"/>
          <w:kern w:val="0"/>
          <w:sz w:val="28"/>
          <w:szCs w:val="28"/>
        </w:rPr>
        <w:t>15.2 关于投标计量单位，招标文件已有明确规定的，使用招标文件规定的计量单位；招标文件没有规定的，应采用中华人民共和国法定计量单位。否则视为对招标文件未作出实质性响应。</w:t>
      </w:r>
    </w:p>
    <w:p w14:paraId="060516E3">
      <w:pPr>
        <w:ind w:firstLine="560" w:firstLineChars="200"/>
        <w:rPr>
          <w:rFonts w:ascii="宋体" w:hAnsi="宋体" w:cs="宋体"/>
          <w:spacing w:val="10"/>
          <w:kern w:val="0"/>
          <w:sz w:val="28"/>
          <w:szCs w:val="28"/>
        </w:rPr>
      </w:pPr>
      <w:r>
        <w:rPr>
          <w:rFonts w:hint="eastAsia" w:ascii="宋体" w:hAnsi="宋体" w:cs="宋体"/>
          <w:kern w:val="0"/>
          <w:sz w:val="28"/>
          <w:szCs w:val="28"/>
        </w:rPr>
        <w:t xml:space="preserve">15.3 </w:t>
      </w:r>
      <w:r>
        <w:rPr>
          <w:rFonts w:hint="eastAsia" w:ascii="宋体" w:hAnsi="宋体" w:cs="宋体"/>
          <w:spacing w:val="10"/>
          <w:kern w:val="0"/>
          <w:sz w:val="28"/>
          <w:szCs w:val="28"/>
        </w:rPr>
        <w:t>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68D92882">
      <w:pPr>
        <w:ind w:firstLine="562" w:firstLineChars="200"/>
        <w:rPr>
          <w:rFonts w:ascii="黑体" w:hAnsi="黑体" w:eastAsia="黑体"/>
          <w:b/>
          <w:sz w:val="28"/>
          <w:szCs w:val="28"/>
        </w:rPr>
      </w:pPr>
      <w:r>
        <w:rPr>
          <w:rFonts w:hint="eastAsia" w:ascii="黑体" w:hAnsi="黑体" w:eastAsia="黑体"/>
          <w:b/>
          <w:sz w:val="28"/>
          <w:szCs w:val="28"/>
        </w:rPr>
        <w:t>16.投标文件的组成。投标文件应包括下列部分：</w:t>
      </w:r>
    </w:p>
    <w:p w14:paraId="5016B9D6">
      <w:pPr>
        <w:ind w:firstLine="560" w:firstLineChars="200"/>
        <w:rPr>
          <w:rFonts w:ascii="宋体" w:hAnsi="宋体" w:cs="宋体"/>
          <w:kern w:val="0"/>
          <w:sz w:val="28"/>
          <w:szCs w:val="28"/>
        </w:rPr>
      </w:pPr>
      <w:r>
        <w:rPr>
          <w:rFonts w:hint="eastAsia" w:ascii="宋体" w:hAnsi="宋体" w:cs="宋体"/>
          <w:kern w:val="0"/>
          <w:sz w:val="28"/>
          <w:szCs w:val="28"/>
        </w:rPr>
        <w:t>16.1 投标书</w:t>
      </w:r>
    </w:p>
    <w:p w14:paraId="1121201C">
      <w:pPr>
        <w:ind w:firstLine="560" w:firstLineChars="200"/>
        <w:rPr>
          <w:rFonts w:ascii="宋体" w:hAnsi="宋体" w:cs="宋体"/>
          <w:kern w:val="0"/>
          <w:sz w:val="28"/>
          <w:szCs w:val="28"/>
        </w:rPr>
      </w:pPr>
      <w:r>
        <w:rPr>
          <w:rFonts w:hint="eastAsia" w:ascii="宋体" w:hAnsi="宋体" w:cs="宋体"/>
          <w:kern w:val="0"/>
          <w:sz w:val="28"/>
          <w:szCs w:val="28"/>
        </w:rPr>
        <w:t>16.2 开标一览表</w:t>
      </w:r>
    </w:p>
    <w:p w14:paraId="4771518F">
      <w:pPr>
        <w:ind w:firstLine="560" w:firstLineChars="200"/>
        <w:rPr>
          <w:rFonts w:ascii="宋体" w:hAnsi="宋体" w:cs="宋体"/>
          <w:kern w:val="0"/>
          <w:sz w:val="28"/>
          <w:szCs w:val="28"/>
        </w:rPr>
      </w:pPr>
      <w:r>
        <w:rPr>
          <w:rFonts w:hint="eastAsia" w:ascii="宋体" w:hAnsi="宋体" w:cs="宋体"/>
          <w:kern w:val="0"/>
          <w:sz w:val="28"/>
          <w:szCs w:val="28"/>
        </w:rPr>
        <w:t>16.3 投标报价明细表</w:t>
      </w:r>
    </w:p>
    <w:p w14:paraId="4B70BFE9">
      <w:pPr>
        <w:ind w:firstLine="560" w:firstLineChars="200"/>
        <w:rPr>
          <w:rFonts w:ascii="宋体" w:hAnsi="宋体" w:cs="宋体"/>
          <w:kern w:val="0"/>
          <w:sz w:val="28"/>
          <w:szCs w:val="28"/>
        </w:rPr>
      </w:pPr>
      <w:r>
        <w:rPr>
          <w:rFonts w:hint="eastAsia" w:ascii="宋体" w:hAnsi="宋体" w:cs="宋体"/>
          <w:kern w:val="0"/>
          <w:sz w:val="28"/>
          <w:szCs w:val="28"/>
        </w:rPr>
        <w:t>16.4 供货范围清单</w:t>
      </w:r>
    </w:p>
    <w:p w14:paraId="4C9BB282">
      <w:pPr>
        <w:ind w:firstLine="560" w:firstLineChars="200"/>
        <w:rPr>
          <w:rFonts w:ascii="宋体" w:hAnsi="宋体" w:cs="宋体"/>
          <w:kern w:val="0"/>
          <w:sz w:val="28"/>
          <w:szCs w:val="28"/>
        </w:rPr>
      </w:pPr>
      <w:r>
        <w:rPr>
          <w:rFonts w:hint="eastAsia" w:ascii="宋体" w:hAnsi="宋体" w:cs="宋体"/>
          <w:kern w:val="0"/>
          <w:sz w:val="28"/>
          <w:szCs w:val="28"/>
        </w:rPr>
        <w:t>16.5 技术响应表</w:t>
      </w:r>
    </w:p>
    <w:p w14:paraId="4E5D6473">
      <w:pPr>
        <w:ind w:firstLine="560" w:firstLineChars="200"/>
        <w:rPr>
          <w:rFonts w:ascii="宋体" w:hAnsi="宋体" w:cs="宋体"/>
          <w:kern w:val="0"/>
          <w:sz w:val="28"/>
          <w:szCs w:val="28"/>
        </w:rPr>
      </w:pPr>
      <w:r>
        <w:rPr>
          <w:rFonts w:hint="eastAsia" w:ascii="宋体" w:hAnsi="宋体" w:cs="宋体"/>
          <w:kern w:val="0"/>
          <w:sz w:val="28"/>
          <w:szCs w:val="28"/>
        </w:rPr>
        <w:t>16.6 商务响应表</w:t>
      </w:r>
    </w:p>
    <w:p w14:paraId="690185CF">
      <w:pPr>
        <w:ind w:firstLine="560" w:firstLineChars="200"/>
        <w:rPr>
          <w:rFonts w:ascii="宋体" w:hAnsi="宋体" w:cs="宋体"/>
          <w:kern w:val="0"/>
          <w:sz w:val="28"/>
          <w:szCs w:val="28"/>
        </w:rPr>
      </w:pPr>
      <w:r>
        <w:rPr>
          <w:rFonts w:hint="eastAsia" w:ascii="宋体" w:hAnsi="宋体" w:cs="宋体"/>
          <w:kern w:val="0"/>
          <w:sz w:val="28"/>
          <w:szCs w:val="28"/>
        </w:rPr>
        <w:t>16.7 法定代表人身份证明</w:t>
      </w:r>
    </w:p>
    <w:p w14:paraId="4807B4EC">
      <w:pPr>
        <w:ind w:firstLine="560" w:firstLineChars="200"/>
        <w:rPr>
          <w:rFonts w:ascii="宋体" w:hAnsi="宋体" w:cs="宋体"/>
          <w:kern w:val="0"/>
          <w:sz w:val="28"/>
          <w:szCs w:val="28"/>
        </w:rPr>
      </w:pPr>
      <w:r>
        <w:rPr>
          <w:rFonts w:hint="eastAsia" w:ascii="宋体" w:hAnsi="宋体" w:cs="宋体"/>
          <w:kern w:val="0"/>
          <w:sz w:val="28"/>
          <w:szCs w:val="28"/>
        </w:rPr>
        <w:t>16.8 法定代表人授权书</w:t>
      </w:r>
    </w:p>
    <w:p w14:paraId="5F25D971">
      <w:pPr>
        <w:ind w:firstLine="560" w:firstLineChars="200"/>
        <w:rPr>
          <w:rFonts w:ascii="宋体" w:hAnsi="宋体" w:cs="宋体"/>
          <w:kern w:val="0"/>
          <w:sz w:val="28"/>
          <w:szCs w:val="28"/>
        </w:rPr>
      </w:pPr>
      <w:r>
        <w:rPr>
          <w:rFonts w:hint="eastAsia" w:ascii="宋体" w:hAnsi="宋体" w:cs="宋体"/>
          <w:kern w:val="0"/>
          <w:sz w:val="28"/>
          <w:szCs w:val="28"/>
        </w:rPr>
        <w:t>16.9 证明文件</w:t>
      </w:r>
    </w:p>
    <w:p w14:paraId="775A7A36">
      <w:pPr>
        <w:ind w:firstLine="560" w:firstLineChars="200"/>
        <w:rPr>
          <w:rFonts w:hint="eastAsia" w:ascii="宋体" w:hAnsi="宋体" w:cs="宋体"/>
          <w:kern w:val="0"/>
          <w:sz w:val="28"/>
          <w:szCs w:val="28"/>
        </w:rPr>
      </w:pPr>
      <w:r>
        <w:rPr>
          <w:rFonts w:hint="eastAsia" w:ascii="宋体" w:hAnsi="宋体" w:cs="宋体"/>
          <w:kern w:val="0"/>
          <w:sz w:val="28"/>
          <w:szCs w:val="28"/>
        </w:rPr>
        <w:t>16.10 抵制商业贿赂承诺</w:t>
      </w:r>
    </w:p>
    <w:p w14:paraId="7C73C1CC">
      <w:pPr>
        <w:ind w:firstLine="560" w:firstLineChars="200"/>
        <w:rPr>
          <w:rFonts w:ascii="宋体" w:hAnsi="宋体" w:cs="宋体"/>
          <w:kern w:val="0"/>
          <w:sz w:val="28"/>
          <w:szCs w:val="28"/>
        </w:rPr>
      </w:pPr>
      <w:r>
        <w:rPr>
          <w:rFonts w:hint="eastAsia" w:ascii="宋体" w:hAnsi="宋体" w:cs="宋体"/>
          <w:kern w:val="0"/>
          <w:sz w:val="28"/>
          <w:szCs w:val="28"/>
        </w:rPr>
        <w:t>16.11投标人承诺函</w:t>
      </w:r>
    </w:p>
    <w:p w14:paraId="4ECA3E82">
      <w:pPr>
        <w:ind w:firstLine="562" w:firstLineChars="200"/>
        <w:rPr>
          <w:rFonts w:ascii="黑体" w:hAnsi="黑体" w:eastAsia="黑体"/>
          <w:b/>
          <w:sz w:val="28"/>
          <w:szCs w:val="28"/>
        </w:rPr>
      </w:pPr>
      <w:r>
        <w:rPr>
          <w:rFonts w:hint="eastAsia" w:ascii="黑体" w:hAnsi="黑体" w:eastAsia="黑体"/>
          <w:b/>
          <w:sz w:val="28"/>
          <w:szCs w:val="28"/>
        </w:rPr>
        <w:t>17.投标有效期</w:t>
      </w:r>
    </w:p>
    <w:p w14:paraId="49EF53D0">
      <w:pPr>
        <w:ind w:firstLine="560" w:firstLineChars="200"/>
        <w:rPr>
          <w:rFonts w:ascii="宋体" w:hAnsi="宋体" w:cs="Arial"/>
          <w:kern w:val="0"/>
          <w:sz w:val="28"/>
          <w:szCs w:val="28"/>
        </w:rPr>
      </w:pPr>
      <w:r>
        <w:rPr>
          <w:rFonts w:hint="eastAsia" w:ascii="宋体" w:hAnsi="宋体" w:cs="宋体"/>
          <w:kern w:val="0"/>
          <w:sz w:val="28"/>
          <w:szCs w:val="28"/>
        </w:rPr>
        <w:t>17.1 投标文件从招标公告所规定的投标截止时间之后开始生效，在</w:t>
      </w:r>
      <w:r>
        <w:rPr>
          <w:rFonts w:hint="eastAsia" w:ascii="宋体" w:hAnsi="宋体" w:cs="宋体"/>
          <w:bCs/>
          <w:kern w:val="0"/>
          <w:sz w:val="28"/>
          <w:szCs w:val="28"/>
        </w:rPr>
        <w:t>投标人须知前附表</w:t>
      </w:r>
      <w:r>
        <w:rPr>
          <w:rFonts w:hint="eastAsia" w:ascii="宋体" w:hAnsi="宋体" w:cs="宋体"/>
          <w:kern w:val="0"/>
          <w:sz w:val="28"/>
          <w:szCs w:val="28"/>
        </w:rPr>
        <w:t>第17项所规定的期限内保持有效。有效期不足将导致其投标文件被拒绝。</w:t>
      </w:r>
      <w:r>
        <w:rPr>
          <w:rFonts w:hint="eastAsia" w:ascii="宋体" w:hAnsi="宋体" w:cs="Arial"/>
          <w:kern w:val="0"/>
          <w:sz w:val="28"/>
          <w:szCs w:val="28"/>
        </w:rPr>
        <w:t>中标人的投标文件有效期至合同完全履行止。</w:t>
      </w:r>
    </w:p>
    <w:p w14:paraId="4A7AB6E6">
      <w:pPr>
        <w:ind w:firstLine="560" w:firstLineChars="200"/>
        <w:rPr>
          <w:rFonts w:ascii="宋体" w:hAnsi="宋体" w:cs="宋体"/>
          <w:kern w:val="0"/>
          <w:sz w:val="28"/>
          <w:szCs w:val="28"/>
        </w:rPr>
      </w:pPr>
      <w:r>
        <w:rPr>
          <w:rFonts w:hint="eastAsia" w:ascii="宋体" w:hAnsi="宋体" w:cs="宋体"/>
          <w:kern w:val="0"/>
          <w:sz w:val="28"/>
          <w:szCs w:val="28"/>
        </w:rPr>
        <w:t>17.2特殊情况下采购代理机构可于投标有效期满之前书面要求投标人同意延长有效期，投标人应在采购代理机构规定的期限内以书面形式予以答复。投标人可以拒绝上述要求而其投标保证金（如有）可按规定予以退还。投标人答复不明确或者逾期未答复的，均视为拒绝上述要求。对于接受该要求的投标人，既不要求也不允许其修改投标文件，但将要求其相应延长投标保证金（如有）有效期，有关退还和不予退还投标保证金（如有）的规定在投标有效期延长期内继续有效。</w:t>
      </w:r>
    </w:p>
    <w:p w14:paraId="7DDD2F4B">
      <w:pPr>
        <w:ind w:firstLine="562" w:firstLineChars="200"/>
        <w:rPr>
          <w:rFonts w:ascii="黑体" w:hAnsi="黑体" w:eastAsia="黑体"/>
          <w:b/>
          <w:sz w:val="28"/>
          <w:szCs w:val="28"/>
        </w:rPr>
      </w:pPr>
      <w:r>
        <w:rPr>
          <w:rFonts w:hint="eastAsia" w:ascii="黑体" w:hAnsi="黑体" w:eastAsia="黑体"/>
          <w:b/>
          <w:sz w:val="28"/>
          <w:szCs w:val="28"/>
        </w:rPr>
        <w:t>18.投标报价</w:t>
      </w:r>
    </w:p>
    <w:p w14:paraId="63EBF79A">
      <w:pPr>
        <w:ind w:firstLine="560" w:firstLineChars="200"/>
        <w:rPr>
          <w:rFonts w:ascii="宋体" w:hAnsi="宋体" w:cs="宋体"/>
          <w:kern w:val="0"/>
          <w:sz w:val="28"/>
          <w:szCs w:val="28"/>
        </w:rPr>
      </w:pPr>
      <w:r>
        <w:rPr>
          <w:rFonts w:hint="eastAsia" w:ascii="宋体" w:hAnsi="宋体" w:cs="Lucida Sans Unicode"/>
          <w:kern w:val="0"/>
          <w:sz w:val="28"/>
          <w:szCs w:val="28"/>
        </w:rPr>
        <w:t>18.1 所有投标报价均以人民币元为计算单位。</w:t>
      </w:r>
      <w:r>
        <w:rPr>
          <w:rFonts w:hint="eastAsia" w:ascii="宋体" w:hAnsi="宋体" w:cs="Lucida Sans Unicode"/>
          <w:kern w:val="0"/>
          <w:sz w:val="28"/>
          <w:szCs w:val="28"/>
          <w:lang w:val="en-US" w:eastAsia="zh-CN"/>
        </w:rPr>
        <w:t>投标人的投标报价为完成本项目服务内容产生的所有费用。</w:t>
      </w:r>
      <w:r>
        <w:rPr>
          <w:rFonts w:hint="eastAsia" w:ascii="宋体" w:hAnsi="宋体" w:cs="宋体"/>
          <w:kern w:val="0"/>
          <w:sz w:val="28"/>
          <w:szCs w:val="28"/>
        </w:rPr>
        <w:t>。</w:t>
      </w:r>
    </w:p>
    <w:p w14:paraId="666ED77B">
      <w:pPr>
        <w:ind w:firstLine="560" w:firstLineChars="200"/>
        <w:rPr>
          <w:rFonts w:ascii="宋体" w:hAnsi="宋体" w:cs="Lucida Sans Unicode"/>
          <w:kern w:val="0"/>
          <w:sz w:val="28"/>
          <w:szCs w:val="28"/>
        </w:rPr>
      </w:pPr>
      <w:r>
        <w:rPr>
          <w:rFonts w:hint="eastAsia" w:ascii="宋体" w:hAnsi="宋体" w:cs="Lucida Sans Unicode"/>
          <w:kern w:val="0"/>
          <w:sz w:val="28"/>
          <w:szCs w:val="28"/>
        </w:rPr>
        <w:t>18.2 投标人要按开标一览表、投标报价明细表的内容填写。</w:t>
      </w:r>
    </w:p>
    <w:p w14:paraId="4E5292E8">
      <w:pPr>
        <w:ind w:firstLine="560" w:firstLineChars="200"/>
        <w:rPr>
          <w:rFonts w:ascii="宋体" w:hAnsi="宋体" w:cs="宋体"/>
          <w:spacing w:val="10"/>
          <w:kern w:val="0"/>
          <w:sz w:val="28"/>
          <w:szCs w:val="28"/>
        </w:rPr>
      </w:pPr>
      <w:r>
        <w:rPr>
          <w:rFonts w:hint="eastAsia" w:ascii="宋体" w:hAnsi="宋体" w:cs="Lucida Sans Unicode"/>
          <w:kern w:val="0"/>
          <w:sz w:val="28"/>
          <w:szCs w:val="28"/>
        </w:rPr>
        <w:t xml:space="preserve">18.3 </w:t>
      </w:r>
      <w:r>
        <w:rPr>
          <w:rFonts w:hint="eastAsia" w:ascii="宋体" w:hAnsi="宋体" w:cs="宋体"/>
          <w:spacing w:val="10"/>
          <w:kern w:val="0"/>
          <w:sz w:val="28"/>
          <w:szCs w:val="28"/>
        </w:rPr>
        <w:t>投标人投报多标包的，应对每标包分别报价并分别填报开标一览表。</w:t>
      </w:r>
    </w:p>
    <w:p w14:paraId="3E4D3DCF">
      <w:pPr>
        <w:ind w:firstLine="560" w:firstLineChars="200"/>
        <w:rPr>
          <w:rFonts w:ascii="宋体" w:hAnsi="宋体" w:cs="Lucida Sans Unicode"/>
          <w:kern w:val="0"/>
          <w:sz w:val="28"/>
          <w:szCs w:val="28"/>
        </w:rPr>
      </w:pPr>
      <w:r>
        <w:rPr>
          <w:rFonts w:hint="eastAsia" w:ascii="宋体" w:hAnsi="宋体" w:cs="Lucida Sans Unicode"/>
          <w:kern w:val="0"/>
          <w:sz w:val="28"/>
          <w:szCs w:val="28"/>
        </w:rPr>
        <w:t>18.4 开标一览表中标明的价格在政府采购合同执行过程中是固定不变的，投标人不得以任何理由予以变更。以可调整的价格提交的投标将被作为无效投标处理。</w:t>
      </w:r>
    </w:p>
    <w:p w14:paraId="2824EE5E">
      <w:pPr>
        <w:ind w:firstLine="560" w:firstLineChars="200"/>
        <w:rPr>
          <w:rFonts w:ascii="宋体" w:hAnsi="宋体" w:cs="Lucida Sans Unicode"/>
          <w:kern w:val="0"/>
          <w:sz w:val="28"/>
          <w:szCs w:val="28"/>
        </w:rPr>
      </w:pPr>
      <w:r>
        <w:rPr>
          <w:rFonts w:hint="eastAsia" w:ascii="宋体" w:hAnsi="宋体" w:cs="Lucida Sans Unicode"/>
          <w:kern w:val="0"/>
          <w:sz w:val="28"/>
          <w:szCs w:val="28"/>
        </w:rPr>
        <w:t>18.5 采购代理机构不接受可选择的投标报价。</w:t>
      </w:r>
    </w:p>
    <w:p w14:paraId="60BB1AC0">
      <w:pPr>
        <w:ind w:firstLine="560" w:firstLineChars="200"/>
        <w:rPr>
          <w:rFonts w:ascii="宋体" w:hAnsi="宋体" w:cs="Lucida Sans Unicode"/>
          <w:kern w:val="0"/>
          <w:sz w:val="28"/>
          <w:szCs w:val="28"/>
        </w:rPr>
      </w:pPr>
      <w:r>
        <w:rPr>
          <w:rFonts w:hint="eastAsia" w:ascii="宋体" w:hAnsi="宋体" w:cs="Lucida Sans Unicode"/>
          <w:kern w:val="0"/>
          <w:sz w:val="28"/>
          <w:szCs w:val="28"/>
        </w:rPr>
        <w:t>18.6 对于投标人在开标一览表和投标文件中列出的赠送条款，在评审时不得作为价格评分因素或者调整评标价格的依据。</w:t>
      </w:r>
    </w:p>
    <w:p w14:paraId="2401B731">
      <w:pPr>
        <w:ind w:firstLine="560" w:firstLineChars="200"/>
        <w:rPr>
          <w:rFonts w:hint="eastAsia" w:ascii="宋体" w:hAnsi="宋体" w:cs="Lucida Sans Unicode"/>
          <w:kern w:val="0"/>
          <w:sz w:val="28"/>
          <w:szCs w:val="28"/>
        </w:rPr>
      </w:pPr>
      <w:r>
        <w:rPr>
          <w:rFonts w:hint="eastAsia" w:ascii="宋体" w:hAnsi="宋体" w:cs="Lucida Sans Unicode"/>
          <w:kern w:val="0"/>
          <w:sz w:val="28"/>
          <w:szCs w:val="28"/>
        </w:rPr>
        <w:t>18.7 对于有配件、耗材、选件和特殊工具的产品，还应填报投标产品配件、耗材、选件表和备件及特殊工具清单，注明品牌、型号、产地、功能、单价、批量折扣等内容，该表格式由投标人自行设计。为便于评标，投标人应按照上述要求分类报价，采购人有权按照投标人的配件、耗材、选件表和备件及特殊工具清单报价签订采购政府采购合同的权利。</w:t>
      </w:r>
    </w:p>
    <w:p w14:paraId="0C7BBD31">
      <w:pPr>
        <w:ind w:firstLine="562" w:firstLineChars="200"/>
        <w:rPr>
          <w:rFonts w:ascii="黑体" w:hAnsi="黑体" w:eastAsia="黑体"/>
          <w:b/>
          <w:sz w:val="28"/>
          <w:szCs w:val="28"/>
        </w:rPr>
      </w:pPr>
      <w:r>
        <w:rPr>
          <w:rFonts w:hint="eastAsia" w:ascii="黑体" w:hAnsi="黑体" w:eastAsia="黑体"/>
          <w:b/>
          <w:sz w:val="28"/>
          <w:szCs w:val="28"/>
        </w:rPr>
        <w:t>19.投标保证金</w:t>
      </w:r>
    </w:p>
    <w:p w14:paraId="27C3B247">
      <w:pPr>
        <w:widowControl/>
        <w:spacing w:line="460" w:lineRule="exact"/>
        <w:ind w:firstLine="560" w:firstLineChars="200"/>
        <w:jc w:val="left"/>
        <w:rPr>
          <w:rFonts w:hint="eastAsia" w:ascii="宋体" w:hAnsi="宋体" w:cs="Lucida Sans Unicode"/>
          <w:kern w:val="0"/>
          <w:sz w:val="28"/>
          <w:szCs w:val="28"/>
        </w:rPr>
      </w:pPr>
      <w:r>
        <w:rPr>
          <w:rFonts w:hint="eastAsia" w:ascii="宋体" w:hAnsi="宋体" w:cs="Lucida Sans Unicode"/>
          <w:kern w:val="0"/>
          <w:sz w:val="28"/>
          <w:szCs w:val="28"/>
        </w:rPr>
        <w:t>本项目不收取投标保证金。</w:t>
      </w:r>
    </w:p>
    <w:p w14:paraId="2E80C7C7">
      <w:pPr>
        <w:ind w:firstLine="562" w:firstLineChars="200"/>
        <w:rPr>
          <w:rFonts w:ascii="黑体" w:hAnsi="黑体" w:eastAsia="黑体"/>
          <w:b/>
          <w:sz w:val="28"/>
          <w:szCs w:val="28"/>
        </w:rPr>
      </w:pPr>
      <w:r>
        <w:rPr>
          <w:rFonts w:hint="eastAsia" w:ascii="黑体" w:hAnsi="黑体" w:eastAsia="黑体"/>
          <w:b/>
          <w:sz w:val="28"/>
          <w:szCs w:val="28"/>
        </w:rPr>
        <w:t>20.投标文件的式样和签署</w:t>
      </w:r>
    </w:p>
    <w:p w14:paraId="0B3B8E45">
      <w:pPr>
        <w:ind w:firstLine="560" w:firstLineChars="200"/>
        <w:rPr>
          <w:rFonts w:ascii="仿宋_GB2312" w:hAnsi="宋体" w:cs="宋体"/>
          <w:kern w:val="0"/>
          <w:sz w:val="28"/>
          <w:szCs w:val="28"/>
        </w:rPr>
      </w:pPr>
      <w:r>
        <w:rPr>
          <w:rFonts w:hint="eastAsia" w:ascii="宋体" w:hAnsi="宋体" w:cs="宋体"/>
          <w:kern w:val="0"/>
          <w:sz w:val="28"/>
          <w:szCs w:val="28"/>
        </w:rPr>
        <w:t>20.1投标人应</w:t>
      </w:r>
      <w:r>
        <w:rPr>
          <w:rFonts w:hint="eastAsia" w:ascii="仿宋_GB2312" w:hAnsi="宋体" w:cs="宋体"/>
          <w:kern w:val="0"/>
          <w:sz w:val="28"/>
          <w:szCs w:val="28"/>
        </w:rPr>
        <w:t>按本招标文件规定的格式和顺序编制投标文件</w:t>
      </w:r>
      <w:r>
        <w:rPr>
          <w:rFonts w:hint="eastAsia" w:ascii="宋体" w:hAnsi="宋体" w:cs="宋体"/>
          <w:kern w:val="0"/>
          <w:sz w:val="28"/>
          <w:szCs w:val="28"/>
        </w:rPr>
        <w:t>。</w:t>
      </w:r>
      <w:r>
        <w:rPr>
          <w:rFonts w:hint="eastAsia" w:ascii="宋体" w:hAnsi="宋体" w:cs="Arial"/>
          <w:kern w:val="0"/>
          <w:sz w:val="28"/>
          <w:szCs w:val="28"/>
        </w:rPr>
        <w:t>除了投标文件封面以外，每个页面应在明显位置编制页码，按流水顺序填写，字迹必须清晰可认，投标文件的目录应编序。</w:t>
      </w:r>
      <w:r>
        <w:rPr>
          <w:rFonts w:hint="eastAsia" w:ascii="宋体" w:hAnsi="宋体" w:cs="宋体"/>
          <w:kern w:val="0"/>
          <w:sz w:val="28"/>
          <w:szCs w:val="28"/>
        </w:rPr>
        <w:t>投标文件内容不完整、编排混乱导致投标文件被误读、漏读或</w:t>
      </w:r>
      <w:r>
        <w:rPr>
          <w:rFonts w:hint="eastAsia" w:ascii="仿宋_GB2312" w:hAnsi="宋体" w:cs="宋体"/>
          <w:kern w:val="0"/>
          <w:sz w:val="28"/>
          <w:szCs w:val="28"/>
        </w:rPr>
        <w:t>者查找不到相关内容的，由投标人负责。</w:t>
      </w:r>
    </w:p>
    <w:p w14:paraId="4E56FE24">
      <w:pPr>
        <w:ind w:firstLine="560" w:firstLineChars="200"/>
        <w:rPr>
          <w:rFonts w:ascii="宋体" w:hAnsi="宋体" w:cs="宋体"/>
          <w:kern w:val="0"/>
          <w:sz w:val="28"/>
          <w:szCs w:val="28"/>
        </w:rPr>
      </w:pPr>
      <w:r>
        <w:rPr>
          <w:rFonts w:hint="eastAsia" w:ascii="宋体" w:hAnsi="宋体" w:cs="宋体"/>
          <w:kern w:val="0"/>
          <w:sz w:val="28"/>
          <w:szCs w:val="28"/>
        </w:rPr>
        <w:t>20.2投标文件（.zmdtf格式）是根据“驻马店市公共资源交易中心电子</w:t>
      </w:r>
      <w:r>
        <w:rPr>
          <w:rFonts w:ascii="宋体" w:hAnsi="宋体" w:cs="宋体"/>
          <w:kern w:val="0"/>
          <w:sz w:val="28"/>
          <w:szCs w:val="28"/>
        </w:rPr>
        <w:t>交易平台</w:t>
      </w:r>
      <w:r>
        <w:rPr>
          <w:rFonts w:hint="eastAsia" w:ascii="宋体" w:hAnsi="宋体" w:cs="宋体"/>
          <w:kern w:val="0"/>
          <w:sz w:val="28"/>
          <w:szCs w:val="28"/>
        </w:rPr>
        <w:t>”下载的电子招标文件，制作生成的加密版投标文件。</w:t>
      </w:r>
    </w:p>
    <w:p w14:paraId="05975224">
      <w:pPr>
        <w:ind w:firstLine="560" w:firstLineChars="200"/>
        <w:rPr>
          <w:rFonts w:ascii="宋体" w:hAnsi="宋体" w:cs="宋体"/>
          <w:kern w:val="0"/>
          <w:sz w:val="28"/>
          <w:szCs w:val="28"/>
        </w:rPr>
      </w:pPr>
      <w:r>
        <w:rPr>
          <w:rFonts w:hint="eastAsia" w:ascii="宋体" w:hAnsi="宋体" w:cs="宋体"/>
          <w:kern w:val="0"/>
          <w:sz w:val="28"/>
          <w:szCs w:val="28"/>
        </w:rPr>
        <w:t>20.3 投标人应提交证明其拟供货物符合招标文件要求的技术响应文件，该文件可以是文字资料、图纸和数据，并须提供货物主要技术性能的详细描述。</w:t>
      </w:r>
    </w:p>
    <w:p w14:paraId="6ABEAF79">
      <w:pPr>
        <w:ind w:firstLine="560" w:firstLineChars="200"/>
        <w:rPr>
          <w:rFonts w:ascii="宋体" w:hAnsi="宋体" w:cs="宋体"/>
          <w:kern w:val="0"/>
          <w:sz w:val="28"/>
          <w:szCs w:val="28"/>
        </w:rPr>
      </w:pPr>
      <w:r>
        <w:rPr>
          <w:rFonts w:hint="eastAsia" w:ascii="宋体" w:hAnsi="宋体" w:cs="宋体"/>
          <w:kern w:val="0"/>
          <w:sz w:val="28"/>
          <w:szCs w:val="28"/>
        </w:rPr>
        <w:t>20.4投标人在编制电子投标文件时，根据招标文件的要求用法人CA秘钥和企业CA秘钥进行签章制作。生成电子投标文件时，只能用本单位的企业CA秘钥。生成后的电子投标文件须按招标文件的格式要求完成电子签字或盖章。“开标一览表”报价将作为电子开标的唱标依据。</w:t>
      </w:r>
    </w:p>
    <w:p w14:paraId="2506EDB7">
      <w:pPr>
        <w:ind w:firstLine="560" w:firstLineChars="200"/>
        <w:rPr>
          <w:rFonts w:ascii="宋体" w:hAnsi="宋体" w:cs="宋体"/>
          <w:kern w:val="0"/>
          <w:sz w:val="28"/>
          <w:szCs w:val="28"/>
        </w:rPr>
      </w:pPr>
      <w:r>
        <w:rPr>
          <w:rFonts w:hint="eastAsia" w:ascii="宋体" w:hAnsi="宋体" w:cs="宋体"/>
          <w:kern w:val="0"/>
          <w:sz w:val="28"/>
          <w:szCs w:val="28"/>
        </w:rPr>
        <w:t>20.5不接受电报、电传和传真的投标文件。</w:t>
      </w:r>
    </w:p>
    <w:p w14:paraId="4CA70F04">
      <w:pPr>
        <w:ind w:firstLine="560" w:firstLineChars="200"/>
        <w:rPr>
          <w:rFonts w:ascii="宋体" w:hAnsi="宋体" w:cs="宋体"/>
          <w:kern w:val="0"/>
          <w:sz w:val="28"/>
          <w:szCs w:val="28"/>
        </w:rPr>
      </w:pPr>
      <w:r>
        <w:rPr>
          <w:rFonts w:hint="eastAsia" w:ascii="宋体" w:hAnsi="宋体" w:cs="宋体"/>
          <w:kern w:val="0"/>
          <w:sz w:val="28"/>
          <w:szCs w:val="28"/>
        </w:rPr>
        <w:t>20.6 全套投标文件应无涂改和行间插字，除非这些改动是为改正投标人造成的必须修改的错误而进行的。有改动时，修改处应由投标人代表签署证明或加盖公章，但非投标人出具的材料，投标人改动无效。未按本须知规定的格式填写投标文件或投标文件字迹模糊不清，导致评标委员无法认定是否实质性响应招标文件的,其投标将被作为无效投标。</w:t>
      </w:r>
    </w:p>
    <w:p w14:paraId="2B20B8D2">
      <w:pPr>
        <w:ind w:firstLine="560" w:firstLineChars="200"/>
        <w:rPr>
          <w:rFonts w:hint="eastAsia" w:ascii="仿宋_GB2312" w:hAnsi="宋体" w:eastAsia="仿宋_GB2312" w:cs="宋体"/>
          <w:kern w:val="0"/>
          <w:sz w:val="28"/>
          <w:szCs w:val="28"/>
        </w:rPr>
      </w:pPr>
      <w:r>
        <w:rPr>
          <w:rFonts w:hint="eastAsia" w:ascii="宋体" w:hAnsi="宋体" w:cs="宋体"/>
          <w:kern w:val="0"/>
          <w:sz w:val="28"/>
          <w:szCs w:val="28"/>
        </w:rPr>
        <w:t>20.7 电子投标文件制作流程。可参考驻马店市公共资源交易中心官方网站的下载中心板块的视频（</w:t>
      </w:r>
      <w:r>
        <w:rPr>
          <w:rFonts w:hint="eastAsia" w:ascii="宋体" w:hAnsi="宋体" w:cs="宋体"/>
          <w:kern w:val="0"/>
          <w:sz w:val="28"/>
          <w:szCs w:val="28"/>
          <w:lang w:eastAsia="zh-CN"/>
        </w:rPr>
        <w:t>http://ggzy.zhumadian.gov.cn</w:t>
      </w:r>
      <w:r>
        <w:rPr>
          <w:rFonts w:ascii="宋体" w:hAnsi="宋体" w:cs="宋体"/>
          <w:kern w:val="0"/>
          <w:sz w:val="28"/>
          <w:szCs w:val="28"/>
        </w:rPr>
        <w:t>/TPFront/InfoDetail/?InfoID=844e0ea7-2b6c-425d-99f6-91bd5b500e5e&amp;CategoryNum=026002</w:t>
      </w:r>
      <w:r>
        <w:rPr>
          <w:rFonts w:hint="eastAsia" w:ascii="宋体" w:hAnsi="宋体" w:cs="宋体"/>
          <w:kern w:val="0"/>
          <w:sz w:val="28"/>
          <w:szCs w:val="28"/>
        </w:rPr>
        <w:t>）</w:t>
      </w:r>
    </w:p>
    <w:p w14:paraId="3C08674B">
      <w:pPr>
        <w:widowControl/>
        <w:spacing w:line="360" w:lineRule="auto"/>
        <w:ind w:firstLine="2554" w:firstLineChars="795"/>
        <w:jc w:val="left"/>
        <w:rPr>
          <w:rFonts w:hint="eastAsia" w:ascii="宋体" w:hAnsi="宋体" w:cs="宋体"/>
          <w:b/>
          <w:kern w:val="0"/>
          <w:sz w:val="32"/>
          <w:szCs w:val="32"/>
        </w:rPr>
      </w:pPr>
      <w:r>
        <w:rPr>
          <w:rFonts w:hint="eastAsia" w:ascii="宋体" w:hAnsi="宋体" w:cs="宋体"/>
          <w:b/>
          <w:kern w:val="0"/>
          <w:sz w:val="32"/>
          <w:szCs w:val="32"/>
        </w:rPr>
        <w:t xml:space="preserve"> </w:t>
      </w:r>
    </w:p>
    <w:p w14:paraId="6BEE23BA">
      <w:pPr>
        <w:widowControl/>
        <w:spacing w:line="360" w:lineRule="auto"/>
        <w:jc w:val="center"/>
        <w:rPr>
          <w:rFonts w:hint="eastAsia" w:ascii="黑体" w:hAnsi="宋体" w:eastAsia="黑体" w:cs="宋体"/>
          <w:b/>
          <w:kern w:val="0"/>
          <w:sz w:val="36"/>
          <w:szCs w:val="36"/>
        </w:rPr>
      </w:pPr>
      <w:r>
        <w:rPr>
          <w:rFonts w:hint="eastAsia" w:ascii="黑体" w:hAnsi="宋体" w:eastAsia="黑体" w:cs="宋体"/>
          <w:b/>
          <w:kern w:val="0"/>
          <w:sz w:val="36"/>
          <w:szCs w:val="36"/>
        </w:rPr>
        <w:t>四  投标文件的上传、递交</w:t>
      </w:r>
    </w:p>
    <w:p w14:paraId="0EDEDA7C">
      <w:pPr>
        <w:widowControl/>
        <w:spacing w:line="360" w:lineRule="auto"/>
        <w:ind w:firstLine="560" w:firstLineChars="200"/>
        <w:jc w:val="left"/>
        <w:rPr>
          <w:rFonts w:ascii="宋体" w:hAnsi="宋体" w:cs="宋体"/>
          <w:kern w:val="0"/>
          <w:sz w:val="28"/>
          <w:szCs w:val="28"/>
        </w:rPr>
      </w:pPr>
    </w:p>
    <w:p w14:paraId="1656EEEA">
      <w:pPr>
        <w:ind w:firstLine="562" w:firstLineChars="200"/>
        <w:rPr>
          <w:rFonts w:ascii="黑体" w:hAnsi="黑体" w:eastAsia="黑体"/>
          <w:b/>
          <w:sz w:val="28"/>
          <w:szCs w:val="28"/>
        </w:rPr>
      </w:pPr>
      <w:r>
        <w:rPr>
          <w:rFonts w:hint="eastAsia" w:ascii="黑体" w:hAnsi="黑体" w:eastAsia="黑体"/>
          <w:b/>
          <w:sz w:val="28"/>
          <w:szCs w:val="28"/>
        </w:rPr>
        <w:t>21.投标文件的加密、标记</w:t>
      </w:r>
    </w:p>
    <w:p w14:paraId="5BF78332">
      <w:pPr>
        <w:ind w:firstLine="560" w:firstLineChars="200"/>
        <w:rPr>
          <w:rFonts w:ascii="宋体" w:hAnsi="宋体" w:cs="宋体"/>
          <w:kern w:val="0"/>
          <w:sz w:val="28"/>
          <w:szCs w:val="28"/>
        </w:rPr>
      </w:pPr>
      <w:r>
        <w:rPr>
          <w:rFonts w:hint="eastAsia" w:ascii="宋体" w:hAnsi="宋体" w:cs="宋体"/>
          <w:kern w:val="0"/>
          <w:sz w:val="28"/>
          <w:szCs w:val="28"/>
        </w:rPr>
        <w:t>21.1投标人应在投标截止时间前上传加密的电子投标文件（.zmdtf格式）。</w:t>
      </w:r>
    </w:p>
    <w:p w14:paraId="17E70959">
      <w:pPr>
        <w:ind w:firstLine="560" w:firstLineChars="200"/>
        <w:rPr>
          <w:rFonts w:hint="eastAsia" w:ascii="宋体" w:hAnsi="宋体" w:cs="宋体"/>
          <w:kern w:val="0"/>
          <w:sz w:val="28"/>
          <w:szCs w:val="28"/>
        </w:rPr>
      </w:pPr>
      <w:r>
        <w:rPr>
          <w:rFonts w:hint="eastAsia" w:ascii="宋体" w:hAnsi="宋体" w:cs="宋体"/>
          <w:kern w:val="0"/>
          <w:sz w:val="28"/>
          <w:szCs w:val="28"/>
        </w:rPr>
        <w:t>21.2投标人因驻马店市公共资源交易中心电子</w:t>
      </w:r>
      <w:r>
        <w:rPr>
          <w:rFonts w:ascii="宋体" w:hAnsi="宋体" w:cs="宋体"/>
          <w:kern w:val="0"/>
          <w:sz w:val="28"/>
          <w:szCs w:val="28"/>
        </w:rPr>
        <w:t>交易</w:t>
      </w:r>
      <w:r>
        <w:rPr>
          <w:rFonts w:hint="eastAsia" w:ascii="宋体" w:hAnsi="宋体" w:cs="宋体"/>
          <w:kern w:val="0"/>
          <w:sz w:val="28"/>
          <w:szCs w:val="28"/>
        </w:rPr>
        <w:t>平台不见面交易系统出现问题无法上传电子投标文件时，请与江苏国泰新点软件有限公司联系，联系电话：0396-2613088</w:t>
      </w:r>
    </w:p>
    <w:p w14:paraId="484DF998">
      <w:pPr>
        <w:ind w:firstLine="562" w:firstLineChars="200"/>
        <w:rPr>
          <w:rFonts w:ascii="黑体" w:hAnsi="黑体" w:eastAsia="黑体"/>
          <w:b/>
          <w:sz w:val="28"/>
          <w:szCs w:val="28"/>
        </w:rPr>
      </w:pPr>
      <w:r>
        <w:rPr>
          <w:rFonts w:hint="eastAsia" w:ascii="黑体" w:hAnsi="黑体" w:eastAsia="黑体"/>
          <w:b/>
          <w:sz w:val="28"/>
          <w:szCs w:val="28"/>
        </w:rPr>
        <w:t>22.投标文件的上传、递交</w:t>
      </w:r>
    </w:p>
    <w:p w14:paraId="30351198">
      <w:pPr>
        <w:ind w:firstLine="560" w:firstLineChars="200"/>
        <w:rPr>
          <w:rFonts w:ascii="宋体" w:hAnsi="宋体" w:cs="宋体"/>
          <w:kern w:val="0"/>
          <w:sz w:val="28"/>
          <w:szCs w:val="28"/>
        </w:rPr>
      </w:pPr>
      <w:r>
        <w:rPr>
          <w:rFonts w:hint="eastAsia" w:ascii="宋体" w:hAnsi="宋体" w:cs="宋体"/>
          <w:kern w:val="0"/>
          <w:sz w:val="28"/>
          <w:szCs w:val="28"/>
        </w:rPr>
        <w:t>22.1投标人应在招标公告中规定的投标截止时间前将制作好的电子投标文件加密上传至驻马店市公共资源交易中心电子交易平台，</w:t>
      </w:r>
      <w:r>
        <w:rPr>
          <w:rFonts w:hint="eastAsia" w:ascii="宋体" w:hAnsi="宋体"/>
          <w:b/>
          <w:sz w:val="28"/>
          <w:szCs w:val="28"/>
        </w:rPr>
        <w:t>逾期上传其投标将被拒绝。</w:t>
      </w:r>
    </w:p>
    <w:p w14:paraId="634786CE">
      <w:pPr>
        <w:ind w:firstLine="562" w:firstLineChars="200"/>
        <w:rPr>
          <w:rFonts w:ascii="黑体" w:hAnsi="黑体" w:eastAsia="黑体"/>
          <w:b/>
          <w:sz w:val="28"/>
          <w:szCs w:val="28"/>
        </w:rPr>
      </w:pPr>
      <w:r>
        <w:rPr>
          <w:rFonts w:hint="eastAsia" w:ascii="黑体" w:hAnsi="黑体" w:eastAsia="黑体"/>
          <w:b/>
          <w:sz w:val="28"/>
          <w:szCs w:val="28"/>
        </w:rPr>
        <w:t>23.投标文件的修改和撤回</w:t>
      </w:r>
    </w:p>
    <w:p w14:paraId="10C89CFD">
      <w:pPr>
        <w:ind w:firstLine="560" w:firstLineChars="200"/>
        <w:rPr>
          <w:rFonts w:ascii="宋体" w:hAnsi="宋体" w:cs="宋体"/>
          <w:kern w:val="0"/>
          <w:sz w:val="28"/>
          <w:szCs w:val="28"/>
        </w:rPr>
      </w:pPr>
      <w:r>
        <w:rPr>
          <w:rFonts w:hint="eastAsia" w:ascii="宋体" w:hAnsi="宋体" w:cs="宋体"/>
          <w:kern w:val="0"/>
          <w:sz w:val="28"/>
          <w:szCs w:val="28"/>
        </w:rPr>
        <w:t>23.1 投标人在投标截止时间前，可以对所提交的投标文件进行补充、修改或者撤回，并书面通知采购代理机构。补充、修改的内容和撤回通知应当按本须知要求签署、盖章、加密，并作为投标文件的组成部分。</w:t>
      </w:r>
    </w:p>
    <w:p w14:paraId="3280D095">
      <w:pPr>
        <w:ind w:firstLine="560" w:firstLineChars="200"/>
        <w:rPr>
          <w:rFonts w:hint="eastAsia" w:ascii="宋体" w:hAnsi="宋体" w:cs="宋体"/>
          <w:kern w:val="0"/>
          <w:sz w:val="24"/>
        </w:rPr>
      </w:pPr>
      <w:r>
        <w:rPr>
          <w:rFonts w:hint="eastAsia" w:ascii="宋体" w:hAnsi="宋体" w:cs="宋体"/>
          <w:kern w:val="0"/>
          <w:sz w:val="28"/>
          <w:szCs w:val="28"/>
        </w:rPr>
        <w:t>23.2 投标人在投标截止时间后不得修改、撤回投标文件。投标人在投标截止时间后修改投标文件的，其投标将被拒绝。</w:t>
      </w:r>
    </w:p>
    <w:p w14:paraId="69824811">
      <w:pPr>
        <w:widowControl/>
        <w:spacing w:line="360" w:lineRule="auto"/>
        <w:ind w:firstLine="3357" w:firstLineChars="1045"/>
        <w:jc w:val="left"/>
        <w:rPr>
          <w:rFonts w:hint="eastAsia" w:ascii="黑体" w:hAnsi="宋体" w:eastAsia="黑体" w:cs="宋体"/>
          <w:b/>
          <w:kern w:val="0"/>
          <w:sz w:val="32"/>
          <w:szCs w:val="32"/>
        </w:rPr>
      </w:pPr>
      <w:r>
        <w:rPr>
          <w:rFonts w:hint="eastAsia" w:ascii="黑体" w:hAnsi="宋体" w:eastAsia="黑体" w:cs="宋体"/>
          <w:b/>
          <w:kern w:val="0"/>
          <w:sz w:val="32"/>
          <w:szCs w:val="32"/>
        </w:rPr>
        <w:t xml:space="preserve"> </w:t>
      </w:r>
    </w:p>
    <w:p w14:paraId="01BB5DBC">
      <w:pPr>
        <w:widowControl/>
        <w:spacing w:line="360" w:lineRule="auto"/>
        <w:jc w:val="center"/>
        <w:rPr>
          <w:rFonts w:hint="eastAsia" w:ascii="黑体" w:hAnsi="宋体" w:eastAsia="黑体" w:cs="宋体"/>
          <w:b/>
          <w:kern w:val="0"/>
          <w:sz w:val="36"/>
          <w:szCs w:val="36"/>
        </w:rPr>
      </w:pPr>
      <w:r>
        <w:rPr>
          <w:rFonts w:hint="eastAsia" w:ascii="黑体" w:hAnsi="宋体" w:eastAsia="黑体" w:cs="宋体"/>
          <w:b/>
          <w:kern w:val="0"/>
          <w:sz w:val="36"/>
          <w:szCs w:val="36"/>
        </w:rPr>
        <w:t>五   开标</w:t>
      </w:r>
    </w:p>
    <w:p w14:paraId="1DC0A6D2">
      <w:pPr>
        <w:widowControl/>
        <w:spacing w:line="360" w:lineRule="auto"/>
        <w:ind w:firstLine="3357" w:firstLineChars="1045"/>
        <w:jc w:val="left"/>
        <w:rPr>
          <w:rFonts w:hint="eastAsia" w:ascii="黑体" w:hAnsi="宋体" w:eastAsia="黑体" w:cs="宋体"/>
          <w:b/>
          <w:kern w:val="0"/>
          <w:sz w:val="32"/>
          <w:szCs w:val="32"/>
        </w:rPr>
      </w:pPr>
      <w:r>
        <w:rPr>
          <w:rFonts w:hint="eastAsia" w:ascii="黑体" w:hAnsi="宋体" w:eastAsia="黑体" w:cs="宋体"/>
          <w:b/>
          <w:kern w:val="0"/>
          <w:sz w:val="32"/>
          <w:szCs w:val="32"/>
        </w:rPr>
        <w:t xml:space="preserve"> </w:t>
      </w:r>
    </w:p>
    <w:p w14:paraId="4FE85CC4">
      <w:pPr>
        <w:ind w:firstLine="562" w:firstLineChars="200"/>
        <w:rPr>
          <w:rFonts w:ascii="黑体" w:hAnsi="黑体" w:eastAsia="黑体"/>
          <w:b/>
          <w:sz w:val="28"/>
          <w:szCs w:val="28"/>
        </w:rPr>
      </w:pPr>
      <w:r>
        <w:rPr>
          <w:rFonts w:hint="eastAsia" w:ascii="黑体" w:hAnsi="黑体" w:eastAsia="黑体"/>
          <w:b/>
          <w:sz w:val="28"/>
          <w:szCs w:val="28"/>
        </w:rPr>
        <w:t>24.开标、唱标</w:t>
      </w:r>
    </w:p>
    <w:p w14:paraId="4198D5BE">
      <w:pPr>
        <w:ind w:firstLine="560" w:firstLineChars="200"/>
        <w:rPr>
          <w:rFonts w:ascii="宋体" w:hAnsi="宋体" w:cs="宋体"/>
          <w:kern w:val="0"/>
          <w:sz w:val="28"/>
          <w:szCs w:val="28"/>
        </w:rPr>
      </w:pPr>
      <w:r>
        <w:rPr>
          <w:rFonts w:hint="eastAsia" w:ascii="宋体" w:hAnsi="宋体" w:cs="宋体"/>
          <w:kern w:val="0"/>
          <w:sz w:val="28"/>
          <w:szCs w:val="28"/>
        </w:rPr>
        <w:t>24.1 在招标公告中规定的时间、地点开标。</w:t>
      </w:r>
    </w:p>
    <w:p w14:paraId="2B263762">
      <w:pPr>
        <w:ind w:firstLine="560" w:firstLineChars="200"/>
        <w:rPr>
          <w:rFonts w:ascii="宋体" w:hAnsi="宋体" w:cs="宋体"/>
          <w:kern w:val="0"/>
          <w:sz w:val="28"/>
          <w:szCs w:val="28"/>
        </w:rPr>
      </w:pPr>
      <w:r>
        <w:rPr>
          <w:rFonts w:hint="eastAsia" w:ascii="宋体" w:hAnsi="宋体" w:cs="宋体"/>
          <w:kern w:val="0"/>
          <w:sz w:val="28"/>
          <w:szCs w:val="28"/>
        </w:rPr>
        <w:t>24.2 开标由采购代理机构主持，采购人、投标人和有关方面代表参加。</w:t>
      </w:r>
    </w:p>
    <w:p w14:paraId="57311DF4">
      <w:pPr>
        <w:ind w:firstLine="560" w:firstLineChars="200"/>
        <w:rPr>
          <w:rFonts w:ascii="宋体" w:hAnsi="宋体" w:cs="宋体"/>
          <w:kern w:val="0"/>
          <w:sz w:val="28"/>
          <w:szCs w:val="28"/>
        </w:rPr>
      </w:pPr>
      <w:r>
        <w:rPr>
          <w:rFonts w:hint="eastAsia" w:ascii="宋体" w:hAnsi="宋体" w:cs="宋体"/>
          <w:kern w:val="0"/>
          <w:sz w:val="28"/>
          <w:szCs w:val="28"/>
        </w:rPr>
        <w:t>24.3开标时，首先，各投标人应在规定时间内对本单位的加密投标文件进行解密，然后代理机构工作人员对所有投标文件进行解密。如投标人自身原因解密失败，其投标将被拒绝。</w:t>
      </w:r>
    </w:p>
    <w:p w14:paraId="00172F8F">
      <w:pPr>
        <w:ind w:firstLine="560" w:firstLineChars="200"/>
        <w:rPr>
          <w:rFonts w:ascii="宋体" w:hAnsi="宋体" w:cs="宋体"/>
          <w:kern w:val="0"/>
          <w:sz w:val="28"/>
          <w:szCs w:val="28"/>
        </w:rPr>
      </w:pPr>
      <w:r>
        <w:rPr>
          <w:rFonts w:hint="eastAsia" w:ascii="宋体" w:hAnsi="宋体" w:cs="宋体"/>
          <w:kern w:val="0"/>
          <w:sz w:val="28"/>
          <w:szCs w:val="28"/>
        </w:rPr>
        <w:t>24.4 解密完成后，系统将自动唱标，公布各投标人 开标一览表的内容。</w:t>
      </w:r>
    </w:p>
    <w:p w14:paraId="38DC01A9">
      <w:pPr>
        <w:ind w:firstLine="560" w:firstLineChars="200"/>
        <w:rPr>
          <w:rFonts w:ascii="宋体" w:hAnsi="宋体" w:cs="宋体"/>
          <w:kern w:val="0"/>
          <w:sz w:val="28"/>
          <w:szCs w:val="28"/>
        </w:rPr>
      </w:pPr>
      <w:r>
        <w:rPr>
          <w:rFonts w:hint="eastAsia" w:ascii="宋体" w:hAnsi="宋体" w:cs="宋体"/>
          <w:kern w:val="0"/>
          <w:sz w:val="28"/>
          <w:szCs w:val="28"/>
        </w:rPr>
        <w:t>24.5 采购代理机构对唱标内容做开标记录，由采购人、采购代理机构共同签字确认。</w:t>
      </w:r>
    </w:p>
    <w:p w14:paraId="5FA893F7">
      <w:pPr>
        <w:ind w:firstLine="560" w:firstLineChars="200"/>
        <w:rPr>
          <w:rFonts w:ascii="宋体" w:hAnsi="宋体" w:cs="Lucida Sans Unicode"/>
          <w:kern w:val="0"/>
          <w:sz w:val="28"/>
          <w:szCs w:val="28"/>
        </w:rPr>
      </w:pPr>
      <w:r>
        <w:rPr>
          <w:rFonts w:hint="eastAsia" w:ascii="宋体" w:hAnsi="宋体" w:cs="Lucida Sans Unicode"/>
          <w:kern w:val="0"/>
          <w:sz w:val="28"/>
          <w:szCs w:val="28"/>
        </w:rPr>
        <w:t>24.6投标人在投标时有下列情形之一的，采购代理机构将拒绝接受其投标文件：</w:t>
      </w:r>
    </w:p>
    <w:p w14:paraId="3DC11DD3">
      <w:pPr>
        <w:ind w:firstLine="560" w:firstLineChars="200"/>
        <w:rPr>
          <w:rFonts w:ascii="宋体" w:hAnsi="宋体" w:cs="Lucida Sans Unicode"/>
          <w:kern w:val="0"/>
          <w:sz w:val="28"/>
          <w:szCs w:val="28"/>
        </w:rPr>
      </w:pPr>
      <w:r>
        <w:rPr>
          <w:rFonts w:hint="eastAsia" w:ascii="宋体" w:hAnsi="宋体" w:cs="Lucida Sans Unicode"/>
          <w:kern w:val="0"/>
          <w:sz w:val="28"/>
          <w:szCs w:val="28"/>
        </w:rPr>
        <w:t>24.6.1 在招标文件规定的投标截止时间之后投标的。</w:t>
      </w:r>
    </w:p>
    <w:p w14:paraId="023701E7">
      <w:pPr>
        <w:ind w:firstLine="560" w:firstLineChars="200"/>
        <w:rPr>
          <w:rFonts w:ascii="宋体" w:hAnsi="宋体" w:cs="Lucida Sans Unicode"/>
          <w:kern w:val="0"/>
          <w:sz w:val="28"/>
          <w:szCs w:val="28"/>
        </w:rPr>
      </w:pPr>
      <w:r>
        <w:rPr>
          <w:rFonts w:hint="eastAsia" w:ascii="宋体" w:hAnsi="宋体" w:cs="Lucida Sans Unicode"/>
          <w:kern w:val="0"/>
          <w:sz w:val="28"/>
          <w:szCs w:val="28"/>
        </w:rPr>
        <w:t>24.6.2 投标文件未按招标文件规定加密的。</w:t>
      </w:r>
    </w:p>
    <w:p w14:paraId="0D4EF56E">
      <w:pPr>
        <w:ind w:firstLine="560" w:firstLineChars="200"/>
        <w:rPr>
          <w:rFonts w:ascii="宋体" w:hAnsi="宋体" w:cs="Lucida Sans Unicode"/>
          <w:kern w:val="0"/>
          <w:sz w:val="28"/>
          <w:szCs w:val="28"/>
        </w:rPr>
      </w:pPr>
      <w:r>
        <w:rPr>
          <w:rFonts w:hint="eastAsia" w:ascii="宋体" w:hAnsi="宋体" w:cs="Lucida Sans Unicode"/>
          <w:kern w:val="0"/>
          <w:sz w:val="28"/>
          <w:szCs w:val="28"/>
        </w:rPr>
        <w:t>24.6.3 未进行网上下载领取招标文件参加投标的。</w:t>
      </w:r>
    </w:p>
    <w:p w14:paraId="7CDBBFEF">
      <w:pPr>
        <w:ind w:firstLine="560" w:firstLineChars="200"/>
        <w:rPr>
          <w:rFonts w:ascii="宋体" w:hAnsi="宋体" w:cs="Lucida Sans Unicode"/>
          <w:kern w:val="0"/>
          <w:sz w:val="28"/>
          <w:szCs w:val="28"/>
        </w:rPr>
      </w:pPr>
      <w:r>
        <w:rPr>
          <w:rFonts w:hint="eastAsia" w:ascii="宋体" w:hAnsi="宋体" w:cs="Lucida Sans Unicode"/>
          <w:kern w:val="0"/>
          <w:sz w:val="28"/>
          <w:szCs w:val="28"/>
        </w:rPr>
        <w:t>24.6.4 未提交投标保证金的（若收取）。</w:t>
      </w:r>
    </w:p>
    <w:p w14:paraId="69C89267">
      <w:pPr>
        <w:ind w:firstLine="560" w:firstLineChars="200"/>
        <w:rPr>
          <w:rFonts w:hint="eastAsia" w:ascii="宋体" w:hAnsi="宋体" w:cs="宋体"/>
          <w:kern w:val="0"/>
          <w:sz w:val="28"/>
          <w:szCs w:val="28"/>
        </w:rPr>
      </w:pPr>
      <w:r>
        <w:rPr>
          <w:rFonts w:hint="eastAsia" w:ascii="宋体" w:hAnsi="宋体" w:cs="宋体"/>
          <w:kern w:val="0"/>
          <w:sz w:val="28"/>
          <w:szCs w:val="28"/>
        </w:rPr>
        <w:t>24.6.5 一个投标人不只递交一套投标文件的。</w:t>
      </w:r>
    </w:p>
    <w:p w14:paraId="3749B2D6">
      <w:pPr>
        <w:widowControl/>
        <w:spacing w:line="360" w:lineRule="auto"/>
        <w:ind w:firstLine="3036" w:firstLineChars="945"/>
        <w:jc w:val="left"/>
        <w:rPr>
          <w:rFonts w:hint="eastAsia" w:ascii="黑体" w:hAnsi="宋体" w:eastAsia="黑体" w:cs="宋体"/>
          <w:b/>
          <w:kern w:val="0"/>
          <w:sz w:val="32"/>
          <w:szCs w:val="32"/>
        </w:rPr>
      </w:pPr>
      <w:r>
        <w:rPr>
          <w:rFonts w:hint="eastAsia" w:ascii="黑体" w:hAnsi="宋体" w:eastAsia="黑体" w:cs="宋体"/>
          <w:b/>
          <w:kern w:val="0"/>
          <w:sz w:val="32"/>
          <w:szCs w:val="32"/>
        </w:rPr>
        <w:t xml:space="preserve"> </w:t>
      </w:r>
    </w:p>
    <w:p w14:paraId="7A75D7F4">
      <w:pPr>
        <w:widowControl/>
        <w:spacing w:line="360" w:lineRule="auto"/>
        <w:jc w:val="center"/>
        <w:rPr>
          <w:rFonts w:hint="eastAsia" w:ascii="黑体" w:hAnsi="宋体" w:eastAsia="黑体" w:cs="宋体"/>
          <w:b/>
          <w:kern w:val="0"/>
          <w:sz w:val="36"/>
          <w:szCs w:val="36"/>
        </w:rPr>
      </w:pPr>
      <w:r>
        <w:rPr>
          <w:rFonts w:hint="eastAsia" w:ascii="黑体" w:hAnsi="宋体" w:eastAsia="黑体" w:cs="宋体"/>
          <w:b/>
          <w:kern w:val="0"/>
          <w:sz w:val="36"/>
          <w:szCs w:val="36"/>
        </w:rPr>
        <w:t>六   评标</w:t>
      </w:r>
    </w:p>
    <w:p w14:paraId="1553A865">
      <w:pPr>
        <w:widowControl/>
        <w:spacing w:line="360" w:lineRule="auto"/>
        <w:ind w:firstLine="3036" w:firstLineChars="945"/>
        <w:jc w:val="left"/>
        <w:rPr>
          <w:rFonts w:hint="eastAsia" w:ascii="黑体" w:hAnsi="宋体" w:eastAsia="黑体" w:cs="宋体"/>
          <w:b/>
          <w:kern w:val="0"/>
          <w:sz w:val="32"/>
          <w:szCs w:val="32"/>
        </w:rPr>
      </w:pPr>
      <w:r>
        <w:rPr>
          <w:rFonts w:hint="eastAsia" w:ascii="黑体" w:hAnsi="宋体" w:eastAsia="黑体" w:cs="宋体"/>
          <w:b/>
          <w:kern w:val="0"/>
          <w:sz w:val="32"/>
          <w:szCs w:val="32"/>
        </w:rPr>
        <w:t xml:space="preserve"> </w:t>
      </w:r>
    </w:p>
    <w:p w14:paraId="0C0CAEF0">
      <w:pPr>
        <w:ind w:firstLine="562" w:firstLineChars="200"/>
        <w:rPr>
          <w:rFonts w:ascii="黑体" w:hAnsi="黑体" w:eastAsia="黑体"/>
          <w:b/>
          <w:sz w:val="28"/>
          <w:szCs w:val="28"/>
        </w:rPr>
      </w:pPr>
      <w:r>
        <w:rPr>
          <w:rFonts w:hint="eastAsia" w:ascii="黑体" w:hAnsi="黑体" w:eastAsia="黑体"/>
          <w:b/>
          <w:sz w:val="28"/>
          <w:szCs w:val="28"/>
        </w:rPr>
        <w:t>25.组建评标委员会</w:t>
      </w:r>
    </w:p>
    <w:p w14:paraId="24303BB2">
      <w:pPr>
        <w:ind w:firstLine="560" w:firstLineChars="200"/>
        <w:rPr>
          <w:rFonts w:ascii="宋体" w:hAnsi="宋体" w:cs="宋体"/>
          <w:sz w:val="28"/>
          <w:szCs w:val="28"/>
        </w:rPr>
      </w:pPr>
      <w:r>
        <w:rPr>
          <w:rFonts w:hint="eastAsia" w:ascii="宋体" w:hAnsi="宋体" w:cs="宋体"/>
          <w:sz w:val="28"/>
          <w:szCs w:val="28"/>
        </w:rPr>
        <w:t>25.1采购代理机构根据采购项目的特点依法组建评标委员会。评标委员会由采购人代表和评审专家组成，成员人数应当</w:t>
      </w:r>
      <w:r>
        <w:rPr>
          <w:rFonts w:hint="eastAsia" w:ascii="宋体" w:hAnsi="宋体" w:cs="宋体"/>
          <w:sz w:val="28"/>
          <w:szCs w:val="28"/>
          <w:u w:val="single"/>
        </w:rPr>
        <w:t xml:space="preserve">  5    </w:t>
      </w:r>
      <w:r>
        <w:rPr>
          <w:rFonts w:hint="eastAsia" w:ascii="宋体" w:hAnsi="宋体" w:cs="宋体"/>
          <w:sz w:val="28"/>
          <w:szCs w:val="28"/>
        </w:rPr>
        <w:t>人及以上单数，其中评审专家不得少于成员总数的三分之二。（采购项目符合下列情形之一的，评标委员会成员人数应当为7人以上单数：（一）采购预算金额在1000万元以上；（二）技术复杂；（三）社会影响较大。）采购人可委派一名代表进入评标委员会，但不得担任组长。评审专家对本单位的采购项目只能作为采购人代表参与评标。在开标后由评标委员会对投标文件进行审查、澄清、评估和比较，并做合理的建议。</w:t>
      </w:r>
    </w:p>
    <w:p w14:paraId="7D47F96C">
      <w:pPr>
        <w:ind w:firstLine="560" w:firstLineChars="200"/>
        <w:rPr>
          <w:rFonts w:hint="eastAsia" w:ascii="宋体" w:hAnsi="宋体" w:cs="宋体"/>
          <w:kern w:val="0"/>
          <w:sz w:val="28"/>
          <w:szCs w:val="28"/>
        </w:rPr>
      </w:pPr>
      <w:r>
        <w:rPr>
          <w:rFonts w:hint="eastAsia" w:ascii="宋体" w:hAnsi="宋体" w:cs="宋体"/>
          <w:kern w:val="0"/>
          <w:sz w:val="28"/>
          <w:szCs w:val="28"/>
        </w:rPr>
        <w:t>25.2评标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3745509C">
      <w:pPr>
        <w:ind w:firstLine="562" w:firstLineChars="200"/>
        <w:rPr>
          <w:rFonts w:ascii="黑体" w:hAnsi="黑体" w:eastAsia="黑体"/>
          <w:b/>
          <w:sz w:val="28"/>
          <w:szCs w:val="28"/>
        </w:rPr>
      </w:pPr>
      <w:r>
        <w:rPr>
          <w:rFonts w:hint="eastAsia" w:ascii="黑体" w:hAnsi="黑体" w:eastAsia="黑体"/>
          <w:b/>
          <w:sz w:val="28"/>
          <w:szCs w:val="28"/>
        </w:rPr>
        <w:t>26.投标文件的初审</w:t>
      </w:r>
    </w:p>
    <w:p w14:paraId="360FC67E">
      <w:pPr>
        <w:ind w:firstLine="560" w:firstLineChars="200"/>
        <w:rPr>
          <w:rFonts w:ascii="宋体" w:hAnsi="宋体" w:cs="宋体"/>
          <w:kern w:val="0"/>
          <w:sz w:val="28"/>
          <w:szCs w:val="28"/>
        </w:rPr>
      </w:pPr>
      <w:r>
        <w:rPr>
          <w:rFonts w:hint="eastAsia" w:ascii="宋体" w:hAnsi="宋体" w:cs="宋体"/>
          <w:kern w:val="0"/>
          <w:sz w:val="28"/>
          <w:szCs w:val="28"/>
        </w:rPr>
        <w:t>26.1对所有投标人的评估，都采用相同的程序和标准。评标过程将严格按照招标文件的要求和条件进行。</w:t>
      </w:r>
    </w:p>
    <w:p w14:paraId="3C34459B">
      <w:pPr>
        <w:ind w:firstLine="560" w:firstLineChars="200"/>
        <w:rPr>
          <w:rFonts w:ascii="宋体" w:hAnsi="宋体" w:cs="宋体"/>
          <w:kern w:val="0"/>
          <w:sz w:val="28"/>
          <w:szCs w:val="28"/>
        </w:rPr>
      </w:pPr>
      <w:r>
        <w:rPr>
          <w:rFonts w:hint="eastAsia" w:ascii="宋体" w:cs="宋体"/>
          <w:kern w:val="0"/>
          <w:sz w:val="28"/>
          <w:szCs w:val="28"/>
        </w:rPr>
        <w:t xml:space="preserve">26.2 </w:t>
      </w:r>
      <w:r>
        <w:rPr>
          <w:rFonts w:hint="eastAsia" w:ascii="宋体" w:hAnsi="宋体" w:cs="宋体"/>
          <w:kern w:val="0"/>
          <w:sz w:val="28"/>
          <w:szCs w:val="28"/>
        </w:rPr>
        <w:t>评标委员会将对投标文件进行检查，以确定投标文件是否完整、有无计算上的错误、文件是否已正确签署等。</w:t>
      </w:r>
    </w:p>
    <w:p w14:paraId="60CB9696">
      <w:pPr>
        <w:ind w:firstLine="560" w:firstLineChars="200"/>
        <w:rPr>
          <w:rFonts w:cs="宋体"/>
          <w:kern w:val="0"/>
          <w:sz w:val="28"/>
          <w:szCs w:val="28"/>
        </w:rPr>
      </w:pPr>
      <w:r>
        <w:rPr>
          <w:kern w:val="0"/>
          <w:sz w:val="28"/>
          <w:szCs w:val="28"/>
        </w:rPr>
        <w:t xml:space="preserve">26.3 </w:t>
      </w:r>
      <w:r>
        <w:rPr>
          <w:rFonts w:hint="eastAsia"/>
          <w:kern w:val="0"/>
          <w:sz w:val="28"/>
          <w:szCs w:val="28"/>
        </w:rPr>
        <w:t>投标文件报价出现前后不一致的，除招标文件另有规定外，</w:t>
      </w:r>
      <w:r>
        <w:rPr>
          <w:rFonts w:hint="eastAsia" w:cs="宋体"/>
          <w:kern w:val="0"/>
          <w:sz w:val="28"/>
          <w:szCs w:val="28"/>
        </w:rPr>
        <w:t>修正错误的原则如下：</w:t>
      </w:r>
    </w:p>
    <w:p w14:paraId="6D458D86">
      <w:pPr>
        <w:ind w:firstLine="560" w:firstLineChars="200"/>
        <w:rPr>
          <w:rFonts w:ascii="宋体" w:hAnsi="宋体" w:cs="宋体"/>
          <w:kern w:val="0"/>
          <w:sz w:val="28"/>
          <w:szCs w:val="28"/>
        </w:rPr>
      </w:pPr>
      <w:r>
        <w:rPr>
          <w:rFonts w:hint="eastAsia" w:ascii="宋体" w:hAnsi="宋体" w:cs="宋体"/>
          <w:kern w:val="0"/>
          <w:sz w:val="28"/>
          <w:szCs w:val="28"/>
        </w:rPr>
        <w:t>26.3.1 投标文件开标一览表（报价表）的内容与投标文件中相应内容不一致的，以开标一览表（报价表）为准。</w:t>
      </w:r>
    </w:p>
    <w:p w14:paraId="2A5E3EAE">
      <w:pPr>
        <w:ind w:firstLine="560" w:firstLineChars="200"/>
        <w:rPr>
          <w:rFonts w:ascii="宋体" w:hAnsi="宋体" w:cs="宋体"/>
          <w:kern w:val="0"/>
          <w:sz w:val="28"/>
          <w:szCs w:val="28"/>
        </w:rPr>
      </w:pPr>
      <w:r>
        <w:rPr>
          <w:rFonts w:hint="eastAsia" w:ascii="宋体" w:hAnsi="宋体" w:cs="宋体"/>
          <w:kern w:val="0"/>
          <w:sz w:val="28"/>
          <w:szCs w:val="28"/>
        </w:rPr>
        <w:t>26.3.2 大写金额与小写金额不一致的，以大写金额为准。</w:t>
      </w:r>
    </w:p>
    <w:p w14:paraId="526F2BC0">
      <w:pPr>
        <w:ind w:firstLine="560" w:firstLineChars="200"/>
        <w:rPr>
          <w:rFonts w:ascii="宋体" w:hAnsi="宋体" w:cs="宋体"/>
          <w:kern w:val="0"/>
          <w:sz w:val="28"/>
          <w:szCs w:val="28"/>
        </w:rPr>
      </w:pPr>
      <w:r>
        <w:rPr>
          <w:rFonts w:hint="eastAsia" w:ascii="宋体" w:hAnsi="宋体" w:cs="宋体"/>
          <w:kern w:val="0"/>
          <w:sz w:val="28"/>
          <w:szCs w:val="28"/>
        </w:rPr>
        <w:t>26.3.3单价金额小数点或者百分比有明显错位的，以开标一览表的总价为准，并修改单价。</w:t>
      </w:r>
    </w:p>
    <w:p w14:paraId="25CE8A6C">
      <w:pPr>
        <w:ind w:firstLine="560" w:firstLineChars="200"/>
        <w:rPr>
          <w:rFonts w:ascii="宋体" w:hAnsi="宋体" w:cs="宋体"/>
          <w:kern w:val="0"/>
          <w:sz w:val="28"/>
          <w:szCs w:val="28"/>
        </w:rPr>
      </w:pPr>
      <w:r>
        <w:rPr>
          <w:rFonts w:hint="eastAsia" w:ascii="宋体" w:hAnsi="宋体" w:cs="宋体"/>
          <w:kern w:val="0"/>
          <w:sz w:val="28"/>
          <w:szCs w:val="28"/>
        </w:rPr>
        <w:t>26.3.4总价金额与按单价汇总金额不一致的，以单价金额计算结果为准。</w:t>
      </w:r>
    </w:p>
    <w:p w14:paraId="7493CCB7">
      <w:pPr>
        <w:ind w:firstLine="560" w:firstLineChars="200"/>
        <w:rPr>
          <w:rFonts w:ascii="宋体" w:hAnsi="宋体" w:cs="宋体"/>
          <w:kern w:val="0"/>
          <w:sz w:val="28"/>
          <w:szCs w:val="28"/>
        </w:rPr>
      </w:pPr>
      <w:r>
        <w:rPr>
          <w:rFonts w:hint="eastAsia" w:ascii="宋体" w:hAnsi="宋体" w:cs="宋体"/>
          <w:kern w:val="0"/>
          <w:sz w:val="28"/>
          <w:szCs w:val="28"/>
        </w:rPr>
        <w:t>26.3.5对不同文字文本投标文件的解释发生异议的，以中文文本为准。</w:t>
      </w:r>
    </w:p>
    <w:p w14:paraId="4FE8315F">
      <w:pPr>
        <w:ind w:firstLine="560" w:firstLineChars="200"/>
        <w:rPr>
          <w:rFonts w:ascii="宋体" w:hAnsi="宋体" w:cs="宋体"/>
          <w:kern w:val="0"/>
          <w:sz w:val="28"/>
          <w:szCs w:val="28"/>
        </w:rPr>
      </w:pPr>
      <w:r>
        <w:rPr>
          <w:rFonts w:hint="eastAsia" w:ascii="宋体" w:hAnsi="宋体" w:cs="宋体"/>
          <w:kern w:val="0"/>
          <w:sz w:val="28"/>
          <w:szCs w:val="28"/>
        </w:rPr>
        <w:t>同时出现两种以上不一致的，按照前款规定的顺序修正。修正后的报价按照财政部87号令第五十一条第二款的规定经投标人确认后产生约束力，投标人不确认的，其投标无效。</w:t>
      </w:r>
    </w:p>
    <w:p w14:paraId="4FC56E11">
      <w:pPr>
        <w:ind w:firstLine="560" w:firstLineChars="200"/>
        <w:rPr>
          <w:rFonts w:ascii="宋体" w:hAnsi="宋体" w:cs="宋体"/>
          <w:kern w:val="0"/>
          <w:sz w:val="28"/>
          <w:szCs w:val="28"/>
        </w:rPr>
      </w:pPr>
      <w:r>
        <w:rPr>
          <w:rFonts w:hint="eastAsia" w:ascii="宋体" w:hAnsi="宋体" w:cs="宋体"/>
          <w:kern w:val="0"/>
          <w:sz w:val="28"/>
          <w:szCs w:val="28"/>
        </w:rPr>
        <w:t>26.4 资格性检查和符合性检查。</w:t>
      </w:r>
    </w:p>
    <w:p w14:paraId="434DB60C">
      <w:pPr>
        <w:ind w:firstLine="560" w:firstLineChars="200"/>
        <w:rPr>
          <w:rFonts w:ascii="宋体" w:hAnsi="宋体" w:cs="宋体"/>
          <w:kern w:val="0"/>
          <w:sz w:val="28"/>
          <w:szCs w:val="28"/>
        </w:rPr>
      </w:pPr>
      <w:r>
        <w:rPr>
          <w:rFonts w:hint="eastAsia" w:ascii="宋体" w:hAnsi="宋体" w:cs="宋体"/>
          <w:kern w:val="0"/>
          <w:sz w:val="28"/>
          <w:szCs w:val="28"/>
        </w:rPr>
        <w:t>26.4.1资格性检查。依据法规政策和招标文件的规定，在对投标文件详细评估之前，采购人将依据投标人提交的投标文件按招标文件</w:t>
      </w:r>
      <w:r>
        <w:rPr>
          <w:rFonts w:ascii="宋体" w:hAnsi="宋体" w:cs="宋体"/>
          <w:kern w:val="0"/>
          <w:sz w:val="28"/>
          <w:szCs w:val="28"/>
        </w:rPr>
        <w:t>第一章</w:t>
      </w:r>
      <w:r>
        <w:rPr>
          <w:rFonts w:hint="eastAsia" w:ascii="宋体" w:hAnsi="宋体" w:cs="宋体"/>
          <w:kern w:val="0"/>
          <w:sz w:val="28"/>
          <w:szCs w:val="28"/>
        </w:rPr>
        <w:t>招标公告第二项和招标文件第三章(一）说明4.投标人应提交的证明文件所述的资格标准对投标人进行资格审查,以确定其是否具备投标资格。如果投标人不具备投标资格、不满足招标文件所规定的资格标准或提供资格证明文件不全,其投标将被作为无效投标。</w:t>
      </w:r>
    </w:p>
    <w:p w14:paraId="3B4C23CD">
      <w:pPr>
        <w:ind w:firstLine="560" w:firstLineChars="200"/>
        <w:rPr>
          <w:rFonts w:ascii="宋体" w:hAnsi="宋体" w:cs="Lucida Sans Unicode"/>
          <w:kern w:val="0"/>
          <w:sz w:val="28"/>
          <w:szCs w:val="28"/>
        </w:rPr>
      </w:pPr>
      <w:r>
        <w:rPr>
          <w:rFonts w:hint="eastAsia" w:ascii="宋体" w:hAnsi="宋体" w:cs="Lucida Sans Unicode"/>
          <w:kern w:val="0"/>
          <w:sz w:val="28"/>
          <w:szCs w:val="28"/>
        </w:rPr>
        <w:t>26.4.2 资格审查后合格的投标人不足3家的，不得评标。</w:t>
      </w:r>
    </w:p>
    <w:p w14:paraId="741E442F">
      <w:pPr>
        <w:ind w:firstLine="560" w:firstLineChars="200"/>
        <w:rPr>
          <w:rFonts w:ascii="宋体" w:hAnsi="宋体" w:cs="宋体"/>
          <w:kern w:val="0"/>
          <w:sz w:val="28"/>
          <w:szCs w:val="28"/>
        </w:rPr>
      </w:pPr>
      <w:r>
        <w:rPr>
          <w:rFonts w:hint="eastAsia" w:ascii="宋体" w:hAnsi="宋体" w:cs="宋体"/>
          <w:kern w:val="0"/>
          <w:sz w:val="28"/>
          <w:szCs w:val="28"/>
        </w:rPr>
        <w:t>26.4.3符合性检查。依据招标文件的规定，评标委员会将从投标文件的有效性、完整性和对招标文件的响应程度进行审查，以确定是否符合对招标文件的实质性要求作出响应（采购人可根据具体项目的情况对实质性要求作特别的具体规定）。实质性偏离是指：（1）实质性影响合同的范围、质量和履行。（2）实质性违背招标文件，限制了采购人的权利。（3）不公正地影响了其它作出实质性响应的投标人的竞争地位。对没有实质性响应的投标文件将不进行评估，其投标被作为无效投标。凡有下列情况之一者，投标文件也将被视为未实质性响应招标文件要求：</w:t>
      </w:r>
    </w:p>
    <w:p w14:paraId="64397F2A">
      <w:pPr>
        <w:ind w:firstLine="560" w:firstLineChars="200"/>
        <w:rPr>
          <w:rFonts w:hint="eastAsia" w:ascii="宋体" w:hAnsi="宋体" w:cs="宋体"/>
          <w:kern w:val="0"/>
          <w:sz w:val="28"/>
          <w:szCs w:val="28"/>
        </w:rPr>
      </w:pPr>
      <w:r>
        <w:rPr>
          <w:rFonts w:hint="eastAsia" w:ascii="宋体" w:hAnsi="宋体" w:cs="宋体"/>
          <w:kern w:val="0"/>
          <w:sz w:val="28"/>
          <w:szCs w:val="28"/>
        </w:rPr>
        <w:t>(1)投标文件未按规定签字、盖章的。</w:t>
      </w:r>
    </w:p>
    <w:p w14:paraId="2240235E">
      <w:pPr>
        <w:ind w:firstLine="560" w:firstLineChars="200"/>
        <w:rPr>
          <w:rFonts w:hint="eastAsia" w:ascii="宋体" w:hAnsi="宋体" w:cs="宋体"/>
          <w:kern w:val="0"/>
          <w:sz w:val="28"/>
          <w:szCs w:val="28"/>
        </w:rPr>
      </w:pPr>
      <w:r>
        <w:rPr>
          <w:rFonts w:hint="eastAsia" w:ascii="宋体" w:hAnsi="宋体" w:cs="宋体"/>
          <w:kern w:val="0"/>
          <w:sz w:val="28"/>
          <w:szCs w:val="28"/>
        </w:rPr>
        <w:t>(2)供应商代表未能出具有效身份证明，或与身份不符的。</w:t>
      </w:r>
    </w:p>
    <w:p w14:paraId="44D8CBD7">
      <w:pPr>
        <w:ind w:firstLine="560" w:firstLineChars="200"/>
        <w:rPr>
          <w:rFonts w:hint="eastAsia" w:ascii="宋体" w:hAnsi="宋体" w:cs="宋体"/>
          <w:kern w:val="0"/>
          <w:sz w:val="28"/>
          <w:szCs w:val="28"/>
        </w:rPr>
      </w:pPr>
      <w:r>
        <w:rPr>
          <w:rFonts w:hint="eastAsia" w:ascii="宋体" w:hAnsi="宋体" w:cs="宋体"/>
          <w:kern w:val="0"/>
          <w:sz w:val="28"/>
          <w:szCs w:val="28"/>
        </w:rPr>
        <w:t>(3)投标有效期、</w:t>
      </w:r>
      <w:r>
        <w:rPr>
          <w:rFonts w:hint="eastAsia" w:ascii="宋体" w:hAnsi="宋体" w:cs="宋体"/>
          <w:kern w:val="0"/>
          <w:sz w:val="28"/>
          <w:szCs w:val="28"/>
          <w:lang w:val="en-US" w:eastAsia="zh-CN"/>
        </w:rPr>
        <w:t>服务期限</w:t>
      </w:r>
      <w:r>
        <w:rPr>
          <w:rFonts w:hint="eastAsia" w:ascii="宋体" w:hAnsi="宋体" w:cs="宋体"/>
          <w:kern w:val="0"/>
          <w:sz w:val="28"/>
          <w:szCs w:val="28"/>
        </w:rPr>
        <w:t>等不满足招标文件要求的。</w:t>
      </w:r>
    </w:p>
    <w:p w14:paraId="338CDDCF">
      <w:pPr>
        <w:ind w:firstLine="560" w:firstLineChars="200"/>
        <w:rPr>
          <w:rFonts w:hint="eastAsia" w:ascii="宋体" w:hAnsi="宋体" w:cs="宋体"/>
          <w:kern w:val="0"/>
          <w:sz w:val="28"/>
          <w:szCs w:val="28"/>
        </w:rPr>
      </w:pPr>
      <w:r>
        <w:rPr>
          <w:rFonts w:hint="eastAsia" w:ascii="宋体" w:hAnsi="宋体" w:cs="宋体"/>
          <w:kern w:val="0"/>
          <w:sz w:val="28"/>
          <w:szCs w:val="28"/>
        </w:rPr>
        <w:t>(4)未按招标文件规定报价的。</w:t>
      </w:r>
    </w:p>
    <w:p w14:paraId="0F8E534B">
      <w:pPr>
        <w:ind w:firstLine="560" w:firstLineChars="200"/>
        <w:rPr>
          <w:rFonts w:hint="eastAsia" w:ascii="宋体" w:hAnsi="宋体" w:cs="宋体"/>
          <w:kern w:val="0"/>
          <w:sz w:val="28"/>
          <w:szCs w:val="28"/>
        </w:rPr>
      </w:pPr>
      <w:r>
        <w:rPr>
          <w:rFonts w:hint="eastAsia" w:ascii="宋体" w:hAnsi="宋体" w:cs="宋体"/>
          <w:kern w:val="0"/>
          <w:sz w:val="28"/>
          <w:szCs w:val="28"/>
        </w:rPr>
        <w:t>(5)未按招标文件提供的格式填列、项目不齐全或内容虚假的。</w:t>
      </w:r>
    </w:p>
    <w:p w14:paraId="117CA5B2">
      <w:pPr>
        <w:ind w:firstLine="560" w:firstLineChars="200"/>
        <w:rPr>
          <w:rFonts w:hint="eastAsia" w:ascii="宋体" w:hAnsi="宋体" w:cs="宋体"/>
          <w:kern w:val="0"/>
          <w:sz w:val="28"/>
          <w:szCs w:val="28"/>
        </w:rPr>
      </w:pPr>
      <w:r>
        <w:rPr>
          <w:rFonts w:hint="eastAsia" w:ascii="宋体" w:hAnsi="宋体" w:cs="宋体"/>
          <w:kern w:val="0"/>
          <w:sz w:val="28"/>
          <w:szCs w:val="28"/>
        </w:rPr>
        <w:t>(6)投标文件的实质性内容未使用中文表述，或意思表述不明确，或前后矛盾，或使用计量单位不符合招标文件要求的（经评标委员会认定允许其当场更正的笔误除外）。</w:t>
      </w:r>
    </w:p>
    <w:p w14:paraId="1201564B">
      <w:pPr>
        <w:ind w:firstLine="560" w:firstLineChars="200"/>
        <w:rPr>
          <w:rFonts w:hint="eastAsia" w:ascii="宋体" w:hAnsi="宋体" w:cs="宋体"/>
          <w:kern w:val="0"/>
          <w:sz w:val="28"/>
          <w:szCs w:val="28"/>
        </w:rPr>
      </w:pPr>
      <w:r>
        <w:rPr>
          <w:rFonts w:hint="eastAsia" w:ascii="宋体" w:hAnsi="宋体" w:cs="宋体"/>
          <w:kern w:val="0"/>
          <w:sz w:val="28"/>
          <w:szCs w:val="28"/>
        </w:rPr>
        <w:t>(7)投标文件的关键内容字迹模糊、无法辨认,或投标文件中经修正的内容字迹模糊无法辩认，或修改处未按规定签名盖章的。</w:t>
      </w:r>
    </w:p>
    <w:p w14:paraId="469E6479">
      <w:pPr>
        <w:ind w:firstLine="560" w:firstLineChars="200"/>
        <w:rPr>
          <w:rFonts w:hint="eastAsia" w:ascii="宋体" w:hAnsi="宋体" w:cs="宋体"/>
          <w:kern w:val="0"/>
          <w:sz w:val="28"/>
          <w:szCs w:val="28"/>
        </w:rPr>
      </w:pPr>
      <w:r>
        <w:rPr>
          <w:rFonts w:hint="eastAsia" w:ascii="宋体" w:hAnsi="宋体" w:cs="宋体"/>
          <w:kern w:val="0"/>
          <w:sz w:val="28"/>
          <w:szCs w:val="28"/>
        </w:rPr>
        <w:t>(8)不符合招标文件中规定的其它实质性条款。评标委员会决定投标的响应性只根据投标文件本身的内容，而不寻求其他的外部证据。</w:t>
      </w:r>
    </w:p>
    <w:p w14:paraId="09AF8D3C">
      <w:pPr>
        <w:ind w:firstLine="560" w:firstLineChars="200"/>
        <w:rPr>
          <w:rFonts w:ascii="宋体" w:hAnsi="宋体" w:cs="宋体"/>
          <w:kern w:val="0"/>
          <w:sz w:val="28"/>
          <w:szCs w:val="28"/>
        </w:rPr>
      </w:pPr>
      <w:r>
        <w:rPr>
          <w:rFonts w:hint="eastAsia" w:ascii="宋体" w:hAnsi="宋体" w:cs="宋体"/>
          <w:kern w:val="0"/>
          <w:sz w:val="28"/>
          <w:szCs w:val="28"/>
        </w:rPr>
        <w:t>评标委员会决定投标的响应性只根据投标文件本身的内容，而不寻求其他的外部证据。</w:t>
      </w:r>
    </w:p>
    <w:p w14:paraId="6A83EFA2">
      <w:pPr>
        <w:ind w:firstLine="560" w:firstLineChars="200"/>
        <w:rPr>
          <w:rFonts w:ascii="宋体" w:hAnsi="宋体" w:cs="宋体"/>
          <w:kern w:val="0"/>
          <w:sz w:val="28"/>
          <w:szCs w:val="28"/>
        </w:rPr>
      </w:pPr>
      <w:r>
        <w:rPr>
          <w:rFonts w:hint="eastAsia" w:ascii="宋体" w:hAnsi="宋体" w:cs="宋体"/>
          <w:kern w:val="0"/>
          <w:sz w:val="28"/>
          <w:szCs w:val="28"/>
        </w:rPr>
        <w:t>26.5 在评审过程中，评标委员会发现投标人有下列情形之一的，</w:t>
      </w:r>
      <w:r>
        <w:rPr>
          <w:rFonts w:hint="eastAsia" w:cs="宋体"/>
          <w:kern w:val="0"/>
          <w:sz w:val="28"/>
          <w:szCs w:val="28"/>
        </w:rPr>
        <w:t>视为投标人相互串通投标，</w:t>
      </w:r>
      <w:r>
        <w:rPr>
          <w:rFonts w:hint="eastAsia" w:ascii="宋体" w:hAnsi="宋体" w:cs="宋体"/>
          <w:sz w:val="28"/>
          <w:szCs w:val="28"/>
        </w:rPr>
        <w:t>其投标无效</w:t>
      </w:r>
      <w:r>
        <w:rPr>
          <w:rFonts w:hint="eastAsia" w:ascii="宋体" w:hAnsi="宋体" w:cs="宋体"/>
          <w:kern w:val="0"/>
          <w:sz w:val="28"/>
          <w:szCs w:val="28"/>
        </w:rPr>
        <w:t>：</w:t>
      </w:r>
    </w:p>
    <w:p w14:paraId="51D37D07">
      <w:pPr>
        <w:ind w:firstLine="560" w:firstLineChars="200"/>
        <w:rPr>
          <w:rFonts w:cs="宋体"/>
          <w:kern w:val="0"/>
          <w:sz w:val="28"/>
          <w:szCs w:val="28"/>
        </w:rPr>
      </w:pPr>
      <w:r>
        <w:rPr>
          <w:rFonts w:hint="eastAsia" w:ascii="宋体" w:hAnsi="宋体" w:cs="宋体"/>
          <w:kern w:val="0"/>
          <w:sz w:val="28"/>
          <w:szCs w:val="28"/>
        </w:rPr>
        <w:t>26.5.1</w:t>
      </w:r>
      <w:r>
        <w:rPr>
          <w:rFonts w:hint="eastAsia" w:cs="宋体"/>
          <w:kern w:val="0"/>
          <w:sz w:val="28"/>
          <w:szCs w:val="28"/>
        </w:rPr>
        <w:t>不同投标人的投标文件异常一致或者投标报价呈规律性差异的;</w:t>
      </w:r>
    </w:p>
    <w:p w14:paraId="7BA05942">
      <w:pPr>
        <w:ind w:firstLine="560" w:firstLineChars="200"/>
        <w:rPr>
          <w:rFonts w:ascii="宋体" w:hAnsi="宋体" w:cs="宋体"/>
          <w:sz w:val="28"/>
          <w:szCs w:val="28"/>
        </w:rPr>
      </w:pPr>
      <w:r>
        <w:rPr>
          <w:rFonts w:hint="eastAsia" w:ascii="宋体" w:hAnsi="宋体" w:cs="宋体"/>
          <w:sz w:val="28"/>
          <w:szCs w:val="28"/>
        </w:rPr>
        <w:t>26.5.2不同投标人的投标文件由同一单位或者个人编制；</w:t>
      </w:r>
    </w:p>
    <w:p w14:paraId="4CD9FBE7">
      <w:pPr>
        <w:ind w:firstLine="560" w:firstLineChars="200"/>
        <w:rPr>
          <w:rFonts w:ascii="宋体" w:hAnsi="宋体" w:cs="宋体"/>
          <w:sz w:val="28"/>
          <w:szCs w:val="28"/>
        </w:rPr>
      </w:pPr>
      <w:r>
        <w:rPr>
          <w:rFonts w:hint="eastAsia" w:ascii="宋体" w:hAnsi="宋体" w:cs="宋体"/>
          <w:sz w:val="28"/>
          <w:szCs w:val="28"/>
        </w:rPr>
        <w:t>26.5.3不同投标人委托同一单位或者个人办理投标事宜；</w:t>
      </w:r>
    </w:p>
    <w:p w14:paraId="6037AB1E">
      <w:pPr>
        <w:ind w:firstLine="560" w:firstLineChars="200"/>
        <w:rPr>
          <w:rFonts w:ascii="宋体" w:hAnsi="宋体" w:cs="宋体"/>
          <w:sz w:val="28"/>
          <w:szCs w:val="28"/>
        </w:rPr>
      </w:pPr>
      <w:r>
        <w:rPr>
          <w:rFonts w:hint="eastAsia" w:ascii="宋体" w:hAnsi="宋体" w:cs="宋体"/>
          <w:sz w:val="28"/>
          <w:szCs w:val="28"/>
        </w:rPr>
        <w:t>26.5.4不同投标人的投标文件载明的项目管理成员或者联系人员为同一人；</w:t>
      </w:r>
    </w:p>
    <w:p w14:paraId="3BF44A0D">
      <w:pPr>
        <w:ind w:firstLine="560" w:firstLineChars="200"/>
        <w:rPr>
          <w:rFonts w:ascii="宋体" w:hAnsi="宋体" w:cs="宋体"/>
          <w:sz w:val="28"/>
          <w:szCs w:val="28"/>
        </w:rPr>
      </w:pPr>
      <w:r>
        <w:rPr>
          <w:rFonts w:hint="eastAsia" w:ascii="宋体" w:hAnsi="宋体" w:cs="宋体"/>
          <w:sz w:val="28"/>
          <w:szCs w:val="28"/>
        </w:rPr>
        <w:t>26.5.5不同投标人的投标文件相互混装；</w:t>
      </w:r>
    </w:p>
    <w:p w14:paraId="7573ADFA">
      <w:pPr>
        <w:ind w:firstLine="560" w:firstLineChars="200"/>
        <w:rPr>
          <w:rFonts w:ascii="宋体" w:hAnsi="宋体" w:cs="宋体"/>
          <w:kern w:val="0"/>
          <w:sz w:val="28"/>
          <w:szCs w:val="28"/>
        </w:rPr>
      </w:pPr>
      <w:r>
        <w:rPr>
          <w:rFonts w:hint="eastAsia" w:ascii="宋体" w:hAnsi="宋体" w:cs="宋体"/>
          <w:kern w:val="0"/>
          <w:sz w:val="28"/>
          <w:szCs w:val="28"/>
        </w:rPr>
        <w:t>26.5.</w:t>
      </w:r>
      <w:r>
        <w:rPr>
          <w:rFonts w:ascii="宋体" w:hAnsi="宋体" w:cs="宋体"/>
          <w:kern w:val="0"/>
          <w:sz w:val="28"/>
          <w:szCs w:val="28"/>
        </w:rPr>
        <w:t>6</w:t>
      </w:r>
      <w:r>
        <w:rPr>
          <w:rFonts w:hint="eastAsia" w:ascii="宋体" w:hAnsi="宋体" w:cs="宋体"/>
          <w:kern w:val="0"/>
          <w:sz w:val="28"/>
          <w:szCs w:val="28"/>
        </w:rPr>
        <w:t xml:space="preserve"> 有证据证明投标人串通投标的其他情形的。</w:t>
      </w:r>
    </w:p>
    <w:p w14:paraId="434AB2BE">
      <w:pPr>
        <w:ind w:firstLine="560" w:firstLineChars="200"/>
        <w:rPr>
          <w:rFonts w:ascii="宋体" w:hAnsi="宋体" w:cs="宋体"/>
          <w:kern w:val="0"/>
          <w:sz w:val="28"/>
          <w:szCs w:val="28"/>
        </w:rPr>
      </w:pPr>
      <w:r>
        <w:rPr>
          <w:rFonts w:hint="eastAsia" w:ascii="宋体" w:hAnsi="宋体" w:cs="宋体"/>
          <w:kern w:val="0"/>
          <w:sz w:val="28"/>
          <w:szCs w:val="28"/>
        </w:rPr>
        <w:t>26.5.</w:t>
      </w:r>
      <w:r>
        <w:rPr>
          <w:rFonts w:ascii="宋体" w:hAnsi="宋体" w:cs="宋体"/>
          <w:kern w:val="0"/>
          <w:sz w:val="28"/>
          <w:szCs w:val="28"/>
        </w:rPr>
        <w:t>7</w:t>
      </w:r>
      <w:r>
        <w:rPr>
          <w:rFonts w:hint="eastAsia" w:ascii="宋体" w:hAnsi="宋体" w:cs="宋体"/>
          <w:kern w:val="0"/>
          <w:sz w:val="28"/>
          <w:szCs w:val="28"/>
        </w:rPr>
        <w:t xml:space="preserve"> 评标委员会认定的其他串通投标情形。</w:t>
      </w:r>
    </w:p>
    <w:p w14:paraId="74B6C0BC">
      <w:pPr>
        <w:ind w:firstLine="562" w:firstLineChars="200"/>
        <w:rPr>
          <w:rFonts w:ascii="黑体" w:hAnsi="黑体" w:eastAsia="黑体"/>
          <w:b/>
          <w:sz w:val="28"/>
          <w:szCs w:val="28"/>
        </w:rPr>
      </w:pPr>
      <w:r>
        <w:rPr>
          <w:rFonts w:hint="eastAsia" w:ascii="黑体" w:hAnsi="黑体" w:eastAsia="黑体"/>
          <w:b/>
          <w:sz w:val="28"/>
          <w:szCs w:val="28"/>
        </w:rPr>
        <w:t>27.投标文件的澄清</w:t>
      </w:r>
    </w:p>
    <w:p w14:paraId="19F3E3AC">
      <w:pPr>
        <w:ind w:firstLine="560" w:firstLineChars="200"/>
        <w:rPr>
          <w:rFonts w:hint="eastAsia" w:ascii="宋体" w:hAnsi="宋体" w:cs="宋体"/>
          <w:kern w:val="0"/>
          <w:sz w:val="28"/>
          <w:szCs w:val="28"/>
        </w:rPr>
      </w:pPr>
      <w:r>
        <w:rPr>
          <w:rFonts w:hint="eastAsia" w:ascii="宋体" w:hAnsi="宋体" w:cs="宋体"/>
          <w:kern w:val="0"/>
          <w:sz w:val="28"/>
          <w:szCs w:val="28"/>
        </w:rPr>
        <w:t>对投标文件中含义不明确、同类问题表述不一致或者有明显文字和计算错误的内容，评标委员会可以书面形式通过驻马店市公共资源交易中心</w:t>
      </w:r>
      <w:r>
        <w:rPr>
          <w:rFonts w:ascii="宋体" w:hAnsi="宋体" w:cs="宋体"/>
          <w:kern w:val="0"/>
          <w:sz w:val="28"/>
          <w:szCs w:val="28"/>
        </w:rPr>
        <w:t>电子交易平台</w:t>
      </w:r>
      <w:r>
        <w:rPr>
          <w:rFonts w:hint="eastAsia" w:ascii="宋体" w:hAnsi="宋体" w:cs="宋体"/>
          <w:kern w:val="0"/>
          <w:sz w:val="28"/>
          <w:szCs w:val="28"/>
        </w:rPr>
        <w:t>不见面交易系统远程要求投标人作出必要的澄清。投标人的澄清应当在评标委员会规定的时间内通过驻马店市公共资源交易中心</w:t>
      </w:r>
      <w:r>
        <w:rPr>
          <w:rFonts w:ascii="宋体" w:hAnsi="宋体" w:cs="宋体"/>
          <w:kern w:val="0"/>
          <w:sz w:val="28"/>
          <w:szCs w:val="28"/>
        </w:rPr>
        <w:t>电子交易平台</w:t>
      </w:r>
      <w:r>
        <w:rPr>
          <w:rFonts w:hint="eastAsia" w:ascii="宋体" w:hAnsi="宋体" w:cs="宋体"/>
          <w:kern w:val="0"/>
          <w:sz w:val="28"/>
          <w:szCs w:val="28"/>
        </w:rPr>
        <w:t>不见面交易系统远程以书面形式作出，由其投标人代表签字。但澄清事项不得超出投标文件的范围，不得实质性改变投标文件的内容，不得通过澄清等方式对投标人实行差别对待。评标委员会不得接受投标人主动提出的澄清和解释。</w:t>
      </w:r>
    </w:p>
    <w:p w14:paraId="5C555283">
      <w:pPr>
        <w:ind w:firstLine="562" w:firstLineChars="200"/>
        <w:rPr>
          <w:rFonts w:ascii="黑体" w:hAnsi="黑体" w:eastAsia="黑体"/>
          <w:b/>
          <w:sz w:val="28"/>
          <w:szCs w:val="28"/>
        </w:rPr>
      </w:pPr>
      <w:r>
        <w:rPr>
          <w:rFonts w:hint="eastAsia" w:ascii="黑体" w:hAnsi="黑体" w:eastAsia="黑体"/>
          <w:b/>
          <w:sz w:val="28"/>
          <w:szCs w:val="28"/>
        </w:rPr>
        <w:t>28.比较与评价</w:t>
      </w:r>
    </w:p>
    <w:p w14:paraId="5164B1F8">
      <w:pPr>
        <w:ind w:firstLine="560" w:firstLineChars="200"/>
        <w:rPr>
          <w:rFonts w:ascii="宋体" w:hAnsi="宋体" w:cs="宋体"/>
          <w:kern w:val="0"/>
          <w:sz w:val="28"/>
          <w:szCs w:val="28"/>
        </w:rPr>
      </w:pPr>
      <w:r>
        <w:rPr>
          <w:rFonts w:hint="eastAsia" w:ascii="宋体" w:hAnsi="宋体" w:cs="宋体"/>
          <w:kern w:val="0"/>
          <w:sz w:val="28"/>
          <w:szCs w:val="28"/>
        </w:rPr>
        <w:t>28.1 评标委员会将按本招标文件规定的评标方法与标准，对资格性检查和符合性检查合格的投标文件进行商务和技术评估，综合比较与评价。</w:t>
      </w:r>
    </w:p>
    <w:p w14:paraId="071CB5F4">
      <w:pPr>
        <w:ind w:firstLine="560" w:firstLineChars="200"/>
        <w:rPr>
          <w:rFonts w:ascii="宋体" w:hAnsi="宋体" w:cs="宋体"/>
          <w:kern w:val="0"/>
          <w:sz w:val="28"/>
          <w:szCs w:val="28"/>
        </w:rPr>
      </w:pPr>
      <w:r>
        <w:rPr>
          <w:rFonts w:hint="eastAsia" w:ascii="宋体" w:hAnsi="宋体" w:cs="宋体"/>
          <w:kern w:val="0"/>
          <w:sz w:val="28"/>
          <w:szCs w:val="28"/>
        </w:rPr>
        <w:t>28.2 对漏（缺）报项的处理：招标文件中要求列入报价的费用（含配置、功能），漏（缺）报的视同已含在投标总价中。但在评标时取有效投标人该项最高报价加入评标价进行评标。对多报项及赠送项的价格评标时不予核减，全部进入评标价评议。</w:t>
      </w:r>
    </w:p>
    <w:p w14:paraId="0BDB04A8">
      <w:pPr>
        <w:ind w:firstLine="560" w:firstLineChars="200"/>
        <w:rPr>
          <w:sz w:val="28"/>
          <w:szCs w:val="28"/>
        </w:rPr>
      </w:pPr>
      <w:r>
        <w:rPr>
          <w:rFonts w:hint="eastAsia"/>
          <w:sz w:val="28"/>
          <w:szCs w:val="28"/>
        </w:rPr>
        <w:t>28.3</w:t>
      </w:r>
      <w:r>
        <w:rPr>
          <w:sz w:val="28"/>
          <w:szCs w:val="28"/>
        </w:rPr>
        <w:t>评标委员会认为投标人的报价明显低于其他通过符合性审查投标人的报价，有可能影响产品质量或者不能诚信履约的，应当要求其</w:t>
      </w:r>
      <w:r>
        <w:rPr>
          <w:rFonts w:hint="eastAsia"/>
          <w:sz w:val="28"/>
          <w:szCs w:val="28"/>
        </w:rPr>
        <w:t>通过驻马店市公共资源交易中心</w:t>
      </w:r>
      <w:r>
        <w:rPr>
          <w:sz w:val="28"/>
          <w:szCs w:val="28"/>
        </w:rPr>
        <w:t>电子交易平台</w:t>
      </w:r>
      <w:r>
        <w:rPr>
          <w:rFonts w:hint="eastAsia"/>
          <w:sz w:val="28"/>
          <w:szCs w:val="28"/>
        </w:rPr>
        <w:t>不见面交易系统</w:t>
      </w:r>
      <w:r>
        <w:rPr>
          <w:sz w:val="28"/>
          <w:szCs w:val="28"/>
        </w:rPr>
        <w:t>在合理的时间内提供书面说明，必要时提交相关证明材料；投标人不能证明其报价合理性的，评标委员会应当将其作为无效投标处理。</w:t>
      </w:r>
    </w:p>
    <w:p w14:paraId="4F6EC4DB">
      <w:pPr>
        <w:ind w:firstLine="562" w:firstLineChars="200"/>
        <w:rPr>
          <w:rFonts w:ascii="黑体" w:hAnsi="黑体" w:eastAsia="黑体"/>
          <w:b/>
          <w:sz w:val="28"/>
          <w:szCs w:val="28"/>
        </w:rPr>
      </w:pPr>
      <w:r>
        <w:rPr>
          <w:rFonts w:hint="eastAsia" w:ascii="黑体" w:hAnsi="黑体" w:eastAsia="黑体"/>
          <w:b/>
          <w:sz w:val="28"/>
          <w:szCs w:val="28"/>
        </w:rPr>
        <w:t>29.评标过程及保密原则</w:t>
      </w:r>
    </w:p>
    <w:p w14:paraId="2E4939E7">
      <w:pPr>
        <w:ind w:firstLine="560" w:firstLineChars="200"/>
        <w:rPr>
          <w:rFonts w:ascii="宋体" w:hAnsi="宋体" w:cs="宋体"/>
          <w:kern w:val="0"/>
          <w:sz w:val="28"/>
          <w:szCs w:val="28"/>
        </w:rPr>
      </w:pPr>
      <w:r>
        <w:rPr>
          <w:rFonts w:hint="eastAsia" w:ascii="宋体" w:hAnsi="宋体" w:cs="宋体"/>
          <w:kern w:val="0"/>
          <w:sz w:val="28"/>
          <w:szCs w:val="28"/>
        </w:rPr>
        <w:t>29.1 凡与本次招标有关人员对属于审查、澄清、评价和比较投标的有关资料以及定标意向等，均不得向投标人或其他人员透露。否则,将按有关规定追究相关人员的责任。</w:t>
      </w:r>
    </w:p>
    <w:p w14:paraId="053938BD">
      <w:pPr>
        <w:ind w:firstLine="560" w:firstLineChars="200"/>
        <w:rPr>
          <w:rFonts w:ascii="宋体" w:hAnsi="宋体" w:cs="宋体"/>
          <w:kern w:val="0"/>
          <w:sz w:val="28"/>
          <w:szCs w:val="28"/>
        </w:rPr>
      </w:pPr>
      <w:r>
        <w:rPr>
          <w:rFonts w:hint="eastAsia" w:ascii="宋体" w:hAnsi="宋体" w:cs="宋体"/>
          <w:kern w:val="0"/>
          <w:sz w:val="28"/>
          <w:szCs w:val="28"/>
        </w:rPr>
        <w:t>29.2 在评标期间，投标人试图影响或干预评审的任何行为，将导致其投标被作为无效投标，并承担相应的法律责任。</w:t>
      </w:r>
    </w:p>
    <w:p w14:paraId="28030C7A">
      <w:pPr>
        <w:ind w:firstLine="562" w:firstLineChars="200"/>
        <w:rPr>
          <w:rFonts w:ascii="黑体" w:hAnsi="黑体" w:eastAsia="黑体"/>
          <w:b/>
          <w:sz w:val="28"/>
          <w:szCs w:val="28"/>
        </w:rPr>
      </w:pPr>
      <w:r>
        <w:rPr>
          <w:rFonts w:hint="eastAsia" w:ascii="黑体" w:hAnsi="黑体" w:eastAsia="黑体"/>
          <w:b/>
          <w:sz w:val="28"/>
          <w:szCs w:val="28"/>
        </w:rPr>
        <w:t>30.评标异议登记</w:t>
      </w:r>
    </w:p>
    <w:p w14:paraId="0CD1C01E">
      <w:pPr>
        <w:ind w:firstLine="560" w:firstLineChars="200"/>
        <w:rPr>
          <w:rFonts w:ascii="宋体" w:hAnsi="宋体" w:cs="宋体"/>
          <w:kern w:val="0"/>
          <w:sz w:val="28"/>
          <w:szCs w:val="28"/>
        </w:rPr>
      </w:pPr>
      <w:r>
        <w:rPr>
          <w:rFonts w:hint="eastAsia" w:ascii="宋体" w:hAnsi="宋体" w:cs="宋体"/>
          <w:kern w:val="0"/>
          <w:sz w:val="28"/>
          <w:szCs w:val="28"/>
        </w:rPr>
        <w:t>采购代理机构工作人员对评审专家等相关人员在评审过程中发现、提出的异议进行逐项登记。</w:t>
      </w:r>
    </w:p>
    <w:p w14:paraId="236E241E">
      <w:pPr>
        <w:widowControl/>
        <w:spacing w:line="360" w:lineRule="auto"/>
        <w:jc w:val="center"/>
        <w:rPr>
          <w:rFonts w:ascii="黑体" w:hAnsi="宋体" w:eastAsia="黑体" w:cs="宋体"/>
          <w:b/>
          <w:kern w:val="0"/>
          <w:sz w:val="36"/>
          <w:szCs w:val="36"/>
        </w:rPr>
      </w:pPr>
      <w:r>
        <w:rPr>
          <w:rFonts w:hint="eastAsia" w:ascii="黑体" w:hAnsi="宋体" w:eastAsia="黑体" w:cs="宋体"/>
          <w:b/>
          <w:kern w:val="0"/>
          <w:sz w:val="36"/>
          <w:szCs w:val="36"/>
        </w:rPr>
        <w:t>七   定标</w:t>
      </w:r>
    </w:p>
    <w:p w14:paraId="7C54116E">
      <w:pPr>
        <w:widowControl/>
        <w:spacing w:line="360" w:lineRule="auto"/>
        <w:ind w:firstLine="3694" w:firstLineChars="1150"/>
        <w:jc w:val="left"/>
        <w:rPr>
          <w:rFonts w:hint="eastAsia" w:ascii="黑体" w:hAnsi="宋体" w:eastAsia="黑体" w:cs="宋体"/>
          <w:b/>
          <w:kern w:val="0"/>
          <w:sz w:val="32"/>
          <w:szCs w:val="32"/>
        </w:rPr>
      </w:pPr>
      <w:r>
        <w:rPr>
          <w:rFonts w:hint="eastAsia" w:ascii="黑体" w:hAnsi="宋体" w:eastAsia="黑体" w:cs="宋体"/>
          <w:b/>
          <w:kern w:val="0"/>
          <w:sz w:val="32"/>
          <w:szCs w:val="32"/>
        </w:rPr>
        <w:t xml:space="preserve"> </w:t>
      </w:r>
    </w:p>
    <w:p w14:paraId="4D5E6541">
      <w:pPr>
        <w:ind w:firstLine="562" w:firstLineChars="200"/>
        <w:rPr>
          <w:rFonts w:ascii="黑体" w:hAnsi="黑体" w:eastAsia="黑体"/>
          <w:b/>
          <w:sz w:val="28"/>
          <w:szCs w:val="28"/>
        </w:rPr>
      </w:pPr>
      <w:r>
        <w:rPr>
          <w:rFonts w:hint="eastAsia" w:ascii="黑体" w:hAnsi="黑体" w:eastAsia="黑体"/>
          <w:b/>
          <w:sz w:val="28"/>
          <w:szCs w:val="28"/>
        </w:rPr>
        <w:t>31.定标原则</w:t>
      </w:r>
    </w:p>
    <w:p w14:paraId="63D0FCB2">
      <w:pPr>
        <w:ind w:firstLine="560" w:firstLineChars="200"/>
        <w:rPr>
          <w:rFonts w:ascii="宋体" w:hAnsi="宋体" w:cs="宋体"/>
          <w:kern w:val="0"/>
          <w:sz w:val="28"/>
          <w:szCs w:val="28"/>
        </w:rPr>
      </w:pPr>
      <w:r>
        <w:rPr>
          <w:rFonts w:hint="eastAsia" w:ascii="宋体" w:hAnsi="宋体" w:cs="宋体"/>
          <w:kern w:val="0"/>
          <w:sz w:val="28"/>
          <w:szCs w:val="28"/>
        </w:rPr>
        <w:t>31.1 最低投标价不作为中标的保证。</w:t>
      </w:r>
    </w:p>
    <w:p w14:paraId="27F6408C">
      <w:pPr>
        <w:ind w:firstLine="560" w:firstLineChars="200"/>
        <w:rPr>
          <w:rFonts w:hint="eastAsia" w:ascii="宋体" w:hAnsi="宋体" w:eastAsia="宋体" w:cs="宋体"/>
          <w:kern w:val="0"/>
          <w:sz w:val="28"/>
          <w:szCs w:val="28"/>
          <w:lang w:eastAsia="zh-CN"/>
        </w:rPr>
      </w:pPr>
      <w:r>
        <w:rPr>
          <w:rFonts w:hint="eastAsia" w:ascii="宋体" w:hAnsi="宋体" w:cs="宋体"/>
          <w:kern w:val="0"/>
          <w:sz w:val="28"/>
          <w:szCs w:val="28"/>
        </w:rPr>
        <w:t>31.2 确定实质上响应招标文件且满足下列条件的为中标候选人</w:t>
      </w:r>
      <w:r>
        <w:rPr>
          <w:rFonts w:hint="eastAsia" w:ascii="宋体" w:hAnsi="宋体" w:cs="宋体"/>
          <w:kern w:val="0"/>
          <w:sz w:val="28"/>
          <w:szCs w:val="28"/>
          <w:lang w:eastAsia="zh-CN"/>
        </w:rPr>
        <w:t>。</w:t>
      </w:r>
    </w:p>
    <w:p w14:paraId="39E17A39">
      <w:pPr>
        <w:ind w:firstLine="560" w:firstLineChars="200"/>
        <w:rPr>
          <w:rFonts w:ascii="宋体" w:hAnsi="宋体" w:cs="宋体"/>
          <w:sz w:val="28"/>
          <w:szCs w:val="28"/>
        </w:rPr>
      </w:pPr>
      <w:r>
        <w:rPr>
          <w:rFonts w:hint="eastAsia" w:ascii="宋体" w:hAnsi="宋体" w:cs="宋体"/>
          <w:sz w:val="28"/>
          <w:szCs w:val="28"/>
        </w:rPr>
        <w:t>31.2.1综合评分法，是指投标文件满足招标文件全部实质性要求，且按照评审因素的量化指标评审得分最高的投标人为中标候选人的评标方法。</w:t>
      </w:r>
    </w:p>
    <w:p w14:paraId="57B9786E">
      <w:pPr>
        <w:ind w:firstLine="560" w:firstLineChars="200"/>
        <w:rPr>
          <w:rFonts w:ascii="宋体" w:hAnsi="宋体" w:cs="宋体"/>
          <w:sz w:val="28"/>
          <w:szCs w:val="28"/>
        </w:rPr>
      </w:pPr>
      <w:r>
        <w:rPr>
          <w:rFonts w:hint="eastAsia" w:ascii="宋体" w:hAnsi="宋体" w:cs="宋体"/>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E798DFF">
      <w:pPr>
        <w:ind w:firstLine="560" w:firstLineChars="200"/>
        <w:rPr>
          <w:rFonts w:hint="eastAsia" w:ascii="宋体" w:hAnsi="宋体" w:cs="宋体"/>
          <w:sz w:val="28"/>
          <w:szCs w:val="28"/>
        </w:rPr>
      </w:pPr>
      <w:r>
        <w:rPr>
          <w:rFonts w:hint="eastAsia" w:ascii="宋体" w:hAnsi="宋体" w:cs="宋体"/>
          <w:sz w:val="28"/>
          <w:szCs w:val="28"/>
        </w:rPr>
        <w:t>采用综合评分法，评标结果按评审后得分由高到低顺序排列。得分相同的，按投标报价由低到高顺序排列。得分且投标报价相同的并列。投标文件满足招标文件全部实质性要求，且按照评审因素的量化指标评审得分最高的供应商为排名第一的中标候选人。</w:t>
      </w:r>
    </w:p>
    <w:p w14:paraId="0A5A2444">
      <w:pPr>
        <w:ind w:firstLine="560" w:firstLineChars="200"/>
        <w:rPr>
          <w:sz w:val="28"/>
          <w:szCs w:val="28"/>
        </w:rPr>
      </w:pPr>
      <w:r>
        <w:rPr>
          <w:rFonts w:hint="eastAsia"/>
          <w:sz w:val="28"/>
          <w:szCs w:val="28"/>
        </w:rPr>
        <w:t>采用综合评分法，按评标总得分由高到低顺序排列。得分相同的，按投标报价由低到高顺序排列。得分与投标报价均相同的，按技术指标优劣排列。得分、投标报价与技术指标优劣均相同的，通过随机抽取产生。。</w:t>
      </w:r>
    </w:p>
    <w:p w14:paraId="4B23AB1F">
      <w:pPr>
        <w:ind w:firstLine="562" w:firstLineChars="200"/>
        <w:rPr>
          <w:rFonts w:ascii="黑体" w:hAnsi="黑体" w:eastAsia="黑体"/>
          <w:b/>
          <w:sz w:val="28"/>
          <w:szCs w:val="28"/>
        </w:rPr>
      </w:pPr>
      <w:r>
        <w:rPr>
          <w:rFonts w:hint="eastAsia" w:ascii="黑体" w:hAnsi="黑体" w:eastAsia="黑体"/>
          <w:b/>
          <w:sz w:val="28"/>
          <w:szCs w:val="28"/>
        </w:rPr>
        <w:t>32.确定中标人和中标候选人</w:t>
      </w:r>
    </w:p>
    <w:p w14:paraId="3FB03520">
      <w:pPr>
        <w:ind w:firstLine="560" w:firstLineChars="200"/>
        <w:rPr>
          <w:rFonts w:ascii="宋体" w:hAnsi="宋体" w:cs="宋体"/>
          <w:kern w:val="0"/>
          <w:sz w:val="28"/>
          <w:szCs w:val="28"/>
        </w:rPr>
      </w:pPr>
      <w:r>
        <w:rPr>
          <w:rFonts w:hint="eastAsia" w:ascii="宋体" w:hAnsi="宋体" w:cs="宋体"/>
          <w:kern w:val="0"/>
          <w:sz w:val="28"/>
          <w:szCs w:val="28"/>
        </w:rPr>
        <w:t>本项目由采购人授权评标委员会直接确定中标候选人。</w:t>
      </w:r>
    </w:p>
    <w:p w14:paraId="1785E4C3">
      <w:pPr>
        <w:ind w:firstLine="562" w:firstLineChars="200"/>
        <w:rPr>
          <w:rFonts w:ascii="黑体" w:hAnsi="黑体" w:eastAsia="黑体"/>
          <w:b/>
          <w:sz w:val="28"/>
          <w:szCs w:val="28"/>
        </w:rPr>
      </w:pPr>
      <w:r>
        <w:rPr>
          <w:rFonts w:hint="eastAsia" w:ascii="黑体" w:hAnsi="黑体" w:eastAsia="黑体"/>
          <w:b/>
          <w:sz w:val="28"/>
          <w:szCs w:val="28"/>
        </w:rPr>
        <w:t>33.中标通知书及中标公告</w:t>
      </w:r>
    </w:p>
    <w:p w14:paraId="04A38CCB">
      <w:pPr>
        <w:ind w:firstLine="560" w:firstLineChars="200"/>
        <w:rPr>
          <w:rFonts w:hint="eastAsia" w:ascii="宋体" w:hAnsi="宋体"/>
          <w:b w:val="0"/>
          <w:bCs/>
          <w:sz w:val="28"/>
          <w:szCs w:val="28"/>
          <w:lang w:val="en-US" w:eastAsia="zh-CN"/>
        </w:rPr>
      </w:pPr>
      <w:r>
        <w:rPr>
          <w:rFonts w:hint="eastAsia" w:ascii="宋体" w:hAnsi="宋体" w:cs="宋体"/>
          <w:kern w:val="0"/>
          <w:sz w:val="28"/>
          <w:szCs w:val="28"/>
        </w:rPr>
        <w:t>33</w:t>
      </w:r>
      <w:r>
        <w:rPr>
          <w:rFonts w:hint="eastAsia" w:ascii="宋体" w:hAnsi="宋体" w:cs="宋体"/>
          <w:color w:val="000000"/>
          <w:kern w:val="0"/>
          <w:sz w:val="28"/>
          <w:szCs w:val="28"/>
        </w:rPr>
        <w:t>.1 评审结束后，</w:t>
      </w:r>
      <w:r>
        <w:rPr>
          <w:rFonts w:hint="eastAsia" w:ascii="宋体" w:hAnsi="宋体"/>
          <w:b w:val="0"/>
          <w:bCs/>
          <w:sz w:val="28"/>
          <w:szCs w:val="28"/>
          <w:lang w:val="en-US" w:eastAsia="zh-CN"/>
        </w:rPr>
        <w:t>根据全体谈判小组成员签字的原始评审记录和评审结果编写评审报告，</w:t>
      </w:r>
      <w:r>
        <w:rPr>
          <w:rFonts w:hint="eastAsia" w:ascii="宋体" w:hAnsi="宋体"/>
          <w:b w:val="0"/>
          <w:bCs/>
          <w:sz w:val="28"/>
          <w:szCs w:val="28"/>
        </w:rPr>
        <w:t>采购代理机构在评标结束后2个工作日内将评</w:t>
      </w:r>
      <w:r>
        <w:rPr>
          <w:rFonts w:hint="eastAsia" w:ascii="宋体" w:hAnsi="宋体"/>
          <w:b w:val="0"/>
          <w:bCs/>
          <w:sz w:val="28"/>
          <w:szCs w:val="28"/>
          <w:lang w:val="en-US" w:eastAsia="zh-CN"/>
        </w:rPr>
        <w:t>审</w:t>
      </w:r>
      <w:r>
        <w:rPr>
          <w:rFonts w:hint="eastAsia" w:ascii="宋体" w:hAnsi="宋体"/>
          <w:b w:val="0"/>
          <w:bCs/>
          <w:sz w:val="28"/>
          <w:szCs w:val="28"/>
        </w:rPr>
        <w:t>报告通过公共资源电子交易系统提交采购人，采购人应当在收到评标报告1个工作日内通过公共资源电子交易系统线上确定中标供应商，在中标供应商确定后，采购代理机构应及时在《河南省政府采购网》、《驻马店市公共资源交易中心</w:t>
      </w:r>
      <w:r>
        <w:rPr>
          <w:rFonts w:hint="eastAsia" w:ascii="宋体" w:hAnsi="宋体"/>
          <w:b w:val="0"/>
          <w:bCs/>
          <w:sz w:val="28"/>
          <w:szCs w:val="28"/>
          <w:lang w:val="en-US" w:eastAsia="zh-CN"/>
        </w:rPr>
        <w:t>网</w:t>
      </w:r>
      <w:r>
        <w:rPr>
          <w:rFonts w:hint="eastAsia" w:ascii="宋体" w:hAnsi="宋体"/>
          <w:b w:val="0"/>
          <w:bCs/>
          <w:sz w:val="28"/>
          <w:szCs w:val="28"/>
        </w:rPr>
        <w:t>》等相关媒体上发布中标公告，同时向中标供应商发出中标通知书。</w:t>
      </w:r>
      <w:r>
        <w:rPr>
          <w:rFonts w:hint="eastAsia" w:ascii="宋体" w:hAnsi="宋体"/>
          <w:b w:val="0"/>
          <w:bCs/>
          <w:sz w:val="28"/>
          <w:szCs w:val="28"/>
          <w:lang w:val="en-US" w:eastAsia="zh-CN"/>
        </w:rPr>
        <w:t xml:space="preserve">   </w:t>
      </w:r>
    </w:p>
    <w:p w14:paraId="0AFC9979">
      <w:pPr>
        <w:ind w:firstLine="560" w:firstLineChars="200"/>
        <w:rPr>
          <w:rFonts w:ascii="宋体" w:hAnsi="宋体" w:cs="宋体"/>
          <w:kern w:val="0"/>
          <w:sz w:val="28"/>
          <w:szCs w:val="28"/>
        </w:rPr>
      </w:pPr>
      <w:r>
        <w:rPr>
          <w:rFonts w:hint="eastAsia" w:ascii="宋体" w:hAnsi="宋体" w:cs="宋体"/>
          <w:kern w:val="0"/>
          <w:sz w:val="28"/>
          <w:szCs w:val="28"/>
        </w:rPr>
        <w:t>33.2 中标人在规定的时间内不领取中标通知书的，视为中标后自动放弃中标资格；中标人在有效报价中报价最低,非不可抗力放弃中标资格的。发生上述情况的承担由此引起的一切后果。</w:t>
      </w:r>
    </w:p>
    <w:p w14:paraId="077332BA">
      <w:pPr>
        <w:ind w:firstLine="560" w:firstLineChars="200"/>
        <w:rPr>
          <w:rFonts w:ascii="宋体" w:hAnsi="宋体" w:cs="宋体"/>
          <w:kern w:val="0"/>
          <w:sz w:val="28"/>
          <w:szCs w:val="28"/>
        </w:rPr>
      </w:pPr>
      <w:r>
        <w:rPr>
          <w:rFonts w:hint="eastAsia" w:ascii="宋体" w:hAnsi="宋体" w:cs="宋体"/>
          <w:kern w:val="0"/>
          <w:sz w:val="28"/>
          <w:szCs w:val="28"/>
        </w:rPr>
        <w:t>33.3 中标通知书对采购人和中标人具有同等法律效力。中标通知书发出后，采购人改变中标结果，或者中标人放弃中标，应按相关法律、规章、规范性文件的要求承担相应的法律责任。</w:t>
      </w:r>
    </w:p>
    <w:p w14:paraId="0B68AA7A">
      <w:pPr>
        <w:ind w:firstLine="560" w:firstLineChars="200"/>
        <w:rPr>
          <w:rFonts w:hint="eastAsia" w:ascii="宋体" w:hAnsi="宋体" w:cs="宋体"/>
          <w:kern w:val="0"/>
          <w:sz w:val="28"/>
          <w:szCs w:val="28"/>
        </w:rPr>
      </w:pPr>
      <w:r>
        <w:rPr>
          <w:rFonts w:hint="eastAsia" w:ascii="宋体" w:hAnsi="宋体" w:cs="宋体"/>
          <w:kern w:val="0"/>
          <w:sz w:val="28"/>
          <w:szCs w:val="28"/>
        </w:rPr>
        <w:t>33.4 中标通知书将作为签订合同的依据。合同签订后，中标通知书成为合同的一部分。</w:t>
      </w:r>
    </w:p>
    <w:p w14:paraId="40EC6295">
      <w:pPr>
        <w:ind w:firstLine="562" w:firstLineChars="200"/>
        <w:rPr>
          <w:rFonts w:ascii="黑体" w:hAnsi="黑体" w:eastAsia="黑体"/>
          <w:b/>
          <w:sz w:val="28"/>
          <w:szCs w:val="28"/>
        </w:rPr>
      </w:pPr>
      <w:r>
        <w:rPr>
          <w:rFonts w:hint="eastAsia" w:ascii="黑体" w:hAnsi="黑体" w:eastAsia="黑体"/>
          <w:b/>
          <w:sz w:val="28"/>
          <w:szCs w:val="28"/>
        </w:rPr>
        <w:t>34.采购代理机构宣布废标的权利</w:t>
      </w:r>
    </w:p>
    <w:p w14:paraId="4DDBE53B">
      <w:pPr>
        <w:ind w:firstLine="560" w:firstLineChars="200"/>
        <w:rPr>
          <w:rFonts w:ascii="宋体" w:hAnsi="宋体" w:cs="宋体"/>
          <w:kern w:val="0"/>
          <w:sz w:val="28"/>
          <w:szCs w:val="28"/>
        </w:rPr>
      </w:pPr>
      <w:r>
        <w:rPr>
          <w:rFonts w:hint="eastAsia" w:ascii="宋体" w:hAnsi="宋体" w:cs="宋体"/>
          <w:kern w:val="0"/>
          <w:sz w:val="28"/>
          <w:szCs w:val="28"/>
        </w:rPr>
        <w:t>34.1 出现下列情况之一时，采购代理机构有权宣布废标，并将理由通知所有投标人：</w:t>
      </w:r>
    </w:p>
    <w:p w14:paraId="71317A3E">
      <w:pPr>
        <w:ind w:firstLine="560" w:firstLineChars="200"/>
        <w:rPr>
          <w:rFonts w:ascii="宋体" w:hAnsi="宋体" w:cs="宋体"/>
          <w:kern w:val="0"/>
          <w:sz w:val="28"/>
          <w:szCs w:val="28"/>
        </w:rPr>
      </w:pPr>
      <w:r>
        <w:rPr>
          <w:rFonts w:hint="eastAsia" w:ascii="宋体" w:hAnsi="宋体" w:cs="宋体"/>
          <w:kern w:val="0"/>
          <w:sz w:val="28"/>
          <w:szCs w:val="28"/>
        </w:rPr>
        <w:t>34.1.1出现影响采购公正的违法、违规行为的。</w:t>
      </w:r>
    </w:p>
    <w:p w14:paraId="177A0FC1">
      <w:pPr>
        <w:ind w:firstLine="560" w:firstLineChars="200"/>
        <w:rPr>
          <w:rFonts w:ascii="宋体" w:hAnsi="宋体" w:cs="宋体"/>
          <w:kern w:val="0"/>
          <w:sz w:val="28"/>
          <w:szCs w:val="28"/>
        </w:rPr>
      </w:pPr>
      <w:r>
        <w:rPr>
          <w:rFonts w:hint="eastAsia" w:ascii="宋体" w:hAnsi="宋体" w:cs="宋体"/>
          <w:kern w:val="0"/>
          <w:sz w:val="28"/>
          <w:szCs w:val="28"/>
        </w:rPr>
        <w:t>34.1.2 投标人的报价均超过了招标控制价，采购人不能支付的。</w:t>
      </w:r>
    </w:p>
    <w:p w14:paraId="1E43F355">
      <w:pPr>
        <w:ind w:firstLine="560" w:firstLineChars="200"/>
        <w:rPr>
          <w:rFonts w:ascii="宋体" w:hAnsi="宋体" w:cs="宋体"/>
          <w:kern w:val="0"/>
          <w:sz w:val="28"/>
          <w:szCs w:val="28"/>
        </w:rPr>
      </w:pPr>
      <w:r>
        <w:rPr>
          <w:rFonts w:hint="eastAsia" w:ascii="宋体" w:hAnsi="宋体" w:cs="宋体"/>
          <w:kern w:val="0"/>
          <w:sz w:val="28"/>
          <w:szCs w:val="28"/>
        </w:rPr>
        <w:t>34.1.3 因重大变故，采购任务取消的。</w:t>
      </w:r>
    </w:p>
    <w:p w14:paraId="70581874">
      <w:pPr>
        <w:ind w:firstLine="560" w:firstLineChars="200"/>
        <w:rPr>
          <w:rFonts w:ascii="宋体" w:hAnsi="宋体" w:cs="宋体"/>
          <w:sz w:val="28"/>
          <w:szCs w:val="28"/>
        </w:rPr>
      </w:pPr>
      <w:r>
        <w:rPr>
          <w:rFonts w:hint="eastAsia" w:ascii="宋体" w:hAnsi="宋体" w:cs="宋体"/>
          <w:sz w:val="28"/>
          <w:szCs w:val="28"/>
        </w:rPr>
        <w:t>34.2 投标截止时间后投标人不足3家或通过资格性检查或符合性检查的投标人不足3家的，除采购任务取消情形外，按照以下方式处理：</w:t>
      </w:r>
    </w:p>
    <w:p w14:paraId="37D26A41">
      <w:pPr>
        <w:ind w:firstLine="560" w:firstLineChars="200"/>
        <w:rPr>
          <w:rFonts w:ascii="宋体" w:hAnsi="宋体" w:cs="宋体"/>
          <w:sz w:val="28"/>
          <w:szCs w:val="28"/>
        </w:rPr>
      </w:pPr>
      <w:r>
        <w:rPr>
          <w:rFonts w:hint="eastAsia" w:ascii="宋体" w:hAnsi="宋体" w:cs="宋体"/>
          <w:sz w:val="28"/>
          <w:szCs w:val="28"/>
        </w:rPr>
        <w:t>（1）招标文件存在不合理条款或者招标程序不符合规定的，采购人、采购代理机构改正后依法重新招标；</w:t>
      </w:r>
    </w:p>
    <w:p w14:paraId="0B64E14D">
      <w:pPr>
        <w:ind w:firstLine="560" w:firstLineChars="200"/>
        <w:rPr>
          <w:rFonts w:ascii="宋体" w:hAnsi="宋体" w:cs="宋体"/>
          <w:sz w:val="28"/>
          <w:szCs w:val="28"/>
        </w:rPr>
      </w:pPr>
      <w:r>
        <w:rPr>
          <w:rFonts w:hint="eastAsia" w:ascii="宋体" w:hAnsi="宋体" w:cs="宋体"/>
          <w:sz w:val="28"/>
          <w:szCs w:val="28"/>
        </w:rPr>
        <w:t>（2）招标文件没有不合理条款、招标程序符合规定，需要采用其他采购方式采购的，采购人应当依法报财政部门批准。</w:t>
      </w:r>
    </w:p>
    <w:p w14:paraId="0C3D21AF">
      <w:pPr>
        <w:ind w:firstLine="1044" w:firstLineChars="200"/>
        <w:rPr>
          <w:rFonts w:hint="eastAsia" w:ascii="宋体" w:hAnsi="宋体" w:cs="宋体"/>
          <w:b/>
          <w:kern w:val="0"/>
          <w:sz w:val="52"/>
          <w:szCs w:val="52"/>
        </w:rPr>
      </w:pPr>
    </w:p>
    <w:p w14:paraId="4091F949">
      <w:pPr>
        <w:widowControl/>
        <w:spacing w:line="360" w:lineRule="auto"/>
        <w:jc w:val="center"/>
        <w:rPr>
          <w:rFonts w:hint="eastAsia" w:ascii="黑体" w:hAnsi="宋体" w:eastAsia="黑体" w:cs="宋体"/>
          <w:b/>
          <w:kern w:val="0"/>
          <w:sz w:val="36"/>
          <w:szCs w:val="36"/>
        </w:rPr>
      </w:pPr>
      <w:r>
        <w:rPr>
          <w:rFonts w:hint="eastAsia" w:ascii="黑体" w:hAnsi="宋体" w:eastAsia="黑体" w:cs="宋体"/>
          <w:b/>
          <w:kern w:val="0"/>
          <w:sz w:val="36"/>
          <w:szCs w:val="36"/>
        </w:rPr>
        <w:t>八   合同授予</w:t>
      </w:r>
    </w:p>
    <w:p w14:paraId="04C4B189">
      <w:pPr>
        <w:ind w:firstLine="562" w:firstLineChars="200"/>
        <w:rPr>
          <w:rFonts w:ascii="黑体" w:hAnsi="黑体" w:eastAsia="黑体"/>
          <w:b/>
          <w:sz w:val="28"/>
          <w:szCs w:val="28"/>
        </w:rPr>
      </w:pPr>
    </w:p>
    <w:p w14:paraId="46A31C51">
      <w:pPr>
        <w:ind w:firstLine="562" w:firstLineChars="200"/>
        <w:rPr>
          <w:rFonts w:ascii="黑体" w:hAnsi="黑体" w:eastAsia="黑体"/>
          <w:b/>
          <w:sz w:val="28"/>
          <w:szCs w:val="28"/>
        </w:rPr>
      </w:pPr>
      <w:r>
        <w:rPr>
          <w:rFonts w:hint="eastAsia" w:ascii="黑体" w:hAnsi="黑体" w:eastAsia="黑体"/>
          <w:b/>
          <w:sz w:val="28"/>
          <w:szCs w:val="28"/>
        </w:rPr>
        <w:t>35.合同签订</w:t>
      </w:r>
    </w:p>
    <w:p w14:paraId="36260ACB">
      <w:pPr>
        <w:ind w:firstLine="560" w:firstLineChars="200"/>
        <w:rPr>
          <w:rFonts w:ascii="宋体" w:hAnsi="宋体" w:cs="宋体"/>
          <w:kern w:val="0"/>
          <w:sz w:val="28"/>
          <w:szCs w:val="28"/>
        </w:rPr>
      </w:pPr>
      <w:r>
        <w:rPr>
          <w:rFonts w:hint="eastAsia" w:ascii="宋体" w:hAnsi="宋体" w:cs="宋体"/>
          <w:kern w:val="0"/>
          <w:sz w:val="28"/>
          <w:szCs w:val="28"/>
        </w:rPr>
        <w:t>35.1 采购人、中标人自中标通知书发出之日起，在招标文件第三章《供应商须知前附表》规定的时间内，根据招标文件确定的事项和中标人投标文件签订合同。双方所签订的合同不得对招标文件和中标人投标文件作实质性修改。</w:t>
      </w:r>
    </w:p>
    <w:p w14:paraId="7D5FAFE8">
      <w:pPr>
        <w:ind w:firstLine="560" w:firstLineChars="200"/>
        <w:rPr>
          <w:rFonts w:ascii="宋体" w:hAnsi="宋体" w:cs="宋体"/>
          <w:kern w:val="0"/>
          <w:sz w:val="28"/>
          <w:szCs w:val="28"/>
        </w:rPr>
      </w:pPr>
      <w:r>
        <w:rPr>
          <w:rFonts w:hint="eastAsia" w:ascii="宋体" w:hAnsi="宋体" w:cs="宋体"/>
          <w:kern w:val="0"/>
          <w:sz w:val="28"/>
          <w:szCs w:val="28"/>
        </w:rPr>
        <w:t>35.2 招标文件、招标文件的修改文件、中标人的投标文件、补充或修改的文件及澄清或承诺文件等，均为双方签订合同的组成部分，并与合同一并作为本招标文件所列采购项目的互补性法律文件，与合同具有同等法律效力。</w:t>
      </w:r>
    </w:p>
    <w:p w14:paraId="4B87980D">
      <w:pPr>
        <w:ind w:firstLine="560" w:firstLineChars="200"/>
        <w:rPr>
          <w:rFonts w:cs="宋体"/>
          <w:kern w:val="0"/>
          <w:sz w:val="28"/>
          <w:szCs w:val="28"/>
        </w:rPr>
      </w:pPr>
      <w:r>
        <w:rPr>
          <w:rFonts w:hint="eastAsia" w:ascii="宋体" w:hAnsi="宋体" w:cs="宋体"/>
          <w:kern w:val="0"/>
          <w:sz w:val="28"/>
          <w:szCs w:val="28"/>
        </w:rPr>
        <w:t>35.3 中标人</w:t>
      </w:r>
      <w:r>
        <w:rPr>
          <w:rFonts w:hint="eastAsia" w:cs="宋体"/>
          <w:kern w:val="0"/>
          <w:sz w:val="28"/>
          <w:szCs w:val="28"/>
        </w:rPr>
        <w:t>放弃中标、因不可抗力不能履行合同、不按照招标文件要求提交履约保证金，或者被查实存在影响中标结果的违法行为等情形，不符合中标条件的，</w:t>
      </w:r>
      <w:r>
        <w:rPr>
          <w:rFonts w:hint="eastAsia" w:ascii="宋体" w:hAnsi="宋体" w:cs="宋体"/>
          <w:kern w:val="0"/>
          <w:sz w:val="28"/>
          <w:szCs w:val="28"/>
        </w:rPr>
        <w:t>采购人可以</w:t>
      </w:r>
      <w:r>
        <w:rPr>
          <w:rFonts w:hint="eastAsia" w:cs="宋体"/>
          <w:kern w:val="0"/>
          <w:sz w:val="28"/>
          <w:szCs w:val="28"/>
        </w:rPr>
        <w:t>按照评标委员会提出的中标候选</w:t>
      </w:r>
      <w:r>
        <w:rPr>
          <w:rFonts w:hint="eastAsia" w:ascii="宋体" w:hAnsi="宋体" w:cs="宋体"/>
          <w:kern w:val="0"/>
          <w:sz w:val="28"/>
          <w:szCs w:val="28"/>
        </w:rPr>
        <w:t>人</w:t>
      </w:r>
      <w:r>
        <w:rPr>
          <w:rFonts w:hint="eastAsia" w:cs="宋体"/>
          <w:kern w:val="0"/>
          <w:sz w:val="28"/>
          <w:szCs w:val="28"/>
        </w:rPr>
        <w:t>名单排序依次确定其他中标候选</w:t>
      </w:r>
      <w:r>
        <w:rPr>
          <w:rFonts w:hint="eastAsia" w:ascii="宋体" w:hAnsi="宋体" w:cs="宋体"/>
          <w:kern w:val="0"/>
          <w:sz w:val="28"/>
          <w:szCs w:val="28"/>
        </w:rPr>
        <w:t>人</w:t>
      </w:r>
      <w:r>
        <w:rPr>
          <w:rFonts w:hint="eastAsia" w:cs="宋体"/>
          <w:kern w:val="0"/>
          <w:sz w:val="28"/>
          <w:szCs w:val="28"/>
        </w:rPr>
        <w:t>为中标</w:t>
      </w:r>
      <w:r>
        <w:rPr>
          <w:rFonts w:hint="eastAsia" w:ascii="宋体" w:hAnsi="宋体" w:cs="宋体"/>
          <w:kern w:val="0"/>
          <w:sz w:val="28"/>
          <w:szCs w:val="28"/>
        </w:rPr>
        <w:t>人</w:t>
      </w:r>
      <w:r>
        <w:rPr>
          <w:rFonts w:hint="eastAsia" w:cs="宋体"/>
          <w:kern w:val="0"/>
          <w:sz w:val="28"/>
          <w:szCs w:val="28"/>
        </w:rPr>
        <w:t>，也可以重新招标。</w:t>
      </w:r>
    </w:p>
    <w:p w14:paraId="72F679E6">
      <w:pPr>
        <w:ind w:firstLine="560" w:firstLineChars="200"/>
        <w:rPr>
          <w:rFonts w:hint="eastAsia" w:ascii="黑体" w:hAnsi="宋体" w:eastAsia="黑体" w:cs="宋体"/>
          <w:b/>
          <w:kern w:val="0"/>
          <w:sz w:val="36"/>
          <w:szCs w:val="36"/>
        </w:rPr>
      </w:pPr>
      <w:r>
        <w:rPr>
          <w:rFonts w:hint="eastAsia" w:ascii="宋体" w:hAnsi="宋体" w:cs="宋体"/>
          <w:kern w:val="0"/>
          <w:sz w:val="28"/>
          <w:szCs w:val="28"/>
        </w:rPr>
        <w:t>35.4 采购人应在采购合同签订之日起7个工作日内将合同副本报同级财政部门备案。</w:t>
      </w:r>
    </w:p>
    <w:p w14:paraId="7540BEC2">
      <w:pPr>
        <w:widowControl/>
        <w:spacing w:line="360" w:lineRule="auto"/>
        <w:jc w:val="center"/>
        <w:rPr>
          <w:rFonts w:hint="eastAsia" w:ascii="黑体" w:hAnsi="宋体" w:eastAsia="黑体" w:cs="宋体"/>
          <w:b/>
          <w:kern w:val="0"/>
          <w:sz w:val="36"/>
          <w:szCs w:val="36"/>
        </w:rPr>
      </w:pPr>
    </w:p>
    <w:p w14:paraId="2316DE70">
      <w:pPr>
        <w:widowControl/>
        <w:spacing w:line="360" w:lineRule="auto"/>
        <w:jc w:val="center"/>
        <w:rPr>
          <w:rFonts w:ascii="黑体" w:hAnsi="宋体" w:eastAsia="黑体" w:cs="宋体"/>
          <w:b/>
          <w:kern w:val="0"/>
          <w:sz w:val="36"/>
          <w:szCs w:val="36"/>
        </w:rPr>
      </w:pPr>
      <w:r>
        <w:rPr>
          <w:rFonts w:hint="eastAsia" w:ascii="黑体" w:hAnsi="宋体" w:eastAsia="黑体" w:cs="宋体"/>
          <w:b/>
          <w:kern w:val="0"/>
          <w:sz w:val="36"/>
          <w:szCs w:val="36"/>
        </w:rPr>
        <w:t>第四章  评标办法及评分标准</w:t>
      </w:r>
    </w:p>
    <w:p w14:paraId="0833AD5E">
      <w:pPr>
        <w:widowControl/>
        <w:spacing w:line="360" w:lineRule="auto"/>
        <w:rPr>
          <w:rFonts w:ascii="宋体" w:hAnsi="宋体" w:cs="宋体"/>
          <w:kern w:val="0"/>
          <w:sz w:val="28"/>
          <w:szCs w:val="28"/>
        </w:rPr>
      </w:pPr>
      <w:r>
        <w:rPr>
          <w:rFonts w:ascii="宋体" w:hAnsi="宋体" w:cs="宋体"/>
          <w:kern w:val="0"/>
          <w:sz w:val="28"/>
          <w:szCs w:val="28"/>
        </w:rPr>
        <w:t xml:space="preserve">    </w:t>
      </w:r>
    </w:p>
    <w:p w14:paraId="2E4F25C1">
      <w:pPr>
        <w:ind w:firstLine="562" w:firstLineChars="200"/>
        <w:rPr>
          <w:rFonts w:ascii="黑体" w:hAnsi="黑体" w:eastAsia="黑体"/>
          <w:b/>
          <w:sz w:val="28"/>
          <w:szCs w:val="28"/>
        </w:rPr>
      </w:pPr>
      <w:r>
        <w:rPr>
          <w:rFonts w:hint="eastAsia" w:ascii="黑体" w:hAnsi="黑体" w:eastAsia="黑体" w:cs="宋体"/>
          <w:b/>
          <w:kern w:val="0"/>
          <w:sz w:val="28"/>
          <w:szCs w:val="28"/>
        </w:rPr>
        <w:t>一</w:t>
      </w:r>
      <w:r>
        <w:rPr>
          <w:rFonts w:ascii="黑体" w:hAnsi="黑体" w:eastAsia="黑体" w:cs="宋体"/>
          <w:b/>
          <w:kern w:val="0"/>
          <w:sz w:val="28"/>
          <w:szCs w:val="28"/>
        </w:rPr>
        <w:t>、</w:t>
      </w:r>
      <w:r>
        <w:rPr>
          <w:rFonts w:hint="eastAsia" w:ascii="黑体" w:hAnsi="黑体" w:eastAsia="黑体"/>
          <w:b/>
          <w:sz w:val="28"/>
          <w:szCs w:val="28"/>
        </w:rPr>
        <w:t>总则</w:t>
      </w:r>
    </w:p>
    <w:p w14:paraId="4150B61C">
      <w:pPr>
        <w:ind w:firstLine="560" w:firstLineChars="200"/>
        <w:rPr>
          <w:rFonts w:hint="eastAsia" w:ascii="宋体" w:hAnsi="宋体" w:cs="宋体"/>
          <w:sz w:val="28"/>
          <w:szCs w:val="28"/>
        </w:rPr>
      </w:pPr>
      <w:r>
        <w:rPr>
          <w:rFonts w:hint="eastAsia" w:ascii="宋体" w:hAnsi="宋体" w:cs="宋体"/>
          <w:sz w:val="28"/>
          <w:szCs w:val="28"/>
        </w:rPr>
        <w:t>本次评标采用综合评分法，总分为100分。按投标人须知第31项的规定排列中标资格。评分过程中采用四舍五入法，保留小数2位。</w:t>
      </w:r>
    </w:p>
    <w:p w14:paraId="6EF4DEC3">
      <w:pPr>
        <w:ind w:firstLine="562" w:firstLineChars="200"/>
        <w:rPr>
          <w:rFonts w:hint="eastAsia" w:ascii="黑体" w:hAnsi="黑体" w:eastAsia="黑体" w:cs="宋体"/>
          <w:b/>
          <w:kern w:val="0"/>
          <w:sz w:val="28"/>
          <w:szCs w:val="28"/>
        </w:rPr>
      </w:pPr>
      <w:r>
        <w:rPr>
          <w:rFonts w:hint="eastAsia" w:ascii="黑体" w:hAnsi="黑体" w:eastAsia="黑体" w:cs="宋体"/>
          <w:b/>
          <w:kern w:val="0"/>
          <w:sz w:val="28"/>
          <w:szCs w:val="28"/>
        </w:rPr>
        <w:t>二、评标内容及标准</w:t>
      </w:r>
    </w:p>
    <w:p w14:paraId="7CD5E482">
      <w:pPr>
        <w:widowControl/>
        <w:wordWrap w:val="0"/>
        <w:spacing w:line="460" w:lineRule="exact"/>
        <w:ind w:firstLine="551" w:firstLineChars="196"/>
        <w:jc w:val="left"/>
        <w:rPr>
          <w:rFonts w:hint="eastAsia" w:ascii="宋体" w:hAnsi="宋体" w:cs="宋体"/>
          <w:b/>
          <w:kern w:val="0"/>
          <w:sz w:val="28"/>
          <w:szCs w:val="28"/>
        </w:rPr>
      </w:pPr>
      <w:r>
        <w:rPr>
          <w:rFonts w:hint="eastAsia" w:ascii="宋体" w:hAnsi="宋体" w:cs="宋体"/>
          <w:b/>
          <w:kern w:val="0"/>
          <w:sz w:val="28"/>
          <w:szCs w:val="28"/>
        </w:rPr>
        <w:t>1、资格性审查。</w:t>
      </w:r>
    </w:p>
    <w:p w14:paraId="5A1B3FB4">
      <w:pPr>
        <w:widowControl/>
        <w:wordWrap w:val="0"/>
        <w:spacing w:line="460" w:lineRule="exact"/>
        <w:ind w:firstLine="548" w:firstLineChars="196"/>
        <w:jc w:val="left"/>
        <w:rPr>
          <w:rFonts w:hint="eastAsia" w:ascii="宋体" w:hAnsi="宋体" w:cs="宋体"/>
          <w:kern w:val="0"/>
          <w:sz w:val="28"/>
          <w:szCs w:val="28"/>
        </w:rPr>
      </w:pPr>
      <w:r>
        <w:rPr>
          <w:rFonts w:hint="eastAsia" w:ascii="宋体" w:hAnsi="宋体" w:cs="宋体"/>
          <w:kern w:val="0"/>
          <w:sz w:val="28"/>
          <w:szCs w:val="28"/>
        </w:rPr>
        <w:t>开标结束后，首先按照《政府采购货物和服务招投标管理办法》（财政局第87号令）和招标文件规定由采购人对投标人的资格进行审查。</w:t>
      </w:r>
    </w:p>
    <w:p w14:paraId="0AA66F32">
      <w:pPr>
        <w:widowControl/>
        <w:wordWrap w:val="0"/>
        <w:spacing w:line="460" w:lineRule="exact"/>
        <w:ind w:firstLine="548" w:firstLineChars="196"/>
        <w:jc w:val="left"/>
        <w:rPr>
          <w:rFonts w:hint="eastAsia" w:ascii="宋体" w:hAnsi="宋体" w:cs="宋体"/>
          <w:kern w:val="0"/>
          <w:sz w:val="28"/>
          <w:szCs w:val="28"/>
        </w:rPr>
      </w:pPr>
    </w:p>
    <w:tbl>
      <w:tblPr>
        <w:tblStyle w:val="36"/>
        <w:tblW w:w="92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
        <w:gridCol w:w="894"/>
        <w:gridCol w:w="6431"/>
        <w:gridCol w:w="1077"/>
      </w:tblGrid>
      <w:tr w14:paraId="6B2BC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863" w:type="dxa"/>
            <w:noWrap w:val="0"/>
            <w:vAlign w:val="top"/>
          </w:tcPr>
          <w:p w14:paraId="56C1969C">
            <w:pPr>
              <w:widowControl/>
              <w:spacing w:line="460" w:lineRule="exact"/>
              <w:jc w:val="center"/>
              <w:rPr>
                <w:rFonts w:hint="eastAsia" w:ascii="宋体" w:hAnsi="宋体" w:eastAsia="宋体" w:cs="宋体"/>
                <w:kern w:val="0"/>
                <w:sz w:val="28"/>
                <w:szCs w:val="28"/>
              </w:rPr>
            </w:pPr>
          </w:p>
        </w:tc>
        <w:tc>
          <w:tcPr>
            <w:tcW w:w="894" w:type="dxa"/>
            <w:noWrap w:val="0"/>
            <w:vAlign w:val="top"/>
          </w:tcPr>
          <w:p w14:paraId="65D24EA5">
            <w:pPr>
              <w:widowControl/>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序号</w:t>
            </w:r>
          </w:p>
        </w:tc>
        <w:tc>
          <w:tcPr>
            <w:tcW w:w="6431" w:type="dxa"/>
            <w:noWrap w:val="0"/>
            <w:vAlign w:val="top"/>
          </w:tcPr>
          <w:p w14:paraId="40CB24C7">
            <w:pPr>
              <w:widowControl/>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评审标准</w:t>
            </w:r>
          </w:p>
        </w:tc>
        <w:tc>
          <w:tcPr>
            <w:tcW w:w="1077" w:type="dxa"/>
            <w:noWrap w:val="0"/>
            <w:vAlign w:val="top"/>
          </w:tcPr>
          <w:p w14:paraId="7C631BDA">
            <w:pPr>
              <w:widowControl/>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备注</w:t>
            </w:r>
          </w:p>
        </w:tc>
      </w:tr>
      <w:tr w14:paraId="4BBBA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3" w:type="dxa"/>
            <w:vMerge w:val="restart"/>
            <w:noWrap w:val="0"/>
            <w:vAlign w:val="top"/>
          </w:tcPr>
          <w:p w14:paraId="044CD714">
            <w:pPr>
              <w:widowControl/>
              <w:wordWrap w:val="0"/>
              <w:spacing w:line="460" w:lineRule="exact"/>
              <w:jc w:val="center"/>
              <w:rPr>
                <w:rFonts w:hint="eastAsia" w:ascii="宋体" w:hAnsi="宋体" w:eastAsia="宋体" w:cs="宋体"/>
                <w:kern w:val="0"/>
                <w:sz w:val="28"/>
                <w:szCs w:val="28"/>
              </w:rPr>
            </w:pPr>
          </w:p>
          <w:p w14:paraId="41BF6A58">
            <w:pPr>
              <w:widowControl/>
              <w:wordWrap w:val="0"/>
              <w:spacing w:line="460" w:lineRule="exact"/>
              <w:jc w:val="center"/>
              <w:rPr>
                <w:rFonts w:hint="eastAsia" w:ascii="宋体" w:hAnsi="宋体" w:eastAsia="宋体" w:cs="宋体"/>
                <w:kern w:val="0"/>
                <w:sz w:val="28"/>
                <w:szCs w:val="28"/>
              </w:rPr>
            </w:pPr>
          </w:p>
          <w:p w14:paraId="29D69B77">
            <w:pPr>
              <w:widowControl/>
              <w:wordWrap w:val="0"/>
              <w:spacing w:line="460" w:lineRule="exact"/>
              <w:jc w:val="center"/>
              <w:rPr>
                <w:rFonts w:hint="eastAsia" w:ascii="宋体" w:hAnsi="宋体" w:eastAsia="宋体" w:cs="宋体"/>
                <w:kern w:val="0"/>
                <w:sz w:val="28"/>
                <w:szCs w:val="28"/>
              </w:rPr>
            </w:pPr>
          </w:p>
          <w:p w14:paraId="4C862621">
            <w:pPr>
              <w:widowControl/>
              <w:wordWrap w:val="0"/>
              <w:spacing w:line="460" w:lineRule="exact"/>
              <w:jc w:val="center"/>
              <w:rPr>
                <w:rFonts w:hint="eastAsia" w:ascii="宋体" w:hAnsi="宋体" w:eastAsia="宋体" w:cs="宋体"/>
                <w:kern w:val="0"/>
                <w:sz w:val="28"/>
                <w:szCs w:val="28"/>
              </w:rPr>
            </w:pPr>
          </w:p>
          <w:p w14:paraId="1305F9A9">
            <w:pPr>
              <w:widowControl/>
              <w:wordWrap w:val="0"/>
              <w:spacing w:line="460" w:lineRule="exact"/>
              <w:jc w:val="center"/>
              <w:rPr>
                <w:rFonts w:hint="eastAsia" w:ascii="宋体" w:hAnsi="宋体" w:eastAsia="宋体" w:cs="宋体"/>
                <w:kern w:val="0"/>
                <w:sz w:val="28"/>
                <w:szCs w:val="28"/>
              </w:rPr>
            </w:pPr>
          </w:p>
          <w:p w14:paraId="55DB95E7">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资</w:t>
            </w:r>
          </w:p>
          <w:p w14:paraId="0817D3FF">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格</w:t>
            </w:r>
          </w:p>
          <w:p w14:paraId="4B4F5E86">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性</w:t>
            </w:r>
          </w:p>
          <w:p w14:paraId="441A62FA">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审</w:t>
            </w:r>
          </w:p>
          <w:p w14:paraId="1EFBA5F1">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查</w:t>
            </w:r>
          </w:p>
        </w:tc>
        <w:tc>
          <w:tcPr>
            <w:tcW w:w="894" w:type="dxa"/>
            <w:noWrap w:val="0"/>
            <w:vAlign w:val="top"/>
          </w:tcPr>
          <w:p w14:paraId="57E5F989">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w:t>
            </w:r>
          </w:p>
        </w:tc>
        <w:tc>
          <w:tcPr>
            <w:tcW w:w="6431" w:type="dxa"/>
            <w:noWrap w:val="0"/>
            <w:vAlign w:val="top"/>
          </w:tcPr>
          <w:p w14:paraId="539A1A47">
            <w:pPr>
              <w:widowControl/>
              <w:wordWrap w:val="0"/>
              <w:spacing w:line="460" w:lineRule="exact"/>
              <w:jc w:val="left"/>
              <w:rPr>
                <w:rFonts w:hint="eastAsia" w:ascii="宋体" w:hAnsi="宋体" w:cs="Arial"/>
                <w:kern w:val="0"/>
                <w:sz w:val="28"/>
                <w:szCs w:val="28"/>
              </w:rPr>
            </w:pPr>
            <w:r>
              <w:rPr>
                <w:rFonts w:hint="eastAsia" w:ascii="宋体" w:hAnsi="宋体" w:cs="Arial"/>
                <w:kern w:val="0"/>
                <w:sz w:val="28"/>
                <w:szCs w:val="28"/>
                <w:lang w:eastAsia="zh-CN"/>
              </w:rPr>
              <w:t>具有独立企业法人资格，具有有效的营业执照、组织机构代码证、税务登记证（或三证合一证件）</w:t>
            </w:r>
            <w:r>
              <w:rPr>
                <w:rFonts w:hint="eastAsia" w:ascii="宋体" w:hAnsi="宋体" w:cs="Arial"/>
                <w:kern w:val="0"/>
                <w:sz w:val="28"/>
                <w:szCs w:val="28"/>
              </w:rPr>
              <w:t>。（有效的副本原件的扫描件）</w:t>
            </w:r>
          </w:p>
        </w:tc>
        <w:tc>
          <w:tcPr>
            <w:tcW w:w="1077" w:type="dxa"/>
            <w:noWrap w:val="0"/>
            <w:vAlign w:val="top"/>
          </w:tcPr>
          <w:p w14:paraId="38E8018D">
            <w:pPr>
              <w:widowControl/>
              <w:wordWrap w:val="0"/>
              <w:spacing w:line="460" w:lineRule="exact"/>
              <w:jc w:val="left"/>
              <w:rPr>
                <w:rFonts w:hint="eastAsia" w:ascii="宋体" w:hAnsi="宋体" w:cs="宋体"/>
                <w:kern w:val="0"/>
                <w:sz w:val="28"/>
                <w:szCs w:val="28"/>
              </w:rPr>
            </w:pPr>
          </w:p>
        </w:tc>
      </w:tr>
      <w:tr w14:paraId="2FCFF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3" w:type="dxa"/>
            <w:vMerge w:val="continue"/>
            <w:noWrap w:val="0"/>
            <w:vAlign w:val="top"/>
          </w:tcPr>
          <w:p w14:paraId="0C27C95B">
            <w:pPr>
              <w:widowControl/>
              <w:wordWrap w:val="0"/>
              <w:spacing w:line="460" w:lineRule="exact"/>
              <w:jc w:val="center"/>
              <w:rPr>
                <w:rFonts w:hint="eastAsia" w:ascii="宋体" w:hAnsi="宋体" w:eastAsia="宋体" w:cs="宋体"/>
                <w:kern w:val="0"/>
                <w:sz w:val="28"/>
                <w:szCs w:val="28"/>
              </w:rPr>
            </w:pPr>
          </w:p>
        </w:tc>
        <w:tc>
          <w:tcPr>
            <w:tcW w:w="894" w:type="dxa"/>
            <w:noWrap w:val="0"/>
            <w:vAlign w:val="top"/>
          </w:tcPr>
          <w:p w14:paraId="4AC9689B">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w:t>
            </w:r>
          </w:p>
        </w:tc>
        <w:tc>
          <w:tcPr>
            <w:tcW w:w="6431" w:type="dxa"/>
            <w:noWrap w:val="0"/>
            <w:vAlign w:val="top"/>
          </w:tcPr>
          <w:p w14:paraId="508F23DB">
            <w:pPr>
              <w:widowControl/>
              <w:wordWrap w:val="0"/>
              <w:spacing w:line="460" w:lineRule="exact"/>
              <w:jc w:val="left"/>
              <w:rPr>
                <w:rFonts w:hint="eastAsia" w:ascii="宋体" w:hAnsi="宋体" w:cs="宋体"/>
                <w:kern w:val="0"/>
                <w:sz w:val="28"/>
                <w:szCs w:val="28"/>
              </w:rPr>
            </w:pPr>
            <w:r>
              <w:rPr>
                <w:rFonts w:hint="eastAsia" w:ascii="宋体" w:hAnsi="宋体" w:cs="Arial"/>
                <w:kern w:val="0"/>
                <w:sz w:val="28"/>
                <w:szCs w:val="28"/>
              </w:rPr>
              <w:t>法定代表人本人投标的，提供身份证原件的扫描件；法定代表人委托代理人投标的，提供法人授权委托书原件和委托代理人的身份证原件的扫描件。</w:t>
            </w:r>
          </w:p>
        </w:tc>
        <w:tc>
          <w:tcPr>
            <w:tcW w:w="1077" w:type="dxa"/>
            <w:noWrap w:val="0"/>
            <w:vAlign w:val="top"/>
          </w:tcPr>
          <w:p w14:paraId="375213D3">
            <w:pPr>
              <w:widowControl/>
              <w:wordWrap w:val="0"/>
              <w:spacing w:line="460" w:lineRule="exact"/>
              <w:jc w:val="left"/>
              <w:rPr>
                <w:rFonts w:hint="eastAsia" w:ascii="宋体" w:hAnsi="宋体" w:cs="宋体"/>
                <w:kern w:val="0"/>
                <w:sz w:val="28"/>
                <w:szCs w:val="28"/>
              </w:rPr>
            </w:pPr>
          </w:p>
        </w:tc>
      </w:tr>
      <w:tr w14:paraId="3432D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atLeast"/>
        </w:trPr>
        <w:tc>
          <w:tcPr>
            <w:tcW w:w="863" w:type="dxa"/>
            <w:vMerge w:val="continue"/>
            <w:noWrap w:val="0"/>
            <w:vAlign w:val="top"/>
          </w:tcPr>
          <w:p w14:paraId="01CB0665">
            <w:pPr>
              <w:widowControl/>
              <w:wordWrap w:val="0"/>
              <w:spacing w:line="460" w:lineRule="exact"/>
              <w:jc w:val="center"/>
              <w:rPr>
                <w:rFonts w:hint="eastAsia" w:ascii="宋体" w:hAnsi="宋体" w:cs="宋体"/>
                <w:kern w:val="0"/>
                <w:sz w:val="28"/>
                <w:szCs w:val="28"/>
              </w:rPr>
            </w:pPr>
          </w:p>
        </w:tc>
        <w:tc>
          <w:tcPr>
            <w:tcW w:w="894" w:type="dxa"/>
            <w:noWrap w:val="0"/>
            <w:vAlign w:val="top"/>
          </w:tcPr>
          <w:p w14:paraId="4CEE1755">
            <w:pPr>
              <w:widowControl/>
              <w:wordWrap w:val="0"/>
              <w:spacing w:line="46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w:t>
            </w:r>
          </w:p>
        </w:tc>
        <w:tc>
          <w:tcPr>
            <w:tcW w:w="6431" w:type="dxa"/>
            <w:noWrap w:val="0"/>
            <w:vAlign w:val="top"/>
          </w:tcPr>
          <w:p w14:paraId="43AA488D">
            <w:pPr>
              <w:spacing w:line="500" w:lineRule="exact"/>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信用承诺函。</w:t>
            </w:r>
          </w:p>
        </w:tc>
        <w:tc>
          <w:tcPr>
            <w:tcW w:w="1077" w:type="dxa"/>
            <w:noWrap w:val="0"/>
            <w:vAlign w:val="top"/>
          </w:tcPr>
          <w:p w14:paraId="565E234A">
            <w:pPr>
              <w:widowControl/>
              <w:wordWrap w:val="0"/>
              <w:spacing w:line="460" w:lineRule="exact"/>
              <w:jc w:val="left"/>
              <w:rPr>
                <w:rFonts w:hint="eastAsia" w:ascii="宋体" w:hAnsi="宋体" w:cs="宋体"/>
                <w:kern w:val="0"/>
                <w:sz w:val="28"/>
                <w:szCs w:val="28"/>
              </w:rPr>
            </w:pPr>
          </w:p>
        </w:tc>
      </w:tr>
      <w:tr w14:paraId="0BE00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3" w:type="dxa"/>
            <w:vMerge w:val="continue"/>
            <w:noWrap w:val="0"/>
            <w:vAlign w:val="top"/>
          </w:tcPr>
          <w:p w14:paraId="7D5BE88C">
            <w:pPr>
              <w:widowControl/>
              <w:wordWrap w:val="0"/>
              <w:spacing w:line="460" w:lineRule="exact"/>
              <w:jc w:val="center"/>
              <w:rPr>
                <w:rFonts w:hint="eastAsia" w:ascii="宋体" w:hAnsi="宋体" w:eastAsia="宋体" w:cs="宋体"/>
                <w:kern w:val="0"/>
                <w:sz w:val="28"/>
                <w:szCs w:val="28"/>
              </w:rPr>
            </w:pPr>
          </w:p>
        </w:tc>
        <w:tc>
          <w:tcPr>
            <w:tcW w:w="894" w:type="dxa"/>
            <w:noWrap w:val="0"/>
            <w:vAlign w:val="top"/>
          </w:tcPr>
          <w:p w14:paraId="26E42670">
            <w:pPr>
              <w:widowControl/>
              <w:wordWrap w:val="0"/>
              <w:spacing w:line="460" w:lineRule="exact"/>
              <w:jc w:val="center"/>
              <w:rPr>
                <w:rFonts w:hint="eastAsia" w:ascii="宋体" w:hAnsi="宋体" w:eastAsia="宋体" w:cs="宋体"/>
                <w:kern w:val="0"/>
                <w:sz w:val="28"/>
                <w:szCs w:val="28"/>
                <w:lang w:eastAsia="zh-CN"/>
              </w:rPr>
            </w:pPr>
            <w:r>
              <w:rPr>
                <w:rFonts w:hint="eastAsia" w:ascii="宋体" w:hAnsi="宋体" w:cs="宋体"/>
                <w:kern w:val="0"/>
                <w:sz w:val="28"/>
                <w:szCs w:val="28"/>
                <w:lang w:val="en-US" w:eastAsia="zh-CN"/>
              </w:rPr>
              <w:t>4</w:t>
            </w:r>
          </w:p>
        </w:tc>
        <w:tc>
          <w:tcPr>
            <w:tcW w:w="6431" w:type="dxa"/>
            <w:noWrap w:val="0"/>
            <w:vAlign w:val="top"/>
          </w:tcPr>
          <w:p w14:paraId="0844FE8C">
            <w:pPr>
              <w:spacing w:line="560" w:lineRule="exact"/>
              <w:rPr>
                <w:rFonts w:hint="eastAsia" w:ascii="宋体" w:hAnsi="宋体" w:eastAsia="宋体" w:cs="宋体"/>
                <w:b/>
                <w:bCs/>
                <w:sz w:val="28"/>
                <w:szCs w:val="28"/>
              </w:rPr>
            </w:pPr>
            <w:r>
              <w:rPr>
                <w:rFonts w:hint="eastAsia" w:ascii="宋体" w:hAnsi="宋体" w:eastAsia="宋体" w:cs="Times New Roman"/>
                <w:sz w:val="28"/>
                <w:szCs w:val="28"/>
              </w:rPr>
              <w:t>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w:t>
            </w:r>
            <w:r>
              <w:rPr>
                <w:rFonts w:hint="eastAsia" w:ascii="宋体" w:hAnsi="宋体" w:eastAsia="宋体" w:cs="Times New Roman"/>
                <w:sz w:val="28"/>
                <w:szCs w:val="28"/>
                <w:lang w:eastAsia="zh-CN"/>
              </w:rPr>
              <w:t>重大税收违法失信主体</w:t>
            </w:r>
            <w:r>
              <w:rPr>
                <w:rFonts w:hint="eastAsia" w:ascii="宋体" w:hAnsi="宋体" w:eastAsia="宋体" w:cs="Times New Roman"/>
                <w:sz w:val="28"/>
                <w:szCs w:val="28"/>
              </w:rPr>
              <w:t>、政府采购严重违法失信行为记录名单的供应商（投标人），拒绝参与本项目的投标；【查询渠道：（www.creditchina.gov.cn）、“信用中国”网站、中国政府采购网（www.ccgp.gov.cn）】</w:t>
            </w:r>
            <w:r>
              <w:rPr>
                <w:rFonts w:hint="eastAsia" w:ascii="宋体" w:hAnsi="宋体" w:eastAsia="宋体" w:cs="Times New Roman"/>
                <w:sz w:val="28"/>
                <w:szCs w:val="28"/>
                <w:lang w:eastAsia="zh-CN"/>
              </w:rPr>
              <w:t>，</w:t>
            </w:r>
            <w:r>
              <w:rPr>
                <w:rFonts w:hint="eastAsia" w:ascii="宋体" w:hAnsi="宋体" w:eastAsia="宋体" w:cs="Times New Roman"/>
                <w:sz w:val="28"/>
                <w:szCs w:val="28"/>
              </w:rPr>
              <w:t>查询时间为本项目发布公告日期之后</w:t>
            </w:r>
            <w:r>
              <w:rPr>
                <w:rFonts w:hint="eastAsia" w:ascii="宋体" w:hAnsi="宋体" w:eastAsia="宋体" w:cs="Times New Roman"/>
                <w:sz w:val="28"/>
                <w:szCs w:val="28"/>
                <w:lang w:eastAsia="zh-CN"/>
              </w:rPr>
              <w:t>；</w:t>
            </w:r>
          </w:p>
        </w:tc>
        <w:tc>
          <w:tcPr>
            <w:tcW w:w="1077" w:type="dxa"/>
            <w:noWrap w:val="0"/>
            <w:vAlign w:val="top"/>
          </w:tcPr>
          <w:p w14:paraId="481ED7F0">
            <w:pPr>
              <w:widowControl/>
              <w:wordWrap w:val="0"/>
              <w:spacing w:line="460" w:lineRule="exact"/>
              <w:jc w:val="left"/>
              <w:rPr>
                <w:rFonts w:hint="eastAsia" w:ascii="宋体" w:hAnsi="宋体" w:cs="宋体"/>
                <w:kern w:val="0"/>
                <w:sz w:val="28"/>
                <w:szCs w:val="28"/>
              </w:rPr>
            </w:pPr>
          </w:p>
        </w:tc>
      </w:tr>
    </w:tbl>
    <w:p w14:paraId="710E908F">
      <w:pPr>
        <w:widowControl/>
        <w:spacing w:line="460" w:lineRule="exact"/>
        <w:jc w:val="left"/>
        <w:rPr>
          <w:rFonts w:hint="eastAsia" w:ascii="宋体" w:hAnsi="宋体" w:cs="宋体"/>
          <w:b/>
          <w:kern w:val="0"/>
          <w:sz w:val="28"/>
          <w:szCs w:val="28"/>
        </w:rPr>
      </w:pPr>
    </w:p>
    <w:p w14:paraId="475EB475">
      <w:pPr>
        <w:widowControl/>
        <w:spacing w:line="460" w:lineRule="exact"/>
        <w:ind w:firstLine="562" w:firstLineChars="200"/>
        <w:jc w:val="left"/>
        <w:rPr>
          <w:rFonts w:hint="eastAsia" w:ascii="宋体" w:hAnsi="宋体" w:cs="宋体"/>
          <w:b/>
          <w:kern w:val="0"/>
          <w:sz w:val="28"/>
          <w:szCs w:val="28"/>
        </w:rPr>
      </w:pPr>
      <w:r>
        <w:rPr>
          <w:rFonts w:hint="eastAsia" w:ascii="宋体" w:hAnsi="宋体" w:cs="宋体"/>
          <w:b/>
          <w:kern w:val="0"/>
          <w:sz w:val="28"/>
          <w:szCs w:val="28"/>
        </w:rPr>
        <w:t>2、投标文件的初审</w:t>
      </w:r>
    </w:p>
    <w:p w14:paraId="3FAA576D">
      <w:pPr>
        <w:ind w:firstLine="560" w:firstLineChars="200"/>
        <w:rPr>
          <w:rFonts w:ascii="宋体" w:hAnsi="宋体" w:cs="宋体"/>
          <w:kern w:val="0"/>
          <w:sz w:val="28"/>
          <w:szCs w:val="28"/>
        </w:rPr>
      </w:pPr>
      <w:r>
        <w:rPr>
          <w:rFonts w:hint="eastAsia" w:ascii="宋体" w:hAnsi="宋体" w:cs="宋体"/>
          <w:kern w:val="0"/>
          <w:sz w:val="28"/>
          <w:szCs w:val="28"/>
        </w:rPr>
        <w:t>26.1对所有投标人的评估，都采用相同的程序和标准。评标过程将严格按照招标文件的要求和条件进行。</w:t>
      </w:r>
    </w:p>
    <w:p w14:paraId="4B3A00B5">
      <w:pPr>
        <w:ind w:firstLine="560" w:firstLineChars="200"/>
        <w:rPr>
          <w:rFonts w:ascii="宋体" w:hAnsi="宋体" w:cs="宋体"/>
          <w:kern w:val="0"/>
          <w:sz w:val="28"/>
          <w:szCs w:val="28"/>
        </w:rPr>
      </w:pPr>
      <w:r>
        <w:rPr>
          <w:rFonts w:hint="eastAsia" w:ascii="宋体" w:cs="宋体"/>
          <w:kern w:val="0"/>
          <w:sz w:val="28"/>
          <w:szCs w:val="28"/>
        </w:rPr>
        <w:t xml:space="preserve">26.2 </w:t>
      </w:r>
      <w:r>
        <w:rPr>
          <w:rFonts w:hint="eastAsia" w:ascii="宋体" w:hAnsi="宋体" w:cs="宋体"/>
          <w:kern w:val="0"/>
          <w:sz w:val="28"/>
          <w:szCs w:val="28"/>
        </w:rPr>
        <w:t>评标委员会将对投标文件进行检查，以确定投标文件是否完整、有无计算上的错误、文件是否已正确签署等。</w:t>
      </w:r>
    </w:p>
    <w:p w14:paraId="398DB568">
      <w:pPr>
        <w:ind w:firstLine="560" w:firstLineChars="200"/>
        <w:rPr>
          <w:rFonts w:cs="宋体"/>
          <w:kern w:val="0"/>
          <w:sz w:val="28"/>
          <w:szCs w:val="28"/>
        </w:rPr>
      </w:pPr>
      <w:r>
        <w:rPr>
          <w:kern w:val="0"/>
          <w:sz w:val="28"/>
          <w:szCs w:val="28"/>
        </w:rPr>
        <w:t xml:space="preserve">26.3 </w:t>
      </w:r>
      <w:r>
        <w:rPr>
          <w:rFonts w:hint="eastAsia"/>
          <w:kern w:val="0"/>
          <w:sz w:val="28"/>
          <w:szCs w:val="28"/>
        </w:rPr>
        <w:t>投标文件报价出现前后不一致的，除招标文件另有规定外，</w:t>
      </w:r>
      <w:r>
        <w:rPr>
          <w:rFonts w:hint="eastAsia" w:cs="宋体"/>
          <w:kern w:val="0"/>
          <w:sz w:val="28"/>
          <w:szCs w:val="28"/>
        </w:rPr>
        <w:t>修正错误的原则如下：</w:t>
      </w:r>
    </w:p>
    <w:p w14:paraId="6EC7E7EC">
      <w:pPr>
        <w:ind w:firstLine="560" w:firstLineChars="200"/>
        <w:rPr>
          <w:rFonts w:ascii="宋体" w:hAnsi="宋体" w:cs="宋体"/>
          <w:kern w:val="0"/>
          <w:sz w:val="28"/>
          <w:szCs w:val="28"/>
        </w:rPr>
      </w:pPr>
      <w:r>
        <w:rPr>
          <w:rFonts w:hint="eastAsia" w:ascii="宋体" w:hAnsi="宋体" w:cs="宋体"/>
          <w:kern w:val="0"/>
          <w:sz w:val="28"/>
          <w:szCs w:val="28"/>
        </w:rPr>
        <w:t>26.3.1 投标文件开标一览表（报价表）的内容与投标文件中相应内容不一致的，以开标一览表（报价表）为准。</w:t>
      </w:r>
    </w:p>
    <w:p w14:paraId="0D9126FE">
      <w:pPr>
        <w:ind w:firstLine="560" w:firstLineChars="200"/>
        <w:rPr>
          <w:rFonts w:ascii="宋体" w:hAnsi="宋体" w:cs="宋体"/>
          <w:kern w:val="0"/>
          <w:sz w:val="28"/>
          <w:szCs w:val="28"/>
        </w:rPr>
      </w:pPr>
      <w:r>
        <w:rPr>
          <w:rFonts w:hint="eastAsia" w:ascii="宋体" w:hAnsi="宋体" w:cs="宋体"/>
          <w:kern w:val="0"/>
          <w:sz w:val="28"/>
          <w:szCs w:val="28"/>
        </w:rPr>
        <w:t>26.3.2 大写金额与小写金额不一致的，以大写金额为准。</w:t>
      </w:r>
    </w:p>
    <w:p w14:paraId="150F1BAD">
      <w:pPr>
        <w:ind w:firstLine="560" w:firstLineChars="200"/>
        <w:rPr>
          <w:rFonts w:ascii="宋体" w:hAnsi="宋体" w:cs="宋体"/>
          <w:kern w:val="0"/>
          <w:sz w:val="28"/>
          <w:szCs w:val="28"/>
        </w:rPr>
      </w:pPr>
      <w:r>
        <w:rPr>
          <w:rFonts w:hint="eastAsia" w:ascii="宋体" w:hAnsi="宋体" w:cs="宋体"/>
          <w:kern w:val="0"/>
          <w:sz w:val="28"/>
          <w:szCs w:val="28"/>
        </w:rPr>
        <w:t>26.3.3单价金额小数点或者百分比有明显错位的，以开标一览表的总价为准，并修改单价。</w:t>
      </w:r>
    </w:p>
    <w:p w14:paraId="1CABB7F6">
      <w:pPr>
        <w:ind w:firstLine="560" w:firstLineChars="200"/>
        <w:rPr>
          <w:rFonts w:ascii="宋体" w:hAnsi="宋体" w:cs="宋体"/>
          <w:kern w:val="0"/>
          <w:sz w:val="28"/>
          <w:szCs w:val="28"/>
        </w:rPr>
      </w:pPr>
      <w:r>
        <w:rPr>
          <w:rFonts w:hint="eastAsia" w:ascii="宋体" w:hAnsi="宋体" w:cs="宋体"/>
          <w:kern w:val="0"/>
          <w:sz w:val="28"/>
          <w:szCs w:val="28"/>
        </w:rPr>
        <w:t>26.3.4总价金额与按单价汇总金额不一致的，以单价金额计算结果为准。</w:t>
      </w:r>
    </w:p>
    <w:p w14:paraId="34AD0457">
      <w:pPr>
        <w:ind w:firstLine="560" w:firstLineChars="200"/>
        <w:rPr>
          <w:rFonts w:ascii="宋体" w:hAnsi="宋体" w:cs="宋体"/>
          <w:kern w:val="0"/>
          <w:sz w:val="28"/>
          <w:szCs w:val="28"/>
        </w:rPr>
      </w:pPr>
      <w:r>
        <w:rPr>
          <w:rFonts w:hint="eastAsia" w:ascii="宋体" w:hAnsi="宋体" w:cs="宋体"/>
          <w:kern w:val="0"/>
          <w:sz w:val="28"/>
          <w:szCs w:val="28"/>
        </w:rPr>
        <w:t>26.3.5对不同文字文本投标文件的解释发生异议的，以中文文本为准。</w:t>
      </w:r>
    </w:p>
    <w:p w14:paraId="113D09D5">
      <w:pPr>
        <w:ind w:firstLine="560" w:firstLineChars="200"/>
        <w:rPr>
          <w:rFonts w:ascii="宋体" w:hAnsi="宋体" w:cs="宋体"/>
          <w:kern w:val="0"/>
          <w:sz w:val="28"/>
          <w:szCs w:val="28"/>
        </w:rPr>
      </w:pPr>
      <w:r>
        <w:rPr>
          <w:rFonts w:hint="eastAsia" w:ascii="宋体" w:hAnsi="宋体" w:cs="宋体"/>
          <w:kern w:val="0"/>
          <w:sz w:val="28"/>
          <w:szCs w:val="28"/>
        </w:rPr>
        <w:t>同时出现两种以上不一致的，按照前款规定的顺序修正。修正后的报价按照财政部87号令第五十一条第二款的规定经投标人确认后产生约束力，投标人不确认的，其投标无效。</w:t>
      </w:r>
    </w:p>
    <w:p w14:paraId="11F238D1">
      <w:pPr>
        <w:widowControl/>
        <w:spacing w:line="320" w:lineRule="exact"/>
        <w:ind w:firstLine="551" w:firstLineChars="196"/>
        <w:jc w:val="left"/>
        <w:rPr>
          <w:rFonts w:hint="eastAsia" w:ascii="黑体" w:hAnsi="宋体" w:eastAsia="黑体" w:cs="宋体"/>
          <w:b/>
          <w:kern w:val="0"/>
          <w:sz w:val="28"/>
          <w:szCs w:val="28"/>
        </w:rPr>
      </w:pPr>
      <w:r>
        <w:rPr>
          <w:rFonts w:hint="eastAsia" w:ascii="宋体" w:hAnsi="宋体" w:cs="宋体"/>
          <w:b/>
          <w:kern w:val="0"/>
          <w:sz w:val="28"/>
          <w:szCs w:val="28"/>
        </w:rPr>
        <w:t>3、符合性审查。</w:t>
      </w:r>
      <w:r>
        <w:rPr>
          <w:rFonts w:hint="eastAsia" w:ascii="宋体" w:hAnsi="宋体" w:cs="宋体"/>
          <w:kern w:val="0"/>
          <w:sz w:val="28"/>
          <w:szCs w:val="28"/>
        </w:rPr>
        <w:t>依据招标文件的规定，评标委员会将从投标文件的有效性、完整性和对招标文件的响应程度进行审查，以确定是否符合对招标文件的实质性要求作出响应。</w:t>
      </w:r>
    </w:p>
    <w:p w14:paraId="609B5935">
      <w:pPr>
        <w:widowControl/>
        <w:spacing w:line="320" w:lineRule="exact"/>
        <w:ind w:firstLine="551" w:firstLineChars="196"/>
        <w:jc w:val="left"/>
        <w:rPr>
          <w:rFonts w:ascii="黑体" w:hAnsi="宋体" w:eastAsia="黑体" w:cs="宋体"/>
          <w:b/>
          <w:kern w:val="0"/>
          <w:sz w:val="28"/>
          <w:szCs w:val="28"/>
        </w:rPr>
      </w:pP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709"/>
        <w:gridCol w:w="7513"/>
      </w:tblGrid>
      <w:tr w14:paraId="2CB87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89113A5">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0A98815E">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序号</w:t>
            </w:r>
          </w:p>
        </w:tc>
        <w:tc>
          <w:tcPr>
            <w:tcW w:w="7513" w:type="dxa"/>
            <w:noWrap w:val="0"/>
            <w:vAlign w:val="top"/>
          </w:tcPr>
          <w:p w14:paraId="072E558E">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评审标准</w:t>
            </w:r>
          </w:p>
        </w:tc>
      </w:tr>
      <w:tr w14:paraId="24C27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817" w:type="dxa"/>
            <w:vMerge w:val="restart"/>
            <w:noWrap w:val="0"/>
            <w:vAlign w:val="top"/>
          </w:tcPr>
          <w:p w14:paraId="04B5FA5F">
            <w:pPr>
              <w:widowControl/>
              <w:snapToGrid w:val="0"/>
              <w:spacing w:before="161" w:after="161" w:line="320" w:lineRule="exact"/>
              <w:jc w:val="center"/>
              <w:outlineLvl w:val="0"/>
              <w:rPr>
                <w:rFonts w:hint="eastAsia" w:ascii="黑体" w:hAnsi="宋体" w:eastAsia="黑体" w:cs="宋体"/>
                <w:b/>
                <w:kern w:val="0"/>
                <w:sz w:val="28"/>
                <w:szCs w:val="28"/>
              </w:rPr>
            </w:pPr>
          </w:p>
          <w:p w14:paraId="633CC982">
            <w:pPr>
              <w:widowControl/>
              <w:snapToGrid w:val="0"/>
              <w:spacing w:before="161" w:after="161" w:line="320" w:lineRule="exact"/>
              <w:jc w:val="center"/>
              <w:outlineLvl w:val="0"/>
              <w:rPr>
                <w:rFonts w:hint="eastAsia" w:ascii="黑体" w:hAnsi="宋体" w:eastAsia="黑体" w:cs="宋体"/>
                <w:kern w:val="0"/>
                <w:sz w:val="28"/>
                <w:szCs w:val="28"/>
              </w:rPr>
            </w:pPr>
          </w:p>
          <w:p w14:paraId="6F82572D">
            <w:pPr>
              <w:widowControl/>
              <w:snapToGrid w:val="0"/>
              <w:spacing w:before="161" w:after="161" w:line="320" w:lineRule="exact"/>
              <w:jc w:val="center"/>
              <w:outlineLvl w:val="0"/>
              <w:rPr>
                <w:rFonts w:hint="eastAsia" w:ascii="黑体" w:hAnsi="宋体" w:eastAsia="黑体" w:cs="宋体"/>
                <w:kern w:val="0"/>
                <w:sz w:val="28"/>
                <w:szCs w:val="28"/>
              </w:rPr>
            </w:pPr>
          </w:p>
          <w:p w14:paraId="24503551">
            <w:pPr>
              <w:widowControl/>
              <w:snapToGrid w:val="0"/>
              <w:spacing w:before="161" w:after="161" w:line="320" w:lineRule="exact"/>
              <w:jc w:val="center"/>
              <w:outlineLvl w:val="0"/>
              <w:rPr>
                <w:rFonts w:hint="eastAsia" w:ascii="黑体" w:hAnsi="宋体" w:eastAsia="黑体" w:cs="宋体"/>
                <w:kern w:val="0"/>
                <w:sz w:val="28"/>
                <w:szCs w:val="28"/>
              </w:rPr>
            </w:pPr>
          </w:p>
          <w:p w14:paraId="26DE01AB">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符</w:t>
            </w:r>
          </w:p>
          <w:p w14:paraId="6F472B7E">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合</w:t>
            </w:r>
          </w:p>
          <w:p w14:paraId="57B55DBF">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性</w:t>
            </w:r>
          </w:p>
          <w:p w14:paraId="2E54D37D">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审</w:t>
            </w:r>
          </w:p>
          <w:p w14:paraId="19374692">
            <w:pPr>
              <w:widowControl/>
              <w:snapToGrid w:val="0"/>
              <w:spacing w:before="161" w:after="161" w:line="320" w:lineRule="exact"/>
              <w:jc w:val="center"/>
              <w:outlineLvl w:val="0"/>
              <w:rPr>
                <w:rFonts w:hint="eastAsia" w:ascii="黑体" w:hAnsi="宋体" w:eastAsia="黑体" w:cs="宋体"/>
                <w:b/>
                <w:kern w:val="0"/>
                <w:sz w:val="28"/>
                <w:szCs w:val="28"/>
              </w:rPr>
            </w:pPr>
            <w:r>
              <w:rPr>
                <w:rFonts w:hint="eastAsia" w:ascii="宋体" w:hAnsi="宋体" w:eastAsia="宋体" w:cs="宋体"/>
                <w:kern w:val="0"/>
                <w:sz w:val="28"/>
                <w:szCs w:val="28"/>
              </w:rPr>
              <w:t>查</w:t>
            </w:r>
          </w:p>
        </w:tc>
        <w:tc>
          <w:tcPr>
            <w:tcW w:w="709" w:type="dxa"/>
            <w:noWrap w:val="0"/>
            <w:vAlign w:val="top"/>
          </w:tcPr>
          <w:p w14:paraId="0248FD79">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1</w:t>
            </w:r>
          </w:p>
        </w:tc>
        <w:tc>
          <w:tcPr>
            <w:tcW w:w="7513" w:type="dxa"/>
            <w:noWrap w:val="0"/>
            <w:vAlign w:val="top"/>
          </w:tcPr>
          <w:p w14:paraId="296EA87B">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kern w:val="0"/>
                <w:sz w:val="28"/>
                <w:szCs w:val="28"/>
              </w:rPr>
              <w:t>投标文件未按规定签字、盖章的。</w:t>
            </w:r>
          </w:p>
        </w:tc>
      </w:tr>
      <w:tr w14:paraId="0631C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top"/>
          </w:tcPr>
          <w:p w14:paraId="2F1EE780">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6A15AE3F">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2</w:t>
            </w:r>
          </w:p>
        </w:tc>
        <w:tc>
          <w:tcPr>
            <w:tcW w:w="7513" w:type="dxa"/>
            <w:noWrap w:val="0"/>
            <w:vAlign w:val="top"/>
          </w:tcPr>
          <w:p w14:paraId="3ED5748B">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kern w:val="0"/>
                <w:sz w:val="28"/>
                <w:szCs w:val="28"/>
              </w:rPr>
              <w:t>投标人代表未能出具有效身份证明，或与身份不符的。</w:t>
            </w:r>
          </w:p>
        </w:tc>
      </w:tr>
      <w:tr w14:paraId="6254F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top"/>
          </w:tcPr>
          <w:p w14:paraId="3F760861">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5255084B">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3</w:t>
            </w:r>
          </w:p>
        </w:tc>
        <w:tc>
          <w:tcPr>
            <w:tcW w:w="7513" w:type="dxa"/>
            <w:noWrap w:val="0"/>
            <w:vAlign w:val="top"/>
          </w:tcPr>
          <w:p w14:paraId="3DECEA14">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kern w:val="0"/>
                <w:sz w:val="28"/>
                <w:szCs w:val="28"/>
              </w:rPr>
              <w:t>投标有效期、</w:t>
            </w:r>
            <w:r>
              <w:rPr>
                <w:rFonts w:hint="eastAsia" w:ascii="宋体" w:hAnsi="宋体" w:cs="宋体"/>
                <w:kern w:val="0"/>
                <w:sz w:val="28"/>
                <w:szCs w:val="28"/>
                <w:lang w:val="en-US" w:eastAsia="zh-CN"/>
              </w:rPr>
              <w:t>服务期限</w:t>
            </w:r>
            <w:r>
              <w:rPr>
                <w:rFonts w:hint="eastAsia" w:ascii="宋体" w:hAnsi="宋体" w:cs="宋体"/>
                <w:kern w:val="0"/>
                <w:sz w:val="28"/>
                <w:szCs w:val="28"/>
              </w:rPr>
              <w:t>等不满足招标文件要求的。</w:t>
            </w:r>
          </w:p>
        </w:tc>
      </w:tr>
      <w:tr w14:paraId="33327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top"/>
          </w:tcPr>
          <w:p w14:paraId="12EC185D">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120751CC">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4</w:t>
            </w:r>
          </w:p>
        </w:tc>
        <w:tc>
          <w:tcPr>
            <w:tcW w:w="7513" w:type="dxa"/>
            <w:noWrap w:val="0"/>
            <w:vAlign w:val="top"/>
          </w:tcPr>
          <w:p w14:paraId="5712AAFE">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kern w:val="0"/>
                <w:sz w:val="28"/>
                <w:szCs w:val="28"/>
              </w:rPr>
              <w:t>未按招标文件规定报价的。</w:t>
            </w:r>
          </w:p>
        </w:tc>
      </w:tr>
      <w:tr w14:paraId="3BE6A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top"/>
          </w:tcPr>
          <w:p w14:paraId="4220B489">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3ED72BEA">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5</w:t>
            </w:r>
          </w:p>
        </w:tc>
        <w:tc>
          <w:tcPr>
            <w:tcW w:w="7513" w:type="dxa"/>
            <w:noWrap w:val="0"/>
            <w:vAlign w:val="top"/>
          </w:tcPr>
          <w:p w14:paraId="2452AFDB">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kern w:val="0"/>
                <w:sz w:val="28"/>
                <w:szCs w:val="28"/>
              </w:rPr>
              <w:t>未按招标文件提供的格式填列、项目不齐全或内容虚假的。</w:t>
            </w:r>
          </w:p>
        </w:tc>
      </w:tr>
      <w:tr w14:paraId="7CB75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top"/>
          </w:tcPr>
          <w:p w14:paraId="46EEBA32">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23149AF7">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6</w:t>
            </w:r>
          </w:p>
        </w:tc>
        <w:tc>
          <w:tcPr>
            <w:tcW w:w="7513" w:type="dxa"/>
            <w:noWrap w:val="0"/>
            <w:vAlign w:val="top"/>
          </w:tcPr>
          <w:p w14:paraId="5FDE07D9">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kern w:val="0"/>
                <w:sz w:val="28"/>
                <w:szCs w:val="28"/>
              </w:rPr>
              <w:t>投标文件的实质性内容未使用中文表述，或意思表述不明确，或前后矛盾，或使用计量单位不符合招标文件要求的（经评标委员会认定允许其当场更正的笔误除外）。</w:t>
            </w:r>
          </w:p>
        </w:tc>
      </w:tr>
      <w:tr w14:paraId="4FBD7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top"/>
          </w:tcPr>
          <w:p w14:paraId="5797E03C">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3CF3305C">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7</w:t>
            </w:r>
          </w:p>
        </w:tc>
        <w:tc>
          <w:tcPr>
            <w:tcW w:w="7513" w:type="dxa"/>
            <w:noWrap w:val="0"/>
            <w:vAlign w:val="top"/>
          </w:tcPr>
          <w:p w14:paraId="2980FB5E">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snapToGrid w:val="0"/>
                <w:kern w:val="0"/>
                <w:sz w:val="28"/>
                <w:szCs w:val="28"/>
              </w:rPr>
              <w:t>投标文件的关键内容字迹模糊、无法辨认,或</w:t>
            </w:r>
            <w:r>
              <w:rPr>
                <w:rFonts w:hint="eastAsia" w:ascii="宋体" w:hAnsi="宋体" w:cs="宋体"/>
                <w:kern w:val="0"/>
                <w:sz w:val="28"/>
                <w:szCs w:val="28"/>
              </w:rPr>
              <w:t>投标文件中经修正的内容字迹模糊</w:t>
            </w:r>
            <w:r>
              <w:rPr>
                <w:rFonts w:hint="eastAsia" w:ascii="宋体" w:hAnsi="宋体" w:cs="宋体"/>
                <w:snapToGrid w:val="0"/>
                <w:kern w:val="0"/>
                <w:sz w:val="28"/>
                <w:szCs w:val="28"/>
              </w:rPr>
              <w:t>无法</w:t>
            </w:r>
            <w:r>
              <w:rPr>
                <w:rFonts w:hint="eastAsia" w:ascii="宋体" w:hAnsi="宋体" w:cs="宋体"/>
                <w:kern w:val="0"/>
                <w:sz w:val="28"/>
                <w:szCs w:val="28"/>
              </w:rPr>
              <w:t>辩认，或修改处未按规定签名盖章的。</w:t>
            </w:r>
          </w:p>
        </w:tc>
      </w:tr>
      <w:tr w14:paraId="283EC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top"/>
          </w:tcPr>
          <w:p w14:paraId="4E3515DD">
            <w:pPr>
              <w:widowControl/>
              <w:snapToGrid w:val="0"/>
              <w:spacing w:before="161" w:after="161" w:line="320" w:lineRule="exact"/>
              <w:jc w:val="center"/>
              <w:outlineLvl w:val="0"/>
              <w:rPr>
                <w:rFonts w:hint="eastAsia" w:ascii="黑体" w:hAnsi="宋体" w:eastAsia="黑体" w:cs="宋体"/>
                <w:b/>
                <w:kern w:val="0"/>
                <w:sz w:val="28"/>
                <w:szCs w:val="28"/>
              </w:rPr>
            </w:pPr>
          </w:p>
        </w:tc>
        <w:tc>
          <w:tcPr>
            <w:tcW w:w="709" w:type="dxa"/>
            <w:noWrap w:val="0"/>
            <w:vAlign w:val="top"/>
          </w:tcPr>
          <w:p w14:paraId="19D13873">
            <w:pPr>
              <w:widowControl/>
              <w:snapToGrid w:val="0"/>
              <w:spacing w:before="161" w:after="161" w:line="320" w:lineRule="exact"/>
              <w:jc w:val="center"/>
              <w:outlineLvl w:val="0"/>
              <w:rPr>
                <w:rFonts w:hint="eastAsia" w:ascii="宋体" w:hAnsi="宋体" w:eastAsia="宋体" w:cs="宋体"/>
                <w:kern w:val="0"/>
                <w:sz w:val="28"/>
                <w:szCs w:val="28"/>
              </w:rPr>
            </w:pPr>
            <w:r>
              <w:rPr>
                <w:rFonts w:hint="eastAsia" w:ascii="宋体" w:hAnsi="宋体" w:eastAsia="宋体" w:cs="宋体"/>
                <w:kern w:val="0"/>
                <w:sz w:val="28"/>
                <w:szCs w:val="28"/>
              </w:rPr>
              <w:t>8</w:t>
            </w:r>
          </w:p>
        </w:tc>
        <w:tc>
          <w:tcPr>
            <w:tcW w:w="7513" w:type="dxa"/>
            <w:noWrap w:val="0"/>
            <w:vAlign w:val="top"/>
          </w:tcPr>
          <w:p w14:paraId="77497CAD">
            <w:pPr>
              <w:widowControl/>
              <w:snapToGrid w:val="0"/>
              <w:spacing w:before="161" w:after="161" w:line="320" w:lineRule="exact"/>
              <w:jc w:val="left"/>
              <w:outlineLvl w:val="0"/>
              <w:rPr>
                <w:rFonts w:hint="eastAsia" w:ascii="宋体" w:hAnsi="宋体" w:eastAsia="宋体" w:cs="宋体"/>
                <w:kern w:val="0"/>
                <w:sz w:val="28"/>
                <w:szCs w:val="28"/>
              </w:rPr>
            </w:pPr>
            <w:r>
              <w:rPr>
                <w:rFonts w:hint="eastAsia" w:ascii="宋体" w:hAnsi="宋体" w:cs="宋体"/>
                <w:kern w:val="0"/>
                <w:sz w:val="28"/>
                <w:szCs w:val="28"/>
              </w:rPr>
              <w:t>不符合招标文件中规定的其它实质性条款。</w:t>
            </w:r>
          </w:p>
        </w:tc>
      </w:tr>
    </w:tbl>
    <w:p w14:paraId="30B7AB35">
      <w:pPr>
        <w:widowControl/>
        <w:spacing w:line="460" w:lineRule="exact"/>
        <w:jc w:val="left"/>
        <w:rPr>
          <w:rFonts w:hint="eastAsia" w:ascii="宋体" w:hAnsi="宋体" w:cs="宋体"/>
          <w:b/>
          <w:snapToGrid w:val="0"/>
          <w:kern w:val="0"/>
          <w:sz w:val="28"/>
          <w:szCs w:val="28"/>
        </w:rPr>
      </w:pPr>
    </w:p>
    <w:p w14:paraId="17548AC3">
      <w:pPr>
        <w:widowControl/>
        <w:spacing w:line="460" w:lineRule="exact"/>
        <w:ind w:firstLine="562" w:firstLineChars="200"/>
        <w:jc w:val="left"/>
        <w:rPr>
          <w:rFonts w:hint="eastAsia" w:ascii="宋体" w:hAnsi="宋体" w:cs="宋体"/>
          <w:b/>
          <w:snapToGrid w:val="0"/>
          <w:kern w:val="0"/>
          <w:sz w:val="28"/>
          <w:szCs w:val="28"/>
        </w:rPr>
      </w:pPr>
      <w:r>
        <w:rPr>
          <w:rFonts w:hint="eastAsia" w:ascii="宋体" w:hAnsi="宋体" w:cs="宋体"/>
          <w:b/>
          <w:snapToGrid w:val="0"/>
          <w:kern w:val="0"/>
          <w:sz w:val="28"/>
          <w:szCs w:val="28"/>
        </w:rPr>
        <w:t>4、比较和评价。</w:t>
      </w:r>
    </w:p>
    <w:p w14:paraId="1C6313EF">
      <w:pPr>
        <w:widowControl/>
        <w:spacing w:line="460" w:lineRule="exact"/>
        <w:ind w:firstLine="560" w:firstLineChars="200"/>
        <w:jc w:val="left"/>
        <w:rPr>
          <w:rFonts w:hint="eastAsia" w:ascii="宋体" w:hAnsi="宋体" w:cs="宋体"/>
          <w:b/>
          <w:snapToGrid w:val="0"/>
          <w:kern w:val="0"/>
          <w:sz w:val="28"/>
          <w:szCs w:val="28"/>
        </w:rPr>
      </w:pPr>
      <w:r>
        <w:rPr>
          <w:rFonts w:hint="eastAsia" w:ascii="宋体" w:hAnsi="宋体" w:cs="宋体"/>
          <w:snapToGrid w:val="0"/>
          <w:kern w:val="0"/>
          <w:sz w:val="28"/>
          <w:szCs w:val="28"/>
        </w:rPr>
        <w:t>评标委员会</w:t>
      </w:r>
      <w:r>
        <w:rPr>
          <w:rFonts w:hint="eastAsia" w:ascii="宋体" w:hAnsi="宋体" w:cs="宋体"/>
          <w:kern w:val="0"/>
          <w:sz w:val="28"/>
          <w:szCs w:val="28"/>
        </w:rPr>
        <w:t>将按本招标文件规定的评标方法与标准，对资格性检查和符合性检查合格的投标文件进行商务和技术评估，综合比较与评价。</w:t>
      </w:r>
    </w:p>
    <w:p w14:paraId="0B7B6961">
      <w:pPr>
        <w:widowControl/>
        <w:tabs>
          <w:tab w:val="left" w:pos="2472"/>
        </w:tabs>
        <w:wordWrap w:val="0"/>
        <w:spacing w:line="460" w:lineRule="exact"/>
        <w:ind w:firstLine="562" w:firstLineChars="200"/>
        <w:jc w:val="left"/>
        <w:rPr>
          <w:rFonts w:hint="eastAsia" w:ascii="宋体" w:hAnsi="宋体" w:cs="宋体"/>
          <w:b/>
          <w:snapToGrid w:val="0"/>
          <w:kern w:val="0"/>
          <w:sz w:val="28"/>
          <w:szCs w:val="28"/>
        </w:rPr>
      </w:pPr>
      <w:r>
        <w:rPr>
          <w:rFonts w:hint="eastAsia" w:ascii="宋体" w:hAnsi="宋体" w:cs="宋体"/>
          <w:b/>
          <w:snapToGrid w:val="0"/>
          <w:kern w:val="0"/>
          <w:sz w:val="28"/>
          <w:szCs w:val="28"/>
        </w:rPr>
        <w:t>5、评标方法</w:t>
      </w:r>
    </w:p>
    <w:p w14:paraId="0445D137">
      <w:pPr>
        <w:widowControl/>
        <w:tabs>
          <w:tab w:val="left" w:pos="2472"/>
        </w:tabs>
        <w:wordWrap w:val="0"/>
        <w:spacing w:line="460" w:lineRule="exact"/>
        <w:ind w:firstLine="562" w:firstLineChars="200"/>
        <w:jc w:val="left"/>
        <w:rPr>
          <w:rFonts w:hint="eastAsia" w:ascii="宋体" w:hAnsi="宋体" w:cs="宋体"/>
          <w:b/>
          <w:kern w:val="0"/>
          <w:sz w:val="28"/>
          <w:szCs w:val="28"/>
        </w:rPr>
      </w:pPr>
      <w:r>
        <w:rPr>
          <w:rFonts w:hint="eastAsia" w:ascii="宋体" w:hAnsi="宋体" w:cs="宋体"/>
          <w:b/>
          <w:kern w:val="0"/>
          <w:sz w:val="28"/>
          <w:szCs w:val="28"/>
        </w:rPr>
        <w:t>综合评分法。</w:t>
      </w:r>
    </w:p>
    <w:p w14:paraId="66EADE62">
      <w:pPr>
        <w:ind w:firstLine="560" w:firstLineChars="200"/>
        <w:rPr>
          <w:rFonts w:hint="eastAsia" w:ascii="宋体" w:hAnsi="宋体" w:cs="宋体"/>
          <w:kern w:val="0"/>
          <w:sz w:val="28"/>
          <w:szCs w:val="28"/>
        </w:rPr>
      </w:pPr>
      <w:r>
        <w:rPr>
          <w:rFonts w:hint="eastAsia" w:ascii="宋体" w:hAnsi="宋体" w:cs="宋体"/>
          <w:kern w:val="0"/>
          <w:sz w:val="28"/>
          <w:szCs w:val="28"/>
        </w:rPr>
        <w:t>价格调整要素及价格折扣幅度列表：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536"/>
      </w:tblGrid>
      <w:tr w14:paraId="3E47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03" w:type="dxa"/>
            <w:tcBorders>
              <w:top w:val="single" w:color="auto" w:sz="4" w:space="0"/>
              <w:left w:val="single" w:color="auto" w:sz="4" w:space="0"/>
              <w:bottom w:val="single" w:color="auto" w:sz="4" w:space="0"/>
              <w:right w:val="single" w:color="auto" w:sz="4" w:space="0"/>
            </w:tcBorders>
            <w:noWrap w:val="0"/>
            <w:vAlign w:val="top"/>
          </w:tcPr>
          <w:p w14:paraId="71A8087C">
            <w:pPr>
              <w:widowControl/>
              <w:spacing w:line="46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评标价格要素</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694E9857">
            <w:pPr>
              <w:widowControl/>
              <w:spacing w:line="46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价格折扣幅度</w:t>
            </w:r>
          </w:p>
        </w:tc>
      </w:tr>
      <w:tr w14:paraId="4382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4503" w:type="dxa"/>
            <w:tcBorders>
              <w:top w:val="single" w:color="auto" w:sz="4" w:space="0"/>
              <w:left w:val="single" w:color="auto" w:sz="4" w:space="0"/>
              <w:bottom w:val="single" w:color="auto" w:sz="4" w:space="0"/>
              <w:right w:val="single" w:color="auto" w:sz="4" w:space="0"/>
            </w:tcBorders>
            <w:noWrap w:val="0"/>
            <w:vAlign w:val="top"/>
          </w:tcPr>
          <w:p w14:paraId="54BB9951">
            <w:pPr>
              <w:widowControl/>
              <w:spacing w:line="460" w:lineRule="exact"/>
              <w:jc w:val="left"/>
              <w:rPr>
                <w:rFonts w:ascii="宋体" w:hAnsi="宋体" w:eastAsia="宋体" w:cs="宋体"/>
                <w:kern w:val="0"/>
                <w:sz w:val="28"/>
                <w:szCs w:val="28"/>
              </w:rPr>
            </w:pPr>
            <w:r>
              <w:rPr>
                <w:rFonts w:hint="eastAsia" w:ascii="宋体" w:hAnsi="宋体" w:eastAsia="宋体" w:cs="宋体"/>
                <w:kern w:val="0"/>
                <w:sz w:val="28"/>
                <w:szCs w:val="28"/>
              </w:rPr>
              <w:t>节能产品</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6ED09738">
            <w:pPr>
              <w:widowControl/>
              <w:spacing w:line="46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3%</w:t>
            </w:r>
          </w:p>
        </w:tc>
      </w:tr>
      <w:tr w14:paraId="6C3D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4503" w:type="dxa"/>
            <w:tcBorders>
              <w:top w:val="single" w:color="auto" w:sz="4" w:space="0"/>
              <w:left w:val="single" w:color="auto" w:sz="4" w:space="0"/>
              <w:bottom w:val="single" w:color="auto" w:sz="4" w:space="0"/>
              <w:right w:val="single" w:color="auto" w:sz="4" w:space="0"/>
            </w:tcBorders>
            <w:noWrap w:val="0"/>
            <w:vAlign w:val="top"/>
          </w:tcPr>
          <w:p w14:paraId="4E794747">
            <w:pPr>
              <w:widowControl/>
              <w:spacing w:line="460" w:lineRule="exact"/>
              <w:jc w:val="left"/>
              <w:rPr>
                <w:rFonts w:ascii="宋体" w:hAnsi="宋体" w:eastAsia="宋体" w:cs="宋体"/>
                <w:kern w:val="0"/>
                <w:sz w:val="28"/>
                <w:szCs w:val="28"/>
              </w:rPr>
            </w:pPr>
            <w:r>
              <w:rPr>
                <w:rFonts w:hint="eastAsia" w:ascii="宋体" w:hAnsi="宋体" w:eastAsia="宋体" w:cs="宋体"/>
                <w:kern w:val="0"/>
                <w:sz w:val="28"/>
                <w:szCs w:val="28"/>
              </w:rPr>
              <w:t>环境标志产品</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448CEFAF">
            <w:pPr>
              <w:widowControl/>
              <w:spacing w:line="460" w:lineRule="exac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3%</w:t>
            </w:r>
          </w:p>
        </w:tc>
      </w:tr>
      <w:tr w14:paraId="3470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03" w:type="dxa"/>
            <w:tcBorders>
              <w:top w:val="single" w:color="auto" w:sz="4" w:space="0"/>
              <w:left w:val="single" w:color="auto" w:sz="4" w:space="0"/>
              <w:bottom w:val="single" w:color="auto" w:sz="4" w:space="0"/>
              <w:right w:val="single" w:color="auto" w:sz="4" w:space="0"/>
            </w:tcBorders>
            <w:noWrap w:val="0"/>
            <w:vAlign w:val="top"/>
          </w:tcPr>
          <w:p w14:paraId="476CFE97">
            <w:pPr>
              <w:widowControl/>
              <w:spacing w:line="460" w:lineRule="exact"/>
              <w:jc w:val="left"/>
              <w:rPr>
                <w:rFonts w:ascii="宋体" w:hAnsi="宋体" w:eastAsia="宋体"/>
                <w:kern w:val="0"/>
                <w:sz w:val="28"/>
                <w:szCs w:val="28"/>
              </w:rPr>
            </w:pPr>
            <w:r>
              <w:rPr>
                <w:rFonts w:hint="eastAsia" w:ascii="宋体" w:hAnsi="宋体" w:eastAsia="宋体"/>
                <w:kern w:val="0"/>
                <w:sz w:val="28"/>
                <w:szCs w:val="28"/>
              </w:rPr>
              <w:t>小微企业投标，且</w:t>
            </w:r>
            <w:r>
              <w:rPr>
                <w:rFonts w:hint="eastAsia" w:ascii="宋体" w:hAnsi="宋体" w:eastAsia="宋体" w:cs="宋体"/>
                <w:kern w:val="0"/>
                <w:sz w:val="28"/>
                <w:szCs w:val="28"/>
              </w:rPr>
              <w:t>投标产品出自</w:t>
            </w:r>
            <w:r>
              <w:rPr>
                <w:rFonts w:hint="eastAsia" w:ascii="宋体" w:hAnsi="宋体" w:eastAsia="宋体"/>
                <w:kern w:val="0"/>
                <w:sz w:val="28"/>
                <w:szCs w:val="28"/>
              </w:rPr>
              <w:t>小型或微型企业。</w:t>
            </w:r>
            <w:r>
              <w:rPr>
                <w:rFonts w:hint="eastAsia" w:ascii="宋体" w:hAnsi="宋体" w:eastAsia="宋体" w:cs="宋体"/>
                <w:kern w:val="0"/>
                <w:sz w:val="28"/>
                <w:szCs w:val="28"/>
              </w:rPr>
              <w:t>监狱企业、残疾人福利性单位视同小型、微型企业。</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18482757">
            <w:pPr>
              <w:widowControl/>
              <w:spacing w:line="460" w:lineRule="exact"/>
              <w:ind w:firstLine="560" w:firstLineChars="200"/>
              <w:jc w:val="left"/>
              <w:rPr>
                <w:rFonts w:ascii="宋体" w:hAnsi="宋体" w:eastAsia="宋体"/>
                <w:kern w:val="0"/>
                <w:sz w:val="28"/>
                <w:szCs w:val="28"/>
              </w:rPr>
            </w:pPr>
            <w:r>
              <w:rPr>
                <w:rFonts w:hint="eastAsia" w:ascii="宋体" w:hAnsi="宋体" w:eastAsia="宋体"/>
                <w:kern w:val="0"/>
                <w:sz w:val="28"/>
                <w:szCs w:val="28"/>
                <w:lang w:val="en-US" w:eastAsia="zh-CN"/>
              </w:rPr>
              <w:t>20</w:t>
            </w:r>
            <w:r>
              <w:rPr>
                <w:rFonts w:hint="eastAsia" w:ascii="宋体" w:hAnsi="宋体" w:eastAsia="宋体"/>
                <w:kern w:val="0"/>
                <w:sz w:val="28"/>
                <w:szCs w:val="28"/>
              </w:rPr>
              <w:t>%；联合体参加谈判的，小型、微型企业的协议合同金额占到联合体协议合同总金额30%以上的，给予联合体</w:t>
            </w:r>
            <w:r>
              <w:rPr>
                <w:rFonts w:hint="eastAsia" w:ascii="宋体" w:hAnsi="宋体" w:eastAsia="宋体"/>
                <w:kern w:val="0"/>
                <w:sz w:val="28"/>
                <w:szCs w:val="28"/>
                <w:lang w:val="en-US" w:eastAsia="zh-CN"/>
              </w:rPr>
              <w:t>5</w:t>
            </w:r>
            <w:r>
              <w:rPr>
                <w:rFonts w:hint="eastAsia" w:ascii="宋体" w:hAnsi="宋体" w:eastAsia="宋体"/>
                <w:kern w:val="0"/>
                <w:sz w:val="28"/>
                <w:szCs w:val="28"/>
              </w:rPr>
              <w:t>%的价格扣除。</w:t>
            </w:r>
          </w:p>
        </w:tc>
      </w:tr>
      <w:tr w14:paraId="6D25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03" w:type="dxa"/>
            <w:tcBorders>
              <w:top w:val="single" w:color="auto" w:sz="4" w:space="0"/>
              <w:left w:val="single" w:color="auto" w:sz="4" w:space="0"/>
              <w:bottom w:val="single" w:color="auto" w:sz="4" w:space="0"/>
              <w:right w:val="single" w:color="auto" w:sz="4" w:space="0"/>
            </w:tcBorders>
            <w:noWrap w:val="0"/>
            <w:vAlign w:val="top"/>
          </w:tcPr>
          <w:p w14:paraId="178B01CD">
            <w:pPr>
              <w:widowControl/>
              <w:spacing w:line="460" w:lineRule="exact"/>
              <w:jc w:val="left"/>
              <w:rPr>
                <w:rFonts w:hint="eastAsia" w:ascii="宋体" w:hAnsi="宋体" w:eastAsia="宋体"/>
                <w:kern w:val="0"/>
                <w:sz w:val="28"/>
                <w:szCs w:val="28"/>
              </w:rPr>
            </w:pPr>
            <w:r>
              <w:rPr>
                <w:rFonts w:ascii="宋体" w:hAnsi="宋体" w:eastAsia="宋体"/>
                <w:kern w:val="0"/>
                <w:sz w:val="28"/>
                <w:szCs w:val="28"/>
              </w:rPr>
              <w:t>…</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05C62A33">
            <w:pPr>
              <w:widowControl/>
              <w:spacing w:line="460" w:lineRule="exact"/>
              <w:ind w:firstLine="140" w:firstLineChars="50"/>
              <w:jc w:val="left"/>
              <w:rPr>
                <w:rFonts w:hint="eastAsia" w:ascii="宋体" w:hAnsi="宋体" w:eastAsia="宋体"/>
                <w:kern w:val="0"/>
                <w:sz w:val="28"/>
                <w:szCs w:val="28"/>
              </w:rPr>
            </w:pPr>
            <w:r>
              <w:rPr>
                <w:rFonts w:hint="eastAsia" w:ascii="宋体" w:hAnsi="宋体" w:cs="宋体"/>
                <w:kern w:val="0"/>
                <w:sz w:val="28"/>
                <w:szCs w:val="28"/>
              </w:rPr>
              <w:t>供应商</w:t>
            </w:r>
            <w:r>
              <w:rPr>
                <w:rFonts w:hint="eastAsia" w:ascii="宋体" w:hAnsi="宋体" w:eastAsia="宋体" w:cs="宋体"/>
                <w:kern w:val="0"/>
                <w:sz w:val="28"/>
                <w:szCs w:val="28"/>
              </w:rPr>
              <w:t>或所投产品按规定享受其他国家政策支持、扶持的，由投标人提供相关法律法规政策依据，每项按0.5%折扣。</w:t>
            </w:r>
          </w:p>
        </w:tc>
      </w:tr>
    </w:tbl>
    <w:p w14:paraId="6D688E1A">
      <w:pPr>
        <w:ind w:firstLine="560" w:firstLineChars="200"/>
        <w:rPr>
          <w:rFonts w:hint="eastAsia" w:ascii="宋体" w:hAnsi="宋体" w:cs="宋体"/>
          <w:kern w:val="0"/>
          <w:sz w:val="28"/>
          <w:szCs w:val="28"/>
        </w:rPr>
      </w:pPr>
      <w:r>
        <w:rPr>
          <w:rFonts w:hint="eastAsia" w:ascii="宋体" w:hAnsi="宋体" w:cs="宋体"/>
          <w:kern w:val="0"/>
          <w:sz w:val="28"/>
          <w:szCs w:val="28"/>
        </w:rPr>
        <w:t>注(1)投标产品属节能或环境标志产品品目清单范围的，以国家确定的认证机构出具的、处于有效期之内的节能产品、环境标志产品认证证书为准。属于强制采购的产品，不再给予价格优惠。</w:t>
      </w:r>
    </w:p>
    <w:p w14:paraId="7B1E72AC">
      <w:pPr>
        <w:ind w:firstLine="560" w:firstLineChars="200"/>
        <w:rPr>
          <w:rFonts w:ascii="宋体" w:hAnsi="宋体" w:cs="宋体"/>
          <w:kern w:val="0"/>
          <w:sz w:val="28"/>
          <w:szCs w:val="28"/>
        </w:rPr>
      </w:pPr>
      <w:r>
        <w:rPr>
          <w:rFonts w:hint="eastAsia" w:ascii="宋体" w:hAnsi="宋体" w:cs="宋体"/>
          <w:kern w:val="0"/>
          <w:sz w:val="28"/>
          <w:szCs w:val="28"/>
        </w:rPr>
        <w:t xml:space="preserve"> (2)同一包内有多个投标产品，部分产品符合政策功能要求的，只对符合政策功能要求的产品依据《投标报价明细表》按上述价格折扣幅度进行折扣，并按折扣后的价格即单项评标价计入总价进行评标。</w:t>
      </w:r>
    </w:p>
    <w:p w14:paraId="0998D094">
      <w:pPr>
        <w:ind w:firstLine="560" w:firstLineChars="200"/>
        <w:rPr>
          <w:rFonts w:hint="eastAsia" w:ascii="宋体" w:hAnsi="宋体" w:cs="宋体"/>
          <w:kern w:val="0"/>
          <w:sz w:val="28"/>
          <w:szCs w:val="28"/>
        </w:rPr>
      </w:pPr>
      <w:r>
        <w:rPr>
          <w:rFonts w:hint="eastAsia" w:ascii="宋体" w:hAnsi="宋体" w:cs="宋体"/>
          <w:kern w:val="0"/>
          <w:sz w:val="28"/>
          <w:szCs w:val="28"/>
        </w:rPr>
        <w:t>单项评标价=投标人单项报价×（1-∑价格折扣幅度）</w:t>
      </w:r>
    </w:p>
    <w:p w14:paraId="452B6D8D">
      <w:pPr>
        <w:ind w:firstLine="560" w:firstLineChars="200"/>
        <w:rPr>
          <w:rFonts w:hint="eastAsia" w:ascii="宋体" w:hAnsi="宋体" w:cs="宋体"/>
          <w:kern w:val="0"/>
          <w:sz w:val="28"/>
          <w:szCs w:val="28"/>
        </w:rPr>
      </w:pPr>
      <w:r>
        <w:rPr>
          <w:rFonts w:hint="eastAsia" w:ascii="宋体" w:hAnsi="宋体" w:cs="宋体"/>
          <w:kern w:val="0"/>
          <w:sz w:val="28"/>
          <w:szCs w:val="28"/>
        </w:rPr>
        <w:t>评标价</w:t>
      </w:r>
      <w:r>
        <w:rPr>
          <w:rFonts w:ascii="宋体" w:hAnsi="宋体" w:cs="宋体"/>
          <w:kern w:val="0"/>
          <w:sz w:val="28"/>
          <w:szCs w:val="28"/>
        </w:rPr>
        <w:t>=</w:t>
      </w:r>
      <w:r>
        <w:rPr>
          <w:rFonts w:hint="eastAsia" w:ascii="宋体" w:hAnsi="宋体" w:cs="宋体"/>
          <w:kern w:val="0"/>
          <w:sz w:val="28"/>
          <w:szCs w:val="28"/>
        </w:rPr>
        <w:t>∑单项评标价</w:t>
      </w:r>
      <w:r>
        <w:rPr>
          <w:rFonts w:ascii="宋体" w:hAnsi="宋体" w:cs="宋体"/>
          <w:kern w:val="0"/>
          <w:sz w:val="28"/>
          <w:szCs w:val="28"/>
        </w:rPr>
        <w:t>+</w:t>
      </w:r>
      <w:r>
        <w:rPr>
          <w:rFonts w:hint="eastAsia" w:ascii="宋体" w:hAnsi="宋体" w:cs="宋体"/>
          <w:kern w:val="0"/>
          <w:sz w:val="28"/>
          <w:szCs w:val="28"/>
        </w:rPr>
        <w:t>∑不进行价格调整产品单项报价</w:t>
      </w:r>
    </w:p>
    <w:p w14:paraId="51E70F99">
      <w:pPr>
        <w:ind w:firstLine="560" w:firstLineChars="200"/>
        <w:rPr>
          <w:rFonts w:ascii="宋体" w:hAnsi="宋体" w:cs="宋体"/>
          <w:kern w:val="0"/>
          <w:sz w:val="28"/>
          <w:szCs w:val="28"/>
        </w:rPr>
      </w:pPr>
      <w:r>
        <w:rPr>
          <w:rFonts w:hint="eastAsia" w:ascii="宋体" w:hAnsi="宋体" w:cs="宋体"/>
          <w:kern w:val="0"/>
          <w:sz w:val="28"/>
          <w:szCs w:val="28"/>
        </w:rPr>
        <w:t>价格分采用低价优先法计算，即满足招标文件要求，评标价最低的为评标基准价，其他投标人的价格分按照下列公式计算：</w:t>
      </w:r>
    </w:p>
    <w:p w14:paraId="39D31A39">
      <w:pPr>
        <w:ind w:firstLine="560" w:firstLineChars="200"/>
        <w:rPr>
          <w:rFonts w:hint="eastAsia" w:ascii="宋体" w:hAnsi="宋体" w:cs="宋体"/>
          <w:kern w:val="0"/>
          <w:sz w:val="28"/>
          <w:szCs w:val="28"/>
        </w:rPr>
      </w:pPr>
      <w:r>
        <w:rPr>
          <w:rFonts w:hint="eastAsia" w:ascii="宋体" w:hAnsi="宋体" w:cs="宋体"/>
          <w:kern w:val="0"/>
          <w:sz w:val="28"/>
          <w:szCs w:val="28"/>
        </w:rPr>
        <w:t>价格分=（评标基准价/评标价）×100×价格权值</w:t>
      </w:r>
    </w:p>
    <w:p w14:paraId="7BB9F371">
      <w:pPr>
        <w:ind w:firstLine="560" w:firstLineChars="200"/>
        <w:rPr>
          <w:rFonts w:hint="eastAsia" w:ascii="宋体" w:hAnsi="宋体" w:cs="宋体"/>
          <w:kern w:val="0"/>
          <w:sz w:val="28"/>
          <w:szCs w:val="28"/>
        </w:rPr>
      </w:pPr>
      <w:r>
        <w:rPr>
          <w:rFonts w:hint="eastAsia" w:ascii="宋体" w:hAnsi="宋体" w:cs="宋体"/>
          <w:kern w:val="0"/>
          <w:sz w:val="28"/>
          <w:szCs w:val="28"/>
        </w:rPr>
        <w:t>政府采购异常低价审查</w:t>
      </w:r>
    </w:p>
    <w:p w14:paraId="6F1473C9">
      <w:pPr>
        <w:ind w:firstLine="560" w:firstLineChars="200"/>
        <w:rPr>
          <w:rFonts w:hint="eastAsia" w:ascii="宋体" w:hAnsi="宋体" w:cs="宋体"/>
          <w:kern w:val="0"/>
          <w:sz w:val="28"/>
          <w:szCs w:val="28"/>
        </w:rPr>
      </w:pPr>
      <w:r>
        <w:rPr>
          <w:rFonts w:hint="eastAsia" w:ascii="宋体" w:hAnsi="宋体" w:cs="宋体"/>
          <w:kern w:val="0"/>
          <w:sz w:val="28"/>
          <w:szCs w:val="28"/>
        </w:rPr>
        <w:t>（一）政府采购评审中出现下列情形之一的，</w:t>
      </w:r>
      <w:r>
        <w:rPr>
          <w:rFonts w:hint="eastAsia" w:ascii="宋体" w:hAnsi="宋体" w:cs="宋体"/>
          <w:kern w:val="0"/>
          <w:sz w:val="28"/>
          <w:szCs w:val="28"/>
          <w:lang w:val="en-US" w:eastAsia="zh-CN"/>
        </w:rPr>
        <w:t>评标</w:t>
      </w:r>
      <w:r>
        <w:rPr>
          <w:rFonts w:hint="eastAsia" w:ascii="宋体" w:hAnsi="宋体" w:cs="宋体"/>
          <w:kern w:val="0"/>
          <w:sz w:val="28"/>
          <w:szCs w:val="28"/>
        </w:rPr>
        <w:t>委员会</w:t>
      </w:r>
      <w:r>
        <w:rPr>
          <w:rFonts w:hint="eastAsia" w:ascii="宋体" w:hAnsi="宋体" w:cs="宋体"/>
          <w:kern w:val="0"/>
          <w:sz w:val="28"/>
          <w:szCs w:val="28"/>
          <w:lang w:eastAsia="zh-CN"/>
        </w:rPr>
        <w:t>（</w:t>
      </w:r>
      <w:r>
        <w:rPr>
          <w:rFonts w:hint="eastAsia" w:ascii="宋体" w:hAnsi="宋体" w:cs="宋体"/>
          <w:kern w:val="0"/>
          <w:sz w:val="28"/>
          <w:szCs w:val="28"/>
          <w:lang w:val="en-US" w:eastAsia="zh-CN"/>
        </w:rPr>
        <w:t>评审小组</w:t>
      </w:r>
      <w:r>
        <w:rPr>
          <w:rFonts w:hint="eastAsia" w:ascii="宋体" w:hAnsi="宋体" w:cs="宋体"/>
          <w:kern w:val="0"/>
          <w:sz w:val="28"/>
          <w:szCs w:val="28"/>
          <w:lang w:eastAsia="zh-CN"/>
        </w:rPr>
        <w:t>）</w:t>
      </w:r>
      <w:r>
        <w:rPr>
          <w:rFonts w:hint="eastAsia" w:ascii="宋体" w:hAnsi="宋体" w:cs="宋体"/>
          <w:kern w:val="0"/>
          <w:sz w:val="28"/>
          <w:szCs w:val="28"/>
        </w:rPr>
        <w:t>应当启动异常低价投标审查程序：</w:t>
      </w:r>
    </w:p>
    <w:p w14:paraId="5C7C8EA9">
      <w:pPr>
        <w:ind w:firstLine="560" w:firstLineChars="200"/>
        <w:rPr>
          <w:rFonts w:hint="eastAsia" w:ascii="宋体" w:hAnsi="宋体" w:cs="宋体"/>
          <w:kern w:val="0"/>
          <w:sz w:val="28"/>
          <w:szCs w:val="28"/>
        </w:rPr>
      </w:pPr>
      <w:r>
        <w:rPr>
          <w:rFonts w:hint="eastAsia" w:ascii="宋体" w:hAnsi="宋体" w:cs="宋体"/>
          <w:kern w:val="0"/>
          <w:sz w:val="28"/>
          <w:szCs w:val="28"/>
        </w:rPr>
        <w:t>1.投标报价低于全部通过符合性审查供应商投标报价平均值50%的，即投标报价&lt;全部通过符合性审查供应商投标报价平均值×50%；</w:t>
      </w:r>
    </w:p>
    <w:p w14:paraId="5F4AB0C5">
      <w:pPr>
        <w:ind w:firstLine="560" w:firstLineChars="200"/>
        <w:rPr>
          <w:rFonts w:hint="eastAsia" w:ascii="宋体" w:hAnsi="宋体" w:cs="宋体"/>
          <w:kern w:val="0"/>
          <w:sz w:val="28"/>
          <w:szCs w:val="28"/>
        </w:rPr>
      </w:pPr>
      <w:r>
        <w:rPr>
          <w:rFonts w:hint="eastAsia" w:ascii="宋体" w:hAnsi="宋体" w:cs="宋体"/>
          <w:kern w:val="0"/>
          <w:sz w:val="28"/>
          <w:szCs w:val="28"/>
        </w:rPr>
        <w:t>2.投标报价低于通过符合性审查的次低报价供应商投标报价50%的，即投标报价&lt;通过符合性审查的次低报价供应商投标报价×50%；</w:t>
      </w:r>
    </w:p>
    <w:p w14:paraId="130F3D66">
      <w:pPr>
        <w:ind w:firstLine="560" w:firstLineChars="200"/>
        <w:rPr>
          <w:rFonts w:hint="eastAsia" w:ascii="宋体" w:hAnsi="宋体" w:cs="宋体"/>
          <w:kern w:val="0"/>
          <w:sz w:val="28"/>
          <w:szCs w:val="28"/>
        </w:rPr>
      </w:pPr>
      <w:r>
        <w:rPr>
          <w:rFonts w:hint="eastAsia" w:ascii="宋体" w:hAnsi="宋体" w:cs="宋体"/>
          <w:kern w:val="0"/>
          <w:sz w:val="28"/>
          <w:szCs w:val="28"/>
        </w:rPr>
        <w:t>3.投标报价低于采购项目最高限价45%的，即投标报价&lt;采购项目最高限价×45%；</w:t>
      </w:r>
    </w:p>
    <w:p w14:paraId="3346D5AC">
      <w:pPr>
        <w:ind w:firstLine="560" w:firstLineChars="200"/>
        <w:rPr>
          <w:rFonts w:hint="eastAsia" w:ascii="宋体" w:hAnsi="宋体" w:cs="宋体"/>
          <w:kern w:val="0"/>
          <w:sz w:val="28"/>
          <w:szCs w:val="28"/>
        </w:rPr>
      </w:pPr>
      <w:r>
        <w:rPr>
          <w:rFonts w:hint="eastAsia" w:ascii="宋体" w:hAnsi="宋体" w:cs="宋体"/>
          <w:kern w:val="0"/>
          <w:sz w:val="28"/>
          <w:szCs w:val="28"/>
        </w:rPr>
        <w:t>4.评</w:t>
      </w:r>
      <w:r>
        <w:rPr>
          <w:rFonts w:hint="eastAsia" w:ascii="宋体" w:hAnsi="宋体" w:cs="宋体"/>
          <w:kern w:val="0"/>
          <w:sz w:val="28"/>
          <w:szCs w:val="28"/>
          <w:lang w:val="en-US" w:eastAsia="zh-CN"/>
        </w:rPr>
        <w:t>标</w:t>
      </w:r>
      <w:r>
        <w:rPr>
          <w:rFonts w:hint="eastAsia" w:ascii="宋体" w:hAnsi="宋体" w:cs="宋体"/>
          <w:kern w:val="0"/>
          <w:sz w:val="28"/>
          <w:szCs w:val="28"/>
        </w:rPr>
        <w:t>委员</w:t>
      </w:r>
      <w:r>
        <w:rPr>
          <w:rFonts w:hint="eastAsia" w:ascii="宋体" w:hAnsi="宋体" w:cs="宋体"/>
          <w:kern w:val="0"/>
          <w:sz w:val="28"/>
          <w:szCs w:val="28"/>
          <w:lang w:val="en-US" w:eastAsia="zh-CN"/>
        </w:rPr>
        <w:t>员</w:t>
      </w:r>
      <w:r>
        <w:rPr>
          <w:rFonts w:hint="eastAsia" w:ascii="宋体" w:hAnsi="宋体" w:cs="宋体"/>
          <w:kern w:val="0"/>
          <w:sz w:val="28"/>
          <w:szCs w:val="28"/>
        </w:rPr>
        <w:t>会</w:t>
      </w:r>
      <w:r>
        <w:rPr>
          <w:rFonts w:hint="eastAsia" w:ascii="宋体" w:hAnsi="宋体" w:cs="宋体"/>
          <w:kern w:val="0"/>
          <w:sz w:val="28"/>
          <w:szCs w:val="28"/>
          <w:lang w:eastAsia="zh-CN"/>
        </w:rPr>
        <w:t>（</w:t>
      </w:r>
      <w:r>
        <w:rPr>
          <w:rFonts w:hint="eastAsia" w:ascii="宋体" w:hAnsi="宋体" w:cs="宋体"/>
          <w:kern w:val="0"/>
          <w:sz w:val="28"/>
          <w:szCs w:val="28"/>
          <w:lang w:val="en-US" w:eastAsia="zh-CN"/>
        </w:rPr>
        <w:t>评审小组</w:t>
      </w:r>
      <w:r>
        <w:rPr>
          <w:rFonts w:hint="eastAsia" w:ascii="宋体" w:hAnsi="宋体" w:cs="宋体"/>
          <w:kern w:val="0"/>
          <w:sz w:val="28"/>
          <w:szCs w:val="28"/>
          <w:lang w:eastAsia="zh-CN"/>
        </w:rPr>
        <w:t>）</w:t>
      </w:r>
      <w:r>
        <w:rPr>
          <w:rFonts w:hint="eastAsia" w:ascii="宋体" w:hAnsi="宋体" w:cs="宋体"/>
          <w:kern w:val="0"/>
          <w:sz w:val="28"/>
          <w:szCs w:val="28"/>
        </w:rPr>
        <w:t>基于专业判断，认为供应商报价过低，有可能影响产品质量或者不能诚信履约的其他情形。</w:t>
      </w:r>
    </w:p>
    <w:p w14:paraId="445DD9BE">
      <w:pPr>
        <w:ind w:firstLine="560" w:firstLineChars="200"/>
        <w:rPr>
          <w:rFonts w:hint="eastAsia" w:ascii="宋体" w:hAnsi="宋体" w:cs="宋体"/>
          <w:kern w:val="0"/>
          <w:sz w:val="28"/>
          <w:szCs w:val="28"/>
        </w:rPr>
      </w:pPr>
      <w:r>
        <w:rPr>
          <w:rFonts w:hint="eastAsia" w:ascii="宋体" w:hAnsi="宋体" w:cs="宋体"/>
          <w:kern w:val="0"/>
          <w:sz w:val="28"/>
          <w:szCs w:val="28"/>
        </w:rPr>
        <w:t>（二）评</w:t>
      </w:r>
      <w:r>
        <w:rPr>
          <w:rFonts w:hint="eastAsia" w:ascii="宋体" w:hAnsi="宋体" w:cs="宋体"/>
          <w:kern w:val="0"/>
          <w:sz w:val="28"/>
          <w:szCs w:val="28"/>
          <w:lang w:val="en-US" w:eastAsia="zh-CN"/>
        </w:rPr>
        <w:t>标</w:t>
      </w:r>
      <w:r>
        <w:rPr>
          <w:rFonts w:hint="eastAsia" w:ascii="宋体" w:hAnsi="宋体" w:cs="宋体"/>
          <w:kern w:val="0"/>
          <w:sz w:val="28"/>
          <w:szCs w:val="28"/>
        </w:rPr>
        <w:t>委员会</w:t>
      </w:r>
      <w:r>
        <w:rPr>
          <w:rFonts w:hint="eastAsia" w:ascii="宋体" w:hAnsi="宋体" w:cs="宋体"/>
          <w:kern w:val="0"/>
          <w:sz w:val="28"/>
          <w:szCs w:val="28"/>
          <w:lang w:eastAsia="zh-CN"/>
        </w:rPr>
        <w:t>（</w:t>
      </w:r>
      <w:r>
        <w:rPr>
          <w:rFonts w:hint="eastAsia" w:ascii="宋体" w:hAnsi="宋体" w:cs="宋体"/>
          <w:kern w:val="0"/>
          <w:sz w:val="28"/>
          <w:szCs w:val="28"/>
          <w:lang w:val="en-US" w:eastAsia="zh-CN"/>
        </w:rPr>
        <w:t>评审小组</w:t>
      </w:r>
      <w:r>
        <w:rPr>
          <w:rFonts w:hint="eastAsia" w:ascii="宋体" w:hAnsi="宋体" w:cs="宋体"/>
          <w:kern w:val="0"/>
          <w:sz w:val="28"/>
          <w:szCs w:val="28"/>
          <w:lang w:eastAsia="zh-CN"/>
        </w:rPr>
        <w:t>）</w:t>
      </w:r>
      <w:r>
        <w:rPr>
          <w:rFonts w:hint="eastAsia" w:ascii="宋体" w:hAnsi="宋体" w:cs="宋体"/>
          <w:kern w:val="0"/>
          <w:sz w:val="28"/>
          <w:szCs w:val="28"/>
        </w:rPr>
        <w:t>启动异常低价投标审查后，属于前述第1项至第4项情形的，应当要求相关供应商在评</w:t>
      </w:r>
      <w:r>
        <w:rPr>
          <w:rFonts w:hint="eastAsia" w:ascii="宋体" w:hAnsi="宋体" w:cs="宋体"/>
          <w:kern w:val="0"/>
          <w:sz w:val="28"/>
          <w:szCs w:val="28"/>
          <w:lang w:val="en-US" w:eastAsia="zh-CN"/>
        </w:rPr>
        <w:t>标</w:t>
      </w:r>
      <w:r>
        <w:rPr>
          <w:rFonts w:hint="eastAsia" w:ascii="宋体" w:hAnsi="宋体" w:cs="宋体"/>
          <w:kern w:val="0"/>
          <w:sz w:val="28"/>
          <w:szCs w:val="28"/>
        </w:rPr>
        <w:t>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w:t>
      </w:r>
      <w:r>
        <w:rPr>
          <w:rFonts w:hint="eastAsia" w:ascii="宋体" w:hAnsi="宋体" w:cs="宋体"/>
          <w:kern w:val="0"/>
          <w:sz w:val="28"/>
          <w:szCs w:val="28"/>
          <w:lang w:val="en-US" w:eastAsia="zh-CN"/>
        </w:rPr>
        <w:t>标</w:t>
      </w:r>
      <w:r>
        <w:rPr>
          <w:rFonts w:hint="eastAsia" w:ascii="宋体" w:hAnsi="宋体" w:cs="宋体"/>
          <w:kern w:val="0"/>
          <w:sz w:val="28"/>
          <w:szCs w:val="28"/>
        </w:rPr>
        <w:t>现场可不再重复提交。</w:t>
      </w:r>
    </w:p>
    <w:p w14:paraId="1A5DBD04">
      <w:pPr>
        <w:ind w:firstLine="560" w:firstLineChars="200"/>
        <w:rPr>
          <w:rFonts w:hint="eastAsia" w:ascii="宋体" w:hAnsi="宋体" w:cs="宋体"/>
          <w:kern w:val="0"/>
          <w:sz w:val="28"/>
          <w:szCs w:val="28"/>
        </w:rPr>
      </w:pPr>
      <w:r>
        <w:rPr>
          <w:rFonts w:hint="eastAsia" w:ascii="宋体" w:hAnsi="宋体" w:cs="宋体"/>
          <w:kern w:val="0"/>
          <w:sz w:val="28"/>
          <w:szCs w:val="28"/>
        </w:rPr>
        <w:t>评</w:t>
      </w:r>
      <w:r>
        <w:rPr>
          <w:rFonts w:hint="eastAsia" w:ascii="宋体" w:hAnsi="宋体" w:cs="宋体"/>
          <w:kern w:val="0"/>
          <w:sz w:val="28"/>
          <w:szCs w:val="28"/>
          <w:lang w:val="en-US" w:eastAsia="zh-CN"/>
        </w:rPr>
        <w:t>标</w:t>
      </w:r>
      <w:r>
        <w:rPr>
          <w:rFonts w:hint="eastAsia" w:ascii="宋体" w:hAnsi="宋体" w:cs="宋体"/>
          <w:kern w:val="0"/>
          <w:sz w:val="28"/>
          <w:szCs w:val="28"/>
        </w:rPr>
        <w:t>委员会</w:t>
      </w:r>
      <w:r>
        <w:rPr>
          <w:rFonts w:hint="eastAsia" w:ascii="宋体" w:hAnsi="宋体" w:cs="宋体"/>
          <w:kern w:val="0"/>
          <w:sz w:val="28"/>
          <w:szCs w:val="28"/>
          <w:lang w:eastAsia="zh-CN"/>
        </w:rPr>
        <w:t>（</w:t>
      </w:r>
      <w:r>
        <w:rPr>
          <w:rFonts w:hint="eastAsia" w:ascii="宋体" w:hAnsi="宋体" w:cs="宋体"/>
          <w:kern w:val="0"/>
          <w:sz w:val="28"/>
          <w:szCs w:val="28"/>
          <w:lang w:val="en-US" w:eastAsia="zh-CN"/>
        </w:rPr>
        <w:t>评审小组</w:t>
      </w:r>
      <w:r>
        <w:rPr>
          <w:rFonts w:hint="eastAsia" w:ascii="宋体" w:hAnsi="宋体" w:cs="宋体"/>
          <w:kern w:val="0"/>
          <w:sz w:val="28"/>
          <w:szCs w:val="28"/>
          <w:lang w:eastAsia="zh-CN"/>
        </w:rPr>
        <w:t>）</w:t>
      </w:r>
      <w:r>
        <w:rPr>
          <w:rFonts w:hint="eastAsia" w:ascii="宋体" w:hAnsi="宋体" w:cs="宋体"/>
          <w:kern w:val="0"/>
          <w:sz w:val="28"/>
          <w:szCs w:val="28"/>
        </w:rPr>
        <w:t>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w:t>
      </w:r>
      <w:r>
        <w:rPr>
          <w:rFonts w:hint="eastAsia" w:ascii="宋体" w:hAnsi="宋体" w:cs="宋体"/>
          <w:kern w:val="0"/>
          <w:sz w:val="28"/>
          <w:szCs w:val="28"/>
          <w:lang w:eastAsia="zh-CN"/>
        </w:rPr>
        <w:t>（</w:t>
      </w:r>
      <w:r>
        <w:rPr>
          <w:rFonts w:hint="eastAsia" w:ascii="宋体" w:hAnsi="宋体" w:cs="宋体"/>
          <w:kern w:val="0"/>
          <w:sz w:val="28"/>
          <w:szCs w:val="28"/>
          <w:lang w:val="en-US" w:eastAsia="zh-CN"/>
        </w:rPr>
        <w:t>评审小组</w:t>
      </w:r>
      <w:r>
        <w:rPr>
          <w:rFonts w:hint="eastAsia" w:ascii="宋体" w:hAnsi="宋体" w:cs="宋体"/>
          <w:kern w:val="0"/>
          <w:sz w:val="28"/>
          <w:szCs w:val="28"/>
          <w:lang w:eastAsia="zh-CN"/>
        </w:rPr>
        <w:t>）</w:t>
      </w:r>
      <w:r>
        <w:rPr>
          <w:rFonts w:hint="eastAsia" w:ascii="宋体" w:hAnsi="宋体" w:cs="宋体"/>
          <w:kern w:val="0"/>
          <w:sz w:val="28"/>
          <w:szCs w:val="28"/>
        </w:rPr>
        <w:t>应当将其作为无效投标处理。</w:t>
      </w:r>
    </w:p>
    <w:p w14:paraId="0F692AF6">
      <w:pPr>
        <w:ind w:firstLine="560" w:firstLineChars="200"/>
        <w:rPr>
          <w:rFonts w:hint="eastAsia" w:ascii="宋体" w:hAnsi="宋体" w:cs="宋体"/>
          <w:kern w:val="0"/>
          <w:sz w:val="28"/>
          <w:szCs w:val="28"/>
        </w:rPr>
      </w:pPr>
      <w:r>
        <w:rPr>
          <w:rFonts w:hint="eastAsia" w:ascii="宋体" w:hAnsi="宋体" w:cs="宋体"/>
          <w:kern w:val="0"/>
          <w:sz w:val="28"/>
          <w:szCs w:val="28"/>
        </w:rPr>
        <w:t>异常低价投标审查的启动原因、审查意见和审查结果应当在评审报告中记录，并随供应商提供的相关书面说明及证明材料，以及评审委员会</w:t>
      </w:r>
      <w:r>
        <w:rPr>
          <w:rFonts w:hint="eastAsia" w:ascii="宋体" w:hAnsi="宋体" w:cs="宋体"/>
          <w:kern w:val="0"/>
          <w:sz w:val="28"/>
          <w:szCs w:val="28"/>
          <w:lang w:eastAsia="zh-CN"/>
        </w:rPr>
        <w:t>（</w:t>
      </w:r>
      <w:r>
        <w:rPr>
          <w:rFonts w:hint="eastAsia" w:ascii="宋体" w:hAnsi="宋体" w:cs="宋体"/>
          <w:kern w:val="0"/>
          <w:sz w:val="28"/>
          <w:szCs w:val="28"/>
          <w:lang w:val="en-US" w:eastAsia="zh-CN"/>
        </w:rPr>
        <w:t>评审小组</w:t>
      </w:r>
      <w:r>
        <w:rPr>
          <w:rFonts w:hint="eastAsia" w:ascii="宋体" w:hAnsi="宋体" w:cs="宋体"/>
          <w:kern w:val="0"/>
          <w:sz w:val="28"/>
          <w:szCs w:val="28"/>
          <w:lang w:eastAsia="zh-CN"/>
        </w:rPr>
        <w:t>）</w:t>
      </w:r>
      <w:r>
        <w:rPr>
          <w:rFonts w:hint="eastAsia" w:ascii="宋体" w:hAnsi="宋体" w:cs="宋体"/>
          <w:kern w:val="0"/>
          <w:sz w:val="28"/>
          <w:szCs w:val="28"/>
        </w:rPr>
        <w:t>有关互联网浏览、查询历史一并归档。</w:t>
      </w:r>
    </w:p>
    <w:p w14:paraId="37F13013">
      <w:pPr>
        <w:ind w:firstLine="560" w:firstLineChars="200"/>
        <w:rPr>
          <w:rFonts w:ascii="宋体" w:hAnsi="宋体" w:cs="宋体"/>
          <w:kern w:val="0"/>
          <w:sz w:val="28"/>
          <w:szCs w:val="28"/>
        </w:rPr>
      </w:pPr>
      <w:r>
        <w:rPr>
          <w:rFonts w:hint="eastAsia" w:ascii="宋体" w:hAnsi="宋体" w:cs="宋体"/>
          <w:kern w:val="0"/>
          <w:sz w:val="28"/>
          <w:szCs w:val="28"/>
        </w:rPr>
        <w:t>（3）根据《关于进一步加大政府采购支持中小企业力度的通知》（财库[</w:t>
      </w:r>
      <w:r>
        <w:rPr>
          <w:rFonts w:hint="eastAsia" w:ascii="宋体" w:hAnsi="宋体" w:cs="宋体"/>
          <w:kern w:val="0"/>
          <w:sz w:val="28"/>
          <w:szCs w:val="28"/>
          <w:lang w:eastAsia="zh-CN"/>
        </w:rPr>
        <w:t>2023</w:t>
      </w:r>
      <w:r>
        <w:rPr>
          <w:rFonts w:hint="eastAsia" w:ascii="宋体" w:hAnsi="宋体" w:cs="宋体"/>
          <w:kern w:val="0"/>
          <w:sz w:val="28"/>
          <w:szCs w:val="28"/>
        </w:rPr>
        <w:t>]</w:t>
      </w:r>
      <w:r>
        <w:rPr>
          <w:rFonts w:hint="eastAsia" w:ascii="宋体" w:hAnsi="宋体" w:cs="宋体"/>
          <w:kern w:val="0"/>
          <w:sz w:val="28"/>
          <w:szCs w:val="28"/>
          <w:lang w:val="en-US" w:eastAsia="zh-CN"/>
        </w:rPr>
        <w:t>19</w:t>
      </w:r>
      <w:r>
        <w:rPr>
          <w:rFonts w:hint="eastAsia" w:ascii="宋体" w:hAnsi="宋体" w:cs="宋体"/>
          <w:kern w:val="0"/>
          <w:sz w:val="28"/>
          <w:szCs w:val="28"/>
        </w:rPr>
        <w:t>号）的规定，参加政府采购活动的中小企业应当提供《中小企业声明函》。（格式</w:t>
      </w:r>
      <w:r>
        <w:rPr>
          <w:rFonts w:ascii="宋体" w:hAnsi="宋体" w:cs="宋体"/>
          <w:kern w:val="0"/>
          <w:sz w:val="28"/>
          <w:szCs w:val="28"/>
        </w:rPr>
        <w:t>见</w:t>
      </w:r>
      <w:r>
        <w:rPr>
          <w:rFonts w:hint="eastAsia" w:ascii="宋体" w:hAnsi="宋体" w:cs="宋体"/>
          <w:kern w:val="0"/>
          <w:sz w:val="28"/>
          <w:szCs w:val="28"/>
        </w:rPr>
        <w:t>第六章</w:t>
      </w:r>
      <w:r>
        <w:rPr>
          <w:rFonts w:ascii="宋体" w:hAnsi="宋体" w:cs="宋体"/>
          <w:kern w:val="0"/>
          <w:sz w:val="28"/>
          <w:szCs w:val="28"/>
        </w:rPr>
        <w:t>附件</w:t>
      </w:r>
      <w:r>
        <w:rPr>
          <w:rFonts w:hint="eastAsia" w:ascii="宋体" w:hAnsi="宋体" w:cs="宋体"/>
          <w:kern w:val="0"/>
          <w:sz w:val="28"/>
          <w:szCs w:val="28"/>
        </w:rPr>
        <w:t>10.</w:t>
      </w:r>
      <w:r>
        <w:rPr>
          <w:rFonts w:ascii="宋体" w:hAnsi="宋体" w:cs="宋体"/>
          <w:kern w:val="0"/>
          <w:sz w:val="28"/>
          <w:szCs w:val="28"/>
        </w:rPr>
        <w:t>14</w:t>
      </w:r>
      <w:r>
        <w:rPr>
          <w:rFonts w:hint="eastAsia" w:ascii="宋体" w:hAnsi="宋体" w:cs="宋体"/>
          <w:kern w:val="0"/>
          <w:sz w:val="28"/>
          <w:szCs w:val="28"/>
        </w:rPr>
        <w:t>）</w:t>
      </w:r>
    </w:p>
    <w:p w14:paraId="63197ACE">
      <w:pPr>
        <w:ind w:firstLine="560" w:firstLineChars="200"/>
        <w:rPr>
          <w:rFonts w:ascii="宋体" w:hAnsi="宋体" w:cs="宋体"/>
          <w:kern w:val="0"/>
          <w:sz w:val="28"/>
          <w:szCs w:val="28"/>
        </w:rPr>
      </w:pPr>
      <w:r>
        <w:rPr>
          <w:rFonts w:hint="eastAsia" w:ascii="宋体" w:hAnsi="宋体" w:cs="宋体"/>
          <w:kern w:val="0"/>
          <w:sz w:val="28"/>
          <w:szCs w:val="28"/>
        </w:rPr>
        <w:t>（4）根据《财政部 司法部关于政府采购支持监狱企业发展有关问题的通知》(财库〔2014〕68号)的</w:t>
      </w:r>
      <w:r>
        <w:rPr>
          <w:rFonts w:ascii="宋体" w:hAnsi="宋体" w:cs="宋体"/>
          <w:kern w:val="0"/>
          <w:sz w:val="28"/>
          <w:szCs w:val="28"/>
        </w:rPr>
        <w:t>规定，</w:t>
      </w:r>
      <w:r>
        <w:rPr>
          <w:rFonts w:hint="eastAsia" w:ascii="宋体" w:hAnsi="宋体" w:cs="宋体"/>
          <w:kern w:val="0"/>
          <w:sz w:val="28"/>
          <w:szCs w:val="28"/>
        </w:rPr>
        <w:t>监狱企业参加政府采购活动时，应当提供由省级以上监狱管理局、戒毒管理局（含新疆生产建设兵团）出具的属于监狱企业的证明文件。</w:t>
      </w:r>
    </w:p>
    <w:p w14:paraId="4C819172">
      <w:pPr>
        <w:ind w:firstLine="560" w:firstLineChars="200"/>
        <w:rPr>
          <w:rFonts w:hint="eastAsia" w:ascii="宋体" w:hAnsi="宋体" w:cs="宋体"/>
          <w:kern w:val="0"/>
          <w:sz w:val="28"/>
          <w:szCs w:val="28"/>
        </w:rPr>
      </w:pPr>
      <w:r>
        <w:rPr>
          <w:rFonts w:hint="eastAsia" w:ascii="宋体" w:hAnsi="宋体" w:cs="宋体"/>
          <w:kern w:val="0"/>
          <w:sz w:val="28"/>
          <w:szCs w:val="28"/>
        </w:rPr>
        <w:t>（5）根据《财政部 民政部 中国残疾人联合会关于促进残疾人就业政府采购政策的通知》（财库〔2017〕 141号）的规定，享受政府采购支持政策的残疾人福利性单位应当提供《残疾人福利性单位声明函》。（格式</w:t>
      </w:r>
      <w:r>
        <w:rPr>
          <w:rFonts w:ascii="宋体" w:hAnsi="宋体" w:cs="宋体"/>
          <w:kern w:val="0"/>
          <w:sz w:val="28"/>
          <w:szCs w:val="28"/>
        </w:rPr>
        <w:t>见</w:t>
      </w:r>
      <w:r>
        <w:rPr>
          <w:rFonts w:hint="eastAsia" w:ascii="宋体" w:hAnsi="宋体" w:cs="宋体"/>
          <w:kern w:val="0"/>
          <w:sz w:val="28"/>
          <w:szCs w:val="28"/>
        </w:rPr>
        <w:t>第六章</w:t>
      </w:r>
      <w:r>
        <w:rPr>
          <w:rFonts w:ascii="宋体" w:hAnsi="宋体" w:cs="宋体"/>
          <w:kern w:val="0"/>
          <w:sz w:val="28"/>
          <w:szCs w:val="28"/>
        </w:rPr>
        <w:t>附件</w:t>
      </w:r>
      <w:r>
        <w:rPr>
          <w:rFonts w:hint="eastAsia" w:ascii="宋体" w:hAnsi="宋体" w:cs="宋体"/>
          <w:kern w:val="0"/>
          <w:sz w:val="28"/>
          <w:szCs w:val="28"/>
        </w:rPr>
        <w:t>10.</w:t>
      </w:r>
      <w:r>
        <w:rPr>
          <w:rFonts w:ascii="宋体" w:hAnsi="宋体" w:cs="宋体"/>
          <w:kern w:val="0"/>
          <w:sz w:val="28"/>
          <w:szCs w:val="28"/>
        </w:rPr>
        <w:t>15</w:t>
      </w:r>
      <w:r>
        <w:rPr>
          <w:rFonts w:hint="eastAsia" w:ascii="宋体" w:hAnsi="宋体" w:cs="宋体"/>
          <w:kern w:val="0"/>
          <w:sz w:val="28"/>
          <w:szCs w:val="28"/>
        </w:rPr>
        <w:t>）</w:t>
      </w:r>
    </w:p>
    <w:tbl>
      <w:tblPr>
        <w:tblStyle w:val="36"/>
        <w:tblpPr w:leftFromText="180" w:rightFromText="180" w:vertAnchor="text" w:horzAnchor="page" w:tblpX="1549" w:tblpY="1079"/>
        <w:tblOverlap w:val="never"/>
        <w:tblW w:w="92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1473"/>
        <w:gridCol w:w="97"/>
        <w:gridCol w:w="698"/>
        <w:gridCol w:w="6282"/>
      </w:tblGrid>
      <w:tr w14:paraId="0CDC4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05" w:type="dxa"/>
            <w:tcBorders>
              <w:bottom w:val="single" w:color="000000" w:sz="6" w:space="0"/>
              <w:right w:val="single" w:color="000000" w:sz="6" w:space="0"/>
            </w:tcBorders>
            <w:vAlign w:val="center"/>
          </w:tcPr>
          <w:p w14:paraId="1CEE6A47">
            <w:pPr>
              <w:pStyle w:val="75"/>
              <w:adjustRightInd w:val="0"/>
              <w:snapToGrid w:val="0"/>
              <w:spacing w:line="360" w:lineRule="auto"/>
              <w:ind w:left="94" w:right="82"/>
              <w:jc w:val="center"/>
              <w:rPr>
                <w:sz w:val="24"/>
                <w:szCs w:val="24"/>
              </w:rPr>
            </w:pPr>
            <w:r>
              <w:rPr>
                <w:sz w:val="24"/>
                <w:szCs w:val="24"/>
              </w:rPr>
              <w:t>序号</w:t>
            </w:r>
          </w:p>
        </w:tc>
        <w:tc>
          <w:tcPr>
            <w:tcW w:w="1570" w:type="dxa"/>
            <w:gridSpan w:val="2"/>
            <w:tcBorders>
              <w:left w:val="single" w:color="000000" w:sz="6" w:space="0"/>
              <w:bottom w:val="single" w:color="000000" w:sz="6" w:space="0"/>
              <w:right w:val="single" w:color="000000" w:sz="6" w:space="0"/>
            </w:tcBorders>
            <w:vAlign w:val="center"/>
          </w:tcPr>
          <w:p w14:paraId="4204F0D4">
            <w:pPr>
              <w:pStyle w:val="75"/>
              <w:adjustRightInd w:val="0"/>
              <w:snapToGrid w:val="0"/>
              <w:spacing w:line="360" w:lineRule="auto"/>
              <w:ind w:left="204"/>
              <w:jc w:val="center"/>
              <w:rPr>
                <w:sz w:val="24"/>
                <w:szCs w:val="24"/>
              </w:rPr>
            </w:pPr>
            <w:r>
              <w:rPr>
                <w:sz w:val="24"/>
                <w:szCs w:val="24"/>
              </w:rPr>
              <w:t>评分项目</w:t>
            </w:r>
          </w:p>
        </w:tc>
        <w:tc>
          <w:tcPr>
            <w:tcW w:w="698" w:type="dxa"/>
            <w:tcBorders>
              <w:left w:val="single" w:color="000000" w:sz="6" w:space="0"/>
              <w:bottom w:val="single" w:color="000000" w:sz="6" w:space="0"/>
              <w:right w:val="single" w:color="000000" w:sz="6" w:space="0"/>
            </w:tcBorders>
            <w:vAlign w:val="center"/>
          </w:tcPr>
          <w:p w14:paraId="420379A8">
            <w:pPr>
              <w:pStyle w:val="75"/>
              <w:adjustRightInd w:val="0"/>
              <w:snapToGrid w:val="0"/>
              <w:spacing w:line="360" w:lineRule="auto"/>
              <w:ind w:left="87" w:right="78"/>
              <w:jc w:val="center"/>
              <w:rPr>
                <w:sz w:val="24"/>
                <w:szCs w:val="24"/>
              </w:rPr>
            </w:pPr>
            <w:r>
              <w:rPr>
                <w:sz w:val="24"/>
                <w:szCs w:val="24"/>
              </w:rPr>
              <w:t>评分权重</w:t>
            </w:r>
          </w:p>
        </w:tc>
        <w:tc>
          <w:tcPr>
            <w:tcW w:w="6282" w:type="dxa"/>
            <w:tcBorders>
              <w:left w:val="single" w:color="000000" w:sz="6" w:space="0"/>
              <w:bottom w:val="single" w:color="000000" w:sz="6" w:space="0"/>
            </w:tcBorders>
            <w:vAlign w:val="center"/>
          </w:tcPr>
          <w:p w14:paraId="18B687BE">
            <w:pPr>
              <w:pStyle w:val="75"/>
              <w:adjustRightInd w:val="0"/>
              <w:snapToGrid w:val="0"/>
              <w:spacing w:line="360" w:lineRule="auto"/>
              <w:ind w:left="1976" w:right="1969"/>
              <w:jc w:val="center"/>
              <w:rPr>
                <w:sz w:val="24"/>
                <w:szCs w:val="24"/>
              </w:rPr>
            </w:pPr>
            <w:r>
              <w:rPr>
                <w:sz w:val="24"/>
                <w:szCs w:val="24"/>
              </w:rPr>
              <w:t>评价方法</w:t>
            </w:r>
          </w:p>
        </w:tc>
      </w:tr>
      <w:tr w14:paraId="494F7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05" w:type="dxa"/>
            <w:tcBorders>
              <w:top w:val="single" w:color="000000" w:sz="6" w:space="0"/>
              <w:bottom w:val="single" w:color="000000" w:sz="6" w:space="0"/>
              <w:right w:val="single" w:color="000000" w:sz="6" w:space="0"/>
            </w:tcBorders>
            <w:vAlign w:val="center"/>
          </w:tcPr>
          <w:p w14:paraId="31E09F69">
            <w:pPr>
              <w:pStyle w:val="75"/>
              <w:adjustRightInd w:val="0"/>
              <w:snapToGrid w:val="0"/>
              <w:spacing w:line="360" w:lineRule="auto"/>
              <w:ind w:left="12"/>
              <w:jc w:val="center"/>
              <w:rPr>
                <w:sz w:val="24"/>
                <w:szCs w:val="24"/>
              </w:rPr>
            </w:pPr>
            <w:r>
              <w:rPr>
                <w:sz w:val="24"/>
                <w:szCs w:val="24"/>
              </w:rPr>
              <w:t>一</w:t>
            </w:r>
          </w:p>
        </w:tc>
        <w:tc>
          <w:tcPr>
            <w:tcW w:w="1570" w:type="dxa"/>
            <w:gridSpan w:val="2"/>
            <w:tcBorders>
              <w:top w:val="single" w:color="000000" w:sz="6" w:space="0"/>
              <w:left w:val="single" w:color="000000" w:sz="6" w:space="0"/>
              <w:bottom w:val="single" w:color="000000" w:sz="6" w:space="0"/>
              <w:right w:val="single" w:color="000000" w:sz="6" w:space="0"/>
            </w:tcBorders>
            <w:vAlign w:val="center"/>
          </w:tcPr>
          <w:p w14:paraId="3DE39856">
            <w:pPr>
              <w:pStyle w:val="75"/>
              <w:adjustRightInd w:val="0"/>
              <w:snapToGrid w:val="0"/>
              <w:spacing w:line="360" w:lineRule="auto"/>
              <w:ind w:left="105"/>
              <w:jc w:val="both"/>
              <w:rPr>
                <w:sz w:val="24"/>
                <w:szCs w:val="24"/>
              </w:rPr>
            </w:pPr>
            <w:r>
              <w:rPr>
                <w:sz w:val="24"/>
                <w:szCs w:val="24"/>
              </w:rPr>
              <w:t>价格</w:t>
            </w:r>
            <w:r>
              <w:rPr>
                <w:rFonts w:hint="eastAsia"/>
                <w:sz w:val="24"/>
                <w:szCs w:val="24"/>
              </w:rPr>
              <w:t>20</w:t>
            </w:r>
            <w:r>
              <w:rPr>
                <w:sz w:val="24"/>
                <w:szCs w:val="24"/>
              </w:rPr>
              <w:t>分</w:t>
            </w:r>
          </w:p>
        </w:tc>
        <w:tc>
          <w:tcPr>
            <w:tcW w:w="698" w:type="dxa"/>
            <w:tcBorders>
              <w:top w:val="single" w:color="000000" w:sz="6" w:space="0"/>
              <w:left w:val="single" w:color="000000" w:sz="6" w:space="0"/>
              <w:bottom w:val="single" w:color="000000" w:sz="6" w:space="0"/>
              <w:right w:val="single" w:color="000000" w:sz="6" w:space="0"/>
            </w:tcBorders>
            <w:vAlign w:val="center"/>
          </w:tcPr>
          <w:p w14:paraId="7FA0BE1F">
            <w:pPr>
              <w:pStyle w:val="75"/>
              <w:adjustRightInd w:val="0"/>
              <w:snapToGrid w:val="0"/>
              <w:spacing w:line="360" w:lineRule="auto"/>
              <w:ind w:left="87" w:right="78"/>
              <w:jc w:val="both"/>
              <w:rPr>
                <w:sz w:val="24"/>
                <w:szCs w:val="24"/>
              </w:rPr>
            </w:pPr>
            <w:r>
              <w:rPr>
                <w:rFonts w:hint="eastAsia"/>
                <w:sz w:val="24"/>
                <w:szCs w:val="24"/>
              </w:rPr>
              <w:t>20</w:t>
            </w:r>
            <w:r>
              <w:rPr>
                <w:sz w:val="24"/>
                <w:szCs w:val="24"/>
              </w:rPr>
              <w:t>分</w:t>
            </w:r>
          </w:p>
        </w:tc>
        <w:tc>
          <w:tcPr>
            <w:tcW w:w="6282" w:type="dxa"/>
            <w:tcBorders>
              <w:top w:val="single" w:color="000000" w:sz="6" w:space="0"/>
              <w:left w:val="single" w:color="000000" w:sz="6" w:space="0"/>
              <w:bottom w:val="single" w:color="000000" w:sz="6" w:space="0"/>
            </w:tcBorders>
          </w:tcPr>
          <w:p w14:paraId="7E42E2AD">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eastAsia="zh-CN"/>
              </w:rPr>
              <w:t>1.</w:t>
            </w:r>
            <w:r>
              <w:rPr>
                <w:rFonts w:hint="eastAsia" w:ascii="宋体" w:hAnsi="宋体" w:cs="宋体"/>
                <w:sz w:val="24"/>
              </w:rPr>
              <w:t>价格分采用低价优先法计算，即通过资格性和符合性审查且投标价格最低的投标报价为评标基准价，其价格得分为满分20分。</w:t>
            </w:r>
          </w:p>
          <w:p w14:paraId="6A386DD5">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eastAsia="zh-CN"/>
              </w:rPr>
              <w:t>2.</w:t>
            </w:r>
            <w:r>
              <w:rPr>
                <w:rFonts w:hint="eastAsia" w:ascii="宋体" w:hAnsi="宋体" w:cs="宋体"/>
                <w:sz w:val="24"/>
              </w:rPr>
              <w:t>其他投标人的价格分统一按照下列公式计算：</w:t>
            </w:r>
          </w:p>
          <w:p w14:paraId="3292F0D0">
            <w:pPr>
              <w:adjustRightInd w:val="0"/>
              <w:snapToGrid w:val="0"/>
              <w:spacing w:line="360" w:lineRule="auto"/>
              <w:rPr>
                <w:rFonts w:ascii="宋体" w:hAnsi="宋体" w:cs="宋体"/>
                <w:sz w:val="24"/>
              </w:rPr>
            </w:pPr>
            <w:r>
              <w:rPr>
                <w:rFonts w:hint="eastAsia" w:ascii="宋体" w:hAnsi="宋体" w:cs="宋体"/>
                <w:sz w:val="24"/>
              </w:rPr>
              <w:t>投标报价得分=(评标基准价／投标报价)×20</w:t>
            </w:r>
          </w:p>
          <w:p w14:paraId="09B5F406">
            <w:pPr>
              <w:adjustRightInd w:val="0"/>
              <w:snapToGrid w:val="0"/>
              <w:spacing w:line="360" w:lineRule="auto"/>
              <w:rPr>
                <w:rFonts w:hint="eastAsia" w:ascii="宋体" w:hAnsi="宋体" w:cs="宋体"/>
                <w:sz w:val="24"/>
              </w:rPr>
            </w:pPr>
            <w:r>
              <w:rPr>
                <w:rFonts w:hint="eastAsia" w:ascii="宋体" w:hAnsi="宋体" w:cs="宋体"/>
                <w:sz w:val="24"/>
              </w:rPr>
              <w:t>备注：</w:t>
            </w:r>
          </w:p>
          <w:p w14:paraId="1D74D48E">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1.有效投标人是指通过符合性审查，未被废除投标资格的投标人；</w:t>
            </w:r>
          </w:p>
          <w:p w14:paraId="24DAC637">
            <w:pPr>
              <w:adjustRightInd w:val="0"/>
              <w:snapToGrid w:val="0"/>
              <w:spacing w:line="360" w:lineRule="auto"/>
              <w:ind w:firstLine="480" w:firstLineChars="200"/>
              <w:rPr>
                <w:rFonts w:hint="eastAsia"/>
                <w:sz w:val="24"/>
              </w:rPr>
            </w:pPr>
            <w:r>
              <w:rPr>
                <w:rFonts w:hint="eastAsia" w:ascii="宋体" w:hAnsi="宋体" w:cs="宋体"/>
                <w:sz w:val="24"/>
              </w:rPr>
              <w:t>2.</w:t>
            </w:r>
            <w:r>
              <w:rPr>
                <w:rFonts w:hint="eastAsia" w:ascii="宋体" w:hAnsi="宋体" w:cs="宋体"/>
                <w:sz w:val="24"/>
                <w:lang w:val="en-US" w:eastAsia="zh-CN"/>
              </w:rPr>
              <w:t>评标委员会</w:t>
            </w:r>
            <w:r>
              <w:rPr>
                <w:rFonts w:hint="eastAsia" w:ascii="宋体" w:hAnsi="宋体" w:cs="宋体"/>
                <w:sz w:val="24"/>
              </w:rPr>
              <w:t>认为投标人的报价明显低于其他通过符合性审查投标人的报价，有可能影响服务质量或者不能诚信履约的，应当要求其在评标现场合理的时间内提供书面说明，必要时提交相关证明材料；投标人不能证明其报价合理性的，</w:t>
            </w:r>
            <w:r>
              <w:rPr>
                <w:rFonts w:hint="eastAsia" w:ascii="宋体" w:hAnsi="宋体" w:cs="宋体"/>
                <w:sz w:val="24"/>
                <w:lang w:val="en-US" w:eastAsia="zh-CN"/>
              </w:rPr>
              <w:t>评标委员会组</w:t>
            </w:r>
            <w:r>
              <w:rPr>
                <w:rFonts w:hint="eastAsia" w:ascii="宋体" w:hAnsi="宋体" w:cs="宋体"/>
                <w:sz w:val="24"/>
              </w:rPr>
              <w:t>应当将其作为无效投标处理。</w:t>
            </w:r>
          </w:p>
        </w:tc>
      </w:tr>
      <w:tr w14:paraId="3B76A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255" w:type="dxa"/>
            <w:gridSpan w:val="5"/>
            <w:tcBorders>
              <w:top w:val="single" w:color="000000" w:sz="6" w:space="0"/>
              <w:bottom w:val="single" w:color="000000" w:sz="6" w:space="0"/>
            </w:tcBorders>
            <w:vAlign w:val="center"/>
          </w:tcPr>
          <w:p w14:paraId="344F4A73">
            <w:pPr>
              <w:pStyle w:val="75"/>
              <w:adjustRightInd w:val="0"/>
              <w:snapToGrid w:val="0"/>
              <w:spacing w:line="240" w:lineRule="auto"/>
              <w:ind w:left="108"/>
              <w:jc w:val="both"/>
              <w:rPr>
                <w:sz w:val="24"/>
                <w:szCs w:val="24"/>
              </w:rPr>
            </w:pPr>
            <w:r>
              <w:rPr>
                <w:sz w:val="24"/>
                <w:szCs w:val="24"/>
              </w:rPr>
              <w:t>二、技术部分</w:t>
            </w:r>
            <w:r>
              <w:rPr>
                <w:rFonts w:hint="eastAsia"/>
                <w:sz w:val="24"/>
                <w:szCs w:val="24"/>
                <w:lang w:val="en-US" w:eastAsia="zh-CN"/>
              </w:rPr>
              <w:t>42</w:t>
            </w:r>
            <w:r>
              <w:rPr>
                <w:sz w:val="24"/>
                <w:szCs w:val="24"/>
              </w:rPr>
              <w:t>分</w:t>
            </w:r>
          </w:p>
        </w:tc>
      </w:tr>
      <w:tr w14:paraId="7B5DC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trPr>
        <w:tc>
          <w:tcPr>
            <w:tcW w:w="705" w:type="dxa"/>
            <w:vMerge w:val="restart"/>
            <w:tcBorders>
              <w:top w:val="nil"/>
              <w:right w:val="single" w:color="000000" w:sz="6" w:space="0"/>
            </w:tcBorders>
          </w:tcPr>
          <w:p w14:paraId="2A1C0607">
            <w:pPr>
              <w:adjustRightInd w:val="0"/>
              <w:snapToGrid w:val="0"/>
              <w:spacing w:line="360" w:lineRule="auto"/>
              <w:rPr>
                <w:rFonts w:hint="eastAsia"/>
                <w:sz w:val="24"/>
              </w:rPr>
            </w:pPr>
          </w:p>
          <w:p w14:paraId="66063509">
            <w:pPr>
              <w:adjustRightInd w:val="0"/>
              <w:snapToGrid w:val="0"/>
              <w:spacing w:line="360" w:lineRule="auto"/>
              <w:rPr>
                <w:rFonts w:hint="eastAsia"/>
                <w:sz w:val="24"/>
              </w:rPr>
            </w:pPr>
          </w:p>
          <w:p w14:paraId="558A3B96">
            <w:pPr>
              <w:adjustRightInd w:val="0"/>
              <w:snapToGrid w:val="0"/>
              <w:spacing w:line="360" w:lineRule="auto"/>
              <w:rPr>
                <w:rFonts w:hint="eastAsia"/>
                <w:sz w:val="24"/>
              </w:rPr>
            </w:pPr>
          </w:p>
          <w:p w14:paraId="2B3A78B8">
            <w:pPr>
              <w:adjustRightInd w:val="0"/>
              <w:snapToGrid w:val="0"/>
              <w:spacing w:line="360" w:lineRule="auto"/>
              <w:rPr>
                <w:rFonts w:hint="eastAsia"/>
                <w:sz w:val="24"/>
              </w:rPr>
            </w:pPr>
          </w:p>
          <w:p w14:paraId="598949D2">
            <w:pPr>
              <w:adjustRightInd w:val="0"/>
              <w:snapToGrid w:val="0"/>
              <w:spacing w:line="360" w:lineRule="auto"/>
              <w:rPr>
                <w:rFonts w:hint="eastAsia"/>
                <w:sz w:val="24"/>
              </w:rPr>
            </w:pPr>
          </w:p>
          <w:p w14:paraId="156DC3F8">
            <w:pPr>
              <w:adjustRightInd w:val="0"/>
              <w:snapToGrid w:val="0"/>
              <w:spacing w:line="360" w:lineRule="auto"/>
              <w:rPr>
                <w:rFonts w:hint="eastAsia"/>
                <w:sz w:val="24"/>
              </w:rPr>
            </w:pPr>
          </w:p>
          <w:p w14:paraId="6BD63AD7">
            <w:pPr>
              <w:adjustRightInd w:val="0"/>
              <w:snapToGrid w:val="0"/>
              <w:spacing w:line="360" w:lineRule="auto"/>
              <w:rPr>
                <w:rFonts w:hint="eastAsia"/>
                <w:sz w:val="24"/>
              </w:rPr>
            </w:pPr>
          </w:p>
          <w:p w14:paraId="7F5914C5">
            <w:pPr>
              <w:adjustRightInd w:val="0"/>
              <w:snapToGrid w:val="0"/>
              <w:spacing w:line="360" w:lineRule="auto"/>
              <w:rPr>
                <w:rFonts w:hint="eastAsia"/>
                <w:sz w:val="24"/>
              </w:rPr>
            </w:pPr>
          </w:p>
          <w:p w14:paraId="56FB79C7">
            <w:pPr>
              <w:adjustRightInd w:val="0"/>
              <w:snapToGrid w:val="0"/>
              <w:spacing w:line="360" w:lineRule="auto"/>
              <w:rPr>
                <w:rFonts w:hint="eastAsia"/>
                <w:sz w:val="24"/>
              </w:rPr>
            </w:pPr>
          </w:p>
          <w:p w14:paraId="6DBDB636">
            <w:pPr>
              <w:adjustRightInd w:val="0"/>
              <w:snapToGrid w:val="0"/>
              <w:spacing w:line="360" w:lineRule="auto"/>
              <w:jc w:val="center"/>
              <w:rPr>
                <w:rFonts w:hint="eastAsia"/>
                <w:sz w:val="24"/>
              </w:rPr>
            </w:pPr>
            <w:r>
              <w:rPr>
                <w:rFonts w:hint="eastAsia"/>
                <w:sz w:val="24"/>
              </w:rPr>
              <w:t>二</w:t>
            </w:r>
          </w:p>
        </w:tc>
        <w:tc>
          <w:tcPr>
            <w:tcW w:w="1473" w:type="dxa"/>
            <w:tcBorders>
              <w:top w:val="single" w:color="000000" w:sz="6" w:space="0"/>
              <w:left w:val="single" w:color="000000" w:sz="6" w:space="0"/>
              <w:bottom w:val="single" w:color="000000" w:sz="6" w:space="0"/>
              <w:right w:val="single" w:color="000000" w:sz="6" w:space="0"/>
            </w:tcBorders>
            <w:vAlign w:val="center"/>
          </w:tcPr>
          <w:p w14:paraId="58446E5D">
            <w:pPr>
              <w:adjustRightInd w:val="0"/>
              <w:snapToGrid w:val="0"/>
              <w:spacing w:line="360" w:lineRule="auto"/>
              <w:jc w:val="center"/>
              <w:rPr>
                <w:rFonts w:hint="eastAsia" w:ascii="宋体" w:hAnsi="宋体" w:cs="宋体"/>
                <w:sz w:val="24"/>
              </w:rPr>
            </w:pPr>
            <w:r>
              <w:rPr>
                <w:rFonts w:hint="eastAsia" w:ascii="宋体" w:hAnsi="宋体" w:cs="宋体"/>
                <w:sz w:val="24"/>
              </w:rPr>
              <w:t>项目物业管理服务的组织机构及方案</w:t>
            </w:r>
          </w:p>
        </w:tc>
        <w:tc>
          <w:tcPr>
            <w:tcW w:w="795" w:type="dxa"/>
            <w:gridSpan w:val="2"/>
            <w:tcBorders>
              <w:top w:val="single" w:color="000000" w:sz="6" w:space="0"/>
              <w:left w:val="single" w:color="000000" w:sz="6" w:space="0"/>
              <w:bottom w:val="single" w:color="000000" w:sz="6" w:space="0"/>
              <w:right w:val="single" w:color="000000" w:sz="6" w:space="0"/>
            </w:tcBorders>
            <w:vAlign w:val="center"/>
          </w:tcPr>
          <w:p w14:paraId="68ACE1D9">
            <w:pPr>
              <w:adjustRightInd w:val="0"/>
              <w:snapToGrid w:val="0"/>
              <w:spacing w:line="360" w:lineRule="auto"/>
              <w:jc w:val="center"/>
              <w:rPr>
                <w:rFonts w:ascii="宋体" w:hAnsi="宋体" w:cs="宋体"/>
                <w:sz w:val="24"/>
              </w:rPr>
            </w:pPr>
            <w:r>
              <w:rPr>
                <w:rFonts w:hint="eastAsia" w:ascii="宋体" w:hAnsi="宋体" w:cs="宋体"/>
                <w:sz w:val="24"/>
              </w:rPr>
              <w:t>6分</w:t>
            </w:r>
          </w:p>
        </w:tc>
        <w:tc>
          <w:tcPr>
            <w:tcW w:w="6282" w:type="dxa"/>
            <w:tcBorders>
              <w:top w:val="single" w:color="000000" w:sz="6" w:space="0"/>
              <w:left w:val="single" w:color="000000" w:sz="6" w:space="0"/>
              <w:bottom w:val="single" w:color="000000" w:sz="6" w:space="0"/>
            </w:tcBorders>
          </w:tcPr>
          <w:p w14:paraId="11026CEA">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内容详实，方案科学、合理、安全，考虑周全，措施到位，针对性强，完全能够满足招标的需要者得</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w:t>
            </w:r>
          </w:p>
          <w:p w14:paraId="04C59490">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内容完整，方案基本科学、合理、安全，基本考虑周全措施基本到位，针对性较强，可以满足招标的需要，但有个别细节需要进一步完善或提高者得</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p w14:paraId="0374D224">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内容</w:t>
            </w:r>
            <w:r>
              <w:rPr>
                <w:rFonts w:hint="eastAsia" w:ascii="宋体" w:hAnsi="宋体" w:eastAsia="宋体" w:cs="宋体"/>
                <w:color w:val="000000"/>
                <w:sz w:val="24"/>
                <w:szCs w:val="24"/>
                <w:lang w:val="en-US" w:eastAsia="zh-CN"/>
              </w:rPr>
              <w:t>不</w:t>
            </w:r>
            <w:r>
              <w:rPr>
                <w:rFonts w:hint="eastAsia" w:ascii="宋体" w:hAnsi="宋体" w:eastAsia="宋体" w:cs="宋体"/>
                <w:color w:val="000000"/>
                <w:sz w:val="24"/>
                <w:szCs w:val="24"/>
              </w:rPr>
              <w:t>完整，方案在科学、合理、安全性方面一般，基本考虑不周，措施不够到位，针对性不强，虽然能够基本满足招标的需要，但有很多方面需要进一步完善甚至重新考虑者得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分</w:t>
            </w:r>
            <w:r>
              <w:rPr>
                <w:rFonts w:hint="eastAsia" w:ascii="宋体" w:hAnsi="宋体" w:eastAsia="宋体" w:cs="宋体"/>
                <w:color w:val="000000"/>
                <w:sz w:val="24"/>
                <w:szCs w:val="24"/>
                <w:lang w:eastAsia="zh-CN"/>
              </w:rPr>
              <w:t>；</w:t>
            </w:r>
          </w:p>
          <w:p w14:paraId="7FEF5B55">
            <w:pPr>
              <w:adjustRightInd w:val="0"/>
              <w:snapToGrid w:val="0"/>
              <w:spacing w:line="360" w:lineRule="auto"/>
              <w:rPr>
                <w:rFonts w:hint="eastAsia" w:ascii="宋体" w:hAnsi="宋体" w:cs="宋体"/>
                <w:sz w:val="24"/>
              </w:rPr>
            </w:pPr>
            <w:r>
              <w:rPr>
                <w:rFonts w:hint="eastAsia" w:ascii="宋体" w:hAnsi="宋体" w:cs="宋体"/>
                <w:sz w:val="24"/>
              </w:rPr>
              <w:t xml:space="preserve">如有缺项则该项得 0 分。 </w:t>
            </w:r>
          </w:p>
        </w:tc>
      </w:tr>
      <w:tr w14:paraId="477CD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705" w:type="dxa"/>
            <w:vMerge w:val="continue"/>
            <w:tcBorders>
              <w:right w:val="single" w:color="000000" w:sz="6" w:space="0"/>
            </w:tcBorders>
          </w:tcPr>
          <w:p w14:paraId="7FF863C1">
            <w:pPr>
              <w:adjustRightInd w:val="0"/>
              <w:snapToGrid w:val="0"/>
              <w:spacing w:line="360" w:lineRule="auto"/>
              <w:rPr>
                <w:sz w:val="24"/>
              </w:rPr>
            </w:pPr>
          </w:p>
        </w:tc>
        <w:tc>
          <w:tcPr>
            <w:tcW w:w="1473" w:type="dxa"/>
            <w:tcBorders>
              <w:top w:val="single" w:color="000000" w:sz="6" w:space="0"/>
              <w:left w:val="single" w:color="000000" w:sz="6" w:space="0"/>
              <w:bottom w:val="single" w:color="000000" w:sz="6" w:space="0"/>
              <w:right w:val="single" w:color="000000" w:sz="6" w:space="0"/>
            </w:tcBorders>
            <w:vAlign w:val="center"/>
          </w:tcPr>
          <w:p w14:paraId="52238667">
            <w:pPr>
              <w:adjustRightInd w:val="0"/>
              <w:snapToGrid w:val="0"/>
              <w:spacing w:line="360" w:lineRule="auto"/>
              <w:jc w:val="center"/>
              <w:rPr>
                <w:rFonts w:hint="eastAsia" w:ascii="宋体" w:hAnsi="宋体" w:cs="宋体"/>
                <w:sz w:val="24"/>
              </w:rPr>
            </w:pPr>
            <w:r>
              <w:rPr>
                <w:rFonts w:hint="eastAsia" w:ascii="宋体" w:hAnsi="宋体" w:cs="宋体"/>
                <w:sz w:val="24"/>
              </w:rPr>
              <w:t>人员配备合理、定期培训计划情况</w:t>
            </w:r>
          </w:p>
        </w:tc>
        <w:tc>
          <w:tcPr>
            <w:tcW w:w="795" w:type="dxa"/>
            <w:gridSpan w:val="2"/>
            <w:tcBorders>
              <w:top w:val="single" w:color="000000" w:sz="6" w:space="0"/>
              <w:left w:val="single" w:color="000000" w:sz="6" w:space="0"/>
              <w:bottom w:val="single" w:color="000000" w:sz="6" w:space="0"/>
              <w:right w:val="single" w:color="000000" w:sz="6" w:space="0"/>
            </w:tcBorders>
            <w:vAlign w:val="center"/>
          </w:tcPr>
          <w:p w14:paraId="1761AA31">
            <w:pPr>
              <w:adjustRightInd w:val="0"/>
              <w:snapToGrid w:val="0"/>
              <w:spacing w:line="360" w:lineRule="auto"/>
              <w:jc w:val="center"/>
              <w:rPr>
                <w:rFonts w:ascii="宋体" w:hAnsi="宋体" w:cs="宋体"/>
                <w:sz w:val="24"/>
              </w:rPr>
            </w:pPr>
            <w:r>
              <w:rPr>
                <w:rFonts w:hint="eastAsia" w:ascii="宋体" w:hAnsi="宋体" w:cs="宋体"/>
                <w:sz w:val="24"/>
              </w:rPr>
              <w:t>6分</w:t>
            </w:r>
          </w:p>
        </w:tc>
        <w:tc>
          <w:tcPr>
            <w:tcW w:w="6282" w:type="dxa"/>
            <w:tcBorders>
              <w:top w:val="single" w:color="000000" w:sz="6" w:space="0"/>
              <w:left w:val="single" w:color="000000" w:sz="6" w:space="0"/>
              <w:bottom w:val="single" w:color="000000" w:sz="6" w:space="0"/>
            </w:tcBorders>
          </w:tcPr>
          <w:p w14:paraId="4F9B3A95">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内容详实，方案科学、合理、安全，考虑周全，措施到位，针对性强，完全能够满足招标的需要者得</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w:t>
            </w:r>
          </w:p>
          <w:p w14:paraId="21E93D63">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内容完整，方案基本科学、合理、安全，基本考虑周全措施基本到位，针对性较强，可以满足招标的需要，但有个别细节需要进一步完善或提高者得</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p w14:paraId="025AFB40">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内容</w:t>
            </w:r>
            <w:r>
              <w:rPr>
                <w:rFonts w:hint="eastAsia" w:ascii="宋体" w:hAnsi="宋体" w:eastAsia="宋体" w:cs="宋体"/>
                <w:color w:val="000000"/>
                <w:sz w:val="24"/>
                <w:szCs w:val="24"/>
                <w:lang w:val="en-US" w:eastAsia="zh-CN"/>
              </w:rPr>
              <w:t>不</w:t>
            </w:r>
            <w:r>
              <w:rPr>
                <w:rFonts w:hint="eastAsia" w:ascii="宋体" w:hAnsi="宋体" w:eastAsia="宋体" w:cs="宋体"/>
                <w:color w:val="000000"/>
                <w:sz w:val="24"/>
                <w:szCs w:val="24"/>
              </w:rPr>
              <w:t>完整，方案在科学、合理、安全性方面一般，基本考虑不周，措施不够到位，针对性不强，虽然能够基本满足招标的需要，但有很多方面需要进一步完善甚至重新考虑者得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分</w:t>
            </w:r>
            <w:r>
              <w:rPr>
                <w:rFonts w:hint="eastAsia" w:ascii="宋体" w:hAnsi="宋体" w:eastAsia="宋体" w:cs="宋体"/>
                <w:color w:val="000000"/>
                <w:sz w:val="24"/>
                <w:szCs w:val="24"/>
                <w:lang w:eastAsia="zh-CN"/>
              </w:rPr>
              <w:t>；</w:t>
            </w:r>
          </w:p>
          <w:p w14:paraId="31E54287">
            <w:pPr>
              <w:adjustRightInd w:val="0"/>
              <w:snapToGrid w:val="0"/>
              <w:spacing w:line="360" w:lineRule="auto"/>
              <w:rPr>
                <w:rFonts w:hint="eastAsia" w:ascii="宋体" w:hAnsi="宋体" w:cs="宋体"/>
                <w:sz w:val="24"/>
              </w:rPr>
            </w:pPr>
            <w:r>
              <w:rPr>
                <w:rFonts w:hint="eastAsia" w:ascii="宋体" w:hAnsi="宋体" w:cs="宋体"/>
                <w:sz w:val="24"/>
              </w:rPr>
              <w:t xml:space="preserve">如有缺项则该项得 0 分。 </w:t>
            </w:r>
          </w:p>
        </w:tc>
      </w:tr>
      <w:tr w14:paraId="3AFBE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705" w:type="dxa"/>
            <w:vMerge w:val="continue"/>
            <w:tcBorders>
              <w:right w:val="single" w:color="000000" w:sz="6" w:space="0"/>
            </w:tcBorders>
          </w:tcPr>
          <w:p w14:paraId="7CD7B6E1">
            <w:pPr>
              <w:adjustRightInd w:val="0"/>
              <w:snapToGrid w:val="0"/>
              <w:spacing w:line="360" w:lineRule="auto"/>
              <w:rPr>
                <w:sz w:val="24"/>
              </w:rPr>
            </w:pPr>
          </w:p>
        </w:tc>
        <w:tc>
          <w:tcPr>
            <w:tcW w:w="1473" w:type="dxa"/>
            <w:tcBorders>
              <w:top w:val="single" w:color="000000" w:sz="6" w:space="0"/>
              <w:left w:val="single" w:color="000000" w:sz="6" w:space="0"/>
              <w:bottom w:val="single" w:color="000000" w:sz="6" w:space="0"/>
              <w:right w:val="single" w:color="000000" w:sz="6" w:space="0"/>
            </w:tcBorders>
            <w:vAlign w:val="center"/>
          </w:tcPr>
          <w:p w14:paraId="1679C80F">
            <w:pPr>
              <w:adjustRightInd w:val="0"/>
              <w:snapToGrid w:val="0"/>
              <w:spacing w:line="360" w:lineRule="auto"/>
              <w:jc w:val="center"/>
              <w:rPr>
                <w:rFonts w:ascii="宋体" w:hAnsi="宋体" w:cs="宋体"/>
                <w:sz w:val="24"/>
              </w:rPr>
            </w:pPr>
            <w:r>
              <w:rPr>
                <w:rFonts w:hint="eastAsia" w:ascii="宋体" w:hAnsi="宋体" w:cs="宋体"/>
                <w:sz w:val="24"/>
              </w:rPr>
              <w:t>应急预案保障措施</w:t>
            </w:r>
          </w:p>
        </w:tc>
        <w:tc>
          <w:tcPr>
            <w:tcW w:w="795" w:type="dxa"/>
            <w:gridSpan w:val="2"/>
            <w:tcBorders>
              <w:top w:val="single" w:color="000000" w:sz="6" w:space="0"/>
              <w:left w:val="single" w:color="000000" w:sz="6" w:space="0"/>
              <w:bottom w:val="single" w:color="000000" w:sz="6" w:space="0"/>
              <w:right w:val="single" w:color="000000" w:sz="6" w:space="0"/>
            </w:tcBorders>
            <w:vAlign w:val="center"/>
          </w:tcPr>
          <w:p w14:paraId="5603BA82">
            <w:pPr>
              <w:adjustRightInd w:val="0"/>
              <w:snapToGrid w:val="0"/>
              <w:spacing w:line="360" w:lineRule="auto"/>
              <w:jc w:val="center"/>
              <w:rPr>
                <w:rFonts w:hint="eastAsia" w:ascii="宋体" w:hAnsi="宋体" w:cs="宋体"/>
                <w:sz w:val="24"/>
              </w:rPr>
            </w:pPr>
            <w:r>
              <w:rPr>
                <w:rFonts w:hint="eastAsia" w:ascii="宋体" w:hAnsi="宋体" w:cs="宋体"/>
                <w:sz w:val="24"/>
              </w:rPr>
              <w:t>6分</w:t>
            </w:r>
          </w:p>
        </w:tc>
        <w:tc>
          <w:tcPr>
            <w:tcW w:w="6282" w:type="dxa"/>
            <w:tcBorders>
              <w:top w:val="single" w:color="000000" w:sz="6" w:space="0"/>
              <w:left w:val="single" w:color="000000" w:sz="6" w:space="0"/>
              <w:bottom w:val="single" w:color="000000" w:sz="6" w:space="0"/>
            </w:tcBorders>
          </w:tcPr>
          <w:p w14:paraId="4BF80E3F">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内容详实，方案科学、合理、安全，考虑周全，措施到位，针对性强，完全能够满足招标的需要者得</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w:t>
            </w:r>
          </w:p>
          <w:p w14:paraId="255D571E">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内容完整，方案基本科学、合理、安全，基本考虑周全措施基本到位，针对性较强，可以满足招标的需要，但有个别细节需要进一步完善或提高者得</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p w14:paraId="6834985C">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内容</w:t>
            </w:r>
            <w:r>
              <w:rPr>
                <w:rFonts w:hint="eastAsia" w:ascii="宋体" w:hAnsi="宋体" w:eastAsia="宋体" w:cs="宋体"/>
                <w:color w:val="000000"/>
                <w:sz w:val="24"/>
                <w:szCs w:val="24"/>
                <w:lang w:val="en-US" w:eastAsia="zh-CN"/>
              </w:rPr>
              <w:t>不</w:t>
            </w:r>
            <w:r>
              <w:rPr>
                <w:rFonts w:hint="eastAsia" w:ascii="宋体" w:hAnsi="宋体" w:eastAsia="宋体" w:cs="宋体"/>
                <w:color w:val="000000"/>
                <w:sz w:val="24"/>
                <w:szCs w:val="24"/>
              </w:rPr>
              <w:t>完整，方案在科学、合理、安全性方面一般，基本考虑不周，措施不够到位，针对性不强，虽然能够基本满足招标的需要，但有很多方面需要进一步完善甚至重新考虑者得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分</w:t>
            </w:r>
            <w:r>
              <w:rPr>
                <w:rFonts w:hint="eastAsia" w:ascii="宋体" w:hAnsi="宋体" w:eastAsia="宋体" w:cs="宋体"/>
                <w:color w:val="000000"/>
                <w:sz w:val="24"/>
                <w:szCs w:val="24"/>
                <w:lang w:eastAsia="zh-CN"/>
              </w:rPr>
              <w:t>；</w:t>
            </w:r>
          </w:p>
          <w:p w14:paraId="6194CC5F">
            <w:pPr>
              <w:adjustRightInd w:val="0"/>
              <w:snapToGrid w:val="0"/>
              <w:spacing w:line="360" w:lineRule="auto"/>
              <w:rPr>
                <w:rFonts w:hint="eastAsia" w:ascii="宋体" w:hAnsi="宋体" w:cs="宋体"/>
                <w:sz w:val="24"/>
              </w:rPr>
            </w:pPr>
            <w:r>
              <w:rPr>
                <w:rFonts w:hint="eastAsia" w:ascii="宋体" w:hAnsi="宋体" w:cs="宋体"/>
                <w:sz w:val="24"/>
              </w:rPr>
              <w:t xml:space="preserve">如有缺项则该项得 0 分。 </w:t>
            </w:r>
          </w:p>
        </w:tc>
      </w:tr>
      <w:tr w14:paraId="4D4D4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4" w:hRule="atLeast"/>
        </w:trPr>
        <w:tc>
          <w:tcPr>
            <w:tcW w:w="705" w:type="dxa"/>
            <w:vMerge w:val="continue"/>
            <w:tcBorders>
              <w:right w:val="single" w:color="000000" w:sz="6" w:space="0"/>
            </w:tcBorders>
          </w:tcPr>
          <w:p w14:paraId="541B2FE6">
            <w:pPr>
              <w:adjustRightInd w:val="0"/>
              <w:snapToGrid w:val="0"/>
              <w:spacing w:line="360" w:lineRule="auto"/>
              <w:rPr>
                <w:sz w:val="24"/>
              </w:rPr>
            </w:pPr>
          </w:p>
        </w:tc>
        <w:tc>
          <w:tcPr>
            <w:tcW w:w="1473" w:type="dxa"/>
            <w:tcBorders>
              <w:top w:val="single" w:color="000000" w:sz="6" w:space="0"/>
              <w:left w:val="single" w:color="000000" w:sz="6" w:space="0"/>
              <w:bottom w:val="single" w:color="000000" w:sz="6" w:space="0"/>
              <w:right w:val="single" w:color="000000" w:sz="6" w:space="0"/>
            </w:tcBorders>
            <w:vAlign w:val="center"/>
          </w:tcPr>
          <w:p w14:paraId="1B6E50D9">
            <w:pPr>
              <w:adjustRightInd w:val="0"/>
              <w:snapToGrid w:val="0"/>
              <w:spacing w:line="360" w:lineRule="auto"/>
              <w:jc w:val="center"/>
              <w:rPr>
                <w:rFonts w:hint="eastAsia" w:ascii="宋体" w:hAnsi="宋体" w:cs="宋体"/>
                <w:sz w:val="24"/>
              </w:rPr>
            </w:pPr>
            <w:r>
              <w:rPr>
                <w:rFonts w:hint="eastAsia" w:ascii="宋体" w:hAnsi="宋体" w:cs="宋体"/>
                <w:sz w:val="24"/>
              </w:rPr>
              <w:t>公共设施设备维修保养计划</w:t>
            </w:r>
          </w:p>
        </w:tc>
        <w:tc>
          <w:tcPr>
            <w:tcW w:w="795" w:type="dxa"/>
            <w:gridSpan w:val="2"/>
            <w:tcBorders>
              <w:top w:val="single" w:color="000000" w:sz="6" w:space="0"/>
              <w:left w:val="single" w:color="000000" w:sz="6" w:space="0"/>
              <w:bottom w:val="single" w:color="000000" w:sz="6" w:space="0"/>
              <w:right w:val="single" w:color="000000" w:sz="6" w:space="0"/>
            </w:tcBorders>
            <w:vAlign w:val="center"/>
          </w:tcPr>
          <w:p w14:paraId="1C23F546">
            <w:pPr>
              <w:adjustRightInd w:val="0"/>
              <w:snapToGrid w:val="0"/>
              <w:spacing w:line="360" w:lineRule="auto"/>
              <w:jc w:val="center"/>
              <w:rPr>
                <w:rFonts w:hint="eastAsia" w:ascii="宋体" w:hAnsi="宋体" w:cs="宋体"/>
                <w:sz w:val="24"/>
              </w:rPr>
            </w:pPr>
            <w:r>
              <w:rPr>
                <w:rFonts w:hint="eastAsia" w:ascii="宋体" w:hAnsi="宋体" w:cs="宋体"/>
                <w:sz w:val="24"/>
              </w:rPr>
              <w:t>6分</w:t>
            </w:r>
          </w:p>
        </w:tc>
        <w:tc>
          <w:tcPr>
            <w:tcW w:w="6282" w:type="dxa"/>
            <w:tcBorders>
              <w:top w:val="single" w:color="000000" w:sz="6" w:space="0"/>
              <w:left w:val="single" w:color="000000" w:sz="6" w:space="0"/>
              <w:bottom w:val="single" w:color="000000" w:sz="6" w:space="0"/>
            </w:tcBorders>
          </w:tcPr>
          <w:p w14:paraId="3FBBC206">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内容详实，方案科学、合理、安全，考虑周全，措施到位，针对性强，完全能够满足招标的需要者得</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w:t>
            </w:r>
          </w:p>
          <w:p w14:paraId="16E06D03">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内容完整，方案基本科学、合理、安全，基本考虑周全措施基本到位，针对性较强，可以满足招标的需要，但有个别细节需要进一步完善或提高者得</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p w14:paraId="59269E22">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内容</w:t>
            </w:r>
            <w:r>
              <w:rPr>
                <w:rFonts w:hint="eastAsia" w:ascii="宋体" w:hAnsi="宋体" w:eastAsia="宋体" w:cs="宋体"/>
                <w:color w:val="000000"/>
                <w:sz w:val="24"/>
                <w:szCs w:val="24"/>
                <w:lang w:val="en-US" w:eastAsia="zh-CN"/>
              </w:rPr>
              <w:t>不</w:t>
            </w:r>
            <w:r>
              <w:rPr>
                <w:rFonts w:hint="eastAsia" w:ascii="宋体" w:hAnsi="宋体" w:eastAsia="宋体" w:cs="宋体"/>
                <w:color w:val="000000"/>
                <w:sz w:val="24"/>
                <w:szCs w:val="24"/>
              </w:rPr>
              <w:t>完整，方案在科学、合理、安全性方面一般，基本考虑不周，措施不够到位，针对性不强，虽然能够基本满足招标的需要，但有很多方面需要进一步完善甚至重新考虑者得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分</w:t>
            </w:r>
            <w:r>
              <w:rPr>
                <w:rFonts w:hint="eastAsia" w:ascii="宋体" w:hAnsi="宋体" w:eastAsia="宋体" w:cs="宋体"/>
                <w:color w:val="000000"/>
                <w:sz w:val="24"/>
                <w:szCs w:val="24"/>
                <w:lang w:eastAsia="zh-CN"/>
              </w:rPr>
              <w:t>；</w:t>
            </w:r>
          </w:p>
          <w:p w14:paraId="78D8D53A">
            <w:pPr>
              <w:adjustRightInd w:val="0"/>
              <w:snapToGrid w:val="0"/>
              <w:spacing w:line="360" w:lineRule="auto"/>
              <w:rPr>
                <w:rFonts w:hint="eastAsia" w:ascii="宋体" w:hAnsi="宋体" w:cs="宋体"/>
                <w:sz w:val="24"/>
              </w:rPr>
            </w:pPr>
            <w:r>
              <w:rPr>
                <w:rFonts w:hint="eastAsia" w:ascii="宋体" w:hAnsi="宋体" w:cs="宋体"/>
                <w:sz w:val="24"/>
              </w:rPr>
              <w:t xml:space="preserve">如有缺项则该项得 0 分。 </w:t>
            </w:r>
          </w:p>
        </w:tc>
      </w:tr>
      <w:tr w14:paraId="163FE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705" w:type="dxa"/>
            <w:vMerge w:val="continue"/>
            <w:tcBorders>
              <w:right w:val="single" w:color="000000" w:sz="6" w:space="0"/>
            </w:tcBorders>
          </w:tcPr>
          <w:p w14:paraId="5D399FFF">
            <w:pPr>
              <w:adjustRightInd w:val="0"/>
              <w:snapToGrid w:val="0"/>
              <w:spacing w:line="360" w:lineRule="auto"/>
              <w:rPr>
                <w:sz w:val="24"/>
              </w:rPr>
            </w:pPr>
          </w:p>
        </w:tc>
        <w:tc>
          <w:tcPr>
            <w:tcW w:w="1473" w:type="dxa"/>
            <w:tcBorders>
              <w:top w:val="single" w:color="000000" w:sz="6" w:space="0"/>
              <w:left w:val="single" w:color="000000" w:sz="6" w:space="0"/>
              <w:right w:val="single" w:color="000000" w:sz="6" w:space="0"/>
            </w:tcBorders>
            <w:vAlign w:val="center"/>
          </w:tcPr>
          <w:p w14:paraId="76913088">
            <w:pPr>
              <w:adjustRightInd w:val="0"/>
              <w:snapToGrid w:val="0"/>
              <w:spacing w:line="360" w:lineRule="auto"/>
              <w:jc w:val="center"/>
              <w:rPr>
                <w:rFonts w:hint="eastAsia" w:ascii="宋体" w:hAnsi="宋体" w:cs="宋体"/>
                <w:sz w:val="24"/>
              </w:rPr>
            </w:pPr>
            <w:r>
              <w:rPr>
                <w:rFonts w:hint="eastAsia" w:ascii="宋体" w:hAnsi="宋体" w:cs="宋体"/>
                <w:sz w:val="24"/>
              </w:rPr>
              <w:t>餐饮服务组织实施方案</w:t>
            </w:r>
          </w:p>
          <w:p w14:paraId="533A396D">
            <w:pPr>
              <w:adjustRightInd w:val="0"/>
              <w:snapToGrid w:val="0"/>
              <w:spacing w:line="360" w:lineRule="auto"/>
              <w:ind w:firstLine="480" w:firstLineChars="200"/>
              <w:jc w:val="center"/>
              <w:rPr>
                <w:rFonts w:hint="eastAsia" w:ascii="宋体" w:hAnsi="宋体" w:cs="宋体"/>
                <w:sz w:val="24"/>
              </w:rPr>
            </w:pPr>
          </w:p>
        </w:tc>
        <w:tc>
          <w:tcPr>
            <w:tcW w:w="795" w:type="dxa"/>
            <w:gridSpan w:val="2"/>
            <w:tcBorders>
              <w:top w:val="single" w:color="000000" w:sz="6" w:space="0"/>
              <w:left w:val="single" w:color="000000" w:sz="6" w:space="0"/>
              <w:right w:val="single" w:color="000000" w:sz="6" w:space="0"/>
            </w:tcBorders>
            <w:vAlign w:val="center"/>
          </w:tcPr>
          <w:p w14:paraId="6F21B8FA">
            <w:pPr>
              <w:adjustRightInd w:val="0"/>
              <w:snapToGrid w:val="0"/>
              <w:spacing w:line="360" w:lineRule="auto"/>
              <w:jc w:val="center"/>
              <w:rPr>
                <w:rFonts w:hint="eastAsia" w:ascii="宋体" w:hAnsi="宋体" w:cs="宋体"/>
                <w:sz w:val="24"/>
              </w:rPr>
            </w:pPr>
            <w:r>
              <w:rPr>
                <w:rFonts w:hint="eastAsia" w:ascii="宋体" w:hAnsi="宋体" w:cs="宋体"/>
                <w:sz w:val="24"/>
              </w:rPr>
              <w:t>6分</w:t>
            </w:r>
          </w:p>
        </w:tc>
        <w:tc>
          <w:tcPr>
            <w:tcW w:w="6282" w:type="dxa"/>
            <w:tcBorders>
              <w:top w:val="single" w:color="000000" w:sz="6" w:space="0"/>
              <w:left w:val="single" w:color="000000" w:sz="6" w:space="0"/>
            </w:tcBorders>
          </w:tcPr>
          <w:p w14:paraId="5A62047D">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内容详实，方案科学、合理、安全，考虑周全，措施到位，针对性强，完全能够满足招标的需要者得</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w:t>
            </w:r>
          </w:p>
          <w:p w14:paraId="04ED43BA">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内容完整，方案基本科学、合理、安全，基本考虑周全措施基本到位，针对性较强，可以满足招标的需要，但有个别细节需要进一步完善或提高者得</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p w14:paraId="7A7BF6D8">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内容</w:t>
            </w:r>
            <w:r>
              <w:rPr>
                <w:rFonts w:hint="eastAsia" w:ascii="宋体" w:hAnsi="宋体" w:eastAsia="宋体" w:cs="宋体"/>
                <w:color w:val="000000"/>
                <w:sz w:val="24"/>
                <w:szCs w:val="24"/>
                <w:lang w:val="en-US" w:eastAsia="zh-CN"/>
              </w:rPr>
              <w:t>不</w:t>
            </w:r>
            <w:r>
              <w:rPr>
                <w:rFonts w:hint="eastAsia" w:ascii="宋体" w:hAnsi="宋体" w:eastAsia="宋体" w:cs="宋体"/>
                <w:color w:val="000000"/>
                <w:sz w:val="24"/>
                <w:szCs w:val="24"/>
              </w:rPr>
              <w:t>完整，方案在科学、合理、安全性方面一般，基本考虑不周，措施不够到位，针对性不强，虽然能够基本满足招标的需要，但有很多方面需要进一步完善甚至重新考虑者得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分</w:t>
            </w:r>
            <w:r>
              <w:rPr>
                <w:rFonts w:hint="eastAsia" w:ascii="宋体" w:hAnsi="宋体" w:eastAsia="宋体" w:cs="宋体"/>
                <w:color w:val="000000"/>
                <w:sz w:val="24"/>
                <w:szCs w:val="24"/>
                <w:lang w:eastAsia="zh-CN"/>
              </w:rPr>
              <w:t>；</w:t>
            </w:r>
          </w:p>
          <w:p w14:paraId="4B18F9C0">
            <w:pPr>
              <w:adjustRightInd w:val="0"/>
              <w:snapToGrid w:val="0"/>
              <w:spacing w:line="360" w:lineRule="auto"/>
              <w:rPr>
                <w:rFonts w:ascii="宋体" w:hAnsi="宋体" w:cs="宋体"/>
                <w:sz w:val="24"/>
              </w:rPr>
            </w:pPr>
            <w:r>
              <w:rPr>
                <w:rFonts w:hint="eastAsia" w:ascii="宋体" w:hAnsi="宋体" w:cs="宋体"/>
                <w:sz w:val="24"/>
              </w:rPr>
              <w:t xml:space="preserve">如有缺项则该项得 0 分。 </w:t>
            </w:r>
          </w:p>
        </w:tc>
      </w:tr>
      <w:tr w14:paraId="23F0F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1" w:hRule="atLeast"/>
        </w:trPr>
        <w:tc>
          <w:tcPr>
            <w:tcW w:w="705" w:type="dxa"/>
            <w:vMerge w:val="continue"/>
            <w:tcBorders>
              <w:right w:val="single" w:color="000000" w:sz="6" w:space="0"/>
            </w:tcBorders>
          </w:tcPr>
          <w:p w14:paraId="507A837F">
            <w:pPr>
              <w:adjustRightInd w:val="0"/>
              <w:snapToGrid w:val="0"/>
              <w:spacing w:line="360" w:lineRule="auto"/>
              <w:rPr>
                <w:sz w:val="24"/>
              </w:rPr>
            </w:pPr>
          </w:p>
        </w:tc>
        <w:tc>
          <w:tcPr>
            <w:tcW w:w="1473" w:type="dxa"/>
            <w:tcBorders>
              <w:top w:val="single" w:color="000000" w:sz="6" w:space="0"/>
              <w:left w:val="single" w:color="000000" w:sz="6" w:space="0"/>
              <w:right w:val="single" w:color="000000" w:sz="6" w:space="0"/>
            </w:tcBorders>
            <w:vAlign w:val="center"/>
          </w:tcPr>
          <w:p w14:paraId="020AD7C8">
            <w:pPr>
              <w:adjustRightInd w:val="0"/>
              <w:snapToGrid w:val="0"/>
              <w:spacing w:line="360" w:lineRule="auto"/>
              <w:jc w:val="center"/>
              <w:rPr>
                <w:rFonts w:hint="eastAsia" w:ascii="宋体" w:hAnsi="宋体" w:cs="宋体"/>
                <w:sz w:val="24"/>
              </w:rPr>
            </w:pPr>
            <w:r>
              <w:rPr>
                <w:rFonts w:hint="eastAsia" w:ascii="宋体" w:hAnsi="宋体" w:cs="宋体"/>
                <w:sz w:val="24"/>
              </w:rPr>
              <w:t>能源管理运营与维护过程管理质量保障措施</w:t>
            </w:r>
          </w:p>
        </w:tc>
        <w:tc>
          <w:tcPr>
            <w:tcW w:w="795" w:type="dxa"/>
            <w:gridSpan w:val="2"/>
            <w:tcBorders>
              <w:top w:val="single" w:color="000000" w:sz="6" w:space="0"/>
              <w:left w:val="single" w:color="000000" w:sz="6" w:space="0"/>
              <w:right w:val="single" w:color="000000" w:sz="6" w:space="0"/>
            </w:tcBorders>
            <w:vAlign w:val="center"/>
          </w:tcPr>
          <w:p w14:paraId="0D0475E6">
            <w:pPr>
              <w:adjustRightInd w:val="0"/>
              <w:snapToGrid w:val="0"/>
              <w:spacing w:line="360" w:lineRule="auto"/>
              <w:jc w:val="center"/>
              <w:rPr>
                <w:rFonts w:hint="eastAsia" w:ascii="宋体" w:hAnsi="宋体" w:cs="宋体"/>
                <w:sz w:val="24"/>
              </w:rPr>
            </w:pPr>
            <w:r>
              <w:rPr>
                <w:rFonts w:hint="eastAsia" w:ascii="宋体" w:hAnsi="宋体" w:cs="宋体"/>
                <w:sz w:val="24"/>
              </w:rPr>
              <w:t>6分</w:t>
            </w:r>
          </w:p>
        </w:tc>
        <w:tc>
          <w:tcPr>
            <w:tcW w:w="6282" w:type="dxa"/>
            <w:tcBorders>
              <w:top w:val="single" w:color="000000" w:sz="6" w:space="0"/>
              <w:left w:val="single" w:color="000000" w:sz="6" w:space="0"/>
            </w:tcBorders>
          </w:tcPr>
          <w:p w14:paraId="750B9ED2">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内容详实，方案科学、合理、安全，考虑周全，措施到位，针对性强，完全能够满足招标的需要者得</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w:t>
            </w:r>
          </w:p>
          <w:p w14:paraId="4BE67470">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内容完整，方案基本科学、合理、安全，基本考虑周全措施基本到位，针对性较强，可以满足招标的需要，但有个别细节需要进一步完善或提高者得</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p w14:paraId="59051130">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内容</w:t>
            </w:r>
            <w:r>
              <w:rPr>
                <w:rFonts w:hint="eastAsia" w:ascii="宋体" w:hAnsi="宋体" w:eastAsia="宋体" w:cs="宋体"/>
                <w:color w:val="000000"/>
                <w:sz w:val="24"/>
                <w:szCs w:val="24"/>
                <w:lang w:val="en-US" w:eastAsia="zh-CN"/>
              </w:rPr>
              <w:t>不</w:t>
            </w:r>
            <w:r>
              <w:rPr>
                <w:rFonts w:hint="eastAsia" w:ascii="宋体" w:hAnsi="宋体" w:eastAsia="宋体" w:cs="宋体"/>
                <w:color w:val="000000"/>
                <w:sz w:val="24"/>
                <w:szCs w:val="24"/>
              </w:rPr>
              <w:t>完整，方案在科学、合理、安全性方面一般，基本考虑不周，措施不够到位，针对性不强，虽然能够基本满足招标的需要，但有很多方面需要进一步完善甚至重新考虑者得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分</w:t>
            </w:r>
            <w:r>
              <w:rPr>
                <w:rFonts w:hint="eastAsia" w:ascii="宋体" w:hAnsi="宋体" w:eastAsia="宋体" w:cs="宋体"/>
                <w:color w:val="000000"/>
                <w:sz w:val="24"/>
                <w:szCs w:val="24"/>
                <w:lang w:eastAsia="zh-CN"/>
              </w:rPr>
              <w:t>；</w:t>
            </w:r>
          </w:p>
          <w:p w14:paraId="32FA8B94">
            <w:pPr>
              <w:adjustRightInd w:val="0"/>
              <w:snapToGrid w:val="0"/>
              <w:spacing w:line="360" w:lineRule="auto"/>
              <w:rPr>
                <w:rFonts w:hint="eastAsia" w:ascii="宋体" w:hAnsi="宋体" w:cs="宋体"/>
                <w:sz w:val="24"/>
              </w:rPr>
            </w:pPr>
            <w:r>
              <w:rPr>
                <w:rFonts w:hint="eastAsia" w:ascii="宋体" w:hAnsi="宋体" w:cs="宋体"/>
                <w:sz w:val="24"/>
              </w:rPr>
              <w:t xml:space="preserve">如有缺项则该项得 0 分。 </w:t>
            </w:r>
          </w:p>
        </w:tc>
      </w:tr>
      <w:tr w14:paraId="5F783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4" w:hRule="atLeast"/>
        </w:trPr>
        <w:tc>
          <w:tcPr>
            <w:tcW w:w="705" w:type="dxa"/>
            <w:tcBorders>
              <w:right w:val="single" w:color="000000" w:sz="6" w:space="0"/>
            </w:tcBorders>
          </w:tcPr>
          <w:p w14:paraId="00AE0C26">
            <w:pPr>
              <w:adjustRightInd w:val="0"/>
              <w:snapToGrid w:val="0"/>
              <w:spacing w:line="360" w:lineRule="auto"/>
              <w:rPr>
                <w:sz w:val="24"/>
              </w:rPr>
            </w:pPr>
          </w:p>
        </w:tc>
        <w:tc>
          <w:tcPr>
            <w:tcW w:w="1473" w:type="dxa"/>
            <w:tcBorders>
              <w:top w:val="single" w:color="000000" w:sz="6" w:space="0"/>
              <w:left w:val="single" w:color="000000" w:sz="6" w:space="0"/>
              <w:right w:val="single" w:color="000000" w:sz="6" w:space="0"/>
            </w:tcBorders>
            <w:shd w:val="clear" w:color="auto" w:fill="auto"/>
            <w:vAlign w:val="center"/>
          </w:tcPr>
          <w:p w14:paraId="4C432AE8">
            <w:pPr>
              <w:adjustRightInd w:val="0"/>
              <w:snapToGrid w:val="0"/>
              <w:spacing w:line="360" w:lineRule="auto"/>
              <w:jc w:val="center"/>
              <w:rPr>
                <w:rFonts w:hint="eastAsia" w:ascii="宋体" w:hAnsi="宋体" w:eastAsia="宋体" w:cs="宋体"/>
                <w:kern w:val="2"/>
                <w:sz w:val="24"/>
                <w:lang w:val="en-US" w:eastAsia="zh-CN" w:bidi="ar-SA"/>
              </w:rPr>
            </w:pPr>
            <w:r>
              <w:rPr>
                <w:rFonts w:hint="eastAsia" w:ascii="宋体" w:hAnsi="宋体" w:cs="宋体"/>
                <w:sz w:val="24"/>
              </w:rPr>
              <w:t>节能降耗保证措施</w:t>
            </w:r>
          </w:p>
        </w:tc>
        <w:tc>
          <w:tcPr>
            <w:tcW w:w="795" w:type="dxa"/>
            <w:gridSpan w:val="2"/>
            <w:tcBorders>
              <w:top w:val="single" w:color="000000" w:sz="6" w:space="0"/>
              <w:left w:val="single" w:color="000000" w:sz="6" w:space="0"/>
              <w:right w:val="single" w:color="000000" w:sz="6" w:space="0"/>
            </w:tcBorders>
            <w:shd w:val="clear" w:color="auto" w:fill="auto"/>
            <w:vAlign w:val="center"/>
          </w:tcPr>
          <w:p w14:paraId="464CBEB5">
            <w:pPr>
              <w:pStyle w:val="75"/>
              <w:adjustRightInd w:val="0"/>
              <w:snapToGrid w:val="0"/>
              <w:spacing w:line="360" w:lineRule="auto"/>
              <w:ind w:left="105" w:leftChars="0"/>
              <w:rPr>
                <w:rFonts w:hint="eastAsia" w:ascii="宋体" w:hAnsi="宋体" w:eastAsia="宋体" w:cs="宋体"/>
                <w:kern w:val="2"/>
                <w:sz w:val="24"/>
                <w:szCs w:val="24"/>
                <w:lang w:val="zh-CN" w:eastAsia="zh-CN" w:bidi="zh-CN"/>
              </w:rPr>
            </w:pPr>
            <w:r>
              <w:rPr>
                <w:rFonts w:hint="eastAsia" w:ascii="宋体" w:hAnsi="宋体" w:cs="宋体"/>
                <w:sz w:val="24"/>
                <w:szCs w:val="24"/>
              </w:rPr>
              <w:t>6分</w:t>
            </w:r>
          </w:p>
        </w:tc>
        <w:tc>
          <w:tcPr>
            <w:tcW w:w="6282" w:type="dxa"/>
            <w:tcBorders>
              <w:top w:val="single" w:color="000000" w:sz="6" w:space="0"/>
              <w:left w:val="single" w:color="000000" w:sz="6" w:space="0"/>
            </w:tcBorders>
            <w:shd w:val="clear" w:color="auto" w:fill="auto"/>
            <w:vAlign w:val="top"/>
          </w:tcPr>
          <w:p w14:paraId="0B053EEC">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内容详实，方案科学、合理、安全，考虑周全，措施到位，针对性强，完全能够满足招标的需要者得</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w:t>
            </w:r>
          </w:p>
          <w:p w14:paraId="4BB2AF9B">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内容完整，方案基本科学、合理、安全，基本考虑周全措施基本到位，针对性较强，可以满足招标的需要，但有个别细节需要进一步完善或提高者得</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分；</w:t>
            </w:r>
          </w:p>
          <w:p w14:paraId="532EA495">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内容</w:t>
            </w:r>
            <w:r>
              <w:rPr>
                <w:rFonts w:hint="eastAsia" w:ascii="宋体" w:hAnsi="宋体" w:eastAsia="宋体" w:cs="宋体"/>
                <w:color w:val="000000"/>
                <w:sz w:val="24"/>
                <w:szCs w:val="24"/>
                <w:lang w:val="en-US" w:eastAsia="zh-CN"/>
              </w:rPr>
              <w:t>不</w:t>
            </w:r>
            <w:r>
              <w:rPr>
                <w:rFonts w:hint="eastAsia" w:ascii="宋体" w:hAnsi="宋体" w:eastAsia="宋体" w:cs="宋体"/>
                <w:color w:val="000000"/>
                <w:sz w:val="24"/>
                <w:szCs w:val="24"/>
              </w:rPr>
              <w:t>完整，方案在科学、合理、安全性方面一般，基本考虑不周，措施不够到位，针对性不强，虽然能够基本满足招标的需要，但有很多方面需要进一步完善甚至重新考虑者得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分</w:t>
            </w:r>
            <w:r>
              <w:rPr>
                <w:rFonts w:hint="eastAsia" w:ascii="宋体" w:hAnsi="宋体" w:eastAsia="宋体" w:cs="宋体"/>
                <w:color w:val="000000"/>
                <w:sz w:val="24"/>
                <w:szCs w:val="24"/>
                <w:lang w:eastAsia="zh-CN"/>
              </w:rPr>
              <w:t>；</w:t>
            </w:r>
          </w:p>
          <w:p w14:paraId="7B693926">
            <w:pPr>
              <w:pStyle w:val="34"/>
              <w:adjustRightInd w:val="0"/>
              <w:snapToGrid w:val="0"/>
              <w:spacing w:after="0" w:line="360" w:lineRule="auto"/>
              <w:ind w:firstLine="0" w:firstLineChars="0"/>
              <w:rPr>
                <w:rFonts w:hint="eastAsia" w:ascii="宋体" w:hAnsi="宋体" w:eastAsia="宋体" w:cs="宋体"/>
                <w:kern w:val="2"/>
                <w:sz w:val="24"/>
                <w:szCs w:val="22"/>
                <w:lang w:val="en-US" w:eastAsia="zh-CN" w:bidi="ar-SA"/>
              </w:rPr>
            </w:pPr>
            <w:r>
              <w:rPr>
                <w:rFonts w:hint="eastAsia" w:ascii="宋体" w:hAnsi="宋体" w:cs="宋体"/>
                <w:sz w:val="24"/>
              </w:rPr>
              <w:t xml:space="preserve">如有缺项则该项得 0 分。 </w:t>
            </w:r>
          </w:p>
        </w:tc>
      </w:tr>
      <w:tr w14:paraId="6B14E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9255" w:type="dxa"/>
            <w:gridSpan w:val="5"/>
            <w:tcBorders>
              <w:left w:val="single" w:color="000000" w:sz="4" w:space="0"/>
              <w:right w:val="single" w:color="000000" w:sz="4" w:space="0"/>
            </w:tcBorders>
            <w:vAlign w:val="center"/>
          </w:tcPr>
          <w:p w14:paraId="3ACB51E1">
            <w:pPr>
              <w:pStyle w:val="75"/>
              <w:adjustRightInd w:val="0"/>
              <w:snapToGrid w:val="0"/>
              <w:spacing w:line="240" w:lineRule="auto"/>
              <w:ind w:left="108"/>
              <w:jc w:val="both"/>
              <w:rPr>
                <w:sz w:val="24"/>
                <w:szCs w:val="24"/>
              </w:rPr>
            </w:pPr>
            <w:r>
              <w:rPr>
                <w:sz w:val="24"/>
                <w:szCs w:val="24"/>
              </w:rPr>
              <w:t>三、商务分</w:t>
            </w:r>
            <w:r>
              <w:rPr>
                <w:rFonts w:hint="eastAsia"/>
                <w:sz w:val="24"/>
                <w:szCs w:val="24"/>
                <w:lang w:val="en-US" w:eastAsia="zh-CN"/>
              </w:rPr>
              <w:t>38</w:t>
            </w:r>
            <w:r>
              <w:rPr>
                <w:sz w:val="24"/>
                <w:szCs w:val="24"/>
              </w:rPr>
              <w:t>分</w:t>
            </w:r>
          </w:p>
        </w:tc>
      </w:tr>
      <w:tr w14:paraId="02906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705" w:type="dxa"/>
            <w:vMerge w:val="restart"/>
            <w:tcBorders>
              <w:left w:val="single" w:color="000000" w:sz="4" w:space="0"/>
            </w:tcBorders>
            <w:vAlign w:val="center"/>
          </w:tcPr>
          <w:p w14:paraId="535634A8">
            <w:pPr>
              <w:pStyle w:val="75"/>
              <w:adjustRightInd w:val="0"/>
              <w:snapToGrid w:val="0"/>
              <w:spacing w:line="360" w:lineRule="auto"/>
              <w:jc w:val="center"/>
              <w:rPr>
                <w:rFonts w:hint="eastAsia" w:eastAsia="宋体"/>
                <w:sz w:val="24"/>
                <w:szCs w:val="24"/>
                <w:lang w:val="en-US" w:eastAsia="zh-CN"/>
              </w:rPr>
            </w:pPr>
            <w:r>
              <w:rPr>
                <w:rFonts w:hint="eastAsia"/>
                <w:sz w:val="24"/>
                <w:szCs w:val="24"/>
                <w:lang w:val="en-US" w:eastAsia="zh-CN"/>
              </w:rPr>
              <w:t>三</w:t>
            </w:r>
          </w:p>
        </w:tc>
        <w:tc>
          <w:tcPr>
            <w:tcW w:w="1473" w:type="dxa"/>
            <w:vAlign w:val="center"/>
          </w:tcPr>
          <w:p w14:paraId="00BEDBD7">
            <w:pPr>
              <w:adjustRightInd w:val="0"/>
              <w:snapToGrid w:val="0"/>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795" w:type="dxa"/>
            <w:gridSpan w:val="2"/>
            <w:vAlign w:val="center"/>
          </w:tcPr>
          <w:p w14:paraId="11CB029E">
            <w:pPr>
              <w:pStyle w:val="75"/>
              <w:adjustRightInd w:val="0"/>
              <w:snapToGrid w:val="0"/>
              <w:spacing w:line="360" w:lineRule="auto"/>
              <w:ind w:left="105"/>
              <w:jc w:val="both"/>
              <w:rPr>
                <w:rFonts w:ascii="宋体" w:hAnsi="宋体" w:cs="宋体"/>
                <w:sz w:val="24"/>
                <w:szCs w:val="24"/>
              </w:rPr>
            </w:pPr>
            <w:r>
              <w:rPr>
                <w:rFonts w:hint="eastAsia" w:cs="宋体"/>
                <w:sz w:val="24"/>
                <w:szCs w:val="24"/>
                <w:lang w:val="en-US" w:eastAsia="zh-CN"/>
              </w:rPr>
              <w:t>2</w:t>
            </w:r>
            <w:r>
              <w:rPr>
                <w:rFonts w:hint="eastAsia" w:ascii="宋体" w:hAnsi="宋体" w:cs="宋体"/>
                <w:sz w:val="24"/>
                <w:szCs w:val="24"/>
              </w:rPr>
              <w:t>分</w:t>
            </w:r>
          </w:p>
        </w:tc>
        <w:tc>
          <w:tcPr>
            <w:tcW w:w="6282" w:type="dxa"/>
            <w:tcBorders>
              <w:right w:val="single" w:color="000000" w:sz="4" w:space="0"/>
            </w:tcBorders>
          </w:tcPr>
          <w:p w14:paraId="3D359310">
            <w:pPr>
              <w:adjustRightInd w:val="0"/>
              <w:snapToGrid w:val="0"/>
              <w:spacing w:line="360" w:lineRule="auto"/>
              <w:rPr>
                <w:rFonts w:hint="eastAsia" w:eastAsia="宋体"/>
                <w:sz w:val="24"/>
                <w:lang w:eastAsia="zh-CN"/>
              </w:rPr>
            </w:pPr>
            <w:r>
              <w:rPr>
                <w:rFonts w:hint="eastAsia" w:ascii="宋体" w:hAnsi="宋体" w:cs="宋体"/>
                <w:kern w:val="0"/>
                <w:sz w:val="24"/>
              </w:rPr>
              <w:t>具有ISO</w:t>
            </w:r>
            <w:r>
              <w:rPr>
                <w:rFonts w:hint="eastAsia" w:ascii="宋体" w:hAnsi="宋体" w:cs="宋体"/>
                <w:kern w:val="0"/>
                <w:sz w:val="24"/>
                <w:lang w:eastAsia="zh-CN"/>
              </w:rPr>
              <w:t>《</w:t>
            </w:r>
            <w:r>
              <w:rPr>
                <w:rFonts w:hint="eastAsia" w:ascii="宋体" w:hAnsi="宋体" w:cs="宋体"/>
                <w:kern w:val="0"/>
                <w:sz w:val="24"/>
              </w:rPr>
              <w:t>质量</w:t>
            </w:r>
            <w:r>
              <w:rPr>
                <w:rFonts w:hint="eastAsia" w:ascii="宋体" w:hAnsi="宋体" w:cs="宋体"/>
                <w:kern w:val="0"/>
                <w:sz w:val="24"/>
                <w:lang w:val="en-US" w:eastAsia="zh-CN"/>
              </w:rPr>
              <w:t>管理</w:t>
            </w:r>
            <w:r>
              <w:rPr>
                <w:rFonts w:hint="eastAsia" w:ascii="宋体" w:hAnsi="宋体" w:cs="宋体"/>
                <w:kern w:val="0"/>
                <w:sz w:val="24"/>
              </w:rPr>
              <w:t>体系认证</w:t>
            </w:r>
            <w:r>
              <w:rPr>
                <w:rFonts w:hint="eastAsia" w:ascii="宋体" w:hAnsi="宋体" w:cs="宋体"/>
                <w:kern w:val="0"/>
                <w:sz w:val="24"/>
                <w:lang w:eastAsia="zh-CN"/>
              </w:rPr>
              <w:t>》</w:t>
            </w:r>
            <w:r>
              <w:rPr>
                <w:rFonts w:hint="eastAsia" w:ascii="宋体" w:hAnsi="宋体" w:cs="宋体"/>
                <w:kern w:val="0"/>
                <w:sz w:val="24"/>
              </w:rPr>
              <w:t>、</w:t>
            </w:r>
            <w:r>
              <w:rPr>
                <w:rFonts w:hint="eastAsia" w:ascii="宋体" w:hAnsi="宋体" w:cs="宋体"/>
                <w:kern w:val="0"/>
                <w:sz w:val="24"/>
                <w:lang w:eastAsia="zh-CN"/>
              </w:rPr>
              <w:t>《</w:t>
            </w:r>
            <w:r>
              <w:rPr>
                <w:rFonts w:hint="eastAsia" w:ascii="宋体" w:hAnsi="宋体" w:cs="宋体"/>
                <w:kern w:val="0"/>
                <w:sz w:val="24"/>
              </w:rPr>
              <w:t>环境</w:t>
            </w:r>
            <w:r>
              <w:rPr>
                <w:rFonts w:hint="eastAsia" w:ascii="宋体" w:hAnsi="宋体" w:cs="宋体"/>
                <w:kern w:val="0"/>
                <w:sz w:val="24"/>
                <w:lang w:val="en-US" w:eastAsia="zh-CN"/>
              </w:rPr>
              <w:t>管理</w:t>
            </w:r>
            <w:r>
              <w:rPr>
                <w:rFonts w:hint="eastAsia" w:ascii="宋体" w:hAnsi="宋体" w:cs="宋体"/>
                <w:kern w:val="0"/>
                <w:sz w:val="24"/>
              </w:rPr>
              <w:t>体系认证</w:t>
            </w:r>
            <w:r>
              <w:rPr>
                <w:rFonts w:hint="eastAsia" w:ascii="宋体" w:hAnsi="宋体" w:cs="宋体"/>
                <w:kern w:val="0"/>
                <w:sz w:val="24"/>
                <w:lang w:eastAsia="zh-CN"/>
              </w:rPr>
              <w:t>》</w:t>
            </w:r>
            <w:r>
              <w:rPr>
                <w:rFonts w:hint="eastAsia" w:ascii="宋体" w:hAnsi="宋体" w:cs="宋体"/>
                <w:kern w:val="0"/>
                <w:sz w:val="24"/>
              </w:rPr>
              <w:t>、</w:t>
            </w:r>
            <w:r>
              <w:rPr>
                <w:rFonts w:hint="eastAsia" w:ascii="宋体" w:hAnsi="宋体" w:cs="宋体"/>
                <w:kern w:val="0"/>
                <w:sz w:val="24"/>
                <w:lang w:eastAsia="zh-CN"/>
              </w:rPr>
              <w:t>《</w:t>
            </w:r>
            <w:r>
              <w:rPr>
                <w:rFonts w:hint="eastAsia" w:ascii="宋体" w:hAnsi="宋体" w:cs="宋体"/>
                <w:kern w:val="0"/>
                <w:sz w:val="24"/>
              </w:rPr>
              <w:t>健康管理体系认证</w:t>
            </w:r>
            <w:r>
              <w:rPr>
                <w:rFonts w:hint="eastAsia" w:ascii="宋体" w:hAnsi="宋体" w:cs="宋体"/>
                <w:kern w:val="0"/>
                <w:sz w:val="24"/>
                <w:lang w:eastAsia="zh-CN"/>
              </w:rPr>
              <w:t>》</w:t>
            </w:r>
            <w:r>
              <w:rPr>
                <w:rFonts w:hint="eastAsia" w:ascii="宋体" w:hAnsi="宋体" w:cs="宋体"/>
                <w:kern w:val="0"/>
                <w:sz w:val="24"/>
              </w:rPr>
              <w:t>在国家认监委网站公示，且在有效期内，具有《信用等级</w:t>
            </w:r>
            <w:r>
              <w:rPr>
                <w:rFonts w:hint="eastAsia" w:ascii="宋体" w:hAnsi="宋体" w:cs="宋体"/>
                <w:kern w:val="0"/>
                <w:sz w:val="24"/>
                <w:lang w:val="en-US" w:eastAsia="zh-CN"/>
              </w:rPr>
              <w:t>AA</w:t>
            </w:r>
            <w:r>
              <w:rPr>
                <w:rFonts w:hint="eastAsia" w:ascii="宋体" w:hAnsi="宋体" w:cs="宋体"/>
                <w:kern w:val="0"/>
                <w:sz w:val="24"/>
              </w:rPr>
              <w:t>A认证》在信用</w:t>
            </w:r>
            <w:r>
              <w:rPr>
                <w:rFonts w:hint="eastAsia" w:ascii="宋体" w:hAnsi="宋体" w:cs="宋体"/>
                <w:kern w:val="0"/>
                <w:sz w:val="24"/>
                <w:lang w:val="en-US" w:eastAsia="zh-CN"/>
              </w:rPr>
              <w:t>河南</w:t>
            </w:r>
            <w:r>
              <w:rPr>
                <w:rFonts w:hint="eastAsia" w:ascii="宋体" w:hAnsi="宋体" w:cs="宋体"/>
                <w:kern w:val="0"/>
                <w:sz w:val="24"/>
              </w:rPr>
              <w:t>档案网站公示，得</w:t>
            </w:r>
            <w:r>
              <w:rPr>
                <w:rFonts w:hint="eastAsia" w:ascii="宋体" w:hAnsi="宋体" w:cs="宋体"/>
                <w:kern w:val="0"/>
                <w:sz w:val="24"/>
                <w:lang w:val="en-US" w:eastAsia="zh-CN"/>
              </w:rPr>
              <w:t>2</w:t>
            </w:r>
            <w:r>
              <w:rPr>
                <w:rFonts w:hint="eastAsia" w:ascii="宋体" w:hAnsi="宋体" w:cs="宋体"/>
                <w:kern w:val="0"/>
                <w:sz w:val="24"/>
              </w:rPr>
              <w:t>分，</w:t>
            </w:r>
            <w:r>
              <w:rPr>
                <w:rFonts w:hint="eastAsia" w:ascii="宋体" w:hAnsi="宋体" w:cs="宋体"/>
                <w:kern w:val="0"/>
                <w:sz w:val="24"/>
                <w:lang w:val="en-US" w:eastAsia="zh-CN"/>
              </w:rPr>
              <w:t>提供查询截图</w:t>
            </w:r>
            <w:r>
              <w:rPr>
                <w:rFonts w:hint="eastAsia" w:ascii="宋体" w:hAnsi="宋体" w:cs="宋体"/>
                <w:kern w:val="0"/>
                <w:sz w:val="24"/>
              </w:rPr>
              <w:t>，不具备不得分</w:t>
            </w:r>
            <w:r>
              <w:rPr>
                <w:rFonts w:hint="eastAsia" w:ascii="宋体" w:hAnsi="宋体" w:cs="宋体"/>
                <w:kern w:val="0"/>
                <w:sz w:val="24"/>
                <w:lang w:eastAsia="zh-CN"/>
              </w:rPr>
              <w:t>。</w:t>
            </w:r>
          </w:p>
        </w:tc>
      </w:tr>
      <w:tr w14:paraId="078E8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705" w:type="dxa"/>
            <w:vMerge w:val="continue"/>
            <w:tcBorders>
              <w:left w:val="single" w:color="000000" w:sz="4" w:space="0"/>
            </w:tcBorders>
            <w:vAlign w:val="center"/>
          </w:tcPr>
          <w:p w14:paraId="5FCE05A8">
            <w:pPr>
              <w:pStyle w:val="75"/>
              <w:adjustRightInd w:val="0"/>
              <w:snapToGrid w:val="0"/>
              <w:spacing w:line="360" w:lineRule="auto"/>
              <w:jc w:val="center"/>
              <w:rPr>
                <w:rFonts w:hint="eastAsia"/>
                <w:sz w:val="24"/>
                <w:szCs w:val="24"/>
                <w:lang w:val="en-US" w:eastAsia="zh-CN"/>
              </w:rPr>
            </w:pPr>
          </w:p>
        </w:tc>
        <w:tc>
          <w:tcPr>
            <w:tcW w:w="1473" w:type="dxa"/>
            <w:vAlign w:val="center"/>
          </w:tcPr>
          <w:p w14:paraId="28B43CB0">
            <w:pPr>
              <w:adjustRightInd w:val="0"/>
              <w:snapToGrid w:val="0"/>
              <w:spacing w:line="360" w:lineRule="auto"/>
              <w:jc w:val="center"/>
              <w:rPr>
                <w:rFonts w:hint="eastAsia" w:ascii="宋体" w:hAnsi="宋体" w:cs="宋体"/>
                <w:sz w:val="24"/>
                <w:lang w:val="en-US" w:eastAsia="zh-CN"/>
              </w:rPr>
            </w:pPr>
            <w:r>
              <w:rPr>
                <w:rFonts w:hint="eastAsia"/>
                <w:sz w:val="24"/>
                <w:lang w:val="en-US" w:eastAsia="zh-CN"/>
              </w:rPr>
              <w:t>2</w:t>
            </w:r>
          </w:p>
        </w:tc>
        <w:tc>
          <w:tcPr>
            <w:tcW w:w="795" w:type="dxa"/>
            <w:gridSpan w:val="2"/>
            <w:shd w:val="clear" w:color="auto" w:fill="auto"/>
            <w:vAlign w:val="center"/>
          </w:tcPr>
          <w:p w14:paraId="4F5FCD78">
            <w:pPr>
              <w:pStyle w:val="75"/>
              <w:adjustRightInd w:val="0"/>
              <w:snapToGrid w:val="0"/>
              <w:spacing w:line="360" w:lineRule="auto"/>
              <w:ind w:left="105" w:leftChars="0"/>
              <w:jc w:val="center"/>
              <w:rPr>
                <w:rFonts w:hint="eastAsia" w:ascii="宋体" w:hAnsi="宋体" w:eastAsia="宋体" w:cs="宋体"/>
                <w:kern w:val="2"/>
                <w:sz w:val="24"/>
                <w:szCs w:val="24"/>
                <w:lang w:val="en-US" w:eastAsia="zh-CN" w:bidi="zh-CN"/>
              </w:rPr>
            </w:pPr>
            <w:r>
              <w:rPr>
                <w:rFonts w:hint="eastAsia" w:cs="宋体"/>
                <w:sz w:val="24"/>
                <w:szCs w:val="24"/>
                <w:lang w:val="en-US" w:eastAsia="zh-CN"/>
              </w:rPr>
              <w:t>3分</w:t>
            </w:r>
          </w:p>
        </w:tc>
        <w:tc>
          <w:tcPr>
            <w:tcW w:w="6282" w:type="dxa"/>
            <w:tcBorders>
              <w:right w:val="single" w:color="000000" w:sz="4" w:space="0"/>
            </w:tcBorders>
            <w:shd w:val="clear" w:color="auto" w:fill="auto"/>
            <w:vAlign w:val="top"/>
          </w:tcPr>
          <w:p w14:paraId="791D5492">
            <w:pPr>
              <w:adjustRightInd w:val="0"/>
              <w:snapToGrid w:val="0"/>
              <w:spacing w:line="360" w:lineRule="auto"/>
              <w:rPr>
                <w:rFonts w:hint="eastAsia" w:ascii="宋体" w:hAnsi="宋体" w:eastAsia="宋体" w:cs="宋体"/>
                <w:kern w:val="2"/>
                <w:sz w:val="24"/>
                <w:lang w:val="en-US" w:eastAsia="zh-CN" w:bidi="ar-SA"/>
              </w:rPr>
            </w:pPr>
            <w:r>
              <w:rPr>
                <w:rFonts w:hint="eastAsia" w:ascii="宋体" w:hAnsi="宋体" w:cs="宋体"/>
                <w:sz w:val="24"/>
                <w:lang w:val="en-US" w:eastAsia="zh-CN"/>
              </w:rPr>
              <w:t>具有《</w:t>
            </w:r>
            <w:r>
              <w:rPr>
                <w:rFonts w:hint="eastAsia" w:ascii="宋体" w:hAnsi="宋体" w:cs="宋体"/>
                <w:sz w:val="24"/>
              </w:rPr>
              <w:t>物业管理体系认证</w:t>
            </w:r>
            <w:r>
              <w:rPr>
                <w:rFonts w:hint="eastAsia" w:ascii="宋体" w:hAnsi="宋体" w:cs="宋体"/>
                <w:sz w:val="24"/>
                <w:lang w:val="en-US" w:eastAsia="zh-CN"/>
              </w:rPr>
              <w:t>》</w:t>
            </w:r>
            <w:r>
              <w:rPr>
                <w:rFonts w:hint="eastAsia" w:ascii="宋体" w:hAnsi="宋体" w:cs="宋体"/>
                <w:sz w:val="24"/>
              </w:rPr>
              <w:t>证书</w:t>
            </w:r>
            <w:r>
              <w:rPr>
                <w:rFonts w:hint="eastAsia" w:ascii="宋体" w:hAnsi="宋体" w:cs="宋体"/>
                <w:sz w:val="24"/>
                <w:lang w:val="en-US" w:eastAsia="zh-CN"/>
              </w:rPr>
              <w:t>，</w:t>
            </w:r>
            <w:r>
              <w:rPr>
                <w:rFonts w:hint="eastAsia" w:ascii="宋体" w:hAnsi="宋体" w:cs="宋体"/>
                <w:kern w:val="0"/>
                <w:sz w:val="24"/>
              </w:rPr>
              <w:t>在国家认监委网站公示，且在有效期内，</w:t>
            </w:r>
            <w:r>
              <w:rPr>
                <w:rFonts w:hint="eastAsia" w:ascii="宋体" w:hAnsi="宋体" w:cs="宋体"/>
                <w:kern w:val="0"/>
                <w:sz w:val="24"/>
                <w:lang w:val="en-US" w:eastAsia="zh-CN"/>
              </w:rPr>
              <w:t>提供查询截图</w:t>
            </w:r>
            <w:r>
              <w:rPr>
                <w:rFonts w:hint="eastAsia" w:ascii="宋体" w:hAnsi="宋体" w:cs="宋体"/>
                <w:kern w:val="0"/>
                <w:sz w:val="24"/>
              </w:rPr>
              <w:t>得</w:t>
            </w:r>
            <w:r>
              <w:rPr>
                <w:rFonts w:hint="eastAsia" w:ascii="宋体" w:hAnsi="宋体" w:cs="宋体"/>
                <w:kern w:val="0"/>
                <w:sz w:val="24"/>
                <w:lang w:val="en-US" w:eastAsia="zh-CN"/>
              </w:rPr>
              <w:t>3</w:t>
            </w:r>
            <w:r>
              <w:rPr>
                <w:rFonts w:hint="eastAsia" w:ascii="宋体" w:hAnsi="宋体" w:cs="宋体"/>
                <w:kern w:val="0"/>
                <w:sz w:val="24"/>
              </w:rPr>
              <w:t>分，不具备不得</w:t>
            </w:r>
            <w:r>
              <w:rPr>
                <w:rFonts w:hint="eastAsia" w:ascii="宋体" w:hAnsi="宋体" w:cs="宋体"/>
                <w:kern w:val="0"/>
                <w:sz w:val="24"/>
                <w:lang w:val="en-US" w:eastAsia="zh-CN"/>
              </w:rPr>
              <w:t>分。</w:t>
            </w:r>
          </w:p>
        </w:tc>
      </w:tr>
      <w:tr w14:paraId="3B998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705" w:type="dxa"/>
            <w:vMerge w:val="continue"/>
            <w:tcBorders>
              <w:left w:val="single" w:color="000000" w:sz="4" w:space="0"/>
            </w:tcBorders>
            <w:vAlign w:val="center"/>
          </w:tcPr>
          <w:p w14:paraId="20CBB640">
            <w:pPr>
              <w:pStyle w:val="75"/>
              <w:adjustRightInd w:val="0"/>
              <w:snapToGrid w:val="0"/>
              <w:spacing w:line="360" w:lineRule="auto"/>
              <w:jc w:val="center"/>
              <w:rPr>
                <w:rFonts w:hint="eastAsia"/>
                <w:sz w:val="24"/>
                <w:szCs w:val="24"/>
                <w:lang w:val="en-US" w:eastAsia="zh-CN"/>
              </w:rPr>
            </w:pPr>
          </w:p>
        </w:tc>
        <w:tc>
          <w:tcPr>
            <w:tcW w:w="1473" w:type="dxa"/>
            <w:vAlign w:val="center"/>
          </w:tcPr>
          <w:p w14:paraId="00FBEC94">
            <w:pPr>
              <w:adjustRightInd w:val="0"/>
              <w:snapToGrid w:val="0"/>
              <w:spacing w:line="360" w:lineRule="auto"/>
              <w:jc w:val="center"/>
              <w:rPr>
                <w:rFonts w:hint="eastAsia" w:ascii="宋体" w:hAnsi="宋体" w:cs="宋体"/>
                <w:sz w:val="24"/>
                <w:lang w:val="en-US" w:eastAsia="zh-CN"/>
              </w:rPr>
            </w:pPr>
            <w:r>
              <w:rPr>
                <w:rFonts w:hint="eastAsia"/>
                <w:sz w:val="24"/>
                <w:lang w:val="en-US" w:eastAsia="zh-CN"/>
              </w:rPr>
              <w:t>3</w:t>
            </w:r>
          </w:p>
        </w:tc>
        <w:tc>
          <w:tcPr>
            <w:tcW w:w="795" w:type="dxa"/>
            <w:gridSpan w:val="2"/>
            <w:shd w:val="clear" w:color="auto" w:fill="auto"/>
            <w:vAlign w:val="center"/>
          </w:tcPr>
          <w:p w14:paraId="3A1DA515">
            <w:pPr>
              <w:pStyle w:val="75"/>
              <w:adjustRightInd w:val="0"/>
              <w:snapToGrid w:val="0"/>
              <w:spacing w:line="360" w:lineRule="auto"/>
              <w:ind w:left="105" w:leftChars="0"/>
              <w:jc w:val="center"/>
              <w:rPr>
                <w:rFonts w:hint="eastAsia" w:ascii="宋体" w:hAnsi="宋体" w:eastAsia="宋体" w:cs="宋体"/>
                <w:kern w:val="2"/>
                <w:sz w:val="24"/>
                <w:szCs w:val="24"/>
                <w:lang w:val="en-US" w:eastAsia="zh-CN" w:bidi="zh-CN"/>
              </w:rPr>
            </w:pPr>
            <w:r>
              <w:rPr>
                <w:rFonts w:hint="eastAsia" w:cs="宋体"/>
                <w:sz w:val="24"/>
                <w:szCs w:val="24"/>
                <w:lang w:val="en-US" w:eastAsia="zh-CN"/>
              </w:rPr>
              <w:t>3分</w:t>
            </w:r>
          </w:p>
        </w:tc>
        <w:tc>
          <w:tcPr>
            <w:tcW w:w="6282" w:type="dxa"/>
            <w:tcBorders>
              <w:right w:val="single" w:color="000000" w:sz="4" w:space="0"/>
            </w:tcBorders>
            <w:shd w:val="clear" w:color="auto" w:fill="auto"/>
            <w:vAlign w:val="top"/>
          </w:tcPr>
          <w:p w14:paraId="73198E46">
            <w:pPr>
              <w:adjustRightInd w:val="0"/>
              <w:snapToGrid w:val="0"/>
              <w:spacing w:line="360" w:lineRule="auto"/>
              <w:rPr>
                <w:rFonts w:hint="eastAsia" w:ascii="宋体" w:hAnsi="宋体" w:eastAsia="宋体" w:cs="宋体"/>
                <w:kern w:val="2"/>
                <w:sz w:val="24"/>
                <w:lang w:val="en-US" w:eastAsia="zh-CN" w:bidi="ar-SA"/>
              </w:rPr>
            </w:pPr>
            <w:r>
              <w:rPr>
                <w:rFonts w:hint="eastAsia" w:ascii="宋体" w:hAnsi="宋体" w:cs="宋体"/>
                <w:sz w:val="24"/>
                <w:lang w:val="en-US" w:eastAsia="zh-CN"/>
              </w:rPr>
              <w:t>具有《</w:t>
            </w:r>
            <w:r>
              <w:rPr>
                <w:rFonts w:hint="eastAsia" w:ascii="宋体" w:hAnsi="宋体" w:cs="宋体"/>
                <w:sz w:val="24"/>
              </w:rPr>
              <w:t>安全风险管理体系认证</w:t>
            </w:r>
            <w:r>
              <w:rPr>
                <w:rFonts w:hint="eastAsia" w:ascii="宋体" w:hAnsi="宋体" w:cs="宋体"/>
                <w:sz w:val="24"/>
                <w:lang w:val="en-US" w:eastAsia="zh-CN"/>
              </w:rPr>
              <w:t>》证书，</w:t>
            </w:r>
            <w:r>
              <w:rPr>
                <w:rFonts w:hint="eastAsia" w:ascii="宋体" w:hAnsi="宋体" w:cs="宋体"/>
                <w:kern w:val="0"/>
                <w:sz w:val="24"/>
              </w:rPr>
              <w:t>在国家认监委网站公示，且在有效期内，</w:t>
            </w:r>
            <w:r>
              <w:rPr>
                <w:rFonts w:hint="eastAsia" w:ascii="宋体" w:hAnsi="宋体" w:cs="宋体"/>
                <w:kern w:val="0"/>
                <w:sz w:val="24"/>
                <w:lang w:val="en-US" w:eastAsia="zh-CN"/>
              </w:rPr>
              <w:t>提供查询截图</w:t>
            </w:r>
            <w:r>
              <w:rPr>
                <w:rFonts w:hint="eastAsia" w:ascii="宋体" w:hAnsi="宋体" w:cs="宋体"/>
                <w:kern w:val="0"/>
                <w:sz w:val="24"/>
              </w:rPr>
              <w:t>得</w:t>
            </w:r>
            <w:r>
              <w:rPr>
                <w:rFonts w:hint="eastAsia" w:ascii="宋体" w:hAnsi="宋体" w:cs="宋体"/>
                <w:kern w:val="0"/>
                <w:sz w:val="24"/>
                <w:lang w:val="en-US" w:eastAsia="zh-CN"/>
              </w:rPr>
              <w:t>3</w:t>
            </w:r>
            <w:r>
              <w:rPr>
                <w:rFonts w:hint="eastAsia" w:ascii="宋体" w:hAnsi="宋体" w:cs="宋体"/>
                <w:kern w:val="0"/>
                <w:sz w:val="24"/>
              </w:rPr>
              <w:t>分，不具备不得分</w:t>
            </w:r>
            <w:r>
              <w:rPr>
                <w:rFonts w:hint="eastAsia" w:ascii="宋体" w:hAnsi="宋体" w:cs="宋体"/>
                <w:kern w:val="0"/>
                <w:sz w:val="24"/>
                <w:lang w:eastAsia="zh-CN"/>
              </w:rPr>
              <w:t>。</w:t>
            </w:r>
          </w:p>
        </w:tc>
      </w:tr>
      <w:tr w14:paraId="06621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705" w:type="dxa"/>
            <w:vMerge w:val="continue"/>
            <w:tcBorders>
              <w:left w:val="single" w:color="000000" w:sz="4" w:space="0"/>
            </w:tcBorders>
            <w:vAlign w:val="center"/>
          </w:tcPr>
          <w:p w14:paraId="7B3671D9">
            <w:pPr>
              <w:pStyle w:val="75"/>
              <w:adjustRightInd w:val="0"/>
              <w:snapToGrid w:val="0"/>
              <w:spacing w:line="360" w:lineRule="auto"/>
              <w:jc w:val="center"/>
              <w:rPr>
                <w:rFonts w:hint="eastAsia"/>
                <w:sz w:val="24"/>
                <w:szCs w:val="24"/>
                <w:lang w:val="en-US" w:eastAsia="zh-CN"/>
              </w:rPr>
            </w:pPr>
          </w:p>
        </w:tc>
        <w:tc>
          <w:tcPr>
            <w:tcW w:w="1473" w:type="dxa"/>
            <w:vAlign w:val="center"/>
          </w:tcPr>
          <w:p w14:paraId="54914443">
            <w:pPr>
              <w:adjustRightInd w:val="0"/>
              <w:snapToGrid w:val="0"/>
              <w:spacing w:line="360" w:lineRule="auto"/>
              <w:jc w:val="center"/>
              <w:rPr>
                <w:rFonts w:hint="eastAsia" w:ascii="宋体" w:hAnsi="宋体" w:cs="宋体"/>
                <w:sz w:val="24"/>
                <w:lang w:val="en-US" w:eastAsia="zh-CN"/>
              </w:rPr>
            </w:pPr>
            <w:r>
              <w:rPr>
                <w:rFonts w:hint="eastAsia"/>
                <w:sz w:val="24"/>
                <w:lang w:val="en-US" w:eastAsia="zh-CN"/>
              </w:rPr>
              <w:t>4</w:t>
            </w:r>
          </w:p>
        </w:tc>
        <w:tc>
          <w:tcPr>
            <w:tcW w:w="795" w:type="dxa"/>
            <w:gridSpan w:val="2"/>
            <w:vAlign w:val="center"/>
          </w:tcPr>
          <w:p w14:paraId="7E7A090C">
            <w:pPr>
              <w:pStyle w:val="75"/>
              <w:adjustRightInd w:val="0"/>
              <w:snapToGrid w:val="0"/>
              <w:spacing w:line="360" w:lineRule="auto"/>
              <w:ind w:left="105"/>
              <w:jc w:val="center"/>
              <w:rPr>
                <w:rFonts w:hint="eastAsia" w:cs="宋体"/>
                <w:sz w:val="24"/>
                <w:szCs w:val="24"/>
                <w:lang w:val="en-US" w:eastAsia="zh-CN"/>
              </w:rPr>
            </w:pPr>
            <w:r>
              <w:rPr>
                <w:rFonts w:hint="eastAsia" w:cs="宋体"/>
                <w:sz w:val="24"/>
                <w:szCs w:val="24"/>
                <w:lang w:val="en-US" w:eastAsia="zh-CN"/>
              </w:rPr>
              <w:t>3分</w:t>
            </w:r>
          </w:p>
        </w:tc>
        <w:tc>
          <w:tcPr>
            <w:tcW w:w="6282" w:type="dxa"/>
            <w:tcBorders>
              <w:right w:val="single" w:color="000000" w:sz="4" w:space="0"/>
            </w:tcBorders>
          </w:tcPr>
          <w:p w14:paraId="79AF304D">
            <w:pPr>
              <w:adjustRightInd w:val="0"/>
              <w:snapToGrid w:val="0"/>
              <w:spacing w:line="360" w:lineRule="auto"/>
              <w:rPr>
                <w:rFonts w:hint="eastAsia" w:ascii="宋体" w:hAnsi="宋体" w:eastAsia="宋体" w:cs="宋体"/>
                <w:kern w:val="0"/>
                <w:sz w:val="24"/>
                <w:lang w:val="en-US" w:eastAsia="zh-CN"/>
              </w:rPr>
            </w:pPr>
            <w:r>
              <w:rPr>
                <w:rFonts w:hint="eastAsia" w:ascii="宋体" w:hAnsi="宋体" w:cs="宋体"/>
                <w:sz w:val="24"/>
                <w:lang w:val="en-US" w:eastAsia="zh-CN"/>
              </w:rPr>
              <w:t>具有《社会责任管理体系认证》证书，</w:t>
            </w:r>
            <w:r>
              <w:rPr>
                <w:rFonts w:hint="eastAsia" w:ascii="宋体" w:hAnsi="宋体" w:cs="宋体"/>
                <w:kern w:val="0"/>
                <w:sz w:val="24"/>
              </w:rPr>
              <w:t>在国家认监委网站公示，且在有效期内，</w:t>
            </w:r>
            <w:r>
              <w:rPr>
                <w:rFonts w:hint="eastAsia" w:ascii="宋体" w:hAnsi="宋体" w:cs="宋体"/>
                <w:kern w:val="0"/>
                <w:sz w:val="24"/>
                <w:lang w:val="en-US" w:eastAsia="zh-CN"/>
              </w:rPr>
              <w:t>提供查询截图</w:t>
            </w:r>
            <w:r>
              <w:rPr>
                <w:rFonts w:hint="eastAsia" w:ascii="宋体" w:hAnsi="宋体" w:cs="宋体"/>
                <w:kern w:val="0"/>
                <w:sz w:val="24"/>
              </w:rPr>
              <w:t>得</w:t>
            </w:r>
            <w:r>
              <w:rPr>
                <w:rFonts w:hint="eastAsia" w:ascii="宋体" w:hAnsi="宋体" w:cs="宋体"/>
                <w:kern w:val="0"/>
                <w:sz w:val="24"/>
                <w:lang w:val="en-US" w:eastAsia="zh-CN"/>
              </w:rPr>
              <w:t>3</w:t>
            </w:r>
            <w:r>
              <w:rPr>
                <w:rFonts w:hint="eastAsia" w:ascii="宋体" w:hAnsi="宋体" w:cs="宋体"/>
                <w:kern w:val="0"/>
                <w:sz w:val="24"/>
              </w:rPr>
              <w:t>分，不具备不得</w:t>
            </w:r>
            <w:r>
              <w:rPr>
                <w:rFonts w:hint="eastAsia" w:ascii="宋体" w:hAnsi="宋体" w:cs="宋体"/>
                <w:kern w:val="0"/>
                <w:sz w:val="24"/>
                <w:lang w:val="en-US" w:eastAsia="zh-CN"/>
              </w:rPr>
              <w:t>分。</w:t>
            </w:r>
          </w:p>
        </w:tc>
      </w:tr>
      <w:tr w14:paraId="000F7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705" w:type="dxa"/>
            <w:vMerge w:val="continue"/>
            <w:tcBorders>
              <w:left w:val="single" w:color="000000" w:sz="4" w:space="0"/>
            </w:tcBorders>
          </w:tcPr>
          <w:p w14:paraId="20ACD4CE">
            <w:pPr>
              <w:pStyle w:val="75"/>
              <w:adjustRightInd w:val="0"/>
              <w:snapToGrid w:val="0"/>
              <w:spacing w:line="360" w:lineRule="auto"/>
              <w:rPr>
                <w:sz w:val="24"/>
                <w:szCs w:val="24"/>
              </w:rPr>
            </w:pPr>
          </w:p>
        </w:tc>
        <w:tc>
          <w:tcPr>
            <w:tcW w:w="1473" w:type="dxa"/>
            <w:vAlign w:val="center"/>
          </w:tcPr>
          <w:p w14:paraId="569B4421">
            <w:pPr>
              <w:adjustRightInd w:val="0"/>
              <w:snapToGrid w:val="0"/>
              <w:spacing w:line="360" w:lineRule="auto"/>
              <w:jc w:val="center"/>
              <w:rPr>
                <w:rFonts w:hint="eastAsia" w:eastAsia="宋体"/>
                <w:sz w:val="24"/>
                <w:lang w:val="en-US" w:eastAsia="zh-CN"/>
              </w:rPr>
            </w:pPr>
            <w:r>
              <w:rPr>
                <w:rFonts w:hint="eastAsia"/>
                <w:sz w:val="24"/>
                <w:lang w:val="en-US" w:eastAsia="zh-CN"/>
              </w:rPr>
              <w:t>5</w:t>
            </w:r>
          </w:p>
        </w:tc>
        <w:tc>
          <w:tcPr>
            <w:tcW w:w="795" w:type="dxa"/>
            <w:gridSpan w:val="2"/>
            <w:vAlign w:val="center"/>
          </w:tcPr>
          <w:p w14:paraId="58ABF356">
            <w:pPr>
              <w:pStyle w:val="75"/>
              <w:adjustRightInd w:val="0"/>
              <w:snapToGrid w:val="0"/>
              <w:spacing w:line="360" w:lineRule="auto"/>
              <w:ind w:left="105"/>
              <w:jc w:val="center"/>
              <w:rPr>
                <w:rFonts w:ascii="宋体" w:hAnsi="宋体" w:cs="宋体"/>
                <w:sz w:val="24"/>
                <w:szCs w:val="24"/>
              </w:rPr>
            </w:pPr>
            <w:r>
              <w:rPr>
                <w:rFonts w:hint="eastAsia" w:cs="宋体"/>
                <w:sz w:val="24"/>
                <w:szCs w:val="24"/>
                <w:lang w:val="en-US" w:eastAsia="zh-CN"/>
              </w:rPr>
              <w:t>4</w:t>
            </w:r>
            <w:r>
              <w:rPr>
                <w:rFonts w:hint="eastAsia" w:ascii="宋体" w:hAnsi="宋体" w:cs="宋体"/>
                <w:sz w:val="24"/>
                <w:szCs w:val="24"/>
              </w:rPr>
              <w:t>分</w:t>
            </w:r>
          </w:p>
        </w:tc>
        <w:tc>
          <w:tcPr>
            <w:tcW w:w="6282" w:type="dxa"/>
            <w:tcBorders>
              <w:right w:val="single" w:color="000000" w:sz="4" w:space="0"/>
            </w:tcBorders>
            <w:vAlign w:val="center"/>
          </w:tcPr>
          <w:p w14:paraId="71B00607">
            <w:pPr>
              <w:adjustRightInd w:val="0"/>
              <w:snapToGrid w:val="0"/>
              <w:spacing w:line="360" w:lineRule="auto"/>
              <w:jc w:val="left"/>
              <w:rPr>
                <w:rFonts w:hint="eastAsia" w:ascii="宋体" w:hAnsi="宋体" w:eastAsia="宋体" w:cs="宋体"/>
                <w:sz w:val="24"/>
                <w:lang w:eastAsia="zh-CN"/>
              </w:rPr>
            </w:pPr>
            <w:r>
              <w:rPr>
                <w:rFonts w:hint="eastAsia" w:ascii="宋体" w:hAnsi="宋体" w:cs="宋体"/>
                <w:kern w:val="0"/>
                <w:sz w:val="24"/>
              </w:rPr>
              <w:t>具有《能源管理体系认证</w:t>
            </w:r>
            <w:r>
              <w:rPr>
                <w:rFonts w:hint="eastAsia" w:cs="宋体"/>
                <w:kern w:val="0"/>
                <w:sz w:val="24"/>
              </w:rPr>
              <w:t>》</w:t>
            </w:r>
            <w:r>
              <w:rPr>
                <w:rFonts w:hint="eastAsia" w:ascii="宋体" w:hAnsi="宋体" w:cs="宋体"/>
                <w:kern w:val="0"/>
                <w:sz w:val="24"/>
              </w:rPr>
              <w:t>证书，在国家认监委网站公示，且在有效期内得</w:t>
            </w:r>
            <w:r>
              <w:rPr>
                <w:rFonts w:hint="eastAsia" w:ascii="宋体" w:hAnsi="宋体" w:cs="宋体"/>
                <w:kern w:val="0"/>
                <w:sz w:val="24"/>
                <w:lang w:val="en-US" w:eastAsia="zh-CN"/>
              </w:rPr>
              <w:t>4</w:t>
            </w:r>
            <w:r>
              <w:rPr>
                <w:rFonts w:hint="eastAsia" w:ascii="宋体" w:hAnsi="宋体" w:cs="宋体"/>
                <w:kern w:val="0"/>
                <w:sz w:val="24"/>
              </w:rPr>
              <w:t>分，</w:t>
            </w:r>
            <w:r>
              <w:rPr>
                <w:rFonts w:hint="eastAsia" w:ascii="宋体" w:hAnsi="宋体" w:cs="宋体"/>
                <w:kern w:val="0"/>
                <w:sz w:val="24"/>
                <w:lang w:val="en-US" w:eastAsia="zh-CN"/>
              </w:rPr>
              <w:t>提供查询截图</w:t>
            </w:r>
            <w:r>
              <w:rPr>
                <w:rFonts w:hint="eastAsia" w:ascii="宋体" w:hAnsi="宋体" w:cs="宋体"/>
                <w:kern w:val="0"/>
                <w:sz w:val="24"/>
              </w:rPr>
              <w:t>，不具备不得分</w:t>
            </w:r>
            <w:r>
              <w:rPr>
                <w:rFonts w:hint="eastAsia" w:ascii="宋体" w:hAnsi="宋体" w:cs="宋体"/>
                <w:kern w:val="0"/>
                <w:sz w:val="24"/>
                <w:lang w:eastAsia="zh-CN"/>
              </w:rPr>
              <w:t>。</w:t>
            </w:r>
          </w:p>
        </w:tc>
      </w:tr>
      <w:tr w14:paraId="227B3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705" w:type="dxa"/>
            <w:vMerge w:val="continue"/>
            <w:tcBorders>
              <w:left w:val="single" w:color="000000" w:sz="4" w:space="0"/>
            </w:tcBorders>
          </w:tcPr>
          <w:p w14:paraId="37C3A4FD">
            <w:pPr>
              <w:pStyle w:val="75"/>
              <w:adjustRightInd w:val="0"/>
              <w:snapToGrid w:val="0"/>
              <w:spacing w:line="360" w:lineRule="auto"/>
              <w:rPr>
                <w:sz w:val="24"/>
                <w:szCs w:val="24"/>
              </w:rPr>
            </w:pPr>
          </w:p>
        </w:tc>
        <w:tc>
          <w:tcPr>
            <w:tcW w:w="1473" w:type="dxa"/>
            <w:shd w:val="clear" w:color="auto" w:fill="auto"/>
            <w:vAlign w:val="center"/>
          </w:tcPr>
          <w:p w14:paraId="31D5E859">
            <w:pPr>
              <w:adjustRightInd w:val="0"/>
              <w:snapToGrid w:val="0"/>
              <w:spacing w:line="360" w:lineRule="auto"/>
              <w:jc w:val="center"/>
              <w:rPr>
                <w:rFonts w:hint="eastAsia" w:ascii="Times New Roman" w:hAnsi="Times New Roman" w:eastAsia="宋体" w:cs="Times New Roman"/>
                <w:kern w:val="2"/>
                <w:sz w:val="24"/>
                <w:lang w:val="en-US" w:eastAsia="zh-CN" w:bidi="ar-SA"/>
              </w:rPr>
            </w:pPr>
            <w:r>
              <w:rPr>
                <w:rFonts w:hint="eastAsia"/>
                <w:sz w:val="24"/>
                <w:lang w:val="en-US" w:eastAsia="zh-CN"/>
              </w:rPr>
              <w:t>6</w:t>
            </w:r>
          </w:p>
        </w:tc>
        <w:tc>
          <w:tcPr>
            <w:tcW w:w="795" w:type="dxa"/>
            <w:gridSpan w:val="2"/>
            <w:shd w:val="clear" w:color="auto" w:fill="auto"/>
            <w:vAlign w:val="center"/>
          </w:tcPr>
          <w:p w14:paraId="179DFA5E">
            <w:pPr>
              <w:pStyle w:val="75"/>
              <w:adjustRightInd w:val="0"/>
              <w:snapToGrid w:val="0"/>
              <w:spacing w:line="360" w:lineRule="auto"/>
              <w:ind w:left="105" w:leftChars="0"/>
              <w:jc w:val="center"/>
              <w:rPr>
                <w:rFonts w:hint="eastAsia" w:ascii="宋体" w:hAnsi="宋体" w:eastAsia="宋体" w:cs="宋体"/>
                <w:kern w:val="2"/>
                <w:sz w:val="24"/>
                <w:szCs w:val="24"/>
                <w:lang w:val="en-US" w:eastAsia="zh-CN" w:bidi="zh-CN"/>
              </w:rPr>
            </w:pPr>
            <w:r>
              <w:rPr>
                <w:rFonts w:hint="eastAsia" w:ascii="宋体" w:hAnsi="宋体" w:cs="宋体"/>
                <w:sz w:val="24"/>
                <w:szCs w:val="24"/>
              </w:rPr>
              <w:t>3分</w:t>
            </w:r>
          </w:p>
        </w:tc>
        <w:tc>
          <w:tcPr>
            <w:tcW w:w="6282" w:type="dxa"/>
            <w:tcBorders>
              <w:right w:val="single" w:color="000000" w:sz="4" w:space="0"/>
            </w:tcBorders>
            <w:shd w:val="clear" w:color="auto" w:fill="auto"/>
            <w:vAlign w:val="top"/>
          </w:tcPr>
          <w:p w14:paraId="009F33ED">
            <w:pPr>
              <w:adjustRightInd w:val="0"/>
              <w:snapToGrid w:val="0"/>
              <w:spacing w:line="360" w:lineRule="auto"/>
              <w:rPr>
                <w:rFonts w:hint="eastAsia" w:ascii="宋体" w:hAnsi="宋体" w:eastAsia="宋体" w:cs="宋体"/>
                <w:kern w:val="0"/>
                <w:sz w:val="24"/>
                <w:lang w:val="en-US" w:eastAsia="zh-CN" w:bidi="ar-SA"/>
              </w:rPr>
            </w:pPr>
            <w:r>
              <w:rPr>
                <w:rFonts w:hint="eastAsia" w:ascii="宋体" w:hAnsi="宋体" w:cs="宋体"/>
                <w:kern w:val="0"/>
                <w:sz w:val="24"/>
                <w:lang w:val="en-US" w:eastAsia="zh-CN"/>
              </w:rPr>
              <w:t>具有《节能技术管理体系认证》证书，</w:t>
            </w:r>
            <w:r>
              <w:rPr>
                <w:rFonts w:hint="eastAsia" w:ascii="宋体" w:hAnsi="宋体" w:cs="宋体"/>
                <w:kern w:val="0"/>
                <w:sz w:val="24"/>
              </w:rPr>
              <w:t>在国家认监委网站公示，且在有效期内</w:t>
            </w:r>
            <w:r>
              <w:rPr>
                <w:rFonts w:hint="eastAsia" w:ascii="宋体" w:hAnsi="宋体" w:cs="宋体"/>
                <w:kern w:val="0"/>
                <w:sz w:val="24"/>
                <w:lang w:eastAsia="zh-CN"/>
              </w:rPr>
              <w:t>，</w:t>
            </w:r>
            <w:r>
              <w:rPr>
                <w:rFonts w:hint="eastAsia" w:ascii="宋体" w:hAnsi="宋体" w:cs="宋体"/>
                <w:kern w:val="0"/>
                <w:sz w:val="24"/>
                <w:lang w:val="en-US" w:eastAsia="zh-CN"/>
              </w:rPr>
              <w:t>提供查询截图</w:t>
            </w:r>
            <w:r>
              <w:rPr>
                <w:rFonts w:hint="eastAsia" w:ascii="宋体" w:hAnsi="宋体" w:cs="宋体"/>
                <w:kern w:val="0"/>
                <w:sz w:val="24"/>
              </w:rPr>
              <w:t>得</w:t>
            </w:r>
            <w:r>
              <w:rPr>
                <w:rFonts w:hint="eastAsia" w:ascii="宋体" w:hAnsi="宋体" w:cs="宋体"/>
                <w:kern w:val="0"/>
                <w:sz w:val="24"/>
                <w:lang w:val="en-US" w:eastAsia="zh-CN"/>
              </w:rPr>
              <w:t>3</w:t>
            </w:r>
            <w:r>
              <w:rPr>
                <w:rFonts w:hint="eastAsia" w:ascii="宋体" w:hAnsi="宋体" w:cs="宋体"/>
                <w:kern w:val="0"/>
                <w:sz w:val="24"/>
              </w:rPr>
              <w:t>分，不具备不得分</w:t>
            </w:r>
            <w:r>
              <w:rPr>
                <w:rFonts w:hint="eastAsia" w:ascii="宋体" w:hAnsi="宋体" w:cs="宋体"/>
                <w:kern w:val="0"/>
                <w:sz w:val="24"/>
                <w:lang w:eastAsia="zh-CN"/>
              </w:rPr>
              <w:t>。</w:t>
            </w:r>
          </w:p>
        </w:tc>
      </w:tr>
      <w:tr w14:paraId="21717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trPr>
        <w:tc>
          <w:tcPr>
            <w:tcW w:w="705" w:type="dxa"/>
            <w:vMerge w:val="continue"/>
            <w:tcBorders>
              <w:left w:val="single" w:color="000000" w:sz="4" w:space="0"/>
            </w:tcBorders>
          </w:tcPr>
          <w:p w14:paraId="0FBFAAFE">
            <w:pPr>
              <w:pStyle w:val="75"/>
              <w:adjustRightInd w:val="0"/>
              <w:snapToGrid w:val="0"/>
              <w:spacing w:line="360" w:lineRule="auto"/>
              <w:rPr>
                <w:sz w:val="24"/>
                <w:szCs w:val="24"/>
              </w:rPr>
            </w:pPr>
          </w:p>
        </w:tc>
        <w:tc>
          <w:tcPr>
            <w:tcW w:w="1473" w:type="dxa"/>
            <w:shd w:val="clear" w:color="auto" w:fill="auto"/>
            <w:vAlign w:val="center"/>
          </w:tcPr>
          <w:p w14:paraId="73429869">
            <w:pPr>
              <w:adjustRightInd w:val="0"/>
              <w:snapToGrid w:val="0"/>
              <w:spacing w:line="360" w:lineRule="auto"/>
              <w:jc w:val="center"/>
              <w:rPr>
                <w:rFonts w:hint="eastAsia" w:ascii="Times New Roman" w:hAnsi="Times New Roman" w:eastAsia="宋体" w:cs="Times New Roman"/>
                <w:kern w:val="2"/>
                <w:sz w:val="24"/>
                <w:lang w:val="en-US" w:eastAsia="zh-CN" w:bidi="ar-SA"/>
              </w:rPr>
            </w:pPr>
            <w:r>
              <w:rPr>
                <w:rFonts w:hint="eastAsia"/>
                <w:sz w:val="24"/>
                <w:lang w:val="en-US" w:eastAsia="zh-CN"/>
              </w:rPr>
              <w:t>7</w:t>
            </w:r>
          </w:p>
        </w:tc>
        <w:tc>
          <w:tcPr>
            <w:tcW w:w="795" w:type="dxa"/>
            <w:gridSpan w:val="2"/>
            <w:shd w:val="clear" w:color="auto" w:fill="auto"/>
            <w:vAlign w:val="center"/>
          </w:tcPr>
          <w:p w14:paraId="1F576354">
            <w:pPr>
              <w:pStyle w:val="75"/>
              <w:adjustRightInd w:val="0"/>
              <w:snapToGrid w:val="0"/>
              <w:spacing w:line="360" w:lineRule="auto"/>
              <w:ind w:left="105" w:leftChars="0"/>
              <w:jc w:val="center"/>
              <w:rPr>
                <w:rFonts w:ascii="宋体" w:hAnsi="宋体" w:eastAsia="宋体" w:cs="宋体"/>
                <w:kern w:val="2"/>
                <w:sz w:val="24"/>
                <w:szCs w:val="24"/>
                <w:lang w:val="zh-CN" w:eastAsia="zh-CN" w:bidi="zh-CN"/>
              </w:rPr>
            </w:pPr>
            <w:r>
              <w:rPr>
                <w:rFonts w:hint="eastAsia" w:cs="宋体"/>
                <w:sz w:val="24"/>
                <w:szCs w:val="24"/>
                <w:lang w:val="en-US" w:eastAsia="zh-CN"/>
              </w:rPr>
              <w:t>4</w:t>
            </w:r>
            <w:r>
              <w:rPr>
                <w:rFonts w:hint="eastAsia" w:ascii="宋体" w:hAnsi="宋体" w:cs="宋体"/>
                <w:sz w:val="24"/>
                <w:szCs w:val="24"/>
              </w:rPr>
              <w:t>分</w:t>
            </w:r>
          </w:p>
        </w:tc>
        <w:tc>
          <w:tcPr>
            <w:tcW w:w="6282" w:type="dxa"/>
            <w:tcBorders>
              <w:right w:val="single" w:color="000000" w:sz="4" w:space="0"/>
            </w:tcBorders>
            <w:shd w:val="clear" w:color="auto" w:fill="auto"/>
            <w:vAlign w:val="top"/>
          </w:tcPr>
          <w:p w14:paraId="2DE48BD3">
            <w:pPr>
              <w:adjustRightInd w:val="0"/>
              <w:snapToGrid w:val="0"/>
              <w:spacing w:line="360" w:lineRule="auto"/>
              <w:rPr>
                <w:rFonts w:hint="eastAsia" w:ascii="宋体" w:hAnsi="宋体" w:eastAsia="宋体" w:cs="宋体"/>
                <w:kern w:val="0"/>
                <w:sz w:val="24"/>
                <w:lang w:val="en-US" w:eastAsia="zh-CN" w:bidi="ar-SA"/>
              </w:rPr>
            </w:pPr>
            <w:r>
              <w:rPr>
                <w:rFonts w:hint="eastAsia" w:ascii="宋体" w:hAnsi="宋体" w:cs="宋体"/>
                <w:kern w:val="0"/>
                <w:sz w:val="24"/>
              </w:rPr>
              <w:t>具有</w:t>
            </w:r>
            <w:r>
              <w:rPr>
                <w:rFonts w:hint="eastAsia" w:ascii="宋体" w:hAnsi="宋体" w:cs="宋体"/>
                <w:kern w:val="0"/>
                <w:sz w:val="24"/>
                <w:lang w:eastAsia="zh-CN"/>
              </w:rPr>
              <w:t>《</w:t>
            </w:r>
            <w:r>
              <w:rPr>
                <w:rFonts w:hint="eastAsia" w:ascii="宋体" w:hAnsi="宋体" w:cs="宋体"/>
                <w:kern w:val="0"/>
                <w:sz w:val="24"/>
              </w:rPr>
              <w:t>食品安全</w:t>
            </w:r>
            <w:r>
              <w:rPr>
                <w:rFonts w:hint="eastAsia" w:ascii="宋体" w:hAnsi="宋体" w:cs="宋体"/>
                <w:kern w:val="0"/>
                <w:sz w:val="24"/>
                <w:lang w:val="en-US" w:eastAsia="zh-CN"/>
              </w:rPr>
              <w:t>管理体系</w:t>
            </w:r>
            <w:r>
              <w:rPr>
                <w:rFonts w:hint="eastAsia" w:ascii="宋体" w:hAnsi="宋体" w:cs="宋体"/>
                <w:kern w:val="0"/>
                <w:sz w:val="24"/>
              </w:rPr>
              <w:t>认证</w:t>
            </w:r>
            <w:r>
              <w:rPr>
                <w:rFonts w:hint="eastAsia" w:ascii="宋体" w:hAnsi="宋体" w:cs="宋体"/>
                <w:kern w:val="0"/>
                <w:sz w:val="24"/>
                <w:lang w:eastAsia="zh-CN"/>
              </w:rPr>
              <w:t>》</w:t>
            </w:r>
            <w:r>
              <w:rPr>
                <w:rFonts w:hint="eastAsia" w:ascii="宋体" w:hAnsi="宋体" w:cs="宋体"/>
                <w:kern w:val="0"/>
                <w:sz w:val="24"/>
                <w:lang w:val="en-US" w:eastAsia="zh-CN"/>
              </w:rPr>
              <w:t>证书</w:t>
            </w:r>
            <w:r>
              <w:rPr>
                <w:rFonts w:hint="eastAsia" w:ascii="宋体" w:hAnsi="宋体" w:cs="宋体"/>
                <w:kern w:val="0"/>
                <w:sz w:val="24"/>
              </w:rPr>
              <w:t>，</w:t>
            </w:r>
            <w:r>
              <w:rPr>
                <w:rFonts w:hint="eastAsia" w:ascii="宋体" w:hAnsi="宋体" w:cs="宋体"/>
                <w:kern w:val="0"/>
                <w:sz w:val="24"/>
                <w:lang w:eastAsia="zh-CN"/>
              </w:rPr>
              <w:t>《</w:t>
            </w:r>
            <w:r>
              <w:rPr>
                <w:rFonts w:hint="eastAsia" w:ascii="宋体" w:hAnsi="宋体" w:cs="宋体"/>
                <w:kern w:val="0"/>
                <w:sz w:val="24"/>
              </w:rPr>
              <w:t>危害</w:t>
            </w:r>
            <w:r>
              <w:rPr>
                <w:rFonts w:hint="eastAsia" w:ascii="宋体" w:hAnsi="宋体" w:cs="宋体"/>
                <w:kern w:val="0"/>
                <w:sz w:val="24"/>
                <w:lang w:val="en-US" w:eastAsia="zh-CN"/>
              </w:rPr>
              <w:t>分析与关键控制点</w:t>
            </w:r>
            <w:r>
              <w:rPr>
                <w:rFonts w:hint="eastAsia" w:ascii="宋体" w:hAnsi="宋体" w:cs="宋体"/>
                <w:kern w:val="0"/>
                <w:sz w:val="24"/>
                <w:lang w:eastAsia="zh-CN"/>
              </w:rPr>
              <w:t>（</w:t>
            </w:r>
            <w:r>
              <w:rPr>
                <w:rFonts w:hint="eastAsia" w:ascii="宋体" w:hAnsi="宋体" w:cs="宋体"/>
                <w:kern w:val="0"/>
                <w:sz w:val="24"/>
                <w:lang w:val="en-US" w:eastAsia="zh-CN"/>
              </w:rPr>
              <w:t>HACCP</w:t>
            </w:r>
            <w:r>
              <w:rPr>
                <w:rFonts w:hint="eastAsia" w:ascii="宋体" w:hAnsi="宋体" w:cs="宋体"/>
                <w:kern w:val="0"/>
                <w:sz w:val="24"/>
                <w:lang w:eastAsia="zh-CN"/>
              </w:rPr>
              <w:t>）</w:t>
            </w:r>
            <w:r>
              <w:rPr>
                <w:rFonts w:hint="eastAsia" w:ascii="宋体" w:hAnsi="宋体" w:cs="宋体"/>
                <w:kern w:val="0"/>
                <w:sz w:val="24"/>
                <w:lang w:val="en-US" w:eastAsia="zh-CN"/>
              </w:rPr>
              <w:t>体系认证</w:t>
            </w:r>
            <w:r>
              <w:rPr>
                <w:rFonts w:hint="eastAsia" w:ascii="宋体" w:hAnsi="宋体" w:cs="宋体"/>
                <w:kern w:val="0"/>
                <w:sz w:val="24"/>
                <w:lang w:eastAsia="zh-CN"/>
              </w:rPr>
              <w:t>》</w:t>
            </w:r>
            <w:r>
              <w:rPr>
                <w:rFonts w:hint="eastAsia" w:ascii="宋体" w:hAnsi="宋体" w:cs="宋体"/>
                <w:kern w:val="0"/>
                <w:sz w:val="24"/>
                <w:lang w:val="en-US" w:eastAsia="zh-CN"/>
              </w:rPr>
              <w:t>证书</w:t>
            </w:r>
            <w:r>
              <w:rPr>
                <w:rFonts w:hint="eastAsia" w:ascii="宋体" w:hAnsi="宋体" w:cs="宋体"/>
                <w:kern w:val="0"/>
                <w:sz w:val="24"/>
              </w:rPr>
              <w:t>，且在有效期内</w:t>
            </w:r>
            <w:r>
              <w:rPr>
                <w:rFonts w:hint="eastAsia" w:ascii="宋体" w:hAnsi="宋体" w:cs="宋体"/>
                <w:kern w:val="0"/>
                <w:sz w:val="24"/>
                <w:lang w:eastAsia="zh-CN"/>
              </w:rPr>
              <w:t>，</w:t>
            </w:r>
            <w:r>
              <w:rPr>
                <w:rFonts w:hint="eastAsia" w:ascii="宋体" w:hAnsi="宋体" w:cs="宋体"/>
                <w:kern w:val="0"/>
                <w:sz w:val="24"/>
                <w:lang w:val="en-US" w:eastAsia="zh-CN"/>
              </w:rPr>
              <w:t>提供查询截图</w:t>
            </w:r>
            <w:r>
              <w:rPr>
                <w:rFonts w:hint="eastAsia" w:ascii="宋体" w:hAnsi="宋体" w:cs="宋体"/>
                <w:kern w:val="0"/>
                <w:sz w:val="24"/>
              </w:rPr>
              <w:t>，</w:t>
            </w:r>
            <w:r>
              <w:rPr>
                <w:rFonts w:hint="eastAsia" w:ascii="宋体" w:hAnsi="宋体" w:cs="宋体"/>
                <w:kern w:val="0"/>
                <w:sz w:val="24"/>
                <w:lang w:val="en-US" w:eastAsia="zh-CN"/>
              </w:rPr>
              <w:t>每提供一个证书得2分，最高得4分，</w:t>
            </w:r>
            <w:r>
              <w:rPr>
                <w:rFonts w:hint="eastAsia" w:ascii="宋体" w:hAnsi="宋体" w:cs="宋体"/>
                <w:kern w:val="0"/>
                <w:sz w:val="24"/>
              </w:rPr>
              <w:t>不具备不得分</w:t>
            </w:r>
            <w:r>
              <w:rPr>
                <w:rFonts w:hint="eastAsia" w:ascii="宋体" w:hAnsi="宋体" w:cs="宋体"/>
                <w:kern w:val="0"/>
                <w:sz w:val="24"/>
                <w:lang w:eastAsia="zh-CN"/>
              </w:rPr>
              <w:t>。</w:t>
            </w:r>
          </w:p>
        </w:tc>
      </w:tr>
      <w:tr w14:paraId="28F6E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8" w:hRule="atLeast"/>
        </w:trPr>
        <w:tc>
          <w:tcPr>
            <w:tcW w:w="705" w:type="dxa"/>
            <w:vMerge w:val="continue"/>
            <w:tcBorders>
              <w:left w:val="single" w:color="000000" w:sz="4" w:space="0"/>
            </w:tcBorders>
          </w:tcPr>
          <w:p w14:paraId="0ED6BCA9">
            <w:pPr>
              <w:pStyle w:val="75"/>
              <w:adjustRightInd w:val="0"/>
              <w:snapToGrid w:val="0"/>
              <w:spacing w:line="360" w:lineRule="auto"/>
              <w:rPr>
                <w:sz w:val="24"/>
                <w:szCs w:val="24"/>
              </w:rPr>
            </w:pPr>
          </w:p>
        </w:tc>
        <w:tc>
          <w:tcPr>
            <w:tcW w:w="1473" w:type="dxa"/>
            <w:vAlign w:val="center"/>
          </w:tcPr>
          <w:p w14:paraId="00FF07D9">
            <w:pPr>
              <w:adjustRightInd w:val="0"/>
              <w:snapToGrid w:val="0"/>
              <w:spacing w:line="360" w:lineRule="auto"/>
              <w:ind w:firstLine="720" w:firstLineChars="300"/>
              <w:rPr>
                <w:rFonts w:hint="eastAsia" w:ascii="宋体" w:hAnsi="宋体" w:cs="宋体"/>
                <w:kern w:val="0"/>
                <w:sz w:val="24"/>
                <w:lang w:val="en-US" w:eastAsia="zh-CN"/>
              </w:rPr>
            </w:pPr>
            <w:r>
              <w:rPr>
                <w:rFonts w:hint="eastAsia" w:ascii="宋体" w:hAnsi="宋体" w:cs="宋体"/>
                <w:kern w:val="0"/>
                <w:sz w:val="24"/>
                <w:lang w:val="en-US" w:eastAsia="zh-CN"/>
              </w:rPr>
              <w:t>8</w:t>
            </w:r>
          </w:p>
        </w:tc>
        <w:tc>
          <w:tcPr>
            <w:tcW w:w="795" w:type="dxa"/>
            <w:gridSpan w:val="2"/>
            <w:shd w:val="clear" w:color="auto" w:fill="auto"/>
            <w:vAlign w:val="center"/>
          </w:tcPr>
          <w:p w14:paraId="3DE0E0EA">
            <w:pPr>
              <w:adjustRightInd w:val="0"/>
              <w:snapToGrid w:val="0"/>
              <w:spacing w:line="360" w:lineRule="auto"/>
              <w:ind w:firstLine="240" w:firstLineChars="100"/>
              <w:rPr>
                <w:rFonts w:hint="eastAsia" w:ascii="宋体" w:hAnsi="宋体" w:cs="宋体"/>
                <w:kern w:val="0"/>
                <w:sz w:val="24"/>
                <w:lang w:val="zh-CN" w:eastAsia="zh-CN"/>
              </w:rPr>
            </w:pPr>
            <w:r>
              <w:rPr>
                <w:rFonts w:hint="eastAsia" w:ascii="宋体" w:hAnsi="宋体" w:cs="宋体"/>
                <w:kern w:val="0"/>
                <w:sz w:val="24"/>
                <w:lang w:val="en-US" w:eastAsia="zh-CN"/>
              </w:rPr>
              <w:t>4</w:t>
            </w:r>
            <w:r>
              <w:rPr>
                <w:rFonts w:hint="eastAsia" w:ascii="宋体" w:hAnsi="宋体" w:cs="宋体"/>
                <w:kern w:val="0"/>
                <w:sz w:val="24"/>
              </w:rPr>
              <w:t>分</w:t>
            </w:r>
          </w:p>
        </w:tc>
        <w:tc>
          <w:tcPr>
            <w:tcW w:w="6282" w:type="dxa"/>
            <w:tcBorders>
              <w:right w:val="single" w:color="000000" w:sz="4" w:space="0"/>
            </w:tcBorders>
            <w:shd w:val="clear" w:color="auto" w:fill="auto"/>
            <w:vAlign w:val="top"/>
          </w:tcPr>
          <w:p w14:paraId="6C026E75">
            <w:pPr>
              <w:adjustRightInd w:val="0"/>
              <w:snapToGrid w:val="0"/>
              <w:spacing w:line="360" w:lineRule="auto"/>
              <w:rPr>
                <w:rFonts w:hint="eastAsia" w:ascii="宋体" w:hAnsi="宋体" w:cs="宋体"/>
                <w:kern w:val="0"/>
                <w:sz w:val="24"/>
                <w:lang w:val="en-US" w:eastAsia="zh-CN"/>
              </w:rPr>
            </w:pPr>
            <w:r>
              <w:rPr>
                <w:rFonts w:hint="eastAsia" w:ascii="宋体" w:hAnsi="宋体" w:cs="宋体"/>
                <w:kern w:val="0"/>
                <w:sz w:val="24"/>
              </w:rPr>
              <w:t>具有《质量服务诚信单位认证》、《重合同守信用企业认证》、《诚信经营示范单位认证》、《信用等级认证》</w:t>
            </w:r>
            <w:r>
              <w:rPr>
                <w:rFonts w:hint="eastAsia" w:ascii="宋体" w:hAnsi="宋体" w:cs="宋体"/>
                <w:kern w:val="0"/>
                <w:sz w:val="24"/>
                <w:lang w:val="en-US" w:eastAsia="zh-CN"/>
              </w:rPr>
              <w:t>证书，</w:t>
            </w:r>
            <w:r>
              <w:rPr>
                <w:rFonts w:hint="eastAsia" w:ascii="宋体" w:hAnsi="宋体" w:cs="宋体"/>
                <w:kern w:val="0"/>
                <w:sz w:val="24"/>
              </w:rPr>
              <w:t>且在有效期内</w:t>
            </w:r>
            <w:r>
              <w:rPr>
                <w:rFonts w:hint="eastAsia" w:ascii="宋体" w:hAnsi="宋体" w:cs="宋体"/>
                <w:kern w:val="0"/>
                <w:sz w:val="24"/>
                <w:lang w:val="en-US" w:eastAsia="zh-CN"/>
              </w:rPr>
              <w:t>每提供一个证书得,1分，最高得4分，</w:t>
            </w:r>
            <w:r>
              <w:rPr>
                <w:rFonts w:hint="eastAsia" w:ascii="宋体" w:hAnsi="宋体" w:cs="宋体"/>
                <w:kern w:val="0"/>
                <w:sz w:val="24"/>
              </w:rPr>
              <w:t>不具备不得分</w:t>
            </w:r>
            <w:r>
              <w:rPr>
                <w:rFonts w:hint="eastAsia" w:ascii="宋体" w:hAnsi="宋体" w:cs="宋体"/>
                <w:kern w:val="0"/>
                <w:sz w:val="24"/>
                <w:lang w:eastAsia="zh-CN"/>
              </w:rPr>
              <w:t>。</w:t>
            </w:r>
          </w:p>
        </w:tc>
      </w:tr>
      <w:tr w14:paraId="4BC06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13" w:hRule="atLeast"/>
        </w:trPr>
        <w:tc>
          <w:tcPr>
            <w:tcW w:w="705" w:type="dxa"/>
            <w:vMerge w:val="continue"/>
            <w:tcBorders>
              <w:left w:val="single" w:color="000000" w:sz="4" w:space="0"/>
            </w:tcBorders>
          </w:tcPr>
          <w:p w14:paraId="2086C1BD">
            <w:pPr>
              <w:pStyle w:val="75"/>
              <w:adjustRightInd w:val="0"/>
              <w:snapToGrid w:val="0"/>
              <w:spacing w:line="360" w:lineRule="auto"/>
              <w:rPr>
                <w:sz w:val="24"/>
                <w:szCs w:val="24"/>
              </w:rPr>
            </w:pPr>
          </w:p>
        </w:tc>
        <w:tc>
          <w:tcPr>
            <w:tcW w:w="1473" w:type="dxa"/>
            <w:shd w:val="clear" w:color="auto" w:fill="auto"/>
            <w:vAlign w:val="center"/>
          </w:tcPr>
          <w:p w14:paraId="15FDF890">
            <w:pPr>
              <w:adjustRightInd w:val="0"/>
              <w:snapToGrid w:val="0"/>
              <w:spacing w:line="360" w:lineRule="auto"/>
              <w:jc w:val="center"/>
              <w:rPr>
                <w:rFonts w:hint="eastAsia" w:ascii="Times New Roman" w:hAnsi="Times New Roman" w:eastAsia="宋体" w:cs="Times New Roman"/>
                <w:kern w:val="2"/>
                <w:sz w:val="24"/>
                <w:lang w:val="en-US" w:eastAsia="zh-CN" w:bidi="ar-SA"/>
              </w:rPr>
            </w:pPr>
            <w:r>
              <w:rPr>
                <w:rFonts w:hint="eastAsia"/>
                <w:sz w:val="24"/>
                <w:lang w:val="en-US" w:eastAsia="zh-CN"/>
              </w:rPr>
              <w:t>9</w:t>
            </w:r>
          </w:p>
        </w:tc>
        <w:tc>
          <w:tcPr>
            <w:tcW w:w="795" w:type="dxa"/>
            <w:gridSpan w:val="2"/>
            <w:shd w:val="clear" w:color="auto" w:fill="auto"/>
            <w:vAlign w:val="center"/>
          </w:tcPr>
          <w:p w14:paraId="53FC735F">
            <w:pPr>
              <w:pStyle w:val="75"/>
              <w:adjustRightInd w:val="0"/>
              <w:snapToGrid w:val="0"/>
              <w:spacing w:line="360" w:lineRule="auto"/>
              <w:ind w:left="105" w:leftChars="0"/>
              <w:jc w:val="center"/>
              <w:rPr>
                <w:rFonts w:ascii="宋体" w:hAnsi="宋体" w:eastAsia="宋体" w:cs="宋体"/>
                <w:kern w:val="2"/>
                <w:sz w:val="24"/>
                <w:szCs w:val="24"/>
                <w:lang w:val="zh-CN" w:eastAsia="zh-CN" w:bidi="zh-CN"/>
              </w:rPr>
            </w:pPr>
            <w:r>
              <w:rPr>
                <w:rFonts w:hint="eastAsia" w:cs="宋体"/>
                <w:sz w:val="24"/>
                <w:szCs w:val="24"/>
                <w:lang w:val="en-US" w:eastAsia="zh-CN"/>
              </w:rPr>
              <w:t>3</w:t>
            </w:r>
            <w:r>
              <w:rPr>
                <w:rFonts w:hint="eastAsia" w:ascii="宋体" w:hAnsi="宋体" w:cs="宋体"/>
                <w:sz w:val="24"/>
                <w:szCs w:val="24"/>
              </w:rPr>
              <w:t>分</w:t>
            </w:r>
          </w:p>
        </w:tc>
        <w:tc>
          <w:tcPr>
            <w:tcW w:w="6282" w:type="dxa"/>
            <w:tcBorders>
              <w:right w:val="single" w:color="000000" w:sz="4" w:space="0"/>
            </w:tcBorders>
            <w:shd w:val="clear" w:color="auto" w:fill="auto"/>
            <w:vAlign w:val="top"/>
          </w:tcPr>
          <w:p w14:paraId="5E5E9F97">
            <w:pPr>
              <w:adjustRightInd w:val="0"/>
              <w:snapToGrid w:val="0"/>
              <w:spacing w:line="360" w:lineRule="auto"/>
              <w:rPr>
                <w:rFonts w:hint="eastAsia" w:ascii="宋体" w:hAnsi="宋体" w:eastAsia="宋体" w:cs="宋体"/>
                <w:kern w:val="0"/>
                <w:sz w:val="24"/>
                <w:lang w:val="en-US" w:eastAsia="zh-CN" w:bidi="ar-SA"/>
              </w:rPr>
            </w:pPr>
            <w:r>
              <w:rPr>
                <w:rFonts w:hint="eastAsia" w:ascii="宋体" w:hAnsi="宋体" w:cs="宋体"/>
                <w:kern w:val="0"/>
                <w:sz w:val="24"/>
              </w:rPr>
              <w:t>项目经理具有全国物业管理从业人员岗位证书，具有专科学历，并具有大型项目管理经验，具有</w:t>
            </w:r>
            <w:r>
              <w:rPr>
                <w:rFonts w:hint="eastAsia" w:ascii="宋体" w:hAnsi="宋体" w:cs="宋体"/>
                <w:kern w:val="0"/>
                <w:sz w:val="24"/>
                <w:lang w:val="en-US" w:eastAsia="zh-CN"/>
              </w:rPr>
              <w:t>市级以上</w:t>
            </w:r>
            <w:r>
              <w:rPr>
                <w:rFonts w:hint="eastAsia" w:ascii="宋体" w:hAnsi="宋体" w:cs="宋体"/>
                <w:kern w:val="0"/>
                <w:sz w:val="24"/>
              </w:rPr>
              <w:t>荣誉证书，得</w:t>
            </w:r>
            <w:r>
              <w:rPr>
                <w:rFonts w:hint="eastAsia" w:ascii="宋体" w:hAnsi="宋体" w:cs="宋体"/>
                <w:kern w:val="0"/>
                <w:sz w:val="24"/>
                <w:lang w:val="en-US" w:eastAsia="zh-CN"/>
              </w:rPr>
              <w:t>3</w:t>
            </w:r>
            <w:r>
              <w:rPr>
                <w:rFonts w:hint="eastAsia" w:ascii="宋体" w:hAnsi="宋体" w:cs="宋体"/>
                <w:kern w:val="0"/>
                <w:sz w:val="24"/>
              </w:rPr>
              <w:t>分，不具备不得分</w:t>
            </w:r>
            <w:r>
              <w:rPr>
                <w:rFonts w:hint="eastAsia" w:ascii="宋体" w:hAnsi="宋体" w:cs="宋体"/>
                <w:kern w:val="0"/>
                <w:sz w:val="24"/>
                <w:lang w:eastAsia="zh-CN"/>
              </w:rPr>
              <w:t>。</w:t>
            </w:r>
          </w:p>
        </w:tc>
      </w:tr>
      <w:tr w14:paraId="7AABC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0" w:hRule="atLeast"/>
        </w:trPr>
        <w:tc>
          <w:tcPr>
            <w:tcW w:w="705" w:type="dxa"/>
            <w:vMerge w:val="continue"/>
            <w:tcBorders>
              <w:left w:val="single" w:color="000000" w:sz="4" w:space="0"/>
            </w:tcBorders>
          </w:tcPr>
          <w:p w14:paraId="36B3301D">
            <w:pPr>
              <w:pStyle w:val="75"/>
              <w:adjustRightInd w:val="0"/>
              <w:snapToGrid w:val="0"/>
              <w:spacing w:line="360" w:lineRule="auto"/>
              <w:rPr>
                <w:sz w:val="24"/>
                <w:szCs w:val="24"/>
              </w:rPr>
            </w:pPr>
          </w:p>
        </w:tc>
        <w:tc>
          <w:tcPr>
            <w:tcW w:w="1473" w:type="dxa"/>
            <w:shd w:val="clear" w:color="auto" w:fill="auto"/>
            <w:vAlign w:val="center"/>
          </w:tcPr>
          <w:p w14:paraId="6C30B3EA">
            <w:pPr>
              <w:adjustRightInd w:val="0"/>
              <w:snapToGrid w:val="0"/>
              <w:spacing w:line="360" w:lineRule="auto"/>
              <w:jc w:val="center"/>
              <w:rPr>
                <w:rFonts w:hint="eastAsia" w:ascii="Times New Roman" w:hAnsi="Times New Roman" w:eastAsia="宋体" w:cs="Times New Roman"/>
                <w:kern w:val="2"/>
                <w:sz w:val="24"/>
                <w:lang w:val="en-US" w:eastAsia="zh-CN" w:bidi="ar-SA"/>
              </w:rPr>
            </w:pPr>
            <w:r>
              <w:rPr>
                <w:rFonts w:hint="eastAsia"/>
                <w:sz w:val="24"/>
                <w:lang w:val="en-US" w:eastAsia="zh-CN"/>
              </w:rPr>
              <w:t>10</w:t>
            </w:r>
          </w:p>
        </w:tc>
        <w:tc>
          <w:tcPr>
            <w:tcW w:w="795" w:type="dxa"/>
            <w:gridSpan w:val="2"/>
            <w:shd w:val="clear" w:color="auto" w:fill="auto"/>
            <w:vAlign w:val="center"/>
          </w:tcPr>
          <w:p w14:paraId="2A7A794F">
            <w:pPr>
              <w:pStyle w:val="75"/>
              <w:adjustRightInd w:val="0"/>
              <w:snapToGrid w:val="0"/>
              <w:spacing w:line="360" w:lineRule="auto"/>
              <w:ind w:left="105" w:leftChars="0"/>
              <w:jc w:val="center"/>
              <w:rPr>
                <w:rFonts w:ascii="宋体" w:hAnsi="宋体" w:eastAsia="宋体" w:cs="宋体"/>
                <w:kern w:val="2"/>
                <w:sz w:val="24"/>
                <w:szCs w:val="24"/>
                <w:lang w:val="zh-CN" w:eastAsia="zh-CN" w:bidi="zh-CN"/>
              </w:rPr>
            </w:pPr>
            <w:r>
              <w:rPr>
                <w:rFonts w:hint="eastAsia" w:cs="宋体"/>
                <w:sz w:val="24"/>
                <w:szCs w:val="24"/>
                <w:lang w:val="en-US" w:eastAsia="zh-CN"/>
              </w:rPr>
              <w:t>9</w:t>
            </w:r>
            <w:r>
              <w:rPr>
                <w:rFonts w:hint="eastAsia" w:ascii="宋体" w:hAnsi="宋体" w:cs="宋体"/>
                <w:sz w:val="24"/>
                <w:szCs w:val="24"/>
              </w:rPr>
              <w:t>分</w:t>
            </w:r>
          </w:p>
        </w:tc>
        <w:tc>
          <w:tcPr>
            <w:tcW w:w="6282" w:type="dxa"/>
            <w:tcBorders>
              <w:right w:val="single" w:color="000000" w:sz="4" w:space="0"/>
            </w:tcBorders>
            <w:shd w:val="clear" w:color="auto" w:fill="auto"/>
            <w:vAlign w:val="top"/>
          </w:tcPr>
          <w:p w14:paraId="20E32A70">
            <w:pPr>
              <w:adjustRightInd w:val="0"/>
              <w:snapToGrid w:val="0"/>
              <w:spacing w:line="360" w:lineRule="auto"/>
              <w:rPr>
                <w:rFonts w:hint="eastAsia" w:ascii="宋体" w:hAnsi="宋体" w:eastAsia="宋体" w:cs="宋体"/>
                <w:kern w:val="0"/>
                <w:sz w:val="24"/>
                <w:lang w:val="en-US" w:eastAsia="zh-CN" w:bidi="ar-SA"/>
              </w:rPr>
            </w:pPr>
            <w:r>
              <w:rPr>
                <w:rFonts w:hint="eastAsia" w:ascii="宋体" w:hAnsi="宋体" w:cs="宋体"/>
                <w:sz w:val="24"/>
              </w:rPr>
              <w:t>每提供一个</w:t>
            </w:r>
            <w:r>
              <w:rPr>
                <w:rFonts w:hint="eastAsia" w:cs="宋体"/>
                <w:sz w:val="24"/>
              </w:rPr>
              <w:t>类似业绩</w:t>
            </w:r>
            <w:r>
              <w:rPr>
                <w:rFonts w:hint="eastAsia" w:ascii="宋体" w:hAnsi="宋体" w:cs="宋体"/>
                <w:sz w:val="24"/>
              </w:rPr>
              <w:t>得</w:t>
            </w:r>
            <w:r>
              <w:rPr>
                <w:rFonts w:hint="eastAsia" w:cs="宋体"/>
                <w:sz w:val="24"/>
                <w:lang w:val="en-US" w:eastAsia="zh-CN"/>
              </w:rPr>
              <w:t>3</w:t>
            </w:r>
            <w:r>
              <w:rPr>
                <w:rFonts w:hint="eastAsia" w:ascii="宋体" w:hAnsi="宋体" w:cs="宋体"/>
                <w:sz w:val="24"/>
              </w:rPr>
              <w:t>分，最高得</w:t>
            </w:r>
            <w:r>
              <w:rPr>
                <w:rFonts w:hint="eastAsia" w:cs="宋体"/>
                <w:sz w:val="24"/>
                <w:lang w:val="en-US" w:eastAsia="zh-CN"/>
              </w:rPr>
              <w:t>9</w:t>
            </w:r>
            <w:r>
              <w:rPr>
                <w:rFonts w:hint="eastAsia" w:ascii="宋体" w:hAnsi="宋体" w:cs="宋体"/>
                <w:sz w:val="24"/>
              </w:rPr>
              <w:t>分，需</w:t>
            </w:r>
            <w:r>
              <w:rPr>
                <w:rFonts w:hint="eastAsia" w:ascii="宋体" w:hAnsi="宋体" w:cs="宋体"/>
                <w:kern w:val="0"/>
                <w:sz w:val="24"/>
              </w:rPr>
              <w:t>提供中标通知书，合同</w:t>
            </w:r>
            <w:r>
              <w:rPr>
                <w:rFonts w:hint="eastAsia" w:cs="宋体"/>
                <w:kern w:val="0"/>
                <w:sz w:val="24"/>
                <w:lang w:eastAsia="zh-CN"/>
              </w:rPr>
              <w:t>。</w:t>
            </w:r>
            <w:r>
              <w:rPr>
                <w:rFonts w:hint="eastAsia" w:ascii="宋体" w:hAnsi="宋体" w:cs="宋体"/>
                <w:kern w:val="0"/>
                <w:sz w:val="24"/>
              </w:rPr>
              <w:t>不具备</w:t>
            </w:r>
            <w:r>
              <w:rPr>
                <w:rFonts w:hint="eastAsia" w:ascii="宋体" w:hAnsi="宋体" w:cs="宋体"/>
                <w:sz w:val="24"/>
              </w:rPr>
              <w:t>不得分</w:t>
            </w:r>
          </w:p>
        </w:tc>
      </w:tr>
    </w:tbl>
    <w:p w14:paraId="55A36DDC">
      <w:pPr>
        <w:pStyle w:val="80"/>
        <w:spacing w:after="120"/>
        <w:ind w:firstLine="440"/>
        <w:rPr>
          <w:rFonts w:hint="eastAsia"/>
        </w:rPr>
      </w:pPr>
    </w:p>
    <w:p w14:paraId="7A5816B7">
      <w:pPr>
        <w:widowControl/>
        <w:wordWrap w:val="0"/>
        <w:spacing w:line="440" w:lineRule="exact"/>
        <w:ind w:firstLine="482" w:firstLineChars="200"/>
        <w:jc w:val="left"/>
        <w:rPr>
          <w:rFonts w:hint="eastAsia" w:ascii="宋体" w:hAnsi="宋体" w:cs="宋体"/>
          <w:b/>
          <w:bCs/>
          <w:kern w:val="0"/>
          <w:sz w:val="24"/>
        </w:rPr>
      </w:pPr>
      <w:r>
        <w:rPr>
          <w:rFonts w:hint="eastAsia" w:ascii="宋体" w:hAnsi="宋体" w:cs="宋体"/>
          <w:b/>
          <w:bCs/>
          <w:kern w:val="0"/>
          <w:sz w:val="24"/>
        </w:rPr>
        <w:t>得分的计算</w:t>
      </w:r>
    </w:p>
    <w:p w14:paraId="556B25E8">
      <w:pPr>
        <w:widowControl/>
        <w:wordWrap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评标委员会成员评分</w:t>
      </w:r>
      <w:r>
        <w:rPr>
          <w:rFonts w:hint="eastAsia" w:ascii="宋体" w:hAnsi="宋体" w:cs="宋体"/>
          <w:bCs/>
          <w:kern w:val="0"/>
          <w:sz w:val="24"/>
        </w:rPr>
        <w:t>=价格分+技术分+商务分+资信及其他分</w:t>
      </w:r>
    </w:p>
    <w:p w14:paraId="64933D8B">
      <w:pPr>
        <w:widowControl/>
        <w:wordWrap w:val="0"/>
        <w:spacing w:line="440" w:lineRule="exact"/>
        <w:ind w:firstLine="480" w:firstLineChars="200"/>
        <w:jc w:val="left"/>
        <w:rPr>
          <w:rFonts w:hint="eastAsia" w:ascii="宋体" w:hAnsi="宋体" w:cs="宋体"/>
          <w:kern w:val="0"/>
          <w:sz w:val="24"/>
        </w:rPr>
      </w:pPr>
      <w:r>
        <w:rPr>
          <w:rFonts w:hint="eastAsia" w:ascii="宋体" w:hAnsi="宋体" w:cs="宋体"/>
          <w:kern w:val="0"/>
          <w:sz w:val="24"/>
        </w:rPr>
        <w:t>评标总得分=评标委员会所有成员合计总分/评标委员会组成人员数</w:t>
      </w:r>
    </w:p>
    <w:p w14:paraId="6A5A66C7">
      <w:pPr>
        <w:pStyle w:val="80"/>
        <w:spacing w:after="120"/>
        <w:ind w:firstLine="440"/>
        <w:rPr>
          <w:rFonts w:hint="eastAsia"/>
        </w:rPr>
      </w:pPr>
    </w:p>
    <w:p w14:paraId="28AD8035">
      <w:pPr>
        <w:pStyle w:val="80"/>
        <w:spacing w:after="120"/>
        <w:ind w:firstLine="0" w:firstLineChars="0"/>
        <w:rPr>
          <w:rFonts w:hint="eastAsia" w:ascii="黑体" w:hAnsi="宋体" w:eastAsia="黑体" w:cs="宋体"/>
          <w:b/>
          <w:sz w:val="36"/>
          <w:szCs w:val="36"/>
        </w:rPr>
      </w:pPr>
    </w:p>
    <w:p w14:paraId="22AC4656">
      <w:pPr>
        <w:pStyle w:val="80"/>
        <w:spacing w:after="120"/>
        <w:ind w:firstLine="0" w:firstLineChars="0"/>
        <w:rPr>
          <w:rFonts w:hint="eastAsia" w:ascii="黑体" w:hAnsi="宋体" w:eastAsia="黑体" w:cs="宋体"/>
          <w:b/>
          <w:sz w:val="36"/>
          <w:szCs w:val="36"/>
        </w:rPr>
      </w:pPr>
    </w:p>
    <w:p w14:paraId="11264B9B">
      <w:pPr>
        <w:pStyle w:val="80"/>
        <w:spacing w:after="120"/>
        <w:ind w:firstLine="0" w:firstLineChars="0"/>
        <w:rPr>
          <w:rFonts w:hint="eastAsia" w:ascii="黑体" w:hAnsi="宋体" w:eastAsia="黑体" w:cs="宋体"/>
          <w:b/>
          <w:sz w:val="36"/>
          <w:szCs w:val="36"/>
        </w:rPr>
      </w:pPr>
    </w:p>
    <w:p w14:paraId="1EBA6FAF">
      <w:pPr>
        <w:pStyle w:val="80"/>
        <w:spacing w:after="120"/>
        <w:ind w:firstLine="0" w:firstLineChars="0"/>
        <w:rPr>
          <w:rFonts w:hint="eastAsia" w:ascii="黑体" w:hAnsi="宋体" w:eastAsia="黑体" w:cs="宋体"/>
          <w:b/>
          <w:sz w:val="36"/>
          <w:szCs w:val="36"/>
        </w:rPr>
      </w:pPr>
    </w:p>
    <w:p w14:paraId="22323B59">
      <w:pPr>
        <w:pStyle w:val="80"/>
        <w:spacing w:after="120"/>
        <w:ind w:firstLine="0" w:firstLineChars="0"/>
        <w:rPr>
          <w:rFonts w:hint="eastAsia" w:ascii="黑体" w:hAnsi="宋体" w:eastAsia="黑体" w:cs="宋体"/>
          <w:b/>
          <w:sz w:val="36"/>
          <w:szCs w:val="36"/>
        </w:rPr>
      </w:pPr>
    </w:p>
    <w:p w14:paraId="690D62A6">
      <w:pPr>
        <w:pStyle w:val="80"/>
        <w:spacing w:after="120"/>
        <w:ind w:firstLine="0" w:firstLineChars="0"/>
        <w:rPr>
          <w:rFonts w:hint="eastAsia" w:ascii="黑体" w:hAnsi="宋体" w:eastAsia="黑体" w:cs="宋体"/>
          <w:b/>
          <w:sz w:val="36"/>
          <w:szCs w:val="36"/>
        </w:rPr>
      </w:pPr>
    </w:p>
    <w:p w14:paraId="0FBF676D">
      <w:pPr>
        <w:pStyle w:val="80"/>
        <w:spacing w:after="120"/>
        <w:ind w:firstLine="0" w:firstLineChars="0"/>
        <w:rPr>
          <w:rFonts w:hint="eastAsia" w:ascii="黑体" w:hAnsi="宋体" w:eastAsia="黑体" w:cs="宋体"/>
          <w:b/>
          <w:sz w:val="36"/>
          <w:szCs w:val="36"/>
        </w:rPr>
      </w:pPr>
    </w:p>
    <w:p w14:paraId="763B351E">
      <w:pPr>
        <w:pStyle w:val="80"/>
        <w:spacing w:after="120"/>
        <w:ind w:firstLine="0" w:firstLineChars="0"/>
        <w:rPr>
          <w:rFonts w:hint="eastAsia" w:ascii="黑体" w:hAnsi="宋体" w:eastAsia="黑体" w:cs="宋体"/>
          <w:b/>
          <w:sz w:val="36"/>
          <w:szCs w:val="36"/>
        </w:rPr>
      </w:pPr>
    </w:p>
    <w:p w14:paraId="4FA06CBD">
      <w:pPr>
        <w:pStyle w:val="80"/>
        <w:spacing w:after="120"/>
        <w:ind w:firstLine="0" w:firstLineChars="0"/>
        <w:rPr>
          <w:rFonts w:hint="eastAsia" w:ascii="黑体" w:hAnsi="宋体" w:eastAsia="黑体" w:cs="宋体"/>
          <w:b/>
          <w:sz w:val="36"/>
          <w:szCs w:val="36"/>
        </w:rPr>
      </w:pPr>
    </w:p>
    <w:p w14:paraId="225AF9BA">
      <w:pPr>
        <w:pStyle w:val="80"/>
        <w:spacing w:after="120"/>
        <w:ind w:firstLine="0" w:firstLineChars="0"/>
        <w:rPr>
          <w:rFonts w:hint="eastAsia" w:ascii="黑体" w:hAnsi="宋体" w:eastAsia="黑体" w:cs="宋体"/>
          <w:b/>
          <w:sz w:val="36"/>
          <w:szCs w:val="36"/>
        </w:rPr>
      </w:pPr>
    </w:p>
    <w:p w14:paraId="0BBE27D5">
      <w:pPr>
        <w:widowControl/>
        <w:spacing w:line="360" w:lineRule="auto"/>
        <w:jc w:val="center"/>
        <w:rPr>
          <w:rFonts w:ascii="黑体" w:hAnsi="宋体" w:eastAsia="黑体" w:cs="宋体"/>
          <w:b/>
          <w:kern w:val="0"/>
          <w:sz w:val="36"/>
          <w:szCs w:val="36"/>
        </w:rPr>
      </w:pPr>
      <w:r>
        <w:rPr>
          <w:rFonts w:hint="eastAsia" w:ascii="黑体" w:hAnsi="宋体" w:eastAsia="黑体" w:cs="宋体"/>
          <w:b/>
          <w:kern w:val="0"/>
          <w:sz w:val="36"/>
          <w:szCs w:val="36"/>
        </w:rPr>
        <w:t>第五章 政府采购合同（主要条款）</w:t>
      </w:r>
    </w:p>
    <w:p w14:paraId="13BCE083">
      <w:pPr>
        <w:ind w:firstLine="560" w:firstLineChars="200"/>
        <w:rPr>
          <w:rFonts w:hint="eastAsia" w:ascii="宋体" w:hAnsi="宋体" w:cs="宋体"/>
          <w:kern w:val="0"/>
          <w:sz w:val="28"/>
          <w:szCs w:val="28"/>
        </w:rPr>
      </w:pPr>
      <w:r>
        <w:rPr>
          <w:rFonts w:hint="eastAsia" w:ascii="宋体" w:hAnsi="宋体" w:cs="宋体"/>
          <w:kern w:val="0"/>
          <w:sz w:val="28"/>
          <w:szCs w:val="28"/>
        </w:rPr>
        <w:t>（采购人可根据采购项目的实际情况增减条款和内容）</w:t>
      </w:r>
    </w:p>
    <w:p w14:paraId="38846802">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项目名称：                                    项目编号： </w:t>
      </w:r>
    </w:p>
    <w:p w14:paraId="50283B8B">
      <w:pPr>
        <w:keepNext w:val="0"/>
        <w:keepLines w:val="0"/>
        <w:widowControl/>
        <w:suppressLineNumbers w:val="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甲方：（采购人） </w:t>
      </w:r>
    </w:p>
    <w:p w14:paraId="2FE6A0A1">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乙方：（中标人） </w:t>
      </w:r>
    </w:p>
    <w:p w14:paraId="5A6668E4">
      <w:pPr>
        <w:keepNext w:val="0"/>
        <w:keepLines w:val="0"/>
        <w:widowControl/>
        <w:suppressLineNumbers w:val="0"/>
        <w:ind w:firstLine="560" w:firstLineChars="200"/>
        <w:jc w:val="left"/>
      </w:pPr>
      <w:r>
        <w:rPr>
          <w:rFonts w:hint="eastAsia" w:ascii="宋体" w:hAnsi="宋体" w:eastAsia="宋体" w:cs="宋体"/>
          <w:color w:val="000000"/>
          <w:kern w:val="0"/>
          <w:sz w:val="28"/>
          <w:szCs w:val="28"/>
          <w:lang w:val="en-US" w:eastAsia="zh-CN" w:bidi="ar"/>
        </w:rPr>
        <w:t xml:space="preserve">甲、乙双方根据《中华人民共和国政府采购法》、《中华人民共和国民法典》等法律法规的规定，按照 （招标编号）的招标结果签订本合同。 </w:t>
      </w:r>
    </w:p>
    <w:p w14:paraId="073B3B29">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1.服务内容： </w:t>
      </w:r>
    </w:p>
    <w:p w14:paraId="149D430E">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2.合同金额 </w:t>
      </w:r>
    </w:p>
    <w:p w14:paraId="11021E81">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本合同金额为人民币（大写）：______元（￥______元）。 </w:t>
      </w:r>
    </w:p>
    <w:p w14:paraId="359102AF">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3.服务期限和服务地点 </w:t>
      </w:r>
    </w:p>
    <w:p w14:paraId="5272DF77">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3.1 服务期限： </w:t>
      </w:r>
    </w:p>
    <w:p w14:paraId="3717F91F">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3.2 服务地点： </w:t>
      </w:r>
    </w:p>
    <w:p w14:paraId="4E109AAB">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4.付款方式 </w:t>
      </w:r>
    </w:p>
    <w:p w14:paraId="180D3B54">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付款方式： </w:t>
      </w:r>
    </w:p>
    <w:p w14:paraId="5C65673D">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5.税费 </w:t>
      </w:r>
    </w:p>
    <w:p w14:paraId="62A3172E">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本合同执行中相关的一切税费均由乙方负担。 </w:t>
      </w:r>
    </w:p>
    <w:p w14:paraId="3B86BE46">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6.技术资料 </w:t>
      </w:r>
    </w:p>
    <w:p w14:paraId="4C84A5BF">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没有甲方事先书面同意，乙方不得将由甲方提供的有关合同或任何合同条文、规格、计划、图纸等资料提供给与履行本合同无关的任何其他人。 </w:t>
      </w:r>
    </w:p>
    <w:p w14:paraId="514B2968">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7.知识产权 </w:t>
      </w:r>
    </w:p>
    <w:p w14:paraId="1CEAD131">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乙方保证所提供的货物或其任何一部分均不会侵犯任何第三方的知识产权。 </w:t>
      </w:r>
    </w:p>
    <w:p w14:paraId="5DE3C7CF">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8.无产权瑕疵条款 </w:t>
      </w:r>
    </w:p>
    <w:p w14:paraId="301CD762">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乙方保证所提供的服务的所有权完全属于乙方且无任何抵押、查封等产权瑕疵。如有产权瑕疵的，视为乙方违约。乙方应负担由此而产生的一切损失。 </w:t>
      </w:r>
    </w:p>
    <w:p w14:paraId="6B09DB66">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9.履约保证金的收取及退还 </w:t>
      </w:r>
    </w:p>
    <w:p w14:paraId="0BF33932">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9.1 在签订合同时乙方向甲方缴纳中标金额的 % 元的履约保证金（不超过中标金额的 10%。履约保证金可以采用现金、现金支票、银行汇票、履约担保函等形式交纳。以履约担保函的形式交纳的，投标人应提交驻马店市政府采购专业信用担保机构出具的履约担保函。以现金、现金支票、银行汇票的形式交纳的，采购人在中标供应商按合同约定交服务毕并验收合格后 10 个工作日内无息退还该款。 </w:t>
      </w:r>
    </w:p>
    <w:p w14:paraId="5AAC796B">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9.2 履约保证金作为违约金的一部分及用于补偿甲方因乙方不能履行合同义务而蒙受的损失。 </w:t>
      </w:r>
    </w:p>
    <w:p w14:paraId="11AA2AFE">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10.转包或分包 </w:t>
      </w:r>
    </w:p>
    <w:p w14:paraId="4D58F500">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10.1 本合同范围的服务乙方不得以任何方式和形式进行转包和分包。 </w:t>
      </w:r>
    </w:p>
    <w:p w14:paraId="7F11E4A5">
      <w:pPr>
        <w:keepNext w:val="0"/>
        <w:keepLines w:val="0"/>
        <w:widowControl/>
        <w:suppressLineNumbers w:val="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10.2 乙方如有转包和分包的行为，甲方有权给予终止合同。</w:t>
      </w:r>
    </w:p>
    <w:p w14:paraId="040C7A1C">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11.质量保证 </w:t>
      </w:r>
    </w:p>
    <w:p w14:paraId="0DBBF998">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乙方应提供优质服务，保证服务质量，且不能低于合同规定的范围和种类。 </w:t>
      </w:r>
    </w:p>
    <w:p w14:paraId="64C0DF83">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12.验收 </w:t>
      </w:r>
    </w:p>
    <w:p w14:paraId="62E6551F">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验收严格按照招标文件和投标文件规定的标准进行验收。 </w:t>
      </w:r>
    </w:p>
    <w:p w14:paraId="4309A766">
      <w:pPr>
        <w:keepNext w:val="0"/>
        <w:keepLines w:val="0"/>
        <w:widowControl/>
        <w:numPr>
          <w:ilvl w:val="0"/>
          <w:numId w:val="4"/>
        </w:numPr>
        <w:suppressLineNumbers w:val="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 xml:space="preserve">甲方的权利和义务 </w:t>
      </w:r>
    </w:p>
    <w:p w14:paraId="12C859AC">
      <w:pPr>
        <w:keepNext w:val="0"/>
        <w:keepLines w:val="0"/>
        <w:widowControl/>
        <w:numPr>
          <w:ilvl w:val="0"/>
          <w:numId w:val="0"/>
        </w:numPr>
        <w:suppressLineNumbers w:val="0"/>
        <w:jc w:val="left"/>
      </w:pPr>
      <w:r>
        <w:rPr>
          <w:rFonts w:hint="eastAsia" w:ascii="宋体" w:hAnsi="宋体" w:eastAsia="宋体" w:cs="宋体"/>
          <w:color w:val="000000"/>
          <w:kern w:val="0"/>
          <w:sz w:val="28"/>
          <w:szCs w:val="28"/>
          <w:lang w:val="en-US" w:eastAsia="zh-CN" w:bidi="ar"/>
        </w:rPr>
        <w:t xml:space="preserve">13.1 甲方有权对合同规定范围内乙方的服务行为进行监督和检查，拥有监管权。有权定期核对乙方提供服务所配备的人员数量等。 对乙方未按照合同履行的部分有权下达整改通知书，并要求乙方限期整改。 </w:t>
      </w:r>
    </w:p>
    <w:p w14:paraId="2F6F8690">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13.2 甲方有权依据双方签订的考评办法对乙方提供的服务进行定期考评。当考评结果未达到标准时，有权依据考评办法约定的数额扣除履约保证金。 </w:t>
      </w:r>
    </w:p>
    <w:p w14:paraId="7860C5D0">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13.3 负责检查监督乙方管理工作的实施及制度的执行情况。 </w:t>
      </w:r>
    </w:p>
    <w:p w14:paraId="321BD2D3">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13.4 国家法律、法规所规定由甲方承担的其它责任。 </w:t>
      </w:r>
    </w:p>
    <w:p w14:paraId="5DC5346B">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14.乙方的权利和义务 </w:t>
      </w:r>
    </w:p>
    <w:p w14:paraId="05A4C502">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14.1 对本合同规定的委托服务范围内的项目享有管理权及服务义务。 </w:t>
      </w:r>
    </w:p>
    <w:p w14:paraId="2951E703">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14.2 对甲方下达整改通知书及时配合处理。 </w:t>
      </w:r>
    </w:p>
    <w:p w14:paraId="40AD59C3">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14.3 接受项目行业管理部门及政府有关部门的指导，接受甲方的监督。 </w:t>
      </w:r>
    </w:p>
    <w:p w14:paraId="53CE1AE7">
      <w:pPr>
        <w:keepNext w:val="0"/>
        <w:keepLines w:val="0"/>
        <w:widowControl/>
        <w:suppressLineNumbers w:val="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14.4 国家法律、法规所规定由乙方承担的其它责任。</w:t>
      </w:r>
    </w:p>
    <w:p w14:paraId="6451132A">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15. 违约责任 </w:t>
      </w:r>
    </w:p>
    <w:p w14:paraId="66AB5919">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15.1 甲乙双方必须遵守本合同并执行合同中的各项规定，保证本合同的正常履行。 </w:t>
      </w:r>
    </w:p>
    <w:p w14:paraId="538BD9A7">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15.2 如因乙方工作人员在履行职务过程中的疏忽、失职、过错等故意或者过失原因给甲方造成损失或侵害，包括但不限于甲方本身的财产损失、由此而导致的甲方对任何第三方的法律责任等，乙方对此均应承担全部的赔偿责任。 </w:t>
      </w:r>
    </w:p>
    <w:p w14:paraId="5AC8D0BA">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16.不可抗力事件处理 </w:t>
      </w:r>
    </w:p>
    <w:p w14:paraId="6D6F05A5">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16.1 因不可抗力造成违约的，遭受不可抗力一方应及时向对方通报不能履行或不能完全履行的理由，并在随后取得有关权威机构出具的证明后的 15 日内向另一方提供不可抗力发生以及持续期间的充分证据。基本于以上行为，允许遭受不可抗力一方延期履行、部分履行或者不履行合同，并根据情况可部分或全部免于承担违约责任。 </w:t>
      </w:r>
    </w:p>
    <w:p w14:paraId="611EE1DA">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16.2 本合同中的不可抗力指不能预见、不能避免并不能克服的客观情况。包括但不限于：自然灾害如地震、台风、洪水、火灾；政府行为、法律规定或其适用的变化或者其他任何无法预见、避免或者控制的事件。 </w:t>
      </w:r>
    </w:p>
    <w:p w14:paraId="1A671B7B">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17.合同纠纷处理 </w:t>
      </w:r>
    </w:p>
    <w:p w14:paraId="6B9DD6CD">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因本合同或与本合同有关的一切事项发生争议，由双方友好协商解决。协商不成的，任何一方均可选择以下方式解决： </w:t>
      </w:r>
    </w:p>
    <w:p w14:paraId="156C0424">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17.1 向甲方所在地仲裁委员会申请仲裁。 </w:t>
      </w:r>
    </w:p>
    <w:p w14:paraId="740EFCCE">
      <w:pPr>
        <w:keepNext w:val="0"/>
        <w:keepLines w:val="0"/>
        <w:widowControl/>
        <w:suppressLineNumbers w:val="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17.2 向合同签订地人民法院提起诉讼。</w:t>
      </w:r>
    </w:p>
    <w:p w14:paraId="6CD9DFBC">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18.违约解除合同 </w:t>
      </w:r>
    </w:p>
    <w:p w14:paraId="3B89C798">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18.1 违反本合同第 10 条的规定的。 </w:t>
      </w:r>
    </w:p>
    <w:p w14:paraId="10848B5F">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18.2 乙方未能履行合同规定的其它主要义务的。 </w:t>
      </w:r>
    </w:p>
    <w:p w14:paraId="117B5655">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18.3 在本合同履行过程中有腐败和欺诈行为的。 </w:t>
      </w:r>
    </w:p>
    <w:p w14:paraId="16CD92B1">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 xml:space="preserve">19.其他约定 </w:t>
      </w:r>
    </w:p>
    <w:p w14:paraId="2A93D359">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19.1 本采购项目的招标文件、中标供应商的投标文件以及相关的澄清确认函（如果有的话）均为本合同不可分割的一部分，与本合同具有同等法律效力。 </w:t>
      </w:r>
    </w:p>
    <w:p w14:paraId="5A51326D">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19.2 本合同未尽事宜，双方另行补充。 </w:t>
      </w:r>
    </w:p>
    <w:p w14:paraId="2C0956AD">
      <w:pPr>
        <w:keepNext w:val="0"/>
        <w:keepLines w:val="0"/>
        <w:widowControl/>
        <w:suppressLineNumbers w:val="0"/>
        <w:jc w:val="left"/>
      </w:pPr>
      <w:r>
        <w:rPr>
          <w:rFonts w:hint="eastAsia" w:ascii="宋体" w:hAnsi="宋体" w:eastAsia="宋体" w:cs="宋体"/>
          <w:color w:val="000000"/>
          <w:kern w:val="0"/>
          <w:sz w:val="28"/>
          <w:szCs w:val="28"/>
          <w:lang w:val="en-US" w:eastAsia="zh-CN" w:bidi="ar"/>
        </w:rPr>
        <w:t>19.3 本合同正本一式 份，具有同等法律效力，甲、乙双方各执一份。</w:t>
      </w:r>
    </w:p>
    <w:p w14:paraId="3B58CB24">
      <w:pPr>
        <w:keepNext w:val="0"/>
        <w:keepLines w:val="0"/>
        <w:widowControl/>
        <w:suppressLineNumbers w:val="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 xml:space="preserve">20.附件 </w:t>
      </w:r>
    </w:p>
    <w:p w14:paraId="3A27156F">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甲 方：                            乙 方： </w:t>
      </w:r>
    </w:p>
    <w:p w14:paraId="6076C298">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单位地址：                         单位地址： </w:t>
      </w:r>
    </w:p>
    <w:p w14:paraId="1B60C266">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法定代表人：                       法定代表人： </w:t>
      </w:r>
    </w:p>
    <w:p w14:paraId="0842043D">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委托代理人：                       委托代理人： </w:t>
      </w:r>
    </w:p>
    <w:p w14:paraId="00DCD0A3">
      <w:pPr>
        <w:keepNext w:val="0"/>
        <w:keepLines w:val="0"/>
        <w:widowControl/>
        <w:suppressLineNumbers w:val="0"/>
        <w:jc w:val="left"/>
      </w:pPr>
      <w:r>
        <w:rPr>
          <w:rFonts w:hint="eastAsia" w:ascii="宋体" w:hAnsi="宋体" w:eastAsia="宋体" w:cs="宋体"/>
          <w:color w:val="000000"/>
          <w:kern w:val="0"/>
          <w:sz w:val="28"/>
          <w:szCs w:val="28"/>
          <w:lang w:val="en-US" w:eastAsia="zh-CN" w:bidi="ar"/>
        </w:rPr>
        <w:t xml:space="preserve">电 话：                            电 话： </w:t>
      </w:r>
    </w:p>
    <w:p w14:paraId="6DA30EAA">
      <w:pPr>
        <w:keepNext w:val="0"/>
        <w:keepLines w:val="0"/>
        <w:widowControl/>
        <w:suppressLineNumbers w:val="0"/>
        <w:ind w:firstLine="5040" w:firstLineChars="1800"/>
        <w:jc w:val="left"/>
      </w:pPr>
      <w:r>
        <w:rPr>
          <w:rFonts w:hint="eastAsia" w:ascii="宋体" w:hAnsi="宋体" w:eastAsia="宋体" w:cs="宋体"/>
          <w:color w:val="000000"/>
          <w:kern w:val="0"/>
          <w:sz w:val="28"/>
          <w:szCs w:val="28"/>
          <w:lang w:val="en-US" w:eastAsia="zh-CN" w:bidi="ar"/>
        </w:rPr>
        <w:t>签订日期： 年 月 日</w:t>
      </w:r>
    </w:p>
    <w:p w14:paraId="606930D2">
      <w:pPr>
        <w:widowControl/>
        <w:snapToGrid w:val="0"/>
        <w:spacing w:line="440" w:lineRule="exact"/>
        <w:ind w:firstLine="3840" w:firstLineChars="1600"/>
        <w:jc w:val="left"/>
        <w:rPr>
          <w:rFonts w:hint="eastAsia" w:ascii="宋体" w:hAnsi="宋体" w:cs="宋体"/>
          <w:kern w:val="0"/>
          <w:sz w:val="24"/>
        </w:rPr>
      </w:pPr>
    </w:p>
    <w:p w14:paraId="2495BBEA">
      <w:pPr>
        <w:widowControl/>
        <w:wordWrap w:val="0"/>
        <w:snapToGrid w:val="0"/>
        <w:spacing w:line="460" w:lineRule="exact"/>
        <w:ind w:firstLine="480" w:firstLineChars="200"/>
        <w:jc w:val="center"/>
        <w:rPr>
          <w:rFonts w:hint="eastAsia" w:ascii="宋体" w:hAnsi="宋体" w:cs="宋体"/>
          <w:kern w:val="0"/>
          <w:sz w:val="24"/>
        </w:rPr>
      </w:pPr>
    </w:p>
    <w:p w14:paraId="6CD63BF4">
      <w:pPr>
        <w:widowControl/>
        <w:wordWrap w:val="0"/>
        <w:snapToGrid w:val="0"/>
        <w:spacing w:line="460" w:lineRule="exact"/>
        <w:ind w:firstLine="480" w:firstLineChars="200"/>
        <w:jc w:val="center"/>
        <w:rPr>
          <w:rFonts w:hint="eastAsia" w:ascii="宋体" w:hAnsi="宋体" w:cs="宋体"/>
          <w:kern w:val="0"/>
          <w:sz w:val="24"/>
        </w:rPr>
      </w:pPr>
    </w:p>
    <w:p w14:paraId="193C06CE">
      <w:pPr>
        <w:widowControl/>
        <w:wordWrap w:val="0"/>
        <w:snapToGrid w:val="0"/>
        <w:spacing w:line="460" w:lineRule="exact"/>
        <w:ind w:firstLine="480" w:firstLineChars="200"/>
        <w:jc w:val="center"/>
        <w:rPr>
          <w:rFonts w:hint="eastAsia" w:ascii="宋体" w:hAnsi="宋体" w:cs="宋体"/>
          <w:kern w:val="0"/>
          <w:sz w:val="24"/>
        </w:rPr>
      </w:pPr>
    </w:p>
    <w:p w14:paraId="5ABC1DA3">
      <w:pPr>
        <w:widowControl/>
        <w:wordWrap w:val="0"/>
        <w:snapToGrid w:val="0"/>
        <w:spacing w:line="460" w:lineRule="exact"/>
        <w:jc w:val="both"/>
        <w:rPr>
          <w:rFonts w:hint="eastAsia" w:ascii="宋体" w:hAnsi="宋体" w:cs="宋体"/>
          <w:kern w:val="0"/>
          <w:sz w:val="24"/>
        </w:rPr>
      </w:pPr>
    </w:p>
    <w:p w14:paraId="4351048B">
      <w:pPr>
        <w:widowControl/>
        <w:wordWrap w:val="0"/>
        <w:snapToGrid w:val="0"/>
        <w:spacing w:line="460" w:lineRule="exact"/>
        <w:ind w:firstLine="480" w:firstLineChars="200"/>
        <w:jc w:val="center"/>
        <w:rPr>
          <w:rFonts w:hint="eastAsia" w:ascii="宋体" w:hAnsi="宋体" w:cs="宋体"/>
          <w:kern w:val="0"/>
          <w:sz w:val="24"/>
        </w:rPr>
      </w:pPr>
    </w:p>
    <w:p w14:paraId="5ADDA934">
      <w:pPr>
        <w:widowControl/>
        <w:wordWrap w:val="0"/>
        <w:snapToGrid w:val="0"/>
        <w:spacing w:line="460" w:lineRule="exact"/>
        <w:ind w:firstLine="480" w:firstLineChars="200"/>
        <w:jc w:val="center"/>
        <w:rPr>
          <w:rFonts w:hint="eastAsia" w:ascii="宋体" w:hAnsi="宋体" w:cs="宋体"/>
          <w:kern w:val="0"/>
          <w:sz w:val="24"/>
        </w:rPr>
      </w:pPr>
    </w:p>
    <w:p w14:paraId="1492A730">
      <w:pPr>
        <w:widowControl/>
        <w:wordWrap w:val="0"/>
        <w:snapToGrid w:val="0"/>
        <w:spacing w:line="460" w:lineRule="exact"/>
        <w:ind w:firstLine="480" w:firstLineChars="200"/>
        <w:jc w:val="center"/>
        <w:rPr>
          <w:rFonts w:hint="eastAsia" w:ascii="宋体" w:hAnsi="宋体" w:cs="宋体"/>
          <w:kern w:val="0"/>
          <w:sz w:val="24"/>
        </w:rPr>
      </w:pPr>
    </w:p>
    <w:p w14:paraId="3D275B65">
      <w:pPr>
        <w:widowControl/>
        <w:wordWrap w:val="0"/>
        <w:snapToGrid w:val="0"/>
        <w:spacing w:line="460" w:lineRule="exact"/>
        <w:ind w:firstLine="480" w:firstLineChars="200"/>
        <w:jc w:val="center"/>
        <w:rPr>
          <w:rFonts w:hint="eastAsia" w:ascii="宋体" w:hAnsi="宋体" w:cs="宋体"/>
          <w:kern w:val="0"/>
          <w:sz w:val="24"/>
        </w:rPr>
      </w:pPr>
    </w:p>
    <w:p w14:paraId="36219342">
      <w:pPr>
        <w:widowControl/>
        <w:wordWrap w:val="0"/>
        <w:snapToGrid w:val="0"/>
        <w:spacing w:line="460" w:lineRule="exact"/>
        <w:ind w:firstLine="480" w:firstLineChars="200"/>
        <w:jc w:val="center"/>
        <w:rPr>
          <w:rFonts w:hint="eastAsia" w:ascii="宋体" w:hAnsi="宋体" w:cs="宋体"/>
          <w:kern w:val="0"/>
          <w:sz w:val="24"/>
        </w:rPr>
      </w:pPr>
    </w:p>
    <w:p w14:paraId="6FE6C6CC">
      <w:pPr>
        <w:widowControl/>
        <w:wordWrap w:val="0"/>
        <w:snapToGrid w:val="0"/>
        <w:spacing w:line="460" w:lineRule="exact"/>
        <w:ind w:firstLine="480" w:firstLineChars="200"/>
        <w:jc w:val="center"/>
        <w:rPr>
          <w:rFonts w:hint="eastAsia" w:ascii="宋体" w:hAnsi="宋体" w:cs="宋体"/>
          <w:kern w:val="0"/>
          <w:sz w:val="24"/>
        </w:rPr>
      </w:pPr>
    </w:p>
    <w:p w14:paraId="6FB0991E">
      <w:pPr>
        <w:widowControl/>
        <w:wordWrap w:val="0"/>
        <w:snapToGrid w:val="0"/>
        <w:spacing w:line="460" w:lineRule="exact"/>
        <w:ind w:firstLine="723" w:firstLineChars="200"/>
        <w:jc w:val="both"/>
        <w:rPr>
          <w:rFonts w:hint="eastAsia" w:ascii="黑体" w:hAnsi="宋体" w:eastAsia="黑体" w:cs="宋体"/>
          <w:b/>
          <w:kern w:val="0"/>
          <w:sz w:val="36"/>
          <w:szCs w:val="36"/>
        </w:rPr>
      </w:pPr>
    </w:p>
    <w:p w14:paraId="2559C5E1">
      <w:pPr>
        <w:widowControl/>
        <w:spacing w:line="360" w:lineRule="auto"/>
        <w:jc w:val="center"/>
        <w:rPr>
          <w:rFonts w:hint="eastAsia" w:ascii="黑体" w:hAnsi="宋体" w:eastAsia="黑体" w:cs="宋体"/>
          <w:b/>
          <w:kern w:val="0"/>
          <w:sz w:val="36"/>
          <w:szCs w:val="36"/>
        </w:rPr>
      </w:pPr>
      <w:r>
        <w:rPr>
          <w:rFonts w:hint="eastAsia" w:ascii="黑体" w:hAnsi="宋体" w:eastAsia="黑体" w:cs="宋体"/>
          <w:b/>
          <w:kern w:val="0"/>
          <w:sz w:val="36"/>
          <w:szCs w:val="36"/>
        </w:rPr>
        <w:t>第六章  附件--投标文件格式</w:t>
      </w:r>
    </w:p>
    <w:tbl>
      <w:tblPr>
        <w:tblStyle w:val="36"/>
        <w:tblpPr w:leftFromText="180" w:rightFromText="180" w:topFromText="100" w:bottomFromText="100" w:vertAnchor="text" w:horzAnchor="margin" w:tblpY="12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14:paraId="1977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190" w:type="dxa"/>
            <w:tcBorders>
              <w:top w:val="single" w:color="auto" w:sz="4" w:space="0"/>
              <w:left w:val="single" w:color="auto" w:sz="4" w:space="0"/>
              <w:bottom w:val="single" w:color="auto" w:sz="4" w:space="0"/>
              <w:right w:val="single" w:color="auto" w:sz="4" w:space="0"/>
            </w:tcBorders>
            <w:noWrap w:val="0"/>
            <w:vAlign w:val="top"/>
          </w:tcPr>
          <w:p w14:paraId="0B08A0B9">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 xml:space="preserve">注释： </w:t>
            </w:r>
          </w:p>
          <w:p w14:paraId="6E4899B6">
            <w:pP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《投标文件格式》是投标人的部分投标文件格式和签订合同时所需文件的格式。投标人应按照这些格式文件制作投标文件。</w:t>
            </w:r>
          </w:p>
          <w:p w14:paraId="72D89CBC">
            <w:pPr>
              <w:widowControl/>
              <w:spacing w:line="195" w:lineRule="atLeast"/>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 xml:space="preserve"> </w:t>
            </w:r>
          </w:p>
        </w:tc>
      </w:tr>
    </w:tbl>
    <w:p w14:paraId="3E09515F">
      <w:pPr>
        <w:widowControl/>
        <w:wordWrap w:val="0"/>
        <w:spacing w:line="460" w:lineRule="exact"/>
        <w:jc w:val="left"/>
        <w:rPr>
          <w:rFonts w:hint="eastAsia" w:ascii="宋体" w:hAnsi="宋体" w:cs="宋体"/>
          <w:kern w:val="0"/>
          <w:sz w:val="28"/>
          <w:szCs w:val="28"/>
        </w:rPr>
      </w:pPr>
    </w:p>
    <w:p w14:paraId="06BC4506">
      <w:pPr>
        <w:widowControl/>
        <w:wordWrap w:val="0"/>
        <w:snapToGrid w:val="0"/>
        <w:spacing w:line="460" w:lineRule="exact"/>
        <w:ind w:firstLine="723" w:firstLineChars="200"/>
        <w:jc w:val="center"/>
        <w:rPr>
          <w:rFonts w:hint="eastAsia" w:ascii="宋体" w:hAnsi="宋体" w:cs="宋体"/>
          <w:b/>
          <w:bCs/>
          <w:kern w:val="0"/>
          <w:sz w:val="36"/>
          <w:szCs w:val="36"/>
        </w:rPr>
      </w:pPr>
      <w:r>
        <w:rPr>
          <w:rFonts w:hint="eastAsia" w:ascii="宋体" w:hAnsi="宋体" w:cs="宋体"/>
          <w:b/>
          <w:bCs/>
          <w:kern w:val="0"/>
          <w:sz w:val="36"/>
          <w:szCs w:val="36"/>
        </w:rPr>
        <w:t>目    录</w:t>
      </w:r>
    </w:p>
    <w:p w14:paraId="67F86D04">
      <w:pPr>
        <w:widowControl/>
        <w:wordWrap w:val="0"/>
        <w:spacing w:line="460" w:lineRule="exact"/>
        <w:ind w:firstLine="560" w:firstLineChars="200"/>
        <w:jc w:val="left"/>
        <w:rPr>
          <w:rFonts w:hint="eastAsia" w:ascii="宋体" w:hAnsi="宋体" w:cs="宋体"/>
          <w:kern w:val="0"/>
          <w:sz w:val="28"/>
          <w:szCs w:val="28"/>
        </w:rPr>
      </w:pPr>
      <w:r>
        <w:rPr>
          <w:rFonts w:hint="eastAsia" w:ascii="宋体" w:hAnsi="宋体" w:cs="宋体"/>
          <w:kern w:val="0"/>
          <w:sz w:val="28"/>
          <w:szCs w:val="28"/>
        </w:rPr>
        <w:t xml:space="preserve"> </w:t>
      </w:r>
    </w:p>
    <w:p w14:paraId="21221FA5">
      <w:pPr>
        <w:ind w:firstLine="560" w:firstLineChars="200"/>
        <w:rPr>
          <w:rFonts w:hint="eastAsia" w:ascii="宋体" w:hAnsi="宋体" w:cs="宋体"/>
          <w:kern w:val="0"/>
          <w:sz w:val="28"/>
          <w:szCs w:val="28"/>
        </w:rPr>
      </w:pPr>
    </w:p>
    <w:p w14:paraId="13B718E3">
      <w:pPr>
        <w:ind w:firstLine="560" w:firstLineChars="200"/>
        <w:rPr>
          <w:rFonts w:hint="eastAsia" w:ascii="宋体" w:hAnsi="宋体" w:cs="宋体"/>
          <w:kern w:val="0"/>
          <w:sz w:val="28"/>
          <w:szCs w:val="28"/>
        </w:rPr>
      </w:pPr>
    </w:p>
    <w:p w14:paraId="1D8530D9">
      <w:pPr>
        <w:ind w:firstLine="560" w:firstLineChars="200"/>
        <w:rPr>
          <w:rFonts w:hint="eastAsia" w:ascii="宋体" w:hAnsi="宋体" w:cs="宋体"/>
          <w:kern w:val="0"/>
          <w:sz w:val="28"/>
          <w:szCs w:val="28"/>
        </w:rPr>
      </w:pPr>
    </w:p>
    <w:p w14:paraId="7303EEE6">
      <w:pPr>
        <w:ind w:firstLine="560" w:firstLineChars="200"/>
        <w:rPr>
          <w:rFonts w:hint="eastAsia" w:ascii="宋体" w:hAnsi="宋体" w:cs="宋体"/>
          <w:kern w:val="0"/>
          <w:sz w:val="28"/>
          <w:szCs w:val="28"/>
        </w:rPr>
      </w:pPr>
    </w:p>
    <w:p w14:paraId="490CF2A9">
      <w:pPr>
        <w:ind w:firstLine="560" w:firstLineChars="200"/>
        <w:rPr>
          <w:rFonts w:hint="eastAsia" w:ascii="宋体" w:hAnsi="宋体" w:cs="宋体"/>
          <w:kern w:val="0"/>
          <w:sz w:val="28"/>
          <w:szCs w:val="28"/>
        </w:rPr>
      </w:pPr>
    </w:p>
    <w:bookmarkEnd w:id="20"/>
    <w:p w14:paraId="4B63B273">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附件1 投标文件封面（格式）</w:t>
      </w:r>
    </w:p>
    <w:p w14:paraId="4AC1D39F">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附件2 投标书（格式）</w:t>
      </w:r>
    </w:p>
    <w:p w14:paraId="08E05F8B">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附件3 开标一览表（格式）</w:t>
      </w:r>
    </w:p>
    <w:p w14:paraId="22BE16BD">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附件4 投标报价明细表（格式）</w:t>
      </w:r>
    </w:p>
    <w:p w14:paraId="717B0FD2">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附件5 </w:t>
      </w:r>
      <w:r>
        <w:rPr>
          <w:rFonts w:hint="eastAsia" w:ascii="宋体" w:hAnsi="宋体" w:cs="宋体"/>
          <w:color w:val="000000" w:themeColor="text1"/>
          <w:kern w:val="0"/>
          <w:sz w:val="24"/>
          <w:lang w:val="en-US" w:eastAsia="zh-CN"/>
          <w14:textFill>
            <w14:solidFill>
              <w14:schemeClr w14:val="tx1"/>
            </w14:solidFill>
          </w14:textFill>
        </w:rPr>
        <w:t>服务</w:t>
      </w:r>
      <w:r>
        <w:rPr>
          <w:rFonts w:hint="eastAsia" w:ascii="宋体" w:hAnsi="宋体" w:cs="宋体"/>
          <w:color w:val="000000" w:themeColor="text1"/>
          <w:kern w:val="0"/>
          <w:sz w:val="24"/>
          <w:lang w:eastAsia="zh-CN"/>
          <w14:textFill>
            <w14:solidFill>
              <w14:schemeClr w14:val="tx1"/>
            </w14:solidFill>
          </w14:textFill>
        </w:rPr>
        <w:t>技术响应表</w:t>
      </w:r>
      <w:r>
        <w:rPr>
          <w:rFonts w:hint="eastAsia" w:ascii="宋体" w:hAnsi="宋体" w:cs="宋体"/>
          <w:color w:val="000000" w:themeColor="text1"/>
          <w:kern w:val="0"/>
          <w:sz w:val="24"/>
          <w14:textFill>
            <w14:solidFill>
              <w14:schemeClr w14:val="tx1"/>
            </w14:solidFill>
          </w14:textFill>
        </w:rPr>
        <w:t>（格式）</w:t>
      </w:r>
    </w:p>
    <w:p w14:paraId="191AF037">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附件6 商务响应表（格式）</w:t>
      </w:r>
    </w:p>
    <w:p w14:paraId="397E2A73">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附件7 法定代表人身份证明（格式）</w:t>
      </w:r>
    </w:p>
    <w:p w14:paraId="382F47A8">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附件8 法定代表人授权书（格式）</w:t>
      </w:r>
    </w:p>
    <w:p w14:paraId="08DCD59F">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附件9 证明文件</w:t>
      </w:r>
    </w:p>
    <w:p w14:paraId="1AFBE338">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附件10 供应商自觉抵制政府采购领域商业贿赂行为承诺书</w:t>
      </w:r>
    </w:p>
    <w:p w14:paraId="4C48A67F">
      <w:pPr>
        <w:spacing w:line="360" w:lineRule="auto"/>
        <w:ind w:left="479" w:leftChars="228"/>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附件11 供应商认为需要提供的其他材料</w:t>
      </w:r>
    </w:p>
    <w:p w14:paraId="1A283719">
      <w:pPr>
        <w:spacing w:line="360" w:lineRule="auto"/>
        <w:ind w:left="479" w:leftChars="228"/>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附件12 河南省政府采购合同融资政策告知函</w:t>
      </w:r>
    </w:p>
    <w:p w14:paraId="13D66F36">
      <w:pPr>
        <w:pStyle w:val="34"/>
        <w:ind w:firstLine="480" w:firstLineChars="200"/>
        <w:rPr>
          <w:rFonts w:cs="宋体"/>
          <w:color w:val="000000" w:themeColor="text1"/>
          <w:kern w:val="0"/>
          <w:sz w:val="24"/>
          <w:lang w:eastAsia="zh-CN"/>
          <w14:textFill>
            <w14:solidFill>
              <w14:schemeClr w14:val="tx1"/>
            </w14:solidFill>
          </w14:textFill>
        </w:rPr>
      </w:pPr>
    </w:p>
    <w:p w14:paraId="247515C7">
      <w:pPr>
        <w:pStyle w:val="34"/>
        <w:ind w:firstLine="210"/>
        <w:rPr>
          <w:rFonts w:cs="宋体"/>
          <w:color w:val="000000" w:themeColor="text1"/>
          <w:lang w:eastAsia="zh-CN"/>
          <w14:textFill>
            <w14:solidFill>
              <w14:schemeClr w14:val="tx1"/>
            </w14:solidFill>
          </w14:textFill>
        </w:rPr>
      </w:pPr>
    </w:p>
    <w:p w14:paraId="3AD13EBF">
      <w:pPr>
        <w:spacing w:line="360" w:lineRule="auto"/>
        <w:ind w:firstLine="440" w:firstLineChars="200"/>
        <w:jc w:val="left"/>
        <w:rPr>
          <w:rFonts w:ascii="宋体" w:hAnsi="宋体" w:cs="宋体"/>
          <w:color w:val="000000" w:themeColor="text1"/>
          <w:kern w:val="0"/>
          <w:sz w:val="22"/>
          <w14:textFill>
            <w14:solidFill>
              <w14:schemeClr w14:val="tx1"/>
            </w14:solidFill>
          </w14:textFill>
        </w:rPr>
      </w:pPr>
    </w:p>
    <w:p w14:paraId="0BAACB91">
      <w:pPr>
        <w:spacing w:line="360" w:lineRule="auto"/>
        <w:jc w:val="left"/>
        <w:rPr>
          <w:rFonts w:ascii="宋体" w:hAnsi="宋体" w:cs="宋体"/>
          <w:color w:val="000000" w:themeColor="text1"/>
          <w:kern w:val="0"/>
          <w:sz w:val="22"/>
          <w14:textFill>
            <w14:solidFill>
              <w14:schemeClr w14:val="tx1"/>
            </w14:solidFill>
          </w14:textFill>
        </w:rPr>
      </w:pPr>
    </w:p>
    <w:p w14:paraId="482F2772">
      <w:pPr>
        <w:pStyle w:val="34"/>
        <w:rPr>
          <w:rFonts w:cs="宋体"/>
          <w:color w:val="000000" w:themeColor="text1"/>
          <w:lang w:eastAsia="zh-CN"/>
          <w14:textFill>
            <w14:solidFill>
              <w14:schemeClr w14:val="tx1"/>
            </w14:solidFill>
          </w14:textFill>
        </w:rPr>
      </w:pPr>
    </w:p>
    <w:p w14:paraId="540912E9">
      <w:pP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附件1</w:t>
      </w:r>
      <w:r>
        <w:rPr>
          <w:rFonts w:hint="eastAsia" w:ascii="宋体" w:hAnsi="宋体" w:cs="宋体"/>
          <w:b/>
          <w:bCs/>
          <w:color w:val="000000" w:themeColor="text1"/>
          <w:kern w:val="0"/>
          <w:sz w:val="22"/>
          <w14:textFill>
            <w14:solidFill>
              <w14:schemeClr w14:val="tx1"/>
            </w14:solidFill>
          </w14:textFill>
        </w:rPr>
        <w:t xml:space="preserve">                    </w:t>
      </w:r>
      <w:r>
        <w:rPr>
          <w:rFonts w:hint="eastAsia" w:ascii="宋体" w:hAnsi="宋体" w:cs="宋体"/>
          <w:b/>
          <w:bCs/>
          <w:color w:val="000000" w:themeColor="text1"/>
          <w:kern w:val="0"/>
          <w:sz w:val="32"/>
          <w:szCs w:val="32"/>
          <w14:textFill>
            <w14:solidFill>
              <w14:schemeClr w14:val="tx1"/>
            </w14:solidFill>
          </w14:textFill>
        </w:rPr>
        <w:t xml:space="preserve">  </w:t>
      </w:r>
    </w:p>
    <w:p w14:paraId="7B274DF5">
      <w:pPr>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投标文件封面（格式）</w:t>
      </w:r>
    </w:p>
    <w:p w14:paraId="2DE69DA0">
      <w:pP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 xml:space="preserve"> </w:t>
      </w:r>
    </w:p>
    <w:p w14:paraId="0339D314">
      <w:pPr>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政府采购项目</w:t>
      </w:r>
    </w:p>
    <w:p w14:paraId="5C635279">
      <w:pPr>
        <w:jc w:val="center"/>
        <w:rPr>
          <w:rFonts w:ascii="宋体" w:hAnsi="宋体" w:cs="宋体"/>
          <w:b/>
          <w:color w:val="000000" w:themeColor="text1"/>
          <w:kern w:val="0"/>
          <w:sz w:val="2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投 标 文 件</w:t>
      </w:r>
    </w:p>
    <w:p w14:paraId="695FCC3D">
      <w:pPr>
        <w:spacing w:line="360" w:lineRule="auto"/>
        <w:ind w:firstLine="442" w:firstLineChars="200"/>
        <w:jc w:val="center"/>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1B2B40AA">
      <w:pPr>
        <w:spacing w:line="360" w:lineRule="auto"/>
        <w:ind w:firstLine="442" w:firstLineChars="200"/>
        <w:jc w:val="center"/>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655C80F0">
      <w:pPr>
        <w:jc w:val="center"/>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28CB6675">
      <w:pPr>
        <w:spacing w:line="360" w:lineRule="auto"/>
        <w:ind w:firstLine="442" w:firstLineChars="200"/>
        <w:jc w:val="center"/>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1E26663B">
      <w:pPr>
        <w:spacing w:line="360" w:lineRule="auto"/>
        <w:ind w:firstLine="442" w:firstLineChars="200"/>
        <w:jc w:val="center"/>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422CA31A">
      <w:pPr>
        <w:spacing w:line="360" w:lineRule="auto"/>
        <w:ind w:firstLine="442" w:firstLineChars="200"/>
        <w:jc w:val="center"/>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4579E2BA">
      <w:pPr>
        <w:spacing w:line="360" w:lineRule="auto"/>
        <w:ind w:firstLine="1587" w:firstLineChars="494"/>
        <w:jc w:val="left"/>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 xml:space="preserve">项 目 名 称：               </w:t>
      </w:r>
    </w:p>
    <w:p w14:paraId="6FFBE1F1">
      <w:pPr>
        <w:spacing w:line="360" w:lineRule="auto"/>
        <w:ind w:firstLine="1587" w:firstLineChars="494"/>
        <w:jc w:val="left"/>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项 目 编 号：</w:t>
      </w:r>
    </w:p>
    <w:p w14:paraId="2D17DBBB">
      <w:pPr>
        <w:spacing w:line="360" w:lineRule="auto"/>
        <w:ind w:firstLine="1587" w:firstLineChars="494"/>
        <w:jc w:val="left"/>
        <w:rPr>
          <w:rFonts w:ascii="宋体" w:hAnsi="宋体" w:cs="宋体"/>
          <w:b/>
          <w:bCs/>
          <w:color w:val="000000" w:themeColor="text1"/>
          <w:kern w:val="0"/>
          <w:sz w:val="32"/>
          <w:szCs w:val="32"/>
          <w14:textFill>
            <w14:solidFill>
              <w14:schemeClr w14:val="tx1"/>
            </w14:solidFill>
          </w14:textFill>
        </w:rPr>
      </w:pPr>
    </w:p>
    <w:p w14:paraId="07554E1C">
      <w:pPr>
        <w:pStyle w:val="3"/>
        <w:rPr>
          <w:color w:val="000000" w:themeColor="text1"/>
          <w14:textFill>
            <w14:solidFill>
              <w14:schemeClr w14:val="tx1"/>
            </w14:solidFill>
          </w14:textFill>
        </w:rPr>
      </w:pPr>
    </w:p>
    <w:p w14:paraId="6EA22BFC">
      <w:pPr>
        <w:spacing w:line="360" w:lineRule="auto"/>
        <w:ind w:firstLine="1587" w:firstLineChars="494"/>
        <w:jc w:val="left"/>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 xml:space="preserve">              </w:t>
      </w:r>
    </w:p>
    <w:p w14:paraId="309C7D23">
      <w:pPr>
        <w:spacing w:line="360" w:lineRule="auto"/>
        <w:ind w:firstLine="643" w:firstLineChars="200"/>
        <w:jc w:val="left"/>
        <w:rPr>
          <w:rFonts w:ascii="宋体" w:hAnsi="宋体" w:cs="宋体"/>
          <w:b/>
          <w:color w:val="000000" w:themeColor="text1"/>
          <w:kern w:val="0"/>
          <w:sz w:val="2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 xml:space="preserve"> </w:t>
      </w:r>
    </w:p>
    <w:p w14:paraId="7E797B55">
      <w:pPr>
        <w:spacing w:line="360" w:lineRule="auto"/>
        <w:ind w:firstLine="442" w:firstLineChars="200"/>
        <w:jc w:val="left"/>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157D60FF">
      <w:pPr>
        <w:spacing w:line="360" w:lineRule="auto"/>
        <w:ind w:firstLine="442" w:firstLineChars="200"/>
        <w:jc w:val="left"/>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05FEC685">
      <w:pPr>
        <w:spacing w:line="360" w:lineRule="auto"/>
        <w:ind w:firstLine="442" w:firstLineChars="200"/>
        <w:jc w:val="left"/>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1A12926B">
      <w:pPr>
        <w:spacing w:line="360" w:lineRule="auto"/>
        <w:ind w:firstLine="2289" w:firstLineChars="95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供应商名称 ：       （全称并加盖公章）</w:t>
      </w:r>
    </w:p>
    <w:p w14:paraId="5587CBE4">
      <w:pPr>
        <w:spacing w:line="360" w:lineRule="auto"/>
        <w:ind w:firstLine="1190" w:firstLineChars="494"/>
        <w:jc w:val="left"/>
        <w:rPr>
          <w:rFonts w:ascii="宋体" w:hAnsi="宋体" w:cs="宋体"/>
          <w:b/>
          <w:color w:val="000000" w:themeColor="text1"/>
          <w:kern w:val="0"/>
          <w:sz w:val="22"/>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 xml:space="preserve">         日      期 ：</w:t>
      </w:r>
      <w:r>
        <w:rPr>
          <w:rFonts w:hint="eastAsia" w:ascii="宋体" w:hAnsi="宋体" w:cs="宋体"/>
          <w:b/>
          <w:bCs/>
          <w:color w:val="000000" w:themeColor="text1"/>
          <w:kern w:val="0"/>
          <w:sz w:val="32"/>
          <w:szCs w:val="32"/>
          <w14:textFill>
            <w14:solidFill>
              <w14:schemeClr w14:val="tx1"/>
            </w14:solidFill>
          </w14:textFill>
        </w:rPr>
        <w:t xml:space="preserve">  </w:t>
      </w:r>
      <w:r>
        <w:rPr>
          <w:rFonts w:hint="eastAsia" w:ascii="宋体" w:hAnsi="宋体" w:cs="宋体"/>
          <w:b/>
          <w:color w:val="000000" w:themeColor="text1"/>
          <w:kern w:val="0"/>
          <w:sz w:val="22"/>
          <w:u w:val="single"/>
          <w14:textFill>
            <w14:solidFill>
              <w14:schemeClr w14:val="tx1"/>
            </w14:solidFill>
          </w14:textFill>
        </w:rPr>
        <w:t xml:space="preserve">             </w:t>
      </w:r>
    </w:p>
    <w:p w14:paraId="55A5CC6F">
      <w:pPr>
        <w:spacing w:line="360" w:lineRule="auto"/>
        <w:ind w:firstLine="442" w:firstLineChars="200"/>
        <w:jc w:val="left"/>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 xml:space="preserve"> </w:t>
      </w:r>
    </w:p>
    <w:p w14:paraId="54A099A9">
      <w:pPr>
        <w:rPr>
          <w:rFonts w:ascii="宋体" w:hAnsi="宋体" w:cs="宋体"/>
          <w:b/>
          <w:bCs/>
          <w:color w:val="000000" w:themeColor="text1"/>
          <w:kern w:val="0"/>
          <w:sz w:val="32"/>
          <w:szCs w:val="32"/>
          <w14:textFill>
            <w14:solidFill>
              <w14:schemeClr w14:val="tx1"/>
            </w14:solidFill>
          </w14:textFill>
        </w:rPr>
      </w:pPr>
    </w:p>
    <w:p w14:paraId="3033D258">
      <w:pP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 xml:space="preserve">附件2 </w:t>
      </w:r>
    </w:p>
    <w:p w14:paraId="4F194DAA">
      <w:pPr>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投  标  书（格式）</w:t>
      </w:r>
    </w:p>
    <w:p w14:paraId="18C5487A">
      <w:pPr>
        <w:spacing w:line="360" w:lineRule="auto"/>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w:t>
      </w:r>
    </w:p>
    <w:p w14:paraId="637A425D">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致：</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（采购人及代理机构名称）： </w:t>
      </w:r>
    </w:p>
    <w:p w14:paraId="6450E604">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_________（供应商名称）现委托</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（姓名）为我方代理人，参加贵方组织的</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项目（项目编号：</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）的投标。现正式提交下述文件1份：</w:t>
      </w:r>
    </w:p>
    <w:p w14:paraId="0E950771">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1、开标一览表。</w:t>
      </w:r>
    </w:p>
    <w:p w14:paraId="064B2151">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2、投标报价明细表。</w:t>
      </w:r>
    </w:p>
    <w:p w14:paraId="0B49DACC">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kern w:val="0"/>
          <w:sz w:val="24"/>
          <w:lang w:eastAsia="zh-CN"/>
          <w14:textFill>
            <w14:solidFill>
              <w14:schemeClr w14:val="tx1"/>
            </w14:solidFill>
          </w14:textFill>
        </w:rPr>
        <w:t>服务技术响应表</w:t>
      </w:r>
      <w:r>
        <w:rPr>
          <w:rFonts w:hint="eastAsia" w:ascii="宋体" w:hAnsi="宋体" w:cs="宋体"/>
          <w:color w:val="000000" w:themeColor="text1"/>
          <w:kern w:val="0"/>
          <w:sz w:val="24"/>
          <w14:textFill>
            <w14:solidFill>
              <w14:schemeClr w14:val="tx1"/>
            </w14:solidFill>
          </w14:textFill>
        </w:rPr>
        <w:t>。</w:t>
      </w:r>
    </w:p>
    <w:p w14:paraId="2B5B8AB2">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4、商务响应表。</w:t>
      </w:r>
    </w:p>
    <w:p w14:paraId="71E4862F">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5、证明文件。</w:t>
      </w:r>
    </w:p>
    <w:p w14:paraId="66FCA9C4">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6、抵制商业贿赂承诺。</w:t>
      </w:r>
    </w:p>
    <w:p w14:paraId="0609A53D">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为便于贵方公正、择优地确定中标人及其投标产品和服务，我方就本次投标有关事项郑重声明并宣布同意如下：</w:t>
      </w:r>
    </w:p>
    <w:p w14:paraId="3B14D141">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我方承诺已经具备招标文件中规定的参加政府采购活动的供应商应当具备的条件。我方愿意向贵方提供任何与本招标项目投标有关的数据、情况和技术资料，并根据需要提供一切承诺的证明材料，并保证其真实、合法、有效。</w:t>
      </w:r>
    </w:p>
    <w:p w14:paraId="28AC7804">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2、我方承诺在投标活动中提供的各种材料真实有效。</w:t>
      </w:r>
    </w:p>
    <w:p w14:paraId="7B84FD47">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3、我方同意在投标文件有效期内遵守本投标文件中的承诺且在此期限期满之前均具有约束力。如果我方中标，投标文件有效期与合同履行期相同。</w:t>
      </w:r>
    </w:p>
    <w:p w14:paraId="37F5861A">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4、我方已详细审查全部招标文件，包括修改文件（如有的话）和有关附件，将自行承担因对全部招标文件理解不正确或误解而产生的相应后果。</w:t>
      </w:r>
    </w:p>
    <w:p w14:paraId="61267048">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5、我方保证尊重评标委员会的评标结果，完全理解本招标项目最低投标价不作为中标的保证。</w:t>
      </w:r>
    </w:p>
    <w:p w14:paraId="1AAE5605">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6、我方理解并遵守招标文件的全部规定，接受招标文件中政府采购合同的全部条款且无任何异议。</w:t>
      </w:r>
    </w:p>
    <w:p w14:paraId="2D26CBD1">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7、如果我方代表未按时参加开标的，视同放弃开标监督权利，认可开标结果。</w:t>
      </w:r>
    </w:p>
    <w:p w14:paraId="4465EE23">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8、如果我方存在供应商须知第9.3项所述情况，同意被认定为在经营活动中有重大违法记录。</w:t>
      </w:r>
    </w:p>
    <w:p w14:paraId="156D8D0F">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9、如果发生供应商须知第19.3项所述情况，同意贵方不予退还我方投标保证金（如有）。</w:t>
      </w:r>
    </w:p>
    <w:p w14:paraId="26C931D9">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10、如果发生供应商须知第26.4.1、26.4.3项所述情况，同意我方投标被作为无效投标处理。</w:t>
      </w:r>
    </w:p>
    <w:p w14:paraId="0F8A0A8E">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11、如果发生供应商须知第26.5项所述情况，同意评标委员会认定我方的行为属于串通投标的行为，并自愿接受监管部门的处罚。</w:t>
      </w:r>
    </w:p>
    <w:p w14:paraId="3DC3B052">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12、如果现场变更采购方式，我方同意在不改变招标需求、资质条件等情况下，按变更后的采购方式的规定程序进行采购。</w:t>
      </w:r>
    </w:p>
    <w:p w14:paraId="174FFF40">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13、如果被确定为中标人，我方同意按招标文件的规定领取中标通知书。否则，视为我方中标后自动放弃中标资格，承担由此引起的一切后果。</w:t>
      </w:r>
    </w:p>
    <w:p w14:paraId="72FFFC55">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14、如果被确定为中标人，我方同意在领取中标通知书之日起    日内，按照招标文件的规定与采购人签订采购合同。否则，视为我方中标后无正当理由不与采购人签订合同并承担相应法律责任。</w:t>
      </w:r>
    </w:p>
    <w:p w14:paraId="61805106">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15、我方最近3年内的被公开披露或查处的违法违规行为有：</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p>
    <w:p w14:paraId="12B12EAC">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16、以上事项如有虚假或隐瞒，我方愿意承担一切后果和责任。</w:t>
      </w:r>
    </w:p>
    <w:p w14:paraId="325827A5">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17、与本投标有关的一切正式往来通讯请寄（地址电话必须为最新并可以联系到）：</w:t>
      </w:r>
    </w:p>
    <w:p w14:paraId="7AF5B064">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地址：                  邮编：                  </w:t>
      </w:r>
    </w:p>
    <w:p w14:paraId="3E7CE929">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电话：                  传真：                  </w:t>
      </w:r>
    </w:p>
    <w:p w14:paraId="5909950C">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5FA7CE51">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供应商代表（法定代表人或委托代理人）签字：                 </w:t>
      </w:r>
    </w:p>
    <w:p w14:paraId="43A2D4EA">
      <w:pPr>
        <w:spacing w:line="44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（全称并加盖公章）                                 </w:t>
      </w:r>
    </w:p>
    <w:p w14:paraId="58CEE687">
      <w:pPr>
        <w:spacing w:line="440" w:lineRule="exact"/>
        <w:ind w:firstLine="3960" w:firstLineChars="165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    月   日</w:t>
      </w:r>
      <w:r>
        <w:rPr>
          <w:rFonts w:hint="eastAsia" w:ascii="宋体" w:hAnsi="宋体" w:cs="宋体"/>
          <w:color w:val="000000" w:themeColor="text1"/>
          <w:kern w:val="0"/>
          <w:sz w:val="22"/>
          <w14:textFill>
            <w14:solidFill>
              <w14:schemeClr w14:val="tx1"/>
            </w14:solidFill>
          </w14:textFill>
        </w:rPr>
        <w:t xml:space="preserve">    </w:t>
      </w:r>
    </w:p>
    <w:p w14:paraId="146EBADD">
      <w:pPr>
        <w:ind w:firstLine="3630" w:firstLineChars="1650"/>
        <w:rPr>
          <w:rFonts w:ascii="宋体" w:hAnsi="宋体" w:cs="宋体"/>
          <w:color w:val="000000" w:themeColor="text1"/>
          <w:kern w:val="0"/>
          <w:sz w:val="22"/>
          <w14:textFill>
            <w14:solidFill>
              <w14:schemeClr w14:val="tx1"/>
            </w14:solidFill>
          </w14:textFill>
        </w:rPr>
      </w:pPr>
    </w:p>
    <w:p w14:paraId="77036063">
      <w:pPr>
        <w:ind w:firstLine="3630" w:firstLineChars="1650"/>
        <w:rPr>
          <w:rFonts w:ascii="宋体" w:hAnsi="宋体" w:cs="宋体"/>
          <w:color w:val="000000" w:themeColor="text1"/>
          <w:kern w:val="0"/>
          <w:sz w:val="22"/>
          <w14:textFill>
            <w14:solidFill>
              <w14:schemeClr w14:val="tx1"/>
            </w14:solidFill>
          </w14:textFill>
        </w:rPr>
      </w:pPr>
    </w:p>
    <w:p w14:paraId="5795A755">
      <w:pPr>
        <w:ind w:firstLine="3630" w:firstLineChars="1650"/>
        <w:rPr>
          <w:rFonts w:ascii="宋体" w:hAnsi="宋体" w:cs="宋体"/>
          <w:color w:val="000000" w:themeColor="text1"/>
          <w:kern w:val="0"/>
          <w:sz w:val="22"/>
          <w14:textFill>
            <w14:solidFill>
              <w14:schemeClr w14:val="tx1"/>
            </w14:solidFill>
          </w14:textFill>
        </w:rPr>
      </w:pPr>
    </w:p>
    <w:p w14:paraId="23413AFA">
      <w:pPr>
        <w:ind w:firstLine="3630" w:firstLineChars="1650"/>
        <w:rPr>
          <w:rFonts w:ascii="宋体" w:hAnsi="宋体" w:cs="宋体"/>
          <w:color w:val="000000" w:themeColor="text1"/>
          <w:kern w:val="0"/>
          <w:sz w:val="22"/>
          <w14:textFill>
            <w14:solidFill>
              <w14:schemeClr w14:val="tx1"/>
            </w14:solidFill>
          </w14:textFill>
        </w:rPr>
      </w:pPr>
    </w:p>
    <w:p w14:paraId="18804D28">
      <w:pPr>
        <w:ind w:firstLine="3630" w:firstLineChars="1650"/>
        <w:rPr>
          <w:rFonts w:ascii="宋体" w:hAnsi="宋体" w:cs="宋体"/>
          <w:color w:val="000000" w:themeColor="text1"/>
          <w:kern w:val="0"/>
          <w:sz w:val="22"/>
          <w14:textFill>
            <w14:solidFill>
              <w14:schemeClr w14:val="tx1"/>
            </w14:solidFill>
          </w14:textFill>
        </w:rPr>
      </w:pPr>
    </w:p>
    <w:p w14:paraId="0D1CC430">
      <w:pPr>
        <w:snapToGrid w:val="0"/>
        <w:spacing w:before="50" w:after="50" w:line="360" w:lineRule="auto"/>
        <w:jc w:val="left"/>
        <w:rPr>
          <w:rFonts w:ascii="宋体" w:hAnsi="宋体" w:cs="宋体"/>
          <w:b/>
          <w:color w:val="000000" w:themeColor="text1"/>
          <w:kern w:val="0"/>
          <w:sz w:val="22"/>
          <w14:textFill>
            <w14:solidFill>
              <w14:schemeClr w14:val="tx1"/>
            </w14:solidFill>
          </w14:textFill>
        </w:rPr>
      </w:pPr>
    </w:p>
    <w:p w14:paraId="288046B5">
      <w:pPr>
        <w:snapToGrid w:val="0"/>
        <w:spacing w:before="50" w:after="50" w:line="360" w:lineRule="auto"/>
        <w:jc w:val="left"/>
        <w:rPr>
          <w:rFonts w:ascii="宋体" w:hAnsi="宋体" w:cs="宋体"/>
          <w:b/>
          <w:color w:val="000000" w:themeColor="text1"/>
          <w:kern w:val="0"/>
          <w:sz w:val="22"/>
          <w14:textFill>
            <w14:solidFill>
              <w14:schemeClr w14:val="tx1"/>
            </w14:solidFill>
          </w14:textFill>
        </w:rPr>
      </w:pPr>
    </w:p>
    <w:p w14:paraId="5C2566C4">
      <w:pPr>
        <w:snapToGrid w:val="0"/>
        <w:spacing w:before="50" w:after="50" w:line="360" w:lineRule="auto"/>
        <w:jc w:val="left"/>
        <w:rPr>
          <w:rFonts w:ascii="宋体" w:hAnsi="宋体" w:cs="宋体"/>
          <w:b/>
          <w:color w:val="000000" w:themeColor="text1"/>
          <w:kern w:val="0"/>
          <w:sz w:val="22"/>
          <w14:textFill>
            <w14:solidFill>
              <w14:schemeClr w14:val="tx1"/>
            </w14:solidFill>
          </w14:textFill>
        </w:rPr>
      </w:pPr>
    </w:p>
    <w:p w14:paraId="21E46551">
      <w:pPr>
        <w:pStyle w:val="80"/>
        <w:rPr>
          <w:rFonts w:ascii="宋体" w:hAnsi="宋体" w:cs="宋体"/>
          <w:b/>
          <w:color w:val="000000" w:themeColor="text1"/>
          <w:kern w:val="0"/>
          <w:sz w:val="22"/>
          <w14:textFill>
            <w14:solidFill>
              <w14:schemeClr w14:val="tx1"/>
            </w14:solidFill>
          </w14:textFill>
        </w:rPr>
      </w:pPr>
    </w:p>
    <w:p w14:paraId="520F8E6B">
      <w:pPr>
        <w:snapToGrid w:val="0"/>
        <w:spacing w:before="50" w:after="50"/>
        <w:jc w:val="left"/>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附件3</w:t>
      </w:r>
    </w:p>
    <w:p w14:paraId="39D78F57">
      <w:pPr>
        <w:snapToGrid w:val="0"/>
        <w:spacing w:before="50" w:after="50"/>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开标一览表（格式）</w:t>
      </w:r>
    </w:p>
    <w:p w14:paraId="1DA2C8BC">
      <w:pPr>
        <w:snapToGrid w:val="0"/>
        <w:spacing w:before="50" w:after="50" w:line="360" w:lineRule="auto"/>
        <w:jc w:val="left"/>
        <w:rPr>
          <w:rFonts w:ascii="宋体" w:hAnsi="宋体" w:cs="宋体"/>
          <w:color w:val="000000" w:themeColor="text1"/>
          <w:kern w:val="0"/>
          <w:sz w:val="24"/>
          <w14:textFill>
            <w14:solidFill>
              <w14:schemeClr w14:val="tx1"/>
            </w14:solidFill>
          </w14:textFill>
        </w:rPr>
      </w:pPr>
    </w:p>
    <w:p w14:paraId="08FB9CC2">
      <w:pPr>
        <w:snapToGrid w:val="0"/>
        <w:spacing w:before="50" w:after="50"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项目编号：                                            货币单位：元</w:t>
      </w:r>
    </w:p>
    <w:tbl>
      <w:tblPr>
        <w:tblStyle w:val="36"/>
        <w:tblW w:w="74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0"/>
        <w:gridCol w:w="1473"/>
        <w:gridCol w:w="850"/>
        <w:gridCol w:w="1276"/>
        <w:gridCol w:w="1384"/>
        <w:gridCol w:w="785"/>
        <w:gridCol w:w="941"/>
      </w:tblGrid>
      <w:tr w14:paraId="291568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7C665477">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1473" w:type="dxa"/>
            <w:tcBorders>
              <w:top w:val="single" w:color="auto" w:sz="4" w:space="0"/>
              <w:left w:val="single" w:color="auto" w:sz="4" w:space="0"/>
              <w:bottom w:val="single" w:color="auto" w:sz="4" w:space="0"/>
              <w:right w:val="single" w:color="auto" w:sz="4" w:space="0"/>
            </w:tcBorders>
            <w:vAlign w:val="center"/>
          </w:tcPr>
          <w:p w14:paraId="009FE989">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服务名称</w:t>
            </w:r>
          </w:p>
        </w:tc>
        <w:tc>
          <w:tcPr>
            <w:tcW w:w="850" w:type="dxa"/>
            <w:tcBorders>
              <w:top w:val="single" w:color="auto" w:sz="4" w:space="0"/>
              <w:left w:val="single" w:color="auto" w:sz="4" w:space="0"/>
              <w:bottom w:val="single" w:color="auto" w:sz="4" w:space="0"/>
              <w:right w:val="single" w:color="auto" w:sz="4" w:space="0"/>
            </w:tcBorders>
            <w:vAlign w:val="center"/>
          </w:tcPr>
          <w:p w14:paraId="7EC1461D">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数量</w:t>
            </w:r>
          </w:p>
        </w:tc>
        <w:tc>
          <w:tcPr>
            <w:tcW w:w="1276" w:type="dxa"/>
            <w:tcBorders>
              <w:top w:val="single" w:color="auto" w:sz="4" w:space="0"/>
              <w:left w:val="single" w:color="auto" w:sz="4" w:space="0"/>
              <w:bottom w:val="single" w:color="auto" w:sz="4" w:space="0"/>
              <w:right w:val="single" w:color="auto" w:sz="4" w:space="0"/>
            </w:tcBorders>
            <w:vAlign w:val="center"/>
          </w:tcPr>
          <w:p w14:paraId="77A8998F">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投标报价</w:t>
            </w:r>
          </w:p>
        </w:tc>
        <w:tc>
          <w:tcPr>
            <w:tcW w:w="1384" w:type="dxa"/>
            <w:tcBorders>
              <w:top w:val="single" w:color="auto" w:sz="4" w:space="0"/>
              <w:left w:val="single" w:color="auto" w:sz="4" w:space="0"/>
              <w:bottom w:val="single" w:color="auto" w:sz="4" w:space="0"/>
              <w:right w:val="single" w:color="auto" w:sz="4" w:space="0"/>
            </w:tcBorders>
            <w:vAlign w:val="center"/>
          </w:tcPr>
          <w:p w14:paraId="42461B12">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服务期限</w:t>
            </w:r>
          </w:p>
        </w:tc>
        <w:tc>
          <w:tcPr>
            <w:tcW w:w="785" w:type="dxa"/>
            <w:tcBorders>
              <w:top w:val="single" w:color="auto" w:sz="4" w:space="0"/>
              <w:left w:val="single" w:color="auto" w:sz="4" w:space="0"/>
              <w:bottom w:val="single" w:color="auto" w:sz="4" w:space="0"/>
              <w:right w:val="single" w:color="auto" w:sz="4" w:space="0"/>
            </w:tcBorders>
            <w:vAlign w:val="center"/>
          </w:tcPr>
          <w:p w14:paraId="1AC3F0A7">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服务地点</w:t>
            </w:r>
          </w:p>
        </w:tc>
        <w:tc>
          <w:tcPr>
            <w:tcW w:w="941" w:type="dxa"/>
            <w:tcBorders>
              <w:top w:val="single" w:color="auto" w:sz="4" w:space="0"/>
              <w:left w:val="single" w:color="auto" w:sz="4" w:space="0"/>
              <w:bottom w:val="single" w:color="auto" w:sz="4" w:space="0"/>
              <w:right w:val="single" w:color="auto" w:sz="4" w:space="0"/>
            </w:tcBorders>
            <w:vAlign w:val="center"/>
          </w:tcPr>
          <w:p w14:paraId="7454CAE4">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备注</w:t>
            </w:r>
          </w:p>
        </w:tc>
      </w:tr>
      <w:tr w14:paraId="2B2C1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4A1C5339">
            <w:pPr>
              <w:widowControl/>
              <w:snapToGrid w:val="0"/>
              <w:spacing w:before="50" w:after="50" w:line="360" w:lineRule="auto"/>
              <w:jc w:val="center"/>
              <w:rPr>
                <w:rFonts w:ascii="宋体" w:hAnsi="宋体" w:eastAsia="仿宋_GB2312" w:cs="宋体"/>
                <w:kern w:val="0"/>
                <w:sz w:val="32"/>
                <w:szCs w:val="20"/>
              </w:rPr>
            </w:pPr>
            <w:r>
              <w:rPr>
                <w:rFonts w:hint="eastAsia" w:ascii="宋体" w:hAnsi="宋体" w:eastAsia="仿宋_GB2312" w:cs="宋体"/>
                <w:kern w:val="0"/>
                <w:sz w:val="32"/>
                <w:szCs w:val="20"/>
              </w:rPr>
              <w:t xml:space="preserve"> </w:t>
            </w:r>
          </w:p>
        </w:tc>
        <w:tc>
          <w:tcPr>
            <w:tcW w:w="1473" w:type="dxa"/>
            <w:tcBorders>
              <w:top w:val="single" w:color="auto" w:sz="4" w:space="0"/>
              <w:left w:val="single" w:color="auto" w:sz="4" w:space="0"/>
              <w:bottom w:val="single" w:color="auto" w:sz="4" w:space="0"/>
              <w:right w:val="single" w:color="auto" w:sz="4" w:space="0"/>
            </w:tcBorders>
            <w:vAlign w:val="center"/>
          </w:tcPr>
          <w:p w14:paraId="4FF6A03B">
            <w:pPr>
              <w:widowControl/>
              <w:snapToGrid w:val="0"/>
              <w:spacing w:before="50" w:after="50" w:line="360" w:lineRule="auto"/>
              <w:jc w:val="left"/>
              <w:rPr>
                <w:rFonts w:ascii="宋体" w:hAnsi="宋体" w:eastAsia="仿宋_GB2312" w:cs="宋体"/>
                <w:bCs/>
                <w:kern w:val="0"/>
                <w:sz w:val="32"/>
                <w:szCs w:val="20"/>
              </w:rPr>
            </w:pPr>
            <w:r>
              <w:rPr>
                <w:rFonts w:hint="eastAsia" w:ascii="宋体" w:hAnsi="宋体" w:eastAsia="仿宋_GB2312" w:cs="宋体"/>
                <w:bCs/>
                <w:kern w:val="0"/>
                <w:sz w:val="32"/>
                <w:szCs w:val="20"/>
              </w:rPr>
              <w:t xml:space="preserve"> </w:t>
            </w:r>
          </w:p>
        </w:tc>
        <w:tc>
          <w:tcPr>
            <w:tcW w:w="850" w:type="dxa"/>
            <w:tcBorders>
              <w:top w:val="single" w:color="auto" w:sz="4" w:space="0"/>
              <w:left w:val="single" w:color="auto" w:sz="4" w:space="0"/>
              <w:bottom w:val="single" w:color="auto" w:sz="4" w:space="0"/>
              <w:right w:val="single" w:color="auto" w:sz="4" w:space="0"/>
            </w:tcBorders>
            <w:vAlign w:val="center"/>
          </w:tcPr>
          <w:p w14:paraId="2FBA9656">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66DA876D">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384" w:type="dxa"/>
            <w:tcBorders>
              <w:top w:val="single" w:color="auto" w:sz="4" w:space="0"/>
              <w:left w:val="single" w:color="auto" w:sz="4" w:space="0"/>
              <w:bottom w:val="single" w:color="auto" w:sz="4" w:space="0"/>
              <w:right w:val="single" w:color="auto" w:sz="4" w:space="0"/>
            </w:tcBorders>
            <w:vAlign w:val="center"/>
          </w:tcPr>
          <w:p w14:paraId="78031234">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785" w:type="dxa"/>
            <w:tcBorders>
              <w:top w:val="single" w:color="auto" w:sz="4" w:space="0"/>
              <w:left w:val="single" w:color="auto" w:sz="4" w:space="0"/>
              <w:bottom w:val="single" w:color="auto" w:sz="4" w:space="0"/>
              <w:right w:val="single" w:color="auto" w:sz="4" w:space="0"/>
            </w:tcBorders>
            <w:vAlign w:val="center"/>
          </w:tcPr>
          <w:p w14:paraId="0092E68A">
            <w:pPr>
              <w:widowControl/>
              <w:snapToGrid w:val="0"/>
              <w:spacing w:before="50" w:after="50" w:line="360" w:lineRule="auto"/>
              <w:jc w:val="left"/>
              <w:rPr>
                <w:rFonts w:ascii="宋体" w:hAnsi="宋体" w:eastAsia="仿宋_GB2312" w:cs="宋体"/>
                <w:kern w:val="0"/>
                <w:sz w:val="32"/>
                <w:szCs w:val="21"/>
              </w:rPr>
            </w:pPr>
          </w:p>
        </w:tc>
        <w:tc>
          <w:tcPr>
            <w:tcW w:w="941" w:type="dxa"/>
            <w:tcBorders>
              <w:top w:val="single" w:color="auto" w:sz="4" w:space="0"/>
              <w:left w:val="single" w:color="auto" w:sz="4" w:space="0"/>
              <w:bottom w:val="single" w:color="auto" w:sz="4" w:space="0"/>
              <w:right w:val="single" w:color="auto" w:sz="4" w:space="0"/>
            </w:tcBorders>
            <w:vAlign w:val="center"/>
          </w:tcPr>
          <w:p w14:paraId="74456C72">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r>
      <w:tr w14:paraId="653A9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0708C296">
            <w:pPr>
              <w:widowControl/>
              <w:spacing w:line="360" w:lineRule="auto"/>
              <w:jc w:val="left"/>
              <w:rPr>
                <w:rFonts w:ascii="宋体" w:hAnsi="宋体" w:eastAsia="仿宋_GB2312" w:cs="宋体"/>
                <w:kern w:val="0"/>
                <w:sz w:val="32"/>
                <w:szCs w:val="20"/>
              </w:rPr>
            </w:pPr>
          </w:p>
        </w:tc>
        <w:tc>
          <w:tcPr>
            <w:tcW w:w="1473" w:type="dxa"/>
            <w:tcBorders>
              <w:top w:val="single" w:color="auto" w:sz="4" w:space="0"/>
              <w:left w:val="single" w:color="auto" w:sz="4" w:space="0"/>
              <w:bottom w:val="single" w:color="auto" w:sz="4" w:space="0"/>
              <w:right w:val="single" w:color="auto" w:sz="4" w:space="0"/>
            </w:tcBorders>
            <w:vAlign w:val="center"/>
          </w:tcPr>
          <w:p w14:paraId="7C7EF98C">
            <w:pPr>
              <w:widowControl/>
              <w:snapToGrid w:val="0"/>
              <w:spacing w:before="50" w:after="50" w:line="360" w:lineRule="auto"/>
              <w:jc w:val="left"/>
              <w:rPr>
                <w:rFonts w:ascii="宋体" w:hAnsi="宋体" w:eastAsia="仿宋_GB2312" w:cs="宋体"/>
                <w:bCs/>
                <w:kern w:val="0"/>
                <w:sz w:val="32"/>
                <w:szCs w:val="20"/>
              </w:rPr>
            </w:pPr>
            <w:r>
              <w:rPr>
                <w:rFonts w:hint="eastAsia" w:ascii="宋体" w:hAnsi="宋体" w:eastAsia="仿宋_GB2312" w:cs="宋体"/>
                <w:bCs/>
                <w:kern w:val="0"/>
                <w:sz w:val="32"/>
                <w:szCs w:val="20"/>
              </w:rPr>
              <w:t xml:space="preserve"> </w:t>
            </w:r>
          </w:p>
        </w:tc>
        <w:tc>
          <w:tcPr>
            <w:tcW w:w="850" w:type="dxa"/>
            <w:tcBorders>
              <w:top w:val="single" w:color="auto" w:sz="4" w:space="0"/>
              <w:left w:val="single" w:color="auto" w:sz="4" w:space="0"/>
              <w:bottom w:val="single" w:color="auto" w:sz="4" w:space="0"/>
              <w:right w:val="single" w:color="auto" w:sz="4" w:space="0"/>
            </w:tcBorders>
            <w:vAlign w:val="center"/>
          </w:tcPr>
          <w:p w14:paraId="322D4879">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3F174248">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384" w:type="dxa"/>
            <w:tcBorders>
              <w:top w:val="single" w:color="auto" w:sz="4" w:space="0"/>
              <w:left w:val="single" w:color="auto" w:sz="4" w:space="0"/>
              <w:bottom w:val="single" w:color="auto" w:sz="4" w:space="0"/>
              <w:right w:val="single" w:color="auto" w:sz="4" w:space="0"/>
            </w:tcBorders>
            <w:vAlign w:val="center"/>
          </w:tcPr>
          <w:p w14:paraId="447455F1">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785" w:type="dxa"/>
            <w:tcBorders>
              <w:top w:val="single" w:color="auto" w:sz="4" w:space="0"/>
              <w:left w:val="single" w:color="auto" w:sz="4" w:space="0"/>
              <w:bottom w:val="single" w:color="auto" w:sz="4" w:space="0"/>
              <w:right w:val="single" w:color="auto" w:sz="4" w:space="0"/>
            </w:tcBorders>
            <w:vAlign w:val="center"/>
          </w:tcPr>
          <w:p w14:paraId="70D58A0F">
            <w:pPr>
              <w:widowControl/>
              <w:snapToGrid w:val="0"/>
              <w:spacing w:before="50" w:after="50" w:line="360" w:lineRule="auto"/>
              <w:jc w:val="left"/>
              <w:rPr>
                <w:rFonts w:ascii="宋体" w:hAnsi="宋体" w:eastAsia="仿宋_GB2312" w:cs="宋体"/>
                <w:kern w:val="0"/>
                <w:sz w:val="32"/>
                <w:szCs w:val="21"/>
              </w:rPr>
            </w:pPr>
          </w:p>
        </w:tc>
        <w:tc>
          <w:tcPr>
            <w:tcW w:w="941" w:type="dxa"/>
            <w:tcBorders>
              <w:top w:val="single" w:color="auto" w:sz="4" w:space="0"/>
              <w:left w:val="single" w:color="auto" w:sz="4" w:space="0"/>
              <w:bottom w:val="single" w:color="auto" w:sz="4" w:space="0"/>
              <w:right w:val="single" w:color="auto" w:sz="4" w:space="0"/>
            </w:tcBorders>
            <w:vAlign w:val="center"/>
          </w:tcPr>
          <w:p w14:paraId="7E8F76DB">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r>
      <w:tr w14:paraId="2E048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14:paraId="20D0A048">
            <w:pPr>
              <w:widowControl/>
              <w:spacing w:line="360" w:lineRule="auto"/>
              <w:jc w:val="left"/>
              <w:rPr>
                <w:rFonts w:ascii="宋体" w:hAnsi="宋体" w:eastAsia="仿宋_GB2312" w:cs="宋体"/>
                <w:kern w:val="0"/>
                <w:sz w:val="32"/>
                <w:szCs w:val="20"/>
              </w:rPr>
            </w:pPr>
          </w:p>
        </w:tc>
        <w:tc>
          <w:tcPr>
            <w:tcW w:w="1473" w:type="dxa"/>
            <w:tcBorders>
              <w:top w:val="single" w:color="auto" w:sz="4" w:space="0"/>
              <w:left w:val="single" w:color="auto" w:sz="4" w:space="0"/>
              <w:bottom w:val="single" w:color="auto" w:sz="4" w:space="0"/>
              <w:right w:val="single" w:color="auto" w:sz="4" w:space="0"/>
            </w:tcBorders>
            <w:vAlign w:val="center"/>
          </w:tcPr>
          <w:p w14:paraId="4F426B05">
            <w:pPr>
              <w:widowControl/>
              <w:snapToGrid w:val="0"/>
              <w:spacing w:before="50" w:after="50" w:line="360" w:lineRule="auto"/>
              <w:jc w:val="left"/>
              <w:rPr>
                <w:rFonts w:ascii="宋体" w:hAnsi="宋体" w:eastAsia="仿宋_GB2312" w:cs="宋体"/>
                <w:bCs/>
                <w:kern w:val="0"/>
                <w:sz w:val="32"/>
                <w:szCs w:val="20"/>
              </w:rPr>
            </w:pPr>
            <w:r>
              <w:rPr>
                <w:rFonts w:hint="eastAsia" w:ascii="宋体" w:hAnsi="宋体" w:eastAsia="仿宋_GB2312" w:cs="宋体"/>
                <w:bCs/>
                <w:kern w:val="0"/>
                <w:sz w:val="32"/>
                <w:szCs w:val="20"/>
              </w:rPr>
              <w:t xml:space="preserve"> </w:t>
            </w:r>
          </w:p>
        </w:tc>
        <w:tc>
          <w:tcPr>
            <w:tcW w:w="850" w:type="dxa"/>
            <w:tcBorders>
              <w:top w:val="single" w:color="auto" w:sz="4" w:space="0"/>
              <w:left w:val="single" w:color="auto" w:sz="4" w:space="0"/>
              <w:bottom w:val="single" w:color="auto" w:sz="4" w:space="0"/>
              <w:right w:val="single" w:color="auto" w:sz="4" w:space="0"/>
            </w:tcBorders>
            <w:vAlign w:val="center"/>
          </w:tcPr>
          <w:p w14:paraId="39C3A77A">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117AA52C">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384" w:type="dxa"/>
            <w:tcBorders>
              <w:top w:val="single" w:color="auto" w:sz="4" w:space="0"/>
              <w:left w:val="single" w:color="auto" w:sz="4" w:space="0"/>
              <w:bottom w:val="single" w:color="auto" w:sz="4" w:space="0"/>
              <w:right w:val="single" w:color="auto" w:sz="4" w:space="0"/>
            </w:tcBorders>
            <w:vAlign w:val="center"/>
          </w:tcPr>
          <w:p w14:paraId="3DD9679D">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785" w:type="dxa"/>
            <w:tcBorders>
              <w:top w:val="single" w:color="auto" w:sz="4" w:space="0"/>
              <w:left w:val="single" w:color="auto" w:sz="4" w:space="0"/>
              <w:bottom w:val="single" w:color="auto" w:sz="4" w:space="0"/>
              <w:right w:val="single" w:color="auto" w:sz="4" w:space="0"/>
            </w:tcBorders>
            <w:vAlign w:val="center"/>
          </w:tcPr>
          <w:p w14:paraId="3473B2A9">
            <w:pPr>
              <w:widowControl/>
              <w:snapToGrid w:val="0"/>
              <w:spacing w:before="50" w:after="50" w:line="360" w:lineRule="auto"/>
              <w:jc w:val="left"/>
              <w:rPr>
                <w:rFonts w:ascii="宋体" w:hAnsi="宋体" w:eastAsia="仿宋_GB2312" w:cs="宋体"/>
                <w:kern w:val="0"/>
                <w:sz w:val="32"/>
                <w:szCs w:val="21"/>
              </w:rPr>
            </w:pPr>
          </w:p>
        </w:tc>
        <w:tc>
          <w:tcPr>
            <w:tcW w:w="941" w:type="dxa"/>
            <w:tcBorders>
              <w:top w:val="single" w:color="auto" w:sz="4" w:space="0"/>
              <w:left w:val="single" w:color="auto" w:sz="4" w:space="0"/>
              <w:bottom w:val="single" w:color="auto" w:sz="4" w:space="0"/>
              <w:right w:val="single" w:color="auto" w:sz="4" w:space="0"/>
            </w:tcBorders>
            <w:vAlign w:val="center"/>
          </w:tcPr>
          <w:p w14:paraId="5740E3A5">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r>
    </w:tbl>
    <w:p w14:paraId="596B85F8">
      <w:pPr>
        <w:widowControl/>
        <w:snapToGrid w:val="0"/>
        <w:spacing w:before="50" w:after="50" w:line="360" w:lineRule="auto"/>
        <w:jc w:val="left"/>
        <w:rPr>
          <w:rFonts w:ascii="宋体" w:hAnsi="宋体" w:eastAsia="仿宋_GB2312" w:cs="宋体"/>
          <w:kern w:val="0"/>
          <w:sz w:val="24"/>
          <w:szCs w:val="20"/>
        </w:rPr>
      </w:pPr>
      <w:r>
        <w:rPr>
          <w:rFonts w:hint="eastAsia" w:ascii="宋体" w:hAnsi="宋体" w:eastAsia="仿宋_GB2312" w:cs="宋体"/>
          <w:kern w:val="0"/>
          <w:sz w:val="24"/>
          <w:szCs w:val="20"/>
        </w:rPr>
        <w:t xml:space="preserve"> </w:t>
      </w:r>
    </w:p>
    <w:p w14:paraId="499E2F62">
      <w:pPr>
        <w:widowControl/>
        <w:snapToGrid w:val="0"/>
        <w:spacing w:before="50" w:after="50" w:line="360" w:lineRule="auto"/>
        <w:ind w:firstLine="480" w:firstLineChars="200"/>
        <w:jc w:val="left"/>
        <w:rPr>
          <w:rFonts w:ascii="宋体" w:hAnsi="宋体" w:eastAsia="宋体" w:cs="宋体"/>
          <w:kern w:val="0"/>
          <w:sz w:val="24"/>
          <w:szCs w:val="20"/>
        </w:rPr>
      </w:pPr>
      <w:r>
        <w:rPr>
          <w:rFonts w:hint="eastAsia" w:ascii="宋体" w:hAnsi="宋体" w:eastAsia="宋体" w:cs="宋体"/>
          <w:kern w:val="0"/>
          <w:sz w:val="24"/>
          <w:szCs w:val="24"/>
        </w:rPr>
        <w:t>注: 1、报价一经涂改，应在涂改处加盖单位公章或投标人代表签字或盖章，否则其投标作无效标处理。</w:t>
      </w:r>
    </w:p>
    <w:p w14:paraId="17634FE0">
      <w:pPr>
        <w:widowControl/>
        <w:snapToGrid w:val="0"/>
        <w:spacing w:before="50" w:after="50" w:line="360" w:lineRule="auto"/>
        <w:ind w:firstLine="480" w:firstLineChars="200"/>
        <w:jc w:val="left"/>
        <w:rPr>
          <w:rFonts w:ascii="宋体" w:hAnsi="宋体" w:eastAsia="宋体" w:cs="宋体"/>
          <w:kern w:val="0"/>
          <w:sz w:val="24"/>
          <w:szCs w:val="20"/>
        </w:rPr>
      </w:pPr>
      <w:r>
        <w:rPr>
          <w:rFonts w:hint="eastAsia" w:ascii="宋体" w:hAnsi="宋体" w:eastAsia="宋体" w:cs="宋体"/>
          <w:kern w:val="0"/>
          <w:sz w:val="24"/>
          <w:szCs w:val="24"/>
        </w:rPr>
        <w:t>2、投标费用为完成本项目服务内容产生的所有费用。</w:t>
      </w:r>
    </w:p>
    <w:p w14:paraId="3B559DB8">
      <w:pPr>
        <w:widowControl/>
        <w:snapToGrid w:val="0"/>
        <w:spacing w:before="50" w:after="50" w:line="360" w:lineRule="auto"/>
        <w:ind w:firstLine="480" w:firstLineChars="200"/>
        <w:jc w:val="left"/>
        <w:rPr>
          <w:rFonts w:ascii="宋体" w:hAnsi="宋体" w:eastAsia="宋体" w:cs="宋体"/>
          <w:kern w:val="0"/>
          <w:sz w:val="24"/>
          <w:szCs w:val="20"/>
        </w:rPr>
      </w:pPr>
      <w:r>
        <w:rPr>
          <w:rFonts w:hint="eastAsia" w:ascii="宋体" w:hAnsi="宋体" w:eastAsia="宋体" w:cs="宋体"/>
          <w:kern w:val="0"/>
          <w:sz w:val="24"/>
          <w:szCs w:val="24"/>
        </w:rPr>
        <w:t>3、若认为符合价格折扣条件的，在 “备注”栏内注明符合何种折扣条件，以方便评委评审。</w:t>
      </w:r>
    </w:p>
    <w:p w14:paraId="798225E1">
      <w:pPr>
        <w:widowControl/>
        <w:snapToGrid w:val="0"/>
        <w:spacing w:before="50" w:after="50"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4、投标人按格式填列，不得自行更改。否则引起的不利后果由投标人承担。</w:t>
      </w:r>
    </w:p>
    <w:p w14:paraId="0084B4B3">
      <w:pPr>
        <w:widowControl/>
        <w:snapToGrid w:val="0"/>
        <w:spacing w:before="50" w:after="50" w:line="360" w:lineRule="auto"/>
        <w:ind w:firstLine="480" w:firstLineChars="200"/>
        <w:jc w:val="left"/>
        <w:rPr>
          <w:rFonts w:ascii="宋体" w:hAnsi="宋体" w:eastAsia="宋体" w:cs="宋体"/>
          <w:kern w:val="0"/>
          <w:sz w:val="24"/>
          <w:szCs w:val="20"/>
        </w:rPr>
      </w:pPr>
    </w:p>
    <w:p w14:paraId="4ACF30D9">
      <w:pPr>
        <w:widowControl/>
        <w:spacing w:line="360" w:lineRule="auto"/>
        <w:ind w:firstLine="1800" w:firstLineChars="750"/>
        <w:jc w:val="left"/>
        <w:rPr>
          <w:rFonts w:ascii="宋体" w:hAnsi="宋体" w:eastAsia="宋体" w:cs="宋体"/>
          <w:kern w:val="0"/>
          <w:sz w:val="24"/>
          <w:szCs w:val="24"/>
          <w:u w:val="single"/>
        </w:rPr>
      </w:pPr>
      <w:r>
        <w:rPr>
          <w:rFonts w:hint="eastAsia" w:ascii="宋体" w:hAnsi="宋体" w:eastAsia="宋体" w:cs="宋体"/>
          <w:kern w:val="0"/>
          <w:sz w:val="24"/>
          <w:szCs w:val="24"/>
        </w:rPr>
        <w:t xml:space="preserve"> 投标人代表签字： </w:t>
      </w:r>
      <w:r>
        <w:rPr>
          <w:rFonts w:hint="eastAsia" w:ascii="宋体" w:hAnsi="宋体" w:eastAsia="宋体" w:cs="宋体"/>
          <w:kern w:val="0"/>
          <w:sz w:val="24"/>
          <w:szCs w:val="24"/>
          <w:u w:val="single"/>
        </w:rPr>
        <w:t xml:space="preserve">                </w:t>
      </w:r>
    </w:p>
    <w:p w14:paraId="2A4273A6">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xml:space="preserve">            投标人：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（全称并加盖公章）                                               </w:t>
      </w:r>
    </w:p>
    <w:p w14:paraId="3ED5C2AC">
      <w:pPr>
        <w:snapToGrid w:val="0"/>
        <w:spacing w:before="50" w:after="50" w:line="360" w:lineRule="auto"/>
        <w:ind w:firstLine="6000" w:firstLineChars="2500"/>
        <w:jc w:val="left"/>
        <w:rPr>
          <w:rFonts w:hint="eastAsia" w:ascii="宋体" w:hAnsi="宋体" w:cs="宋体"/>
          <w:color w:val="000000" w:themeColor="text1"/>
          <w:kern w:val="0"/>
          <w:sz w:val="24"/>
          <w14:textFill>
            <w14:solidFill>
              <w14:schemeClr w14:val="tx1"/>
            </w14:solidFill>
          </w14:textFill>
        </w:rPr>
      </w:pPr>
      <w:bookmarkStart w:id="39" w:name="_GoBack"/>
      <w:bookmarkEnd w:id="39"/>
      <w:r>
        <w:rPr>
          <w:rFonts w:hint="eastAsia" w:ascii="宋体" w:hAnsi="宋体" w:eastAsia="宋体" w:cs="宋体"/>
          <w:kern w:val="0"/>
          <w:sz w:val="24"/>
          <w:szCs w:val="24"/>
        </w:rPr>
        <w:t xml:space="preserve"> 年    月    日</w:t>
      </w:r>
    </w:p>
    <w:p w14:paraId="525AC6DB">
      <w:pPr>
        <w:snapToGrid w:val="0"/>
        <w:spacing w:before="50" w:after="50" w:line="360" w:lineRule="auto"/>
        <w:ind w:left="-14" w:leftChars="-72" w:right="-817" w:rightChars="-389" w:hanging="137" w:hangingChars="62"/>
        <w:jc w:val="left"/>
        <w:rPr>
          <w:rFonts w:ascii="宋体" w:hAnsi="宋体" w:cs="宋体"/>
          <w:b/>
          <w:color w:val="000000" w:themeColor="text1"/>
          <w:kern w:val="0"/>
          <w:sz w:val="22"/>
          <w14:textFill>
            <w14:solidFill>
              <w14:schemeClr w14:val="tx1"/>
            </w14:solidFill>
          </w14:textFill>
        </w:rPr>
      </w:pPr>
    </w:p>
    <w:p w14:paraId="770E1F9E">
      <w:pPr>
        <w:snapToGrid w:val="0"/>
        <w:spacing w:before="50" w:after="50" w:line="360" w:lineRule="auto"/>
        <w:ind w:left="-14" w:leftChars="-72" w:right="-817" w:rightChars="-389" w:hanging="137" w:hangingChars="62"/>
        <w:jc w:val="left"/>
        <w:rPr>
          <w:rFonts w:ascii="宋体" w:hAnsi="宋体" w:cs="宋体"/>
          <w:b/>
          <w:color w:val="000000" w:themeColor="text1"/>
          <w:kern w:val="0"/>
          <w:sz w:val="22"/>
          <w14:textFill>
            <w14:solidFill>
              <w14:schemeClr w14:val="tx1"/>
            </w14:solidFill>
          </w14:textFill>
        </w:rPr>
      </w:pPr>
    </w:p>
    <w:p w14:paraId="33C0324C">
      <w:pPr>
        <w:snapToGrid w:val="0"/>
        <w:spacing w:before="50" w:after="50" w:line="360" w:lineRule="auto"/>
        <w:ind w:left="-14" w:leftChars="-72" w:right="-817" w:rightChars="-389" w:hanging="137" w:hangingChars="62"/>
        <w:jc w:val="left"/>
        <w:rPr>
          <w:rFonts w:ascii="宋体" w:hAnsi="宋体" w:cs="宋体"/>
          <w:b/>
          <w:color w:val="000000" w:themeColor="text1"/>
          <w:kern w:val="0"/>
          <w:sz w:val="22"/>
          <w14:textFill>
            <w14:solidFill>
              <w14:schemeClr w14:val="tx1"/>
            </w14:solidFill>
          </w14:textFill>
        </w:rPr>
      </w:pPr>
    </w:p>
    <w:p w14:paraId="7F8BB258">
      <w:pPr>
        <w:snapToGrid w:val="0"/>
        <w:spacing w:before="50" w:after="50" w:line="360" w:lineRule="auto"/>
        <w:ind w:left="-14" w:leftChars="-72" w:right="-817" w:rightChars="-389" w:hanging="137" w:hangingChars="62"/>
        <w:jc w:val="left"/>
        <w:rPr>
          <w:rFonts w:ascii="宋体" w:hAnsi="宋体" w:cs="宋体"/>
          <w:b/>
          <w:color w:val="000000" w:themeColor="text1"/>
          <w:kern w:val="0"/>
          <w:sz w:val="22"/>
          <w14:textFill>
            <w14:solidFill>
              <w14:schemeClr w14:val="tx1"/>
            </w14:solidFill>
          </w14:textFill>
        </w:rPr>
      </w:pPr>
    </w:p>
    <w:p w14:paraId="6D6209A0">
      <w:pPr>
        <w:pStyle w:val="34"/>
        <w:ind w:left="0" w:leftChars="0" w:firstLine="0" w:firstLineChars="0"/>
        <w:rPr>
          <w:rFonts w:cs="宋体"/>
          <w:color w:val="000000" w:themeColor="text1"/>
          <w:lang w:eastAsia="zh-CN"/>
          <w14:textFill>
            <w14:solidFill>
              <w14:schemeClr w14:val="tx1"/>
            </w14:solidFill>
          </w14:textFill>
        </w:rPr>
      </w:pPr>
    </w:p>
    <w:p w14:paraId="65181DFB">
      <w:pPr>
        <w:snapToGrid w:val="0"/>
        <w:spacing w:before="50" w:after="50"/>
        <w:jc w:val="left"/>
        <w:rPr>
          <w:rFonts w:ascii="宋体" w:hAnsi="宋体" w:cs="宋体"/>
          <w:b/>
          <w:color w:val="auto"/>
          <w:kern w:val="0"/>
          <w:sz w:val="32"/>
          <w:szCs w:val="32"/>
        </w:rPr>
      </w:pPr>
      <w:r>
        <w:rPr>
          <w:rFonts w:hint="eastAsia" w:ascii="宋体" w:hAnsi="宋体" w:cs="宋体"/>
          <w:b/>
          <w:color w:val="auto"/>
          <w:kern w:val="0"/>
          <w:sz w:val="32"/>
          <w:szCs w:val="32"/>
        </w:rPr>
        <w:t xml:space="preserve">附件4 </w:t>
      </w:r>
    </w:p>
    <w:p w14:paraId="694324E3">
      <w:pPr>
        <w:snapToGrid w:val="0"/>
        <w:spacing w:before="50" w:after="50"/>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投标报价明细表（格式）</w:t>
      </w:r>
    </w:p>
    <w:p w14:paraId="4FEAF839">
      <w:pPr>
        <w:spacing w:after="120"/>
        <w:jc w:val="center"/>
        <w:rPr>
          <w:rFonts w:ascii="宋体" w:hAnsi="宋体" w:cs="宋体"/>
          <w:b/>
          <w:snapToGrid w:val="0"/>
          <w:color w:val="000000" w:themeColor="text1"/>
          <w:sz w:val="28"/>
          <w:szCs w:val="28"/>
          <w14:textFill>
            <w14:solidFill>
              <w14:schemeClr w14:val="tx1"/>
            </w14:solidFill>
          </w14:textFill>
        </w:rPr>
      </w:pPr>
    </w:p>
    <w:p w14:paraId="044181CC">
      <w:pPr>
        <w:tabs>
          <w:tab w:val="left" w:pos="6520"/>
        </w:tabs>
        <w:wordWrap w:val="0"/>
        <w:snapToGrid w:val="0"/>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项目编号：</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ab/>
      </w:r>
      <w:r>
        <w:rPr>
          <w:rFonts w:hint="eastAsia" w:ascii="宋体" w:hAnsi="宋体" w:cs="宋体"/>
          <w:color w:val="000000" w:themeColor="text1"/>
          <w:kern w:val="0"/>
          <w:sz w:val="24"/>
          <w14:textFill>
            <w14:solidFill>
              <w14:schemeClr w14:val="tx1"/>
            </w14:solidFill>
          </w14:textFill>
        </w:rPr>
        <w:t xml:space="preserve">     货币单位：元</w:t>
      </w:r>
    </w:p>
    <w:p w14:paraId="601D0F7A">
      <w:pPr>
        <w:pStyle w:val="83"/>
        <w:ind w:firstLine="480"/>
        <w:rPr>
          <w:rFonts w:ascii="宋体" w:hAnsi="宋体" w:cs="宋体"/>
          <w:color w:val="000000" w:themeColor="text1"/>
          <w14:textFill>
            <w14:solidFill>
              <w14:schemeClr w14:val="tx1"/>
            </w14:solidFill>
          </w14:textFill>
        </w:rPr>
      </w:pPr>
    </w:p>
    <w:tbl>
      <w:tblPr>
        <w:tblStyle w:val="36"/>
        <w:tblW w:w="806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69"/>
        <w:gridCol w:w="3313"/>
        <w:gridCol w:w="2147"/>
        <w:gridCol w:w="1233"/>
      </w:tblGrid>
      <w:tr w14:paraId="36C4A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14:paraId="345355D1">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3313" w:type="dxa"/>
            <w:tcBorders>
              <w:top w:val="single" w:color="auto" w:sz="4" w:space="0"/>
              <w:left w:val="single" w:color="auto" w:sz="4" w:space="0"/>
              <w:bottom w:val="single" w:color="auto" w:sz="4" w:space="0"/>
              <w:right w:val="single" w:color="auto" w:sz="4" w:space="0"/>
            </w:tcBorders>
            <w:vAlign w:val="center"/>
          </w:tcPr>
          <w:p w14:paraId="20FDC197">
            <w:pPr>
              <w:widowControl/>
              <w:snapToGrid w:val="0"/>
              <w:spacing w:before="50" w:after="50" w:line="360" w:lineRule="auto"/>
              <w:jc w:val="center"/>
              <w:rPr>
                <w:rFonts w:ascii="宋体" w:hAnsi="宋体" w:eastAsia="宋体" w:cs="宋体"/>
                <w:kern w:val="0"/>
                <w:sz w:val="24"/>
                <w:szCs w:val="24"/>
              </w:rPr>
            </w:pPr>
            <w:r>
              <w:rPr>
                <w:rFonts w:hint="eastAsia" w:ascii="宋体" w:hAnsi="宋体" w:eastAsia="宋体" w:cs="宋体"/>
                <w:kern w:val="0"/>
                <w:sz w:val="24"/>
                <w:szCs w:val="24"/>
              </w:rPr>
              <w:t>服务名称</w:t>
            </w:r>
          </w:p>
        </w:tc>
        <w:tc>
          <w:tcPr>
            <w:tcW w:w="2147" w:type="dxa"/>
            <w:tcBorders>
              <w:top w:val="single" w:color="auto" w:sz="4" w:space="0"/>
              <w:left w:val="single" w:color="auto" w:sz="4" w:space="0"/>
              <w:bottom w:val="single" w:color="auto" w:sz="4" w:space="0"/>
              <w:right w:val="single" w:color="auto" w:sz="4" w:space="0"/>
            </w:tcBorders>
            <w:vAlign w:val="center"/>
          </w:tcPr>
          <w:p w14:paraId="6690F9A8">
            <w:pPr>
              <w:widowControl/>
              <w:snapToGrid w:val="0"/>
              <w:spacing w:before="50" w:after="50" w:line="36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价格小计（元）</w:t>
            </w:r>
          </w:p>
        </w:tc>
        <w:tc>
          <w:tcPr>
            <w:tcW w:w="1233" w:type="dxa"/>
            <w:tcBorders>
              <w:top w:val="single" w:color="auto" w:sz="4" w:space="0"/>
              <w:left w:val="single" w:color="auto" w:sz="4" w:space="0"/>
              <w:bottom w:val="single" w:color="auto" w:sz="4" w:space="0"/>
              <w:right w:val="single" w:color="auto" w:sz="4" w:space="0"/>
            </w:tcBorders>
            <w:vAlign w:val="center"/>
          </w:tcPr>
          <w:p w14:paraId="3F89AC62">
            <w:pPr>
              <w:widowControl/>
              <w:snapToGrid w:val="0"/>
              <w:spacing w:before="50" w:after="50"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备注</w:t>
            </w:r>
          </w:p>
        </w:tc>
      </w:tr>
      <w:tr w14:paraId="4B6C2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14:paraId="361B2CB7">
            <w:pPr>
              <w:widowControl/>
              <w:snapToGrid w:val="0"/>
              <w:spacing w:before="50" w:after="50" w:line="360" w:lineRule="auto"/>
              <w:jc w:val="center"/>
              <w:rPr>
                <w:rFonts w:ascii="宋体" w:hAnsi="宋体" w:eastAsia="仿宋_GB2312" w:cs="宋体"/>
                <w:kern w:val="0"/>
                <w:sz w:val="32"/>
                <w:szCs w:val="20"/>
              </w:rPr>
            </w:pPr>
            <w:r>
              <w:rPr>
                <w:rFonts w:hint="eastAsia" w:ascii="宋体" w:hAnsi="宋体" w:eastAsia="仿宋_GB2312" w:cs="宋体"/>
                <w:kern w:val="0"/>
                <w:sz w:val="32"/>
                <w:szCs w:val="20"/>
              </w:rPr>
              <w:t xml:space="preserve"> </w:t>
            </w:r>
          </w:p>
        </w:tc>
        <w:tc>
          <w:tcPr>
            <w:tcW w:w="3313" w:type="dxa"/>
            <w:tcBorders>
              <w:top w:val="single" w:color="auto" w:sz="4" w:space="0"/>
              <w:left w:val="single" w:color="auto" w:sz="4" w:space="0"/>
              <w:bottom w:val="single" w:color="auto" w:sz="4" w:space="0"/>
              <w:right w:val="single" w:color="auto" w:sz="4" w:space="0"/>
            </w:tcBorders>
            <w:vAlign w:val="center"/>
          </w:tcPr>
          <w:p w14:paraId="752DFDDA">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bCs/>
                <w:kern w:val="0"/>
                <w:sz w:val="32"/>
                <w:szCs w:val="20"/>
              </w:rPr>
              <w:t xml:space="preserve"> </w:t>
            </w:r>
            <w:r>
              <w:rPr>
                <w:rFonts w:hint="eastAsia" w:ascii="宋体" w:hAnsi="宋体" w:eastAsia="仿宋_GB2312" w:cs="宋体"/>
                <w:kern w:val="0"/>
                <w:sz w:val="32"/>
                <w:szCs w:val="21"/>
              </w:rPr>
              <w:t xml:space="preserve"> </w:t>
            </w:r>
          </w:p>
        </w:tc>
        <w:tc>
          <w:tcPr>
            <w:tcW w:w="2147" w:type="dxa"/>
            <w:tcBorders>
              <w:top w:val="single" w:color="auto" w:sz="4" w:space="0"/>
              <w:left w:val="single" w:color="auto" w:sz="4" w:space="0"/>
              <w:bottom w:val="single" w:color="auto" w:sz="4" w:space="0"/>
              <w:right w:val="single" w:color="auto" w:sz="4" w:space="0"/>
            </w:tcBorders>
            <w:vAlign w:val="center"/>
          </w:tcPr>
          <w:p w14:paraId="505C7F85">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233" w:type="dxa"/>
            <w:tcBorders>
              <w:top w:val="single" w:color="auto" w:sz="4" w:space="0"/>
              <w:left w:val="single" w:color="auto" w:sz="4" w:space="0"/>
              <w:bottom w:val="single" w:color="auto" w:sz="4" w:space="0"/>
              <w:right w:val="single" w:color="auto" w:sz="4" w:space="0"/>
            </w:tcBorders>
            <w:vAlign w:val="center"/>
          </w:tcPr>
          <w:p w14:paraId="27CCEEED">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r>
      <w:tr w14:paraId="60177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14:paraId="6390D8E6">
            <w:pPr>
              <w:widowControl/>
              <w:spacing w:line="360" w:lineRule="auto"/>
              <w:jc w:val="left"/>
              <w:rPr>
                <w:rFonts w:ascii="宋体" w:hAnsi="宋体" w:eastAsia="仿宋_GB2312" w:cs="宋体"/>
                <w:kern w:val="0"/>
                <w:sz w:val="32"/>
                <w:szCs w:val="20"/>
              </w:rPr>
            </w:pPr>
          </w:p>
        </w:tc>
        <w:tc>
          <w:tcPr>
            <w:tcW w:w="3313" w:type="dxa"/>
            <w:tcBorders>
              <w:top w:val="single" w:color="auto" w:sz="4" w:space="0"/>
              <w:left w:val="single" w:color="auto" w:sz="4" w:space="0"/>
              <w:bottom w:val="single" w:color="auto" w:sz="4" w:space="0"/>
              <w:right w:val="single" w:color="auto" w:sz="4" w:space="0"/>
            </w:tcBorders>
            <w:vAlign w:val="center"/>
          </w:tcPr>
          <w:p w14:paraId="606EE5D8">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bCs/>
                <w:kern w:val="0"/>
                <w:sz w:val="32"/>
                <w:szCs w:val="20"/>
              </w:rPr>
              <w:t xml:space="preserve"> </w:t>
            </w:r>
            <w:r>
              <w:rPr>
                <w:rFonts w:hint="eastAsia" w:ascii="宋体" w:hAnsi="宋体" w:eastAsia="仿宋_GB2312" w:cs="宋体"/>
                <w:kern w:val="0"/>
                <w:sz w:val="32"/>
                <w:szCs w:val="21"/>
              </w:rPr>
              <w:t xml:space="preserve"> </w:t>
            </w:r>
          </w:p>
        </w:tc>
        <w:tc>
          <w:tcPr>
            <w:tcW w:w="2147" w:type="dxa"/>
            <w:tcBorders>
              <w:top w:val="single" w:color="auto" w:sz="4" w:space="0"/>
              <w:left w:val="single" w:color="auto" w:sz="4" w:space="0"/>
              <w:bottom w:val="single" w:color="auto" w:sz="4" w:space="0"/>
              <w:right w:val="single" w:color="auto" w:sz="4" w:space="0"/>
            </w:tcBorders>
            <w:vAlign w:val="center"/>
          </w:tcPr>
          <w:p w14:paraId="6292FCD6">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233" w:type="dxa"/>
            <w:tcBorders>
              <w:top w:val="single" w:color="auto" w:sz="4" w:space="0"/>
              <w:left w:val="single" w:color="auto" w:sz="4" w:space="0"/>
              <w:bottom w:val="single" w:color="auto" w:sz="4" w:space="0"/>
              <w:right w:val="single" w:color="auto" w:sz="4" w:space="0"/>
            </w:tcBorders>
            <w:vAlign w:val="center"/>
          </w:tcPr>
          <w:p w14:paraId="544EB9B0">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r>
      <w:tr w14:paraId="1E1DBC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14:paraId="5D6C7E87">
            <w:pPr>
              <w:widowControl/>
              <w:spacing w:line="360" w:lineRule="auto"/>
              <w:jc w:val="left"/>
              <w:rPr>
                <w:rFonts w:ascii="宋体" w:hAnsi="宋体" w:eastAsia="仿宋_GB2312" w:cs="宋体"/>
                <w:kern w:val="0"/>
                <w:sz w:val="32"/>
                <w:szCs w:val="20"/>
              </w:rPr>
            </w:pPr>
          </w:p>
        </w:tc>
        <w:tc>
          <w:tcPr>
            <w:tcW w:w="3313" w:type="dxa"/>
            <w:tcBorders>
              <w:top w:val="single" w:color="auto" w:sz="4" w:space="0"/>
              <w:left w:val="single" w:color="auto" w:sz="4" w:space="0"/>
              <w:bottom w:val="single" w:color="auto" w:sz="4" w:space="0"/>
              <w:right w:val="single" w:color="auto" w:sz="4" w:space="0"/>
            </w:tcBorders>
            <w:vAlign w:val="center"/>
          </w:tcPr>
          <w:p w14:paraId="59048202">
            <w:pPr>
              <w:widowControl/>
              <w:snapToGrid w:val="0"/>
              <w:spacing w:before="50" w:after="50" w:line="360" w:lineRule="auto"/>
              <w:jc w:val="left"/>
              <w:rPr>
                <w:rFonts w:hint="eastAsia" w:ascii="宋体" w:hAnsi="宋体" w:eastAsia="仿宋_GB2312" w:cs="宋体"/>
                <w:bCs/>
                <w:kern w:val="0"/>
                <w:sz w:val="32"/>
                <w:szCs w:val="20"/>
              </w:rPr>
            </w:pPr>
          </w:p>
        </w:tc>
        <w:tc>
          <w:tcPr>
            <w:tcW w:w="2147" w:type="dxa"/>
            <w:tcBorders>
              <w:top w:val="single" w:color="auto" w:sz="4" w:space="0"/>
              <w:left w:val="single" w:color="auto" w:sz="4" w:space="0"/>
              <w:bottom w:val="single" w:color="auto" w:sz="4" w:space="0"/>
              <w:right w:val="single" w:color="auto" w:sz="4" w:space="0"/>
            </w:tcBorders>
            <w:vAlign w:val="center"/>
          </w:tcPr>
          <w:p w14:paraId="5598C14F">
            <w:pPr>
              <w:widowControl/>
              <w:snapToGrid w:val="0"/>
              <w:spacing w:before="50" w:after="50" w:line="360" w:lineRule="auto"/>
              <w:jc w:val="center"/>
              <w:rPr>
                <w:rFonts w:hint="eastAsia" w:ascii="宋体" w:hAnsi="宋体" w:eastAsia="仿宋_GB2312" w:cs="宋体"/>
                <w:kern w:val="0"/>
                <w:sz w:val="32"/>
                <w:szCs w:val="21"/>
              </w:rPr>
            </w:pPr>
          </w:p>
        </w:tc>
        <w:tc>
          <w:tcPr>
            <w:tcW w:w="1233" w:type="dxa"/>
            <w:tcBorders>
              <w:top w:val="single" w:color="auto" w:sz="4" w:space="0"/>
              <w:left w:val="single" w:color="auto" w:sz="4" w:space="0"/>
              <w:bottom w:val="single" w:color="auto" w:sz="4" w:space="0"/>
              <w:right w:val="single" w:color="auto" w:sz="4" w:space="0"/>
            </w:tcBorders>
            <w:vAlign w:val="center"/>
          </w:tcPr>
          <w:p w14:paraId="3A20A061">
            <w:pPr>
              <w:widowControl/>
              <w:snapToGrid w:val="0"/>
              <w:spacing w:before="50" w:after="50" w:line="360" w:lineRule="auto"/>
              <w:jc w:val="left"/>
              <w:rPr>
                <w:rFonts w:hint="eastAsia" w:ascii="宋体" w:hAnsi="宋体" w:eastAsia="仿宋_GB2312" w:cs="宋体"/>
                <w:kern w:val="0"/>
                <w:sz w:val="32"/>
                <w:szCs w:val="21"/>
              </w:rPr>
            </w:pPr>
          </w:p>
        </w:tc>
      </w:tr>
      <w:tr w14:paraId="007AB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14:paraId="5527D877">
            <w:pPr>
              <w:keepNext w:val="0"/>
              <w:keepLines w:val="0"/>
              <w:widowControl/>
              <w:suppressLineNumbers w:val="0"/>
              <w:jc w:val="center"/>
              <w:rPr>
                <w:rFonts w:ascii="宋体" w:hAnsi="宋体" w:eastAsia="仿宋_GB2312" w:cs="宋体"/>
                <w:kern w:val="0"/>
                <w:sz w:val="32"/>
                <w:szCs w:val="20"/>
              </w:rPr>
            </w:pPr>
            <w:r>
              <w:rPr>
                <w:rFonts w:hint="eastAsia" w:ascii="宋体" w:hAnsi="宋体" w:eastAsia="宋体" w:cs="宋体"/>
                <w:color w:val="000000"/>
                <w:kern w:val="0"/>
                <w:sz w:val="24"/>
                <w:szCs w:val="24"/>
                <w:lang w:val="en-US" w:eastAsia="zh-CN" w:bidi="ar"/>
              </w:rPr>
              <w:t>…</w:t>
            </w:r>
          </w:p>
        </w:tc>
        <w:tc>
          <w:tcPr>
            <w:tcW w:w="3313" w:type="dxa"/>
            <w:tcBorders>
              <w:top w:val="single" w:color="auto" w:sz="4" w:space="0"/>
              <w:left w:val="single" w:color="auto" w:sz="4" w:space="0"/>
              <w:bottom w:val="single" w:color="auto" w:sz="4" w:space="0"/>
              <w:right w:val="single" w:color="auto" w:sz="4" w:space="0"/>
            </w:tcBorders>
            <w:vAlign w:val="center"/>
          </w:tcPr>
          <w:p w14:paraId="0B60E2BE">
            <w:pPr>
              <w:keepNext w:val="0"/>
              <w:keepLines w:val="0"/>
              <w:widowControl/>
              <w:suppressLineNumbers w:val="0"/>
              <w:jc w:val="center"/>
              <w:rPr>
                <w:rFonts w:ascii="宋体" w:hAnsi="宋体" w:eastAsia="仿宋_GB2312" w:cs="宋体"/>
                <w:kern w:val="0"/>
                <w:sz w:val="32"/>
                <w:szCs w:val="21"/>
              </w:rPr>
            </w:pPr>
            <w:r>
              <w:rPr>
                <w:rFonts w:hint="eastAsia" w:ascii="宋体" w:hAnsi="宋体" w:eastAsia="宋体" w:cs="宋体"/>
                <w:color w:val="000000"/>
                <w:kern w:val="0"/>
                <w:sz w:val="24"/>
                <w:szCs w:val="24"/>
                <w:lang w:val="en-US" w:eastAsia="zh-CN" w:bidi="ar"/>
              </w:rPr>
              <w:t>…</w:t>
            </w:r>
          </w:p>
        </w:tc>
        <w:tc>
          <w:tcPr>
            <w:tcW w:w="2147" w:type="dxa"/>
            <w:tcBorders>
              <w:top w:val="single" w:color="auto" w:sz="4" w:space="0"/>
              <w:left w:val="single" w:color="auto" w:sz="4" w:space="0"/>
              <w:bottom w:val="single" w:color="auto" w:sz="4" w:space="0"/>
              <w:right w:val="single" w:color="auto" w:sz="4" w:space="0"/>
            </w:tcBorders>
            <w:vAlign w:val="center"/>
          </w:tcPr>
          <w:p w14:paraId="114A6E53">
            <w:pPr>
              <w:widowControl/>
              <w:snapToGrid w:val="0"/>
              <w:spacing w:before="50" w:after="50" w:line="360" w:lineRule="auto"/>
              <w:jc w:val="center"/>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c>
          <w:tcPr>
            <w:tcW w:w="1233" w:type="dxa"/>
            <w:tcBorders>
              <w:top w:val="single" w:color="auto" w:sz="4" w:space="0"/>
              <w:left w:val="single" w:color="auto" w:sz="4" w:space="0"/>
              <w:bottom w:val="single" w:color="auto" w:sz="4" w:space="0"/>
              <w:right w:val="single" w:color="auto" w:sz="4" w:space="0"/>
            </w:tcBorders>
            <w:vAlign w:val="center"/>
          </w:tcPr>
          <w:p w14:paraId="7AD71037">
            <w:pPr>
              <w:widowControl/>
              <w:snapToGrid w:val="0"/>
              <w:spacing w:before="50" w:after="50" w:line="360" w:lineRule="auto"/>
              <w:jc w:val="left"/>
              <w:rPr>
                <w:rFonts w:ascii="宋体" w:hAnsi="宋体" w:eastAsia="仿宋_GB2312" w:cs="宋体"/>
                <w:kern w:val="0"/>
                <w:sz w:val="32"/>
                <w:szCs w:val="21"/>
              </w:rPr>
            </w:pPr>
            <w:r>
              <w:rPr>
                <w:rFonts w:hint="eastAsia" w:ascii="宋体" w:hAnsi="宋体" w:eastAsia="仿宋_GB2312" w:cs="宋体"/>
                <w:kern w:val="0"/>
                <w:sz w:val="32"/>
                <w:szCs w:val="21"/>
              </w:rPr>
              <w:t xml:space="preserve"> </w:t>
            </w:r>
          </w:p>
        </w:tc>
      </w:tr>
      <w:tr w14:paraId="2DB0C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8062" w:type="dxa"/>
            <w:gridSpan w:val="4"/>
            <w:tcBorders>
              <w:top w:val="single" w:color="auto" w:sz="4" w:space="0"/>
              <w:left w:val="single" w:color="auto" w:sz="4" w:space="0"/>
              <w:bottom w:val="single" w:color="auto" w:sz="4" w:space="0"/>
              <w:right w:val="single" w:color="auto" w:sz="4" w:space="0"/>
            </w:tcBorders>
            <w:vAlign w:val="center"/>
          </w:tcPr>
          <w:p w14:paraId="6764A80B">
            <w:pPr>
              <w:widowControl/>
              <w:snapToGrid w:val="0"/>
              <w:spacing w:before="50" w:after="50" w:line="360" w:lineRule="auto"/>
              <w:jc w:val="both"/>
              <w:rPr>
                <w:rFonts w:hint="eastAsia" w:ascii="宋体" w:hAnsi="宋体" w:eastAsia="仿宋_GB2312" w:cs="宋体"/>
                <w:kern w:val="0"/>
                <w:sz w:val="32"/>
                <w:szCs w:val="21"/>
              </w:rPr>
            </w:pPr>
            <w:r>
              <w:rPr>
                <w:rFonts w:hint="eastAsia" w:ascii="宋体" w:hAnsi="宋体" w:eastAsia="仿宋_GB2312" w:cs="宋体"/>
                <w:kern w:val="0"/>
                <w:sz w:val="24"/>
                <w:szCs w:val="24"/>
                <w:lang w:val="en-US" w:eastAsia="zh-CN"/>
              </w:rPr>
              <w:t>合计：（大写）              （小写）</w:t>
            </w:r>
          </w:p>
        </w:tc>
      </w:tr>
    </w:tbl>
    <w:p w14:paraId="05921285">
      <w:pPr>
        <w:tabs>
          <w:tab w:val="left" w:pos="1418"/>
        </w:tabs>
        <w:wordWrap w:val="0"/>
        <w:snapToGrid w:val="0"/>
        <w:spacing w:line="480" w:lineRule="auto"/>
        <w:ind w:left="1418" w:hanging="567"/>
        <w:jc w:val="center"/>
        <w:rPr>
          <w:rFonts w:hAnsi="宋体" w:cs="宋体"/>
          <w:color w:val="000000" w:themeColor="text1"/>
          <w:sz w:val="28"/>
          <w:szCs w:val="28"/>
          <w14:textFill>
            <w14:solidFill>
              <w14:schemeClr w14:val="tx1"/>
            </w14:solidFill>
          </w14:textFill>
        </w:rPr>
      </w:pPr>
    </w:p>
    <w:p w14:paraId="546CD4CE">
      <w:pPr>
        <w:widowControl/>
        <w:snapToGrid w:val="0"/>
        <w:spacing w:before="50" w:after="50"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注：1、若聘用下岗、工龄买断、退休、残疾人员等无需缴纳社会保</w:t>
      </w:r>
      <w:r>
        <w:rPr>
          <w:rFonts w:hint="default" w:ascii="宋体" w:hAnsi="宋体" w:eastAsia="宋体" w:cs="宋体"/>
          <w:kern w:val="0"/>
          <w:sz w:val="24"/>
          <w:szCs w:val="24"/>
          <w:lang w:val="en-US" w:eastAsia="zh-CN"/>
        </w:rPr>
        <w:t xml:space="preserve">险的人员，请予以备注说明。 </w:t>
      </w:r>
    </w:p>
    <w:p w14:paraId="02A0450A">
      <w:pPr>
        <w:widowControl/>
        <w:snapToGrid w:val="0"/>
        <w:spacing w:before="50" w:after="50" w:line="360" w:lineRule="auto"/>
        <w:ind w:firstLine="480" w:firstLineChars="200"/>
        <w:jc w:val="left"/>
        <w:rPr>
          <w:rFonts w:hint="eastAsia" w:ascii="宋体" w:hAnsi="宋体" w:eastAsia="宋体" w:cs="宋体"/>
          <w:kern w:val="0"/>
          <w:sz w:val="24"/>
          <w:szCs w:val="24"/>
        </w:rPr>
      </w:pPr>
      <w:r>
        <w:rPr>
          <w:rFonts w:hint="default" w:ascii="宋体" w:hAnsi="宋体" w:eastAsia="宋体" w:cs="宋体"/>
          <w:kern w:val="0"/>
          <w:sz w:val="24"/>
          <w:szCs w:val="24"/>
          <w:lang w:val="en-US" w:eastAsia="zh-CN"/>
        </w:rPr>
        <w:t xml:space="preserve">4、在确定中标供应商之前，评标委员会认为供应商的报价明显低于其他通过符合性审查供应商的报价，有可能影响产品质量或者不能诚信履约的，应当要求其通过驻马店市公共资源交易中心电子交易平台不见面交易系统在合理的时间内提供书面说明，必要时提交相关 </w:t>
      </w:r>
    </w:p>
    <w:p w14:paraId="5DE6F223">
      <w:pPr>
        <w:widowControl/>
        <w:snapToGrid w:val="0"/>
        <w:spacing w:before="50" w:after="50" w:line="360" w:lineRule="auto"/>
        <w:jc w:val="left"/>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证明材料；不能证明其报价合理性的，评标委员会应当将其作为无效投标处理。</w:t>
      </w:r>
    </w:p>
    <w:p w14:paraId="09E17E24">
      <w:pPr>
        <w:tabs>
          <w:tab w:val="left" w:pos="3390"/>
          <w:tab w:val="center" w:pos="4201"/>
        </w:tabs>
        <w:wordWrap w:val="0"/>
        <w:spacing w:line="460" w:lineRule="exact"/>
        <w:ind w:firstLine="2520" w:firstLineChars="1050"/>
        <w:jc w:val="left"/>
        <w:rPr>
          <w:rFonts w:hint="eastAsia" w:ascii="宋体" w:hAnsi="宋体" w:cs="宋体"/>
          <w:color w:val="000000" w:themeColor="text1"/>
          <w:kern w:val="0"/>
          <w:sz w:val="24"/>
          <w14:textFill>
            <w14:solidFill>
              <w14:schemeClr w14:val="tx1"/>
            </w14:solidFill>
          </w14:textFill>
        </w:rPr>
      </w:pPr>
    </w:p>
    <w:p w14:paraId="14AC56AD">
      <w:pPr>
        <w:tabs>
          <w:tab w:val="left" w:pos="3390"/>
          <w:tab w:val="center" w:pos="4201"/>
        </w:tabs>
        <w:wordWrap w:val="0"/>
        <w:spacing w:line="460" w:lineRule="exact"/>
        <w:ind w:firstLine="2520" w:firstLineChars="1050"/>
        <w:jc w:val="left"/>
        <w:rPr>
          <w:rFonts w:hint="eastAsia" w:ascii="宋体" w:hAnsi="宋体" w:cs="宋体"/>
          <w:color w:val="000000" w:themeColor="text1"/>
          <w:kern w:val="0"/>
          <w:sz w:val="24"/>
          <w14:textFill>
            <w14:solidFill>
              <w14:schemeClr w14:val="tx1"/>
            </w14:solidFill>
          </w14:textFill>
        </w:rPr>
      </w:pPr>
    </w:p>
    <w:p w14:paraId="6A237F89">
      <w:pPr>
        <w:tabs>
          <w:tab w:val="left" w:pos="3390"/>
          <w:tab w:val="center" w:pos="4201"/>
        </w:tabs>
        <w:wordWrap w:val="0"/>
        <w:spacing w:line="460" w:lineRule="exact"/>
        <w:ind w:firstLine="2520" w:firstLineChars="1050"/>
        <w:jc w:val="left"/>
        <w:rPr>
          <w:rFonts w:ascii="宋体" w:hAnsi="宋体" w:cs="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（全称并加盖公章）</w:t>
      </w:r>
    </w:p>
    <w:p w14:paraId="2CB63EC8">
      <w:pPr>
        <w:tabs>
          <w:tab w:val="left" w:pos="3390"/>
          <w:tab w:val="center" w:pos="4201"/>
        </w:tabs>
        <w:wordWrap w:val="0"/>
        <w:spacing w:line="460" w:lineRule="exact"/>
        <w:ind w:right="1039" w:rightChars="495" w:firstLine="482" w:firstLineChars="200"/>
        <w:jc w:val="righ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w:t>
      </w:r>
      <w:r>
        <w:rPr>
          <w:rFonts w:hint="eastAsia" w:ascii="宋体" w:hAnsi="宋体" w:cs="宋体"/>
          <w:bCs/>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年   月   日</w:t>
      </w:r>
    </w:p>
    <w:p w14:paraId="2D5317A3">
      <w:pPr>
        <w:pStyle w:val="35"/>
        <w:tabs>
          <w:tab w:val="left" w:pos="945"/>
          <w:tab w:val="left" w:pos="1155"/>
        </w:tabs>
        <w:rPr>
          <w:rFonts w:hint="default" w:ascii="宋体" w:hAnsi="宋体" w:eastAsia="宋体" w:cs="宋体"/>
          <w:kern w:val="0"/>
          <w:sz w:val="24"/>
          <w:szCs w:val="24"/>
          <w:lang w:val="en-US" w:eastAsia="zh-CN"/>
        </w:rPr>
      </w:pPr>
    </w:p>
    <w:p w14:paraId="21C0D061">
      <w:pPr>
        <w:rPr>
          <w:rFonts w:hint="eastAsia"/>
        </w:rPr>
      </w:pPr>
    </w:p>
    <w:p w14:paraId="4FDD3575">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p>
    <w:p w14:paraId="3C8B7324">
      <w:pPr>
        <w:jc w:val="left"/>
        <w:rPr>
          <w:rFonts w:ascii="宋体" w:hAnsi="宋体" w:cs="宋体"/>
          <w:b/>
          <w:snapToGrid w:val="0"/>
          <w:color w:val="000000" w:themeColor="text1"/>
          <w:sz w:val="28"/>
          <w:szCs w:val="28"/>
          <w14:textFill>
            <w14:solidFill>
              <w14:schemeClr w14:val="tx1"/>
            </w14:solidFill>
          </w14:textFill>
        </w:rPr>
      </w:pPr>
      <w:bookmarkStart w:id="25" w:name="_Toc11825"/>
      <w:bookmarkStart w:id="26" w:name="_Toc6405"/>
      <w:bookmarkStart w:id="27" w:name="_Toc31693"/>
      <w:bookmarkStart w:id="28" w:name="_Toc14455"/>
      <w:bookmarkStart w:id="29" w:name="_Toc8427"/>
      <w:r>
        <w:rPr>
          <w:rFonts w:hint="eastAsia" w:ascii="宋体" w:hAnsi="宋体" w:cs="宋体"/>
          <w:b/>
          <w:color w:val="000000" w:themeColor="text1"/>
          <w:kern w:val="0"/>
          <w:sz w:val="32"/>
          <w:szCs w:val="32"/>
          <w14:textFill>
            <w14:solidFill>
              <w14:schemeClr w14:val="tx1"/>
            </w14:solidFill>
          </w14:textFill>
        </w:rPr>
        <w:t xml:space="preserve">附件5       </w:t>
      </w:r>
      <w:r>
        <w:rPr>
          <w:rFonts w:hint="eastAsia" w:ascii="宋体" w:hAnsi="宋体" w:cs="宋体"/>
          <w:b/>
          <w:snapToGrid w:val="0"/>
          <w:color w:val="000000" w:themeColor="text1"/>
          <w:sz w:val="28"/>
          <w:szCs w:val="28"/>
          <w14:textFill>
            <w14:solidFill>
              <w14:schemeClr w14:val="tx1"/>
            </w14:solidFill>
          </w14:textFill>
        </w:rPr>
        <w:t xml:space="preserve">      </w:t>
      </w:r>
    </w:p>
    <w:p w14:paraId="4CCD0FA8">
      <w:pPr>
        <w:snapToGrid w:val="0"/>
        <w:spacing w:before="50" w:after="50"/>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lang w:eastAsia="zh-CN"/>
          <w14:textFill>
            <w14:solidFill>
              <w14:schemeClr w14:val="tx1"/>
            </w14:solidFill>
          </w14:textFill>
        </w:rPr>
        <w:t>服务技术响应表</w:t>
      </w:r>
      <w:r>
        <w:rPr>
          <w:rFonts w:hint="eastAsia" w:ascii="宋体" w:hAnsi="宋体" w:cs="宋体"/>
          <w:b/>
          <w:color w:val="000000" w:themeColor="text1"/>
          <w:kern w:val="0"/>
          <w:sz w:val="32"/>
          <w:szCs w:val="32"/>
          <w14:textFill>
            <w14:solidFill>
              <w14:schemeClr w14:val="tx1"/>
            </w14:solidFill>
          </w14:textFill>
        </w:rPr>
        <w:t>（格式）</w:t>
      </w:r>
    </w:p>
    <w:p w14:paraId="71DE893A">
      <w:pPr>
        <w:wordWrap w:val="0"/>
        <w:snapToGrid w:val="0"/>
        <w:spacing w:after="156" w:afterLines="50"/>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项目编号：</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                     包号：  </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1531"/>
        <w:gridCol w:w="2184"/>
        <w:gridCol w:w="3559"/>
        <w:gridCol w:w="825"/>
      </w:tblGrid>
      <w:tr w14:paraId="4BC3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420" w:type="dxa"/>
            <w:tcBorders>
              <w:top w:val="single" w:color="auto" w:sz="4" w:space="0"/>
              <w:left w:val="single" w:color="auto" w:sz="4" w:space="0"/>
              <w:bottom w:val="single" w:color="auto" w:sz="4" w:space="0"/>
              <w:right w:val="single" w:color="auto" w:sz="4" w:space="0"/>
            </w:tcBorders>
          </w:tcPr>
          <w:p w14:paraId="3D3E8A54">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序号</w:t>
            </w:r>
          </w:p>
        </w:tc>
        <w:tc>
          <w:tcPr>
            <w:tcW w:w="1531" w:type="dxa"/>
            <w:tcBorders>
              <w:top w:val="single" w:color="auto" w:sz="4" w:space="0"/>
              <w:left w:val="single" w:color="auto" w:sz="4" w:space="0"/>
              <w:bottom w:val="single" w:color="auto" w:sz="4" w:space="0"/>
              <w:right w:val="single" w:color="auto" w:sz="4" w:space="0"/>
            </w:tcBorders>
          </w:tcPr>
          <w:p w14:paraId="2848F75A">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服务名称</w:t>
            </w:r>
          </w:p>
        </w:tc>
        <w:tc>
          <w:tcPr>
            <w:tcW w:w="2184" w:type="dxa"/>
            <w:tcBorders>
              <w:top w:val="single" w:color="auto" w:sz="4" w:space="0"/>
              <w:left w:val="single" w:color="auto" w:sz="4" w:space="0"/>
              <w:bottom w:val="single" w:color="auto" w:sz="4" w:space="0"/>
              <w:right w:val="single" w:color="auto" w:sz="4" w:space="0"/>
            </w:tcBorders>
          </w:tcPr>
          <w:p w14:paraId="76131397">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招标文件要求</w:t>
            </w:r>
          </w:p>
        </w:tc>
        <w:tc>
          <w:tcPr>
            <w:tcW w:w="3559" w:type="dxa"/>
            <w:tcBorders>
              <w:top w:val="single" w:color="auto" w:sz="4" w:space="0"/>
              <w:left w:val="single" w:color="auto" w:sz="4" w:space="0"/>
              <w:bottom w:val="single" w:color="auto" w:sz="4" w:space="0"/>
              <w:right w:val="single" w:color="auto" w:sz="4" w:space="0"/>
            </w:tcBorders>
          </w:tcPr>
          <w:p w14:paraId="40BA1841">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投标文件响应</w:t>
            </w:r>
          </w:p>
        </w:tc>
        <w:tc>
          <w:tcPr>
            <w:tcW w:w="825" w:type="dxa"/>
            <w:tcBorders>
              <w:top w:val="single" w:color="auto" w:sz="4" w:space="0"/>
              <w:left w:val="single" w:color="auto" w:sz="4" w:space="0"/>
              <w:bottom w:val="single" w:color="auto" w:sz="4" w:space="0"/>
              <w:right w:val="single" w:color="auto" w:sz="4" w:space="0"/>
            </w:tcBorders>
          </w:tcPr>
          <w:p w14:paraId="37E49EC2">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偏离情况</w:t>
            </w:r>
          </w:p>
        </w:tc>
      </w:tr>
      <w:tr w14:paraId="4E01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420" w:type="dxa"/>
            <w:tcBorders>
              <w:top w:val="single" w:color="auto" w:sz="4" w:space="0"/>
              <w:left w:val="single" w:color="auto" w:sz="4" w:space="0"/>
              <w:bottom w:val="single" w:color="auto" w:sz="4" w:space="0"/>
              <w:right w:val="single" w:color="auto" w:sz="4" w:space="0"/>
            </w:tcBorders>
          </w:tcPr>
          <w:p w14:paraId="68A77238">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1</w:t>
            </w:r>
          </w:p>
        </w:tc>
        <w:tc>
          <w:tcPr>
            <w:tcW w:w="1531" w:type="dxa"/>
            <w:tcBorders>
              <w:top w:val="single" w:color="auto" w:sz="4" w:space="0"/>
              <w:left w:val="single" w:color="auto" w:sz="4" w:space="0"/>
              <w:bottom w:val="single" w:color="auto" w:sz="4" w:space="0"/>
              <w:right w:val="single" w:color="auto" w:sz="4" w:space="0"/>
            </w:tcBorders>
          </w:tcPr>
          <w:p w14:paraId="77BAB91E">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2184" w:type="dxa"/>
            <w:tcBorders>
              <w:top w:val="single" w:color="auto" w:sz="4" w:space="0"/>
              <w:left w:val="single" w:color="auto" w:sz="4" w:space="0"/>
              <w:right w:val="single" w:color="auto" w:sz="4" w:space="0"/>
            </w:tcBorders>
          </w:tcPr>
          <w:p w14:paraId="55FEEAA2">
            <w:pPr>
              <w:spacing w:before="156" w:after="156" w:line="360" w:lineRule="auto"/>
              <w:jc w:val="left"/>
              <w:rPr>
                <w:rFonts w:ascii="宋体" w:hAnsi="宋体" w:eastAsia="宋体" w:cs="宋体"/>
                <w:kern w:val="0"/>
                <w:sz w:val="24"/>
                <w:szCs w:val="24"/>
              </w:rPr>
            </w:pPr>
          </w:p>
        </w:tc>
        <w:tc>
          <w:tcPr>
            <w:tcW w:w="3559" w:type="dxa"/>
            <w:tcBorders>
              <w:top w:val="single" w:color="auto" w:sz="4" w:space="0"/>
              <w:left w:val="single" w:color="auto" w:sz="4" w:space="0"/>
              <w:right w:val="single" w:color="auto" w:sz="4" w:space="0"/>
            </w:tcBorders>
          </w:tcPr>
          <w:p w14:paraId="4DABB62A">
            <w:pPr>
              <w:spacing w:before="156" w:after="156" w:line="360" w:lineRule="auto"/>
              <w:jc w:val="left"/>
              <w:rPr>
                <w:rFonts w:ascii="宋体" w:hAnsi="宋体" w:eastAsia="宋体" w:cs="宋体"/>
                <w:kern w:val="0"/>
                <w:sz w:val="24"/>
                <w:szCs w:val="24"/>
              </w:rPr>
            </w:pPr>
          </w:p>
        </w:tc>
        <w:tc>
          <w:tcPr>
            <w:tcW w:w="825" w:type="dxa"/>
            <w:tcBorders>
              <w:top w:val="single" w:color="auto" w:sz="4" w:space="0"/>
              <w:left w:val="single" w:color="auto" w:sz="4" w:space="0"/>
              <w:right w:val="single" w:color="auto" w:sz="4" w:space="0"/>
            </w:tcBorders>
          </w:tcPr>
          <w:p w14:paraId="13B5EA81">
            <w:pPr>
              <w:widowControl/>
              <w:spacing w:before="156" w:after="156" w:line="360" w:lineRule="auto"/>
              <w:jc w:val="left"/>
              <w:rPr>
                <w:rFonts w:ascii="宋体" w:hAnsi="宋体" w:eastAsia="宋体" w:cs="宋体"/>
                <w:kern w:val="0"/>
                <w:sz w:val="24"/>
                <w:szCs w:val="24"/>
              </w:rPr>
            </w:pPr>
          </w:p>
        </w:tc>
      </w:tr>
      <w:tr w14:paraId="38B5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20" w:type="dxa"/>
            <w:tcBorders>
              <w:top w:val="single" w:color="auto" w:sz="4" w:space="0"/>
              <w:left w:val="single" w:color="auto" w:sz="4" w:space="0"/>
              <w:bottom w:val="single" w:color="auto" w:sz="4" w:space="0"/>
              <w:right w:val="single" w:color="auto" w:sz="4" w:space="0"/>
            </w:tcBorders>
          </w:tcPr>
          <w:p w14:paraId="2786D825">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2</w:t>
            </w:r>
          </w:p>
        </w:tc>
        <w:tc>
          <w:tcPr>
            <w:tcW w:w="1531" w:type="dxa"/>
            <w:tcBorders>
              <w:top w:val="single" w:color="auto" w:sz="4" w:space="0"/>
              <w:left w:val="single" w:color="auto" w:sz="4" w:space="0"/>
              <w:bottom w:val="single" w:color="auto" w:sz="4" w:space="0"/>
              <w:right w:val="single" w:color="auto" w:sz="4" w:space="0"/>
            </w:tcBorders>
          </w:tcPr>
          <w:p w14:paraId="61CAF1B6">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2184" w:type="dxa"/>
            <w:tcBorders>
              <w:top w:val="single" w:color="auto" w:sz="4" w:space="0"/>
              <w:left w:val="single" w:color="auto" w:sz="4" w:space="0"/>
              <w:right w:val="single" w:color="auto" w:sz="4" w:space="0"/>
            </w:tcBorders>
          </w:tcPr>
          <w:p w14:paraId="66947FA0">
            <w:pPr>
              <w:spacing w:before="156" w:after="156" w:line="360" w:lineRule="auto"/>
              <w:jc w:val="left"/>
              <w:rPr>
                <w:rFonts w:ascii="宋体" w:hAnsi="宋体" w:eastAsia="宋体" w:cs="宋体"/>
                <w:kern w:val="0"/>
                <w:sz w:val="24"/>
                <w:szCs w:val="24"/>
              </w:rPr>
            </w:pPr>
          </w:p>
        </w:tc>
        <w:tc>
          <w:tcPr>
            <w:tcW w:w="3559" w:type="dxa"/>
            <w:tcBorders>
              <w:top w:val="single" w:color="auto" w:sz="4" w:space="0"/>
              <w:left w:val="single" w:color="auto" w:sz="4" w:space="0"/>
              <w:right w:val="single" w:color="auto" w:sz="4" w:space="0"/>
            </w:tcBorders>
          </w:tcPr>
          <w:p w14:paraId="16414C85">
            <w:pPr>
              <w:spacing w:before="156" w:after="156" w:line="360" w:lineRule="auto"/>
              <w:jc w:val="left"/>
              <w:rPr>
                <w:rFonts w:ascii="宋体" w:hAnsi="宋体" w:eastAsia="宋体" w:cs="宋体"/>
                <w:kern w:val="0"/>
                <w:sz w:val="24"/>
                <w:szCs w:val="24"/>
              </w:rPr>
            </w:pPr>
          </w:p>
        </w:tc>
        <w:tc>
          <w:tcPr>
            <w:tcW w:w="825" w:type="dxa"/>
            <w:tcBorders>
              <w:top w:val="single" w:color="auto" w:sz="4" w:space="0"/>
              <w:left w:val="single" w:color="auto" w:sz="4" w:space="0"/>
              <w:right w:val="single" w:color="auto" w:sz="4" w:space="0"/>
            </w:tcBorders>
          </w:tcPr>
          <w:p w14:paraId="61C7583B">
            <w:pPr>
              <w:widowControl/>
              <w:spacing w:before="156" w:after="156" w:line="360" w:lineRule="auto"/>
              <w:jc w:val="left"/>
              <w:rPr>
                <w:rFonts w:ascii="宋体" w:hAnsi="宋体" w:eastAsia="宋体" w:cs="宋体"/>
                <w:kern w:val="0"/>
                <w:sz w:val="24"/>
                <w:szCs w:val="24"/>
              </w:rPr>
            </w:pPr>
          </w:p>
        </w:tc>
      </w:tr>
      <w:tr w14:paraId="58C7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420" w:type="dxa"/>
            <w:tcBorders>
              <w:top w:val="single" w:color="auto" w:sz="4" w:space="0"/>
              <w:left w:val="single" w:color="auto" w:sz="4" w:space="0"/>
              <w:bottom w:val="single" w:color="auto" w:sz="4" w:space="0"/>
              <w:right w:val="single" w:color="auto" w:sz="4" w:space="0"/>
            </w:tcBorders>
          </w:tcPr>
          <w:p w14:paraId="5133011F">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531" w:type="dxa"/>
            <w:tcBorders>
              <w:top w:val="single" w:color="auto" w:sz="4" w:space="0"/>
              <w:left w:val="single" w:color="auto" w:sz="4" w:space="0"/>
              <w:bottom w:val="single" w:color="auto" w:sz="4" w:space="0"/>
              <w:right w:val="single" w:color="auto" w:sz="4" w:space="0"/>
            </w:tcBorders>
          </w:tcPr>
          <w:p w14:paraId="4A781FD7">
            <w:pPr>
              <w:widowControl/>
              <w:spacing w:before="156" w:after="156" w:line="360" w:lineRule="auto"/>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2184" w:type="dxa"/>
            <w:tcBorders>
              <w:top w:val="single" w:color="auto" w:sz="4" w:space="0"/>
              <w:left w:val="single" w:color="auto" w:sz="4" w:space="0"/>
              <w:right w:val="single" w:color="auto" w:sz="4" w:space="0"/>
            </w:tcBorders>
          </w:tcPr>
          <w:p w14:paraId="0C23C1B9">
            <w:pPr>
              <w:spacing w:before="156" w:after="156" w:line="360" w:lineRule="auto"/>
              <w:jc w:val="left"/>
              <w:rPr>
                <w:rFonts w:ascii="宋体" w:hAnsi="宋体" w:eastAsia="宋体" w:cs="宋体"/>
                <w:kern w:val="0"/>
                <w:sz w:val="24"/>
                <w:szCs w:val="24"/>
              </w:rPr>
            </w:pPr>
          </w:p>
        </w:tc>
        <w:tc>
          <w:tcPr>
            <w:tcW w:w="3559" w:type="dxa"/>
            <w:tcBorders>
              <w:top w:val="single" w:color="auto" w:sz="4" w:space="0"/>
              <w:left w:val="single" w:color="auto" w:sz="4" w:space="0"/>
              <w:right w:val="single" w:color="auto" w:sz="4" w:space="0"/>
            </w:tcBorders>
          </w:tcPr>
          <w:p w14:paraId="1A44B6A2">
            <w:pPr>
              <w:spacing w:before="156" w:after="156" w:line="360" w:lineRule="auto"/>
              <w:jc w:val="left"/>
              <w:rPr>
                <w:rFonts w:ascii="宋体" w:hAnsi="宋体" w:eastAsia="宋体" w:cs="宋体"/>
                <w:kern w:val="0"/>
                <w:sz w:val="24"/>
                <w:szCs w:val="24"/>
              </w:rPr>
            </w:pPr>
          </w:p>
        </w:tc>
        <w:tc>
          <w:tcPr>
            <w:tcW w:w="825" w:type="dxa"/>
            <w:tcBorders>
              <w:top w:val="single" w:color="auto" w:sz="4" w:space="0"/>
              <w:left w:val="single" w:color="auto" w:sz="4" w:space="0"/>
              <w:right w:val="single" w:color="auto" w:sz="4" w:space="0"/>
            </w:tcBorders>
          </w:tcPr>
          <w:p w14:paraId="1E0E1F16">
            <w:pPr>
              <w:widowControl/>
              <w:spacing w:before="156" w:after="156" w:line="360" w:lineRule="auto"/>
              <w:jc w:val="left"/>
              <w:rPr>
                <w:rFonts w:ascii="宋体" w:hAnsi="宋体" w:eastAsia="宋体" w:cs="宋体"/>
                <w:kern w:val="0"/>
                <w:sz w:val="24"/>
                <w:szCs w:val="24"/>
              </w:rPr>
            </w:pPr>
          </w:p>
        </w:tc>
      </w:tr>
      <w:tr w14:paraId="10C5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951" w:type="dxa"/>
            <w:gridSpan w:val="2"/>
            <w:tcBorders>
              <w:top w:val="single" w:color="auto" w:sz="4" w:space="0"/>
              <w:left w:val="single" w:color="auto" w:sz="4" w:space="0"/>
              <w:bottom w:val="single" w:color="auto" w:sz="4" w:space="0"/>
              <w:right w:val="single" w:color="auto" w:sz="4" w:space="0"/>
            </w:tcBorders>
          </w:tcPr>
          <w:p w14:paraId="4B7701FF">
            <w:pPr>
              <w:widowControl/>
              <w:snapToGrid w:val="0"/>
              <w:spacing w:line="360" w:lineRule="auto"/>
              <w:jc w:val="left"/>
              <w:outlineLvl w:val="0"/>
              <w:rPr>
                <w:rFonts w:ascii="宋体" w:hAnsi="宋体" w:eastAsia="宋体" w:cs="宋体"/>
                <w:kern w:val="0"/>
                <w:sz w:val="24"/>
                <w:szCs w:val="24"/>
              </w:rPr>
            </w:pPr>
            <w:r>
              <w:rPr>
                <w:rFonts w:hint="eastAsia" w:ascii="宋体" w:hAnsi="宋体" w:eastAsia="宋体" w:cs="宋体"/>
                <w:kern w:val="0"/>
                <w:sz w:val="24"/>
                <w:szCs w:val="24"/>
              </w:rPr>
              <w:t>服务标准</w:t>
            </w:r>
          </w:p>
        </w:tc>
        <w:tc>
          <w:tcPr>
            <w:tcW w:w="6568" w:type="dxa"/>
            <w:gridSpan w:val="3"/>
            <w:tcBorders>
              <w:top w:val="single" w:color="auto" w:sz="4" w:space="0"/>
              <w:left w:val="single" w:color="auto" w:sz="4" w:space="0"/>
              <w:bottom w:val="single" w:color="auto" w:sz="4" w:space="0"/>
              <w:right w:val="single" w:color="auto" w:sz="4" w:space="0"/>
            </w:tcBorders>
          </w:tcPr>
          <w:p w14:paraId="0EEBF9AE">
            <w:pPr>
              <w:widowControl/>
              <w:snapToGrid w:val="0"/>
              <w:spacing w:line="360" w:lineRule="auto"/>
              <w:jc w:val="left"/>
              <w:outlineLvl w:val="0"/>
              <w:rPr>
                <w:rFonts w:ascii="宋体" w:hAnsi="宋体" w:eastAsia="宋体" w:cs="宋体"/>
                <w:kern w:val="0"/>
                <w:sz w:val="18"/>
                <w:szCs w:val="18"/>
              </w:rPr>
            </w:pPr>
            <w:r>
              <w:rPr>
                <w:rFonts w:hint="eastAsia" w:ascii="宋体" w:hAnsi="宋体" w:eastAsia="宋体" w:cs="宋体"/>
                <w:kern w:val="0"/>
                <w:sz w:val="24"/>
                <w:szCs w:val="24"/>
              </w:rPr>
              <w:t>（国家标准、行业标准、地区标准等）</w:t>
            </w:r>
          </w:p>
          <w:p w14:paraId="7246E6D4">
            <w:pPr>
              <w:widowControl/>
              <w:snapToGrid w:val="0"/>
              <w:spacing w:line="360" w:lineRule="auto"/>
              <w:jc w:val="left"/>
              <w:outlineLvl w:val="0"/>
              <w:rPr>
                <w:rFonts w:ascii="宋体" w:hAnsi="宋体" w:eastAsia="宋体" w:cs="宋体"/>
                <w:kern w:val="0"/>
                <w:sz w:val="24"/>
                <w:szCs w:val="24"/>
              </w:rPr>
            </w:pPr>
            <w:r>
              <w:rPr>
                <w:rFonts w:hint="eastAsia" w:ascii="宋体" w:hAnsi="宋体" w:eastAsia="宋体" w:cs="宋体"/>
                <w:kern w:val="0"/>
                <w:sz w:val="24"/>
                <w:szCs w:val="24"/>
              </w:rPr>
              <w:t xml:space="preserve"> </w:t>
            </w:r>
          </w:p>
        </w:tc>
      </w:tr>
    </w:tbl>
    <w:p w14:paraId="621AF22A">
      <w:pPr>
        <w:wordWrap w:val="0"/>
        <w:spacing w:line="420" w:lineRule="exact"/>
        <w:jc w:val="left"/>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注：投标人必须如实完整填写表格， “偏离情况”是指“正偏离”、“负偏离”或“无偏离”。</w:t>
      </w:r>
    </w:p>
    <w:p w14:paraId="3EC922A7">
      <w:pPr>
        <w:wordWrap w:val="0"/>
        <w:snapToGrid w:val="0"/>
        <w:spacing w:line="460" w:lineRule="exact"/>
        <w:ind w:firstLine="2760" w:firstLineChars="1150"/>
        <w:jc w:val="left"/>
        <w:rPr>
          <w:rFonts w:ascii="宋体" w:hAnsi="宋体" w:cs="宋体"/>
          <w:color w:val="000000" w:themeColor="text1"/>
          <w:kern w:val="0"/>
          <w:sz w:val="24"/>
          <w14:textFill>
            <w14:solidFill>
              <w14:schemeClr w14:val="tx1"/>
            </w14:solidFill>
          </w14:textFill>
        </w:rPr>
      </w:pPr>
    </w:p>
    <w:p w14:paraId="45434200">
      <w:pPr>
        <w:wordWrap w:val="0"/>
        <w:snapToGrid w:val="0"/>
        <w:spacing w:line="460" w:lineRule="exact"/>
        <w:ind w:firstLine="2760" w:firstLineChars="1150"/>
        <w:jc w:val="left"/>
        <w:rPr>
          <w:rFonts w:ascii="宋体" w:hAnsi="宋体" w:cs="宋体"/>
          <w:color w:val="000000" w:themeColor="text1"/>
          <w:kern w:val="0"/>
          <w:sz w:val="52"/>
          <w:szCs w:val="52"/>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（全称并加盖公章）</w:t>
      </w:r>
    </w:p>
    <w:p w14:paraId="4047D1F7">
      <w:pPr>
        <w:spacing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w:t>
      </w:r>
      <w:r>
        <w:rPr>
          <w:rFonts w:hint="eastAsia" w:ascii="宋体" w:hAnsi="宋体" w:cs="宋体"/>
          <w:bCs/>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年   月   日</w:t>
      </w:r>
    </w:p>
    <w:p w14:paraId="1E4ED403">
      <w:pPr>
        <w:pStyle w:val="35"/>
        <w:tabs>
          <w:tab w:val="left" w:pos="0"/>
          <w:tab w:val="left" w:pos="993"/>
          <w:tab w:val="left" w:pos="1134"/>
        </w:tabs>
        <w:ind w:firstLine="562"/>
        <w:rPr>
          <w:b/>
          <w:snapToGrid w:val="0"/>
          <w:color w:val="000000" w:themeColor="text1"/>
          <w:sz w:val="28"/>
          <w:szCs w:val="28"/>
          <w14:textFill>
            <w14:solidFill>
              <w14:schemeClr w14:val="tx1"/>
            </w14:solidFill>
          </w14:textFill>
        </w:rPr>
      </w:pPr>
    </w:p>
    <w:p w14:paraId="5128446A">
      <w:pPr>
        <w:rPr>
          <w:rFonts w:ascii="宋体" w:hAnsi="宋体" w:cs="宋体"/>
          <w:b/>
          <w:snapToGrid w:val="0"/>
          <w:color w:val="000000" w:themeColor="text1"/>
          <w:sz w:val="28"/>
          <w:szCs w:val="28"/>
          <w14:textFill>
            <w14:solidFill>
              <w14:schemeClr w14:val="tx1"/>
            </w14:solidFill>
          </w14:textFill>
        </w:rPr>
      </w:pPr>
    </w:p>
    <w:p w14:paraId="10D581BC">
      <w:pPr>
        <w:pStyle w:val="35"/>
        <w:tabs>
          <w:tab w:val="left" w:pos="0"/>
          <w:tab w:val="left" w:pos="993"/>
          <w:tab w:val="left" w:pos="1134"/>
        </w:tabs>
        <w:ind w:firstLine="562"/>
        <w:rPr>
          <w:b/>
          <w:snapToGrid w:val="0"/>
          <w:color w:val="000000" w:themeColor="text1"/>
          <w:sz w:val="28"/>
          <w:szCs w:val="28"/>
          <w14:textFill>
            <w14:solidFill>
              <w14:schemeClr w14:val="tx1"/>
            </w14:solidFill>
          </w14:textFill>
        </w:rPr>
      </w:pPr>
    </w:p>
    <w:p w14:paraId="69DEB9FF">
      <w:pPr>
        <w:rPr>
          <w:rFonts w:ascii="宋体" w:hAnsi="宋体" w:cs="宋体"/>
          <w:b/>
          <w:snapToGrid w:val="0"/>
          <w:color w:val="000000" w:themeColor="text1"/>
          <w:sz w:val="28"/>
          <w:szCs w:val="28"/>
          <w14:textFill>
            <w14:solidFill>
              <w14:schemeClr w14:val="tx1"/>
            </w14:solidFill>
          </w14:textFill>
        </w:rPr>
      </w:pPr>
    </w:p>
    <w:p w14:paraId="2B657915">
      <w:pPr>
        <w:pStyle w:val="35"/>
        <w:tabs>
          <w:tab w:val="left" w:pos="945"/>
          <w:tab w:val="left" w:pos="1155"/>
        </w:tabs>
        <w:ind w:left="0" w:leftChars="0" w:firstLine="0" w:firstLineChars="0"/>
      </w:pPr>
    </w:p>
    <w:p w14:paraId="44D929ED"/>
    <w:p w14:paraId="63AB16E7"/>
    <w:p w14:paraId="1BB71E06"/>
    <w:p w14:paraId="20926E64">
      <w:pPr>
        <w:snapToGrid w:val="0"/>
        <w:spacing w:before="50" w:after="50"/>
        <w:jc w:val="left"/>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附件6</w:t>
      </w:r>
    </w:p>
    <w:p w14:paraId="2CA1A462">
      <w:pPr>
        <w:rPr>
          <w:rFonts w:ascii="宋体" w:hAnsi="宋体" w:cs="宋体"/>
          <w:color w:val="000000" w:themeColor="text1"/>
          <w14:textFill>
            <w14:solidFill>
              <w14:schemeClr w14:val="tx1"/>
            </w14:solidFill>
          </w14:textFill>
        </w:rPr>
      </w:pPr>
    </w:p>
    <w:p w14:paraId="502C03F7">
      <w:pPr>
        <w:snapToGrid w:val="0"/>
        <w:spacing w:before="50" w:after="50"/>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商务响应表（格式）</w:t>
      </w:r>
      <w:bookmarkEnd w:id="25"/>
      <w:bookmarkEnd w:id="26"/>
      <w:bookmarkEnd w:id="27"/>
      <w:bookmarkEnd w:id="28"/>
      <w:bookmarkEnd w:id="29"/>
    </w:p>
    <w:p w14:paraId="43A0F5B2">
      <w:pPr>
        <w:wordWrap w:val="0"/>
        <w:adjustRightInd w:val="0"/>
        <w:snapToGrid w:val="0"/>
        <w:spacing w:before="50" w:after="156" w:afterLines="50" w:line="360" w:lineRule="auto"/>
        <w:rPr>
          <w:rFonts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 xml:space="preserve">项目编号： </w:t>
      </w:r>
      <w:r>
        <w:rPr>
          <w:rFonts w:hint="eastAsia" w:ascii="宋体" w:hAnsi="宋体" w:cs="宋体"/>
          <w:snapToGrid w:val="0"/>
          <w:color w:val="000000" w:themeColor="text1"/>
          <w:sz w:val="24"/>
          <w:u w:val="single"/>
          <w14:textFill>
            <w14:solidFill>
              <w14:schemeClr w14:val="tx1"/>
            </w14:solidFill>
          </w14:textFill>
        </w:rPr>
        <w:t xml:space="preserve">            </w:t>
      </w:r>
      <w:r>
        <w:rPr>
          <w:rFonts w:hint="eastAsia" w:ascii="宋体" w:hAnsi="宋体" w:cs="宋体"/>
          <w:snapToGrid w:val="0"/>
          <w:color w:val="000000" w:themeColor="text1"/>
          <w:sz w:val="24"/>
          <w14:textFill>
            <w14:solidFill>
              <w14:schemeClr w14:val="tx1"/>
            </w14:solidFill>
          </w14:textFill>
        </w:rPr>
        <w:t xml:space="preserve">                             包号：  </w:t>
      </w:r>
    </w:p>
    <w:tbl>
      <w:tblPr>
        <w:tblStyle w:val="36"/>
        <w:tblW w:w="0" w:type="auto"/>
        <w:tblInd w:w="0" w:type="dxa"/>
        <w:tblLayout w:type="fixed"/>
        <w:tblCellMar>
          <w:top w:w="0" w:type="dxa"/>
          <w:left w:w="108" w:type="dxa"/>
          <w:bottom w:w="0" w:type="dxa"/>
          <w:right w:w="108" w:type="dxa"/>
        </w:tblCellMar>
      </w:tblPr>
      <w:tblGrid>
        <w:gridCol w:w="1547"/>
        <w:gridCol w:w="2698"/>
        <w:gridCol w:w="1259"/>
        <w:gridCol w:w="3018"/>
      </w:tblGrid>
      <w:tr w14:paraId="383383C4">
        <w:tblPrEx>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vAlign w:val="top"/>
          </w:tcPr>
          <w:p w14:paraId="10FE74C6">
            <w:pPr>
              <w:widowControl/>
              <w:spacing w:line="270" w:lineRule="atLeast"/>
              <w:rPr>
                <w:rFonts w:ascii="宋体" w:hAnsi="宋体" w:cs="宋体"/>
                <w:color w:val="000000" w:themeColor="text1"/>
                <w:sz w:val="24"/>
                <w14:textFill>
                  <w14:solidFill>
                    <w14:schemeClr w14:val="tx1"/>
                  </w14:solidFill>
                </w14:textFill>
              </w:rPr>
            </w:pPr>
            <w:r>
              <w:rPr>
                <w:rFonts w:hint="eastAsia" w:ascii="宋体" w:hAnsi="宋体" w:eastAsia="宋体" w:cs="宋体"/>
                <w:kern w:val="0"/>
                <w:sz w:val="28"/>
                <w:szCs w:val="28"/>
              </w:rPr>
              <w:t>项目</w:t>
            </w:r>
          </w:p>
        </w:tc>
        <w:tc>
          <w:tcPr>
            <w:tcW w:w="2698" w:type="dxa"/>
            <w:tcBorders>
              <w:top w:val="single" w:color="auto" w:sz="4" w:space="0"/>
              <w:left w:val="nil"/>
              <w:bottom w:val="single" w:color="auto" w:sz="4" w:space="0"/>
              <w:right w:val="single" w:color="auto" w:sz="4" w:space="0"/>
            </w:tcBorders>
            <w:vAlign w:val="top"/>
          </w:tcPr>
          <w:p w14:paraId="0CD291DF">
            <w:pPr>
              <w:widowControl/>
              <w:spacing w:before="156" w:line="270" w:lineRule="atLeast"/>
              <w:rPr>
                <w:rFonts w:ascii="宋体" w:hAnsi="宋体" w:cs="宋体"/>
                <w:color w:val="000000" w:themeColor="text1"/>
                <w:sz w:val="24"/>
                <w14:textFill>
                  <w14:solidFill>
                    <w14:schemeClr w14:val="tx1"/>
                  </w14:solidFill>
                </w14:textFill>
              </w:rPr>
            </w:pPr>
            <w:r>
              <w:rPr>
                <w:rFonts w:hint="eastAsia" w:ascii="宋体" w:hAnsi="宋体" w:eastAsia="宋体" w:cs="宋体"/>
                <w:kern w:val="0"/>
                <w:sz w:val="24"/>
                <w:szCs w:val="24"/>
              </w:rPr>
              <w:t>招标文件要求</w:t>
            </w:r>
          </w:p>
        </w:tc>
        <w:tc>
          <w:tcPr>
            <w:tcW w:w="1259" w:type="dxa"/>
            <w:tcBorders>
              <w:top w:val="single" w:color="auto" w:sz="4" w:space="0"/>
              <w:left w:val="nil"/>
              <w:bottom w:val="single" w:color="auto" w:sz="4" w:space="0"/>
              <w:right w:val="single" w:color="auto" w:sz="4" w:space="0"/>
            </w:tcBorders>
            <w:vAlign w:val="top"/>
          </w:tcPr>
          <w:p w14:paraId="0532C57F">
            <w:pPr>
              <w:widowControl/>
              <w:spacing w:before="156" w:line="270" w:lineRule="atLeast"/>
              <w:rPr>
                <w:rFonts w:ascii="宋体" w:hAnsi="宋体" w:cs="宋体"/>
                <w:color w:val="000000" w:themeColor="text1"/>
                <w:sz w:val="24"/>
                <w14:textFill>
                  <w14:solidFill>
                    <w14:schemeClr w14:val="tx1"/>
                  </w14:solidFill>
                </w14:textFill>
              </w:rPr>
            </w:pPr>
            <w:r>
              <w:rPr>
                <w:rFonts w:hint="eastAsia" w:ascii="宋体" w:hAnsi="宋体" w:eastAsia="宋体" w:cs="宋体"/>
                <w:kern w:val="0"/>
                <w:sz w:val="24"/>
                <w:szCs w:val="24"/>
              </w:rPr>
              <w:t>是否响应</w:t>
            </w:r>
          </w:p>
        </w:tc>
        <w:tc>
          <w:tcPr>
            <w:tcW w:w="3018" w:type="dxa"/>
            <w:tcBorders>
              <w:top w:val="single" w:color="auto" w:sz="4" w:space="0"/>
              <w:left w:val="nil"/>
              <w:bottom w:val="single" w:color="auto" w:sz="4" w:space="0"/>
              <w:right w:val="single" w:color="auto" w:sz="4" w:space="0"/>
            </w:tcBorders>
            <w:vAlign w:val="top"/>
          </w:tcPr>
          <w:p w14:paraId="07CF566F">
            <w:pPr>
              <w:widowControl/>
              <w:spacing w:before="156" w:line="270" w:lineRule="atLeast"/>
              <w:rPr>
                <w:rFonts w:ascii="宋体" w:hAnsi="宋体" w:cs="宋体"/>
                <w:color w:val="000000" w:themeColor="text1"/>
                <w:sz w:val="24"/>
                <w14:textFill>
                  <w14:solidFill>
                    <w14:schemeClr w14:val="tx1"/>
                  </w14:solidFill>
                </w14:textFill>
              </w:rPr>
            </w:pPr>
            <w:r>
              <w:rPr>
                <w:rFonts w:hint="eastAsia" w:ascii="宋体" w:hAnsi="宋体" w:eastAsia="宋体" w:cs="宋体"/>
                <w:kern w:val="0"/>
                <w:sz w:val="24"/>
                <w:szCs w:val="24"/>
              </w:rPr>
              <w:t>投标人的承诺或说明</w:t>
            </w:r>
          </w:p>
        </w:tc>
      </w:tr>
      <w:tr w14:paraId="428067D0">
        <w:tblPrEx>
          <w:tblCellMar>
            <w:top w:w="0" w:type="dxa"/>
            <w:left w:w="108" w:type="dxa"/>
            <w:bottom w:w="0" w:type="dxa"/>
            <w:right w:w="108" w:type="dxa"/>
          </w:tblCellMar>
        </w:tblPrEx>
        <w:trPr>
          <w:trHeight w:val="233" w:hRule="atLeast"/>
        </w:trPr>
        <w:tc>
          <w:tcPr>
            <w:tcW w:w="1547" w:type="dxa"/>
            <w:tcBorders>
              <w:top w:val="single" w:color="auto" w:sz="4" w:space="0"/>
              <w:left w:val="single" w:color="auto" w:sz="4" w:space="0"/>
              <w:bottom w:val="single" w:color="auto" w:sz="4" w:space="0"/>
              <w:right w:val="single" w:color="auto" w:sz="4" w:space="0"/>
            </w:tcBorders>
            <w:vAlign w:val="center"/>
          </w:tcPr>
          <w:p w14:paraId="2B52CCD2">
            <w:pPr>
              <w:pStyle w:val="31"/>
              <w:spacing w:line="315" w:lineRule="atLeast"/>
              <w:jc w:val="both"/>
              <w:rPr>
                <w:rFonts w:cs="宋体"/>
                <w:color w:val="000000" w:themeColor="text1"/>
                <w14:textFill>
                  <w14:solidFill>
                    <w14:schemeClr w14:val="tx1"/>
                  </w14:solidFill>
                </w14:textFill>
              </w:rPr>
            </w:pPr>
            <w:r>
              <w:rPr>
                <w:rFonts w:hint="eastAsia" w:ascii="宋体" w:hAnsi="宋体"/>
              </w:rPr>
              <w:t>服务期限</w:t>
            </w:r>
          </w:p>
        </w:tc>
        <w:tc>
          <w:tcPr>
            <w:tcW w:w="2698" w:type="dxa"/>
            <w:tcBorders>
              <w:top w:val="single" w:color="auto" w:sz="4" w:space="0"/>
              <w:left w:val="single" w:color="auto" w:sz="4" w:space="0"/>
              <w:bottom w:val="single" w:color="auto" w:sz="4" w:space="0"/>
              <w:right w:val="single" w:color="auto" w:sz="4" w:space="0"/>
            </w:tcBorders>
            <w:vAlign w:val="top"/>
          </w:tcPr>
          <w:p w14:paraId="22886D3B">
            <w:pPr>
              <w:widowControl/>
              <w:spacing w:line="270" w:lineRule="atLeast"/>
              <w:rPr>
                <w:rFonts w:ascii="宋体" w:hAnsi="宋体" w:cs="宋体"/>
                <w:color w:val="000000" w:themeColor="text1"/>
                <w:sz w:val="24"/>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top"/>
          </w:tcPr>
          <w:p w14:paraId="66D33B36">
            <w:pPr>
              <w:widowControl/>
              <w:spacing w:line="270" w:lineRule="atLeast"/>
              <w:rPr>
                <w:rFonts w:ascii="宋体" w:hAnsi="宋体" w:cs="宋体"/>
                <w:color w:val="000000" w:themeColor="text1"/>
                <w:sz w:val="24"/>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top"/>
          </w:tcPr>
          <w:p w14:paraId="50936B18">
            <w:pPr>
              <w:widowControl/>
              <w:spacing w:line="270" w:lineRule="atLeast"/>
              <w:rPr>
                <w:rFonts w:ascii="宋体" w:hAnsi="宋体" w:cs="宋体"/>
                <w:color w:val="000000" w:themeColor="text1"/>
                <w:sz w:val="24"/>
                <w14:textFill>
                  <w14:solidFill>
                    <w14:schemeClr w14:val="tx1"/>
                  </w14:solidFill>
                </w14:textFill>
              </w:rPr>
            </w:pPr>
          </w:p>
        </w:tc>
      </w:tr>
      <w:tr w14:paraId="66E2199A">
        <w:tblPrEx>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vAlign w:val="center"/>
          </w:tcPr>
          <w:p w14:paraId="531B6636">
            <w:pPr>
              <w:pStyle w:val="31"/>
              <w:spacing w:line="315" w:lineRule="atLeast"/>
              <w:jc w:val="both"/>
              <w:rPr>
                <w:rFonts w:cs="宋体"/>
                <w:color w:val="000000" w:themeColor="text1"/>
                <w14:textFill>
                  <w14:solidFill>
                    <w14:schemeClr w14:val="tx1"/>
                  </w14:solidFill>
                </w14:textFill>
              </w:rPr>
            </w:pPr>
            <w:r>
              <w:rPr>
                <w:rFonts w:hint="eastAsia" w:ascii="宋体" w:hAnsi="宋体"/>
              </w:rPr>
              <w:t>服务地点</w:t>
            </w:r>
          </w:p>
        </w:tc>
        <w:tc>
          <w:tcPr>
            <w:tcW w:w="2698" w:type="dxa"/>
            <w:tcBorders>
              <w:top w:val="single" w:color="auto" w:sz="4" w:space="0"/>
              <w:left w:val="single" w:color="auto" w:sz="4" w:space="0"/>
              <w:bottom w:val="single" w:color="auto" w:sz="4" w:space="0"/>
              <w:right w:val="single" w:color="auto" w:sz="4" w:space="0"/>
            </w:tcBorders>
            <w:vAlign w:val="top"/>
          </w:tcPr>
          <w:p w14:paraId="5D2D02AD">
            <w:pPr>
              <w:widowControl/>
              <w:spacing w:line="270" w:lineRule="atLeast"/>
              <w:rPr>
                <w:rFonts w:ascii="宋体" w:hAnsi="宋体" w:cs="宋体"/>
                <w:color w:val="000000" w:themeColor="text1"/>
                <w:sz w:val="24"/>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top"/>
          </w:tcPr>
          <w:p w14:paraId="22CC979E">
            <w:pPr>
              <w:widowControl/>
              <w:spacing w:line="270" w:lineRule="atLeast"/>
              <w:rPr>
                <w:rFonts w:ascii="宋体" w:hAnsi="宋体" w:cs="宋体"/>
                <w:color w:val="000000" w:themeColor="text1"/>
                <w:sz w:val="24"/>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top"/>
          </w:tcPr>
          <w:p w14:paraId="1DE14A0A">
            <w:pPr>
              <w:widowControl/>
              <w:spacing w:line="270" w:lineRule="atLeast"/>
              <w:rPr>
                <w:rFonts w:ascii="宋体" w:hAnsi="宋体" w:cs="宋体"/>
                <w:color w:val="000000" w:themeColor="text1"/>
                <w:sz w:val="24"/>
                <w14:textFill>
                  <w14:solidFill>
                    <w14:schemeClr w14:val="tx1"/>
                  </w14:solidFill>
                </w14:textFill>
              </w:rPr>
            </w:pPr>
          </w:p>
        </w:tc>
      </w:tr>
      <w:tr w14:paraId="1129BE64">
        <w:tblPrEx>
          <w:tblCellMar>
            <w:top w:w="0" w:type="dxa"/>
            <w:left w:w="108" w:type="dxa"/>
            <w:bottom w:w="0" w:type="dxa"/>
            <w:right w:w="108" w:type="dxa"/>
          </w:tblCellMar>
        </w:tblPrEx>
        <w:trPr>
          <w:trHeight w:val="938" w:hRule="atLeast"/>
        </w:trPr>
        <w:tc>
          <w:tcPr>
            <w:tcW w:w="1547" w:type="dxa"/>
            <w:tcBorders>
              <w:top w:val="single" w:color="auto" w:sz="4" w:space="0"/>
              <w:left w:val="single" w:color="auto" w:sz="4" w:space="0"/>
              <w:bottom w:val="single" w:color="auto" w:sz="4" w:space="0"/>
              <w:right w:val="single" w:color="auto" w:sz="4" w:space="0"/>
            </w:tcBorders>
            <w:vAlign w:val="center"/>
          </w:tcPr>
          <w:p w14:paraId="0AFD1D16">
            <w:pPr>
              <w:pStyle w:val="31"/>
              <w:spacing w:line="360" w:lineRule="auto"/>
              <w:jc w:val="both"/>
              <w:rPr>
                <w:rFonts w:cs="宋体"/>
                <w:color w:val="000000" w:themeColor="text1"/>
                <w14:textFill>
                  <w14:solidFill>
                    <w14:schemeClr w14:val="tx1"/>
                  </w14:solidFill>
                </w14:textFill>
              </w:rPr>
            </w:pPr>
            <w:r>
              <w:rPr>
                <w:rFonts w:hint="eastAsia" w:ascii="宋体" w:hAnsi="宋体" w:cs="宋体"/>
                <w:szCs w:val="24"/>
              </w:rPr>
              <w:t>质量标准</w:t>
            </w:r>
          </w:p>
        </w:tc>
        <w:tc>
          <w:tcPr>
            <w:tcW w:w="2698" w:type="dxa"/>
            <w:tcBorders>
              <w:top w:val="single" w:color="auto" w:sz="4" w:space="0"/>
              <w:left w:val="single" w:color="auto" w:sz="4" w:space="0"/>
              <w:bottom w:val="single" w:color="auto" w:sz="4" w:space="0"/>
              <w:right w:val="single" w:color="auto" w:sz="4" w:space="0"/>
            </w:tcBorders>
            <w:vAlign w:val="top"/>
          </w:tcPr>
          <w:p w14:paraId="2B519D4D">
            <w:pPr>
              <w:widowControl/>
              <w:spacing w:line="270" w:lineRule="atLeast"/>
              <w:rPr>
                <w:rFonts w:ascii="宋体" w:hAnsi="宋体" w:cs="宋体"/>
                <w:color w:val="000000" w:themeColor="text1"/>
                <w:sz w:val="24"/>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top"/>
          </w:tcPr>
          <w:p w14:paraId="750C514F">
            <w:pPr>
              <w:widowControl/>
              <w:spacing w:line="270" w:lineRule="atLeast"/>
              <w:rPr>
                <w:rFonts w:ascii="宋体" w:hAnsi="宋体" w:cs="宋体"/>
                <w:color w:val="000000" w:themeColor="text1"/>
                <w:sz w:val="24"/>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top"/>
          </w:tcPr>
          <w:p w14:paraId="749848B2">
            <w:pPr>
              <w:widowControl/>
              <w:spacing w:line="270" w:lineRule="atLeast"/>
              <w:rPr>
                <w:rFonts w:ascii="宋体" w:hAnsi="宋体" w:cs="宋体"/>
                <w:color w:val="000000" w:themeColor="text1"/>
                <w:sz w:val="24"/>
                <w14:textFill>
                  <w14:solidFill>
                    <w14:schemeClr w14:val="tx1"/>
                  </w14:solidFill>
                </w14:textFill>
              </w:rPr>
            </w:pPr>
          </w:p>
        </w:tc>
      </w:tr>
      <w:tr w14:paraId="0536F579">
        <w:tblPrEx>
          <w:tblCellMar>
            <w:top w:w="0" w:type="dxa"/>
            <w:left w:w="108" w:type="dxa"/>
            <w:bottom w:w="0" w:type="dxa"/>
            <w:right w:w="108" w:type="dxa"/>
          </w:tblCellMar>
        </w:tblPrEx>
        <w:trPr>
          <w:trHeight w:val="938" w:hRule="atLeast"/>
        </w:trPr>
        <w:tc>
          <w:tcPr>
            <w:tcW w:w="1547" w:type="dxa"/>
            <w:tcBorders>
              <w:top w:val="single" w:color="auto" w:sz="4" w:space="0"/>
              <w:left w:val="single" w:color="auto" w:sz="4" w:space="0"/>
              <w:bottom w:val="single" w:color="auto" w:sz="4" w:space="0"/>
              <w:right w:val="single" w:color="auto" w:sz="4" w:space="0"/>
            </w:tcBorders>
            <w:vAlign w:val="center"/>
          </w:tcPr>
          <w:p w14:paraId="285A012B">
            <w:pPr>
              <w:pStyle w:val="31"/>
              <w:spacing w:line="315" w:lineRule="atLeast"/>
              <w:jc w:val="both"/>
              <w:rPr>
                <w:rFonts w:hint="eastAsia" w:ascii="宋体" w:hAnsi="宋体" w:eastAsia="宋体" w:cs="宋体"/>
                <w:kern w:val="0"/>
                <w:sz w:val="24"/>
                <w:szCs w:val="24"/>
              </w:rPr>
            </w:pPr>
            <w:r>
              <w:rPr>
                <w:rFonts w:hint="eastAsia" w:ascii="宋体" w:hAnsi="宋体"/>
              </w:rPr>
              <w:t>合同签订时间</w:t>
            </w:r>
          </w:p>
        </w:tc>
        <w:tc>
          <w:tcPr>
            <w:tcW w:w="2698" w:type="dxa"/>
            <w:tcBorders>
              <w:top w:val="single" w:color="auto" w:sz="4" w:space="0"/>
              <w:left w:val="single" w:color="auto" w:sz="4" w:space="0"/>
              <w:bottom w:val="single" w:color="auto" w:sz="4" w:space="0"/>
              <w:right w:val="single" w:color="auto" w:sz="4" w:space="0"/>
            </w:tcBorders>
            <w:vAlign w:val="top"/>
          </w:tcPr>
          <w:p w14:paraId="5DAB863A">
            <w:pPr>
              <w:widowControl/>
              <w:spacing w:line="270" w:lineRule="atLeast"/>
              <w:rPr>
                <w:rFonts w:ascii="宋体" w:hAnsi="宋体" w:cs="宋体"/>
                <w:color w:val="000000" w:themeColor="text1"/>
                <w:sz w:val="24"/>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top"/>
          </w:tcPr>
          <w:p w14:paraId="3A69507A">
            <w:pPr>
              <w:widowControl/>
              <w:spacing w:line="270" w:lineRule="atLeast"/>
              <w:rPr>
                <w:rFonts w:ascii="宋体" w:hAnsi="宋体" w:cs="宋体"/>
                <w:color w:val="000000" w:themeColor="text1"/>
                <w:sz w:val="24"/>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top"/>
          </w:tcPr>
          <w:p w14:paraId="4E5BDF03">
            <w:pPr>
              <w:widowControl/>
              <w:spacing w:line="270" w:lineRule="atLeast"/>
              <w:rPr>
                <w:rFonts w:ascii="宋体" w:hAnsi="宋体" w:cs="宋体"/>
                <w:color w:val="000000" w:themeColor="text1"/>
                <w:sz w:val="24"/>
                <w14:textFill>
                  <w14:solidFill>
                    <w14:schemeClr w14:val="tx1"/>
                  </w14:solidFill>
                </w14:textFill>
              </w:rPr>
            </w:pPr>
          </w:p>
        </w:tc>
      </w:tr>
      <w:tr w14:paraId="35177DF7">
        <w:tblPrEx>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vAlign w:val="center"/>
          </w:tcPr>
          <w:p w14:paraId="0979C132">
            <w:pPr>
              <w:pStyle w:val="31"/>
              <w:spacing w:line="315" w:lineRule="atLeast"/>
              <w:jc w:val="both"/>
              <w:rPr>
                <w:rFonts w:cs="宋体"/>
                <w:color w:val="000000" w:themeColor="text1"/>
                <w14:textFill>
                  <w14:solidFill>
                    <w14:schemeClr w14:val="tx1"/>
                  </w14:solidFill>
                </w14:textFill>
              </w:rPr>
            </w:pPr>
            <w:r>
              <w:rPr>
                <w:rFonts w:hint="eastAsia" w:ascii="宋体" w:hAnsi="宋体"/>
              </w:rPr>
              <w:t>付款方式</w:t>
            </w:r>
          </w:p>
        </w:tc>
        <w:tc>
          <w:tcPr>
            <w:tcW w:w="2698" w:type="dxa"/>
            <w:tcBorders>
              <w:top w:val="single" w:color="auto" w:sz="4" w:space="0"/>
              <w:left w:val="single" w:color="auto" w:sz="4" w:space="0"/>
              <w:bottom w:val="single" w:color="auto" w:sz="4" w:space="0"/>
              <w:right w:val="single" w:color="auto" w:sz="4" w:space="0"/>
            </w:tcBorders>
            <w:vAlign w:val="top"/>
          </w:tcPr>
          <w:p w14:paraId="1EF55DDA">
            <w:pPr>
              <w:widowControl/>
              <w:spacing w:line="270" w:lineRule="atLeast"/>
              <w:rPr>
                <w:rFonts w:ascii="宋体" w:hAnsi="宋体" w:cs="宋体"/>
                <w:color w:val="000000" w:themeColor="text1"/>
                <w:sz w:val="24"/>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top"/>
          </w:tcPr>
          <w:p w14:paraId="461E40FF">
            <w:pPr>
              <w:widowControl/>
              <w:spacing w:line="270" w:lineRule="atLeast"/>
              <w:rPr>
                <w:rFonts w:ascii="宋体" w:hAnsi="宋体" w:cs="宋体"/>
                <w:color w:val="000000" w:themeColor="text1"/>
                <w:sz w:val="24"/>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top"/>
          </w:tcPr>
          <w:p w14:paraId="11B05772">
            <w:pPr>
              <w:widowControl/>
              <w:spacing w:line="270" w:lineRule="atLeast"/>
              <w:rPr>
                <w:rFonts w:ascii="宋体" w:hAnsi="宋体" w:cs="宋体"/>
                <w:color w:val="000000" w:themeColor="text1"/>
                <w:sz w:val="24"/>
                <w14:textFill>
                  <w14:solidFill>
                    <w14:schemeClr w14:val="tx1"/>
                  </w14:solidFill>
                </w14:textFill>
              </w:rPr>
            </w:pPr>
          </w:p>
        </w:tc>
      </w:tr>
    </w:tbl>
    <w:p w14:paraId="58E7EDE7">
      <w:pPr>
        <w:wordWrap w:val="0"/>
        <w:adjustRightInd w:val="0"/>
        <w:snapToGrid w:val="0"/>
        <w:spacing w:line="360" w:lineRule="auto"/>
        <w:ind w:firstLine="2280" w:firstLineChars="950"/>
        <w:rPr>
          <w:rFonts w:ascii="宋体" w:hAnsi="宋体" w:cs="宋体"/>
          <w:snapToGrid w:val="0"/>
          <w:color w:val="000000" w:themeColor="text1"/>
          <w:sz w:val="24"/>
          <w14:textFill>
            <w14:solidFill>
              <w14:schemeClr w14:val="tx1"/>
            </w14:solidFill>
          </w14:textFill>
        </w:rPr>
      </w:pPr>
    </w:p>
    <w:p w14:paraId="6BFDCC59">
      <w:pPr>
        <w:wordWrap w:val="0"/>
        <w:adjustRightInd w:val="0"/>
        <w:snapToGrid w:val="0"/>
        <w:spacing w:line="360" w:lineRule="auto"/>
        <w:ind w:firstLine="2280" w:firstLineChars="950"/>
        <w:rPr>
          <w:rFonts w:ascii="宋体" w:hAnsi="宋体" w:cs="宋体"/>
          <w:snapToGrid w:val="0"/>
          <w:color w:val="000000" w:themeColor="text1"/>
          <w:sz w:val="24"/>
          <w14:textFill>
            <w14:solidFill>
              <w14:schemeClr w14:val="tx1"/>
            </w14:solidFill>
          </w14:textFill>
        </w:rPr>
      </w:pPr>
    </w:p>
    <w:p w14:paraId="02955877">
      <w:pPr>
        <w:wordWrap w:val="0"/>
        <w:adjustRightInd w:val="0"/>
        <w:snapToGrid w:val="0"/>
        <w:spacing w:line="360" w:lineRule="auto"/>
        <w:ind w:firstLine="2280" w:firstLineChars="950"/>
        <w:rPr>
          <w:rFonts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 xml:space="preserve">供应商代表签字： </w:t>
      </w:r>
      <w:r>
        <w:rPr>
          <w:rFonts w:hint="eastAsia" w:ascii="宋体" w:hAnsi="宋体" w:cs="宋体"/>
          <w:snapToGrid w:val="0"/>
          <w:color w:val="000000" w:themeColor="text1"/>
          <w:sz w:val="24"/>
          <w:u w:val="single"/>
          <w14:textFill>
            <w14:solidFill>
              <w14:schemeClr w14:val="tx1"/>
            </w14:solidFill>
          </w14:textFill>
        </w:rPr>
        <w:t xml:space="preserve">                </w:t>
      </w:r>
      <w:r>
        <w:rPr>
          <w:rFonts w:hint="eastAsia" w:ascii="宋体" w:hAnsi="宋体" w:cs="宋体"/>
          <w:snapToGrid w:val="0"/>
          <w:color w:val="000000" w:themeColor="text1"/>
          <w:sz w:val="24"/>
          <w14:textFill>
            <w14:solidFill>
              <w14:schemeClr w14:val="tx1"/>
            </w14:solidFill>
          </w14:textFill>
        </w:rPr>
        <w:t xml:space="preserve"> </w:t>
      </w:r>
    </w:p>
    <w:p w14:paraId="366F7086">
      <w:pPr>
        <w:wordWrap w:val="0"/>
        <w:adjustRightInd w:val="0"/>
        <w:snapToGrid w:val="0"/>
        <w:spacing w:before="156" w:after="156" w:line="360" w:lineRule="auto"/>
        <w:ind w:firstLine="2280" w:firstLineChars="950"/>
        <w:rPr>
          <w:rFonts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供应商：</w:t>
      </w:r>
      <w:r>
        <w:rPr>
          <w:rFonts w:hint="eastAsia" w:ascii="宋体" w:hAnsi="宋体" w:cs="宋体"/>
          <w:snapToGrid w:val="0"/>
          <w:color w:val="000000" w:themeColor="text1"/>
          <w:sz w:val="24"/>
          <w:u w:val="single"/>
          <w14:textFill>
            <w14:solidFill>
              <w14:schemeClr w14:val="tx1"/>
            </w14:solidFill>
          </w14:textFill>
        </w:rPr>
        <w:t xml:space="preserve">                       </w:t>
      </w:r>
      <w:r>
        <w:rPr>
          <w:rFonts w:hint="eastAsia" w:ascii="宋体" w:hAnsi="宋体" w:cs="宋体"/>
          <w:snapToGrid w:val="0"/>
          <w:color w:val="000000" w:themeColor="text1"/>
          <w:sz w:val="24"/>
          <w14:textFill>
            <w14:solidFill>
              <w14:schemeClr w14:val="tx1"/>
            </w14:solidFill>
          </w14:textFill>
        </w:rPr>
        <w:t>（全称并加盖公章）</w:t>
      </w:r>
    </w:p>
    <w:p w14:paraId="6C3C8D5C">
      <w:pPr>
        <w:wordWrap w:val="0"/>
        <w:adjustRightInd w:val="0"/>
        <w:snapToGrid w:val="0"/>
        <w:spacing w:before="156" w:after="156"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snapToGrid w:val="0"/>
          <w:color w:val="000000" w:themeColor="text1"/>
          <w:sz w:val="24"/>
          <w14:textFill>
            <w14:solidFill>
              <w14:schemeClr w14:val="tx1"/>
            </w14:solidFill>
          </w14:textFill>
        </w:rPr>
        <w:t xml:space="preserve"> </w:t>
      </w:r>
    </w:p>
    <w:p w14:paraId="6A07FA9B">
      <w:pPr>
        <w:wordWrap w:val="0"/>
        <w:adjustRightInd w:val="0"/>
        <w:snapToGrid w:val="0"/>
        <w:spacing w:line="360" w:lineRule="auto"/>
        <w:ind w:firstLine="4800" w:firstLineChars="2000"/>
        <w:rPr>
          <w:rFonts w:ascii="宋体" w:hAnsi="宋体" w:cs="宋体"/>
          <w:snapToGrid w:val="0"/>
          <w:color w:val="000000" w:themeColor="text1"/>
          <w:sz w:val="24"/>
          <w14:textFill>
            <w14:solidFill>
              <w14:schemeClr w14:val="tx1"/>
            </w14:solidFill>
          </w14:textFill>
        </w:rPr>
      </w:pPr>
      <w:r>
        <w:rPr>
          <w:rFonts w:hint="eastAsia" w:ascii="宋体" w:hAnsi="宋体" w:cs="宋体"/>
          <w:snapToGrid w:val="0"/>
          <w:color w:val="000000" w:themeColor="text1"/>
          <w:sz w:val="24"/>
          <w14:textFill>
            <w14:solidFill>
              <w14:schemeClr w14:val="tx1"/>
            </w14:solidFill>
          </w14:textFill>
        </w:rPr>
        <w:t xml:space="preserve">      </w:t>
      </w:r>
      <w:r>
        <w:rPr>
          <w:rFonts w:hint="eastAsia" w:ascii="宋体" w:hAnsi="宋体" w:cs="宋体"/>
          <w:snapToGrid w:val="0"/>
          <w:color w:val="000000" w:themeColor="text1"/>
          <w:sz w:val="24"/>
          <w:u w:val="single"/>
          <w14:textFill>
            <w14:solidFill>
              <w14:schemeClr w14:val="tx1"/>
            </w14:solidFill>
          </w14:textFill>
        </w:rPr>
        <w:t xml:space="preserve">     </w:t>
      </w:r>
      <w:r>
        <w:rPr>
          <w:rFonts w:hint="eastAsia" w:ascii="宋体" w:hAnsi="宋体" w:cs="宋体"/>
          <w:snapToGrid w:val="0"/>
          <w:color w:val="000000" w:themeColor="text1"/>
          <w:sz w:val="24"/>
          <w14:textFill>
            <w14:solidFill>
              <w14:schemeClr w14:val="tx1"/>
            </w14:solidFill>
          </w14:textFill>
        </w:rPr>
        <w:t xml:space="preserve">年 </w:t>
      </w:r>
      <w:r>
        <w:rPr>
          <w:rFonts w:hint="eastAsia" w:ascii="宋体" w:hAnsi="宋体" w:cs="宋体"/>
          <w:snapToGrid w:val="0"/>
          <w:color w:val="000000" w:themeColor="text1"/>
          <w:sz w:val="24"/>
          <w:u w:val="single"/>
          <w14:textFill>
            <w14:solidFill>
              <w14:schemeClr w14:val="tx1"/>
            </w14:solidFill>
          </w14:textFill>
        </w:rPr>
        <w:t xml:space="preserve">   </w:t>
      </w:r>
      <w:r>
        <w:rPr>
          <w:rFonts w:hint="eastAsia" w:ascii="宋体" w:hAnsi="宋体" w:cs="宋体"/>
          <w:snapToGrid w:val="0"/>
          <w:color w:val="000000" w:themeColor="text1"/>
          <w:sz w:val="24"/>
          <w14:textFill>
            <w14:solidFill>
              <w14:schemeClr w14:val="tx1"/>
            </w14:solidFill>
          </w14:textFill>
        </w:rPr>
        <w:t xml:space="preserve">月 </w:t>
      </w:r>
      <w:r>
        <w:rPr>
          <w:rFonts w:hint="eastAsia" w:ascii="宋体" w:hAnsi="宋体" w:cs="宋体"/>
          <w:snapToGrid w:val="0"/>
          <w:color w:val="000000" w:themeColor="text1"/>
          <w:sz w:val="24"/>
          <w:u w:val="single"/>
          <w14:textFill>
            <w14:solidFill>
              <w14:schemeClr w14:val="tx1"/>
            </w14:solidFill>
          </w14:textFill>
        </w:rPr>
        <w:t xml:space="preserve">   </w:t>
      </w:r>
      <w:r>
        <w:rPr>
          <w:rFonts w:hint="eastAsia" w:ascii="宋体" w:hAnsi="宋体" w:cs="宋体"/>
          <w:snapToGrid w:val="0"/>
          <w:color w:val="000000" w:themeColor="text1"/>
          <w:sz w:val="24"/>
          <w14:textFill>
            <w14:solidFill>
              <w14:schemeClr w14:val="tx1"/>
            </w14:solidFill>
          </w14:textFill>
        </w:rPr>
        <w:t>日</w:t>
      </w:r>
    </w:p>
    <w:p w14:paraId="4F25F3A2">
      <w:pPr>
        <w:jc w:val="left"/>
        <w:rPr>
          <w:rFonts w:ascii="宋体" w:hAnsi="宋体" w:cs="宋体"/>
          <w:b/>
          <w:snapToGrid w:val="0"/>
          <w:color w:val="000000" w:themeColor="text1"/>
          <w:sz w:val="28"/>
          <w:szCs w:val="28"/>
          <w14:textFill>
            <w14:solidFill>
              <w14:schemeClr w14:val="tx1"/>
            </w14:solidFill>
          </w14:textFill>
        </w:rPr>
      </w:pPr>
      <w:r>
        <w:rPr>
          <w:rFonts w:hint="eastAsia" w:ascii="宋体" w:hAnsi="宋体" w:cs="宋体"/>
          <w:b/>
          <w:snapToGrid w:val="0"/>
          <w:color w:val="000000" w:themeColor="text1"/>
          <w:sz w:val="28"/>
          <w:szCs w:val="28"/>
          <w14:textFill>
            <w14:solidFill>
              <w14:schemeClr w14:val="tx1"/>
            </w14:solidFill>
          </w14:textFill>
        </w:rPr>
        <w:br w:type="page"/>
      </w:r>
    </w:p>
    <w:p w14:paraId="7E007A32">
      <w:pPr>
        <w:spacing w:line="360" w:lineRule="auto"/>
        <w:jc w:val="left"/>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附件7</w:t>
      </w:r>
    </w:p>
    <w:p w14:paraId="735CC307">
      <w:pPr>
        <w:snapToGrid w:val="0"/>
        <w:spacing w:before="50" w:after="50"/>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法定代表人身份证明（格式）</w:t>
      </w:r>
    </w:p>
    <w:p w14:paraId="48B2CEEA">
      <w:pPr>
        <w:spacing w:line="360" w:lineRule="auto"/>
        <w:ind w:firstLine="643" w:firstLineChars="200"/>
        <w:rPr>
          <w:rFonts w:ascii="宋体" w:hAnsi="宋体" w:cs="宋体"/>
          <w:b/>
          <w:color w:val="000000" w:themeColor="text1"/>
          <w:kern w:val="0"/>
          <w:sz w:val="32"/>
          <w:szCs w:val="32"/>
          <w14:textFill>
            <w14:solidFill>
              <w14:schemeClr w14:val="tx1"/>
            </w14:solidFill>
          </w14:textFill>
        </w:rPr>
      </w:pPr>
    </w:p>
    <w:p w14:paraId="0EB8CC17">
      <w:pPr>
        <w:wordWrap w:val="0"/>
        <w:spacing w:line="460" w:lineRule="exact"/>
        <w:ind w:firstLine="480" w:firstLineChars="200"/>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供应商名称：</w:t>
      </w:r>
      <w:r>
        <w:rPr>
          <w:rFonts w:hint="eastAsia" w:ascii="宋体" w:hAnsi="宋体" w:cs="宋体"/>
          <w:color w:val="000000" w:themeColor="text1"/>
          <w:kern w:val="0"/>
          <w:sz w:val="24"/>
          <w:u w:val="single"/>
          <w14:textFill>
            <w14:solidFill>
              <w14:schemeClr w14:val="tx1"/>
            </w14:solidFill>
          </w14:textFill>
        </w:rPr>
        <w:t xml:space="preserve">                         </w:t>
      </w:r>
    </w:p>
    <w:p w14:paraId="627A431A">
      <w:pPr>
        <w:wordWrap w:val="0"/>
        <w:spacing w:line="460" w:lineRule="exact"/>
        <w:ind w:firstLine="480" w:firstLineChars="200"/>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地址：</w:t>
      </w:r>
      <w:r>
        <w:rPr>
          <w:rFonts w:hint="eastAsia" w:ascii="宋体" w:hAnsi="宋体" w:cs="宋体"/>
          <w:color w:val="000000" w:themeColor="text1"/>
          <w:kern w:val="0"/>
          <w:sz w:val="24"/>
          <w:u w:val="single"/>
          <w14:textFill>
            <w14:solidFill>
              <w14:schemeClr w14:val="tx1"/>
            </w14:solidFill>
          </w14:textFill>
        </w:rPr>
        <w:t xml:space="preserve">                               </w:t>
      </w:r>
    </w:p>
    <w:p w14:paraId="076D37DB">
      <w:pP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成立时间：</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年</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月</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w:t>
      </w:r>
    </w:p>
    <w:p w14:paraId="04048642">
      <w:pPr>
        <w:wordWrap w:val="0"/>
        <w:spacing w:line="460" w:lineRule="exact"/>
        <w:ind w:firstLine="480" w:firstLineChars="200"/>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经营期限：</w:t>
      </w:r>
      <w:r>
        <w:rPr>
          <w:rFonts w:hint="eastAsia" w:ascii="宋体" w:hAnsi="宋体" w:cs="宋体"/>
          <w:color w:val="000000" w:themeColor="text1"/>
          <w:kern w:val="0"/>
          <w:sz w:val="24"/>
          <w:u w:val="single"/>
          <w14:textFill>
            <w14:solidFill>
              <w14:schemeClr w14:val="tx1"/>
            </w14:solidFill>
          </w14:textFill>
        </w:rPr>
        <w:t xml:space="preserve">                  </w:t>
      </w:r>
    </w:p>
    <w:p w14:paraId="3C9F4035">
      <w:pP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姓名：____</w:t>
      </w:r>
      <w:r>
        <w:rPr>
          <w:rFonts w:hint="eastAsia" w:ascii="宋体" w:hAnsi="宋体" w:cs="宋体"/>
          <w:color w:val="000000" w:themeColor="text1"/>
          <w:kern w:val="0"/>
          <w:sz w:val="24"/>
          <w:u w:val="single"/>
          <w14:textFill>
            <w14:solidFill>
              <w14:schemeClr w14:val="tx1"/>
            </w14:solidFill>
          </w14:textFill>
        </w:rPr>
        <w:t>_     _</w:t>
      </w:r>
      <w:r>
        <w:rPr>
          <w:rFonts w:hint="eastAsia" w:ascii="宋体" w:hAnsi="宋体" w:cs="宋体"/>
          <w:color w:val="000000" w:themeColor="text1"/>
          <w:kern w:val="0"/>
          <w:sz w:val="24"/>
          <w14:textFill>
            <w14:solidFill>
              <w14:schemeClr w14:val="tx1"/>
            </w14:solidFill>
          </w14:textFill>
        </w:rPr>
        <w:t>，性别：____</w:t>
      </w:r>
      <w:r>
        <w:rPr>
          <w:rFonts w:hint="eastAsia" w:ascii="宋体" w:hAnsi="宋体" w:cs="宋体"/>
          <w:color w:val="000000" w:themeColor="text1"/>
          <w:kern w:val="0"/>
          <w:sz w:val="24"/>
          <w:u w:val="single"/>
          <w14:textFill>
            <w14:solidFill>
              <w14:schemeClr w14:val="tx1"/>
            </w14:solidFill>
          </w14:textFill>
        </w:rPr>
        <w:t xml:space="preserve">   _</w:t>
      </w:r>
      <w:r>
        <w:rPr>
          <w:rFonts w:hint="eastAsia" w:ascii="宋体" w:hAnsi="宋体" w:cs="宋体"/>
          <w:color w:val="000000" w:themeColor="text1"/>
          <w:kern w:val="0"/>
          <w:sz w:val="24"/>
          <w14:textFill>
            <w14:solidFill>
              <w14:schemeClr w14:val="tx1"/>
            </w14:solidFill>
          </w14:textFill>
        </w:rPr>
        <w:t>，年龄：____</w:t>
      </w:r>
      <w:r>
        <w:rPr>
          <w:rFonts w:hint="eastAsia" w:ascii="宋体" w:hAnsi="宋体" w:cs="宋体"/>
          <w:color w:val="000000" w:themeColor="text1"/>
          <w:kern w:val="0"/>
          <w:sz w:val="24"/>
          <w:u w:val="single"/>
          <w14:textFill>
            <w14:solidFill>
              <w14:schemeClr w14:val="tx1"/>
            </w14:solidFill>
          </w14:textFill>
        </w:rPr>
        <w:t xml:space="preserve">   _</w:t>
      </w:r>
      <w:r>
        <w:rPr>
          <w:rFonts w:hint="eastAsia" w:ascii="宋体" w:hAnsi="宋体" w:cs="宋体"/>
          <w:color w:val="000000" w:themeColor="text1"/>
          <w:kern w:val="0"/>
          <w:sz w:val="24"/>
          <w14:textFill>
            <w14:solidFill>
              <w14:schemeClr w14:val="tx1"/>
            </w14:solidFill>
          </w14:textFill>
        </w:rPr>
        <w:t>，职务：____</w:t>
      </w:r>
      <w:r>
        <w:rPr>
          <w:rFonts w:hint="eastAsia" w:ascii="宋体" w:hAnsi="宋体" w:cs="宋体"/>
          <w:color w:val="000000" w:themeColor="text1"/>
          <w:kern w:val="0"/>
          <w:sz w:val="24"/>
          <w:u w:val="single"/>
          <w14:textFill>
            <w14:solidFill>
              <w14:schemeClr w14:val="tx1"/>
            </w14:solidFill>
          </w14:textFill>
        </w:rPr>
        <w:t xml:space="preserve">   _</w:t>
      </w:r>
      <w:r>
        <w:rPr>
          <w:rFonts w:hint="eastAsia" w:ascii="宋体" w:hAnsi="宋体" w:cs="宋体"/>
          <w:color w:val="000000" w:themeColor="text1"/>
          <w:kern w:val="0"/>
          <w:sz w:val="24"/>
          <w14:textFill>
            <w14:solidFill>
              <w14:schemeClr w14:val="tx1"/>
            </w14:solidFill>
          </w14:textFill>
        </w:rPr>
        <w:t>系</w:t>
      </w:r>
      <w:r>
        <w:rPr>
          <w:rFonts w:hint="eastAsia" w:ascii="宋体" w:hAnsi="宋体" w:cs="宋体"/>
          <w:color w:val="000000" w:themeColor="text1"/>
          <w:kern w:val="0"/>
          <w:sz w:val="24"/>
          <w:u w:val="single"/>
          <w14:textFill>
            <w14:solidFill>
              <w14:schemeClr w14:val="tx1"/>
            </w14:solidFill>
          </w14:textFill>
        </w:rPr>
        <w:t xml:space="preserve">  _______     __          </w:t>
      </w:r>
      <w:r>
        <w:rPr>
          <w:rFonts w:hint="eastAsia" w:ascii="宋体" w:hAnsi="宋体" w:cs="宋体"/>
          <w:color w:val="000000" w:themeColor="text1"/>
          <w:kern w:val="0"/>
          <w:sz w:val="24"/>
          <w14:textFill>
            <w14:solidFill>
              <w14:schemeClr w14:val="tx1"/>
            </w14:solidFill>
          </w14:textFill>
        </w:rPr>
        <w:t xml:space="preserve"> （供应商名称）的法定代表人。</w:t>
      </w:r>
    </w:p>
    <w:p w14:paraId="446F0DDE">
      <w:pPr>
        <w:wordWrap w:val="0"/>
        <w:spacing w:line="4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7373C49A">
      <w:pP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特此证明。</w:t>
      </w:r>
    </w:p>
    <w:p w14:paraId="3B4A48AC">
      <w:pPr>
        <w:wordWrap w:val="0"/>
        <w:spacing w:line="4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2BD2CAB9">
      <w:pPr>
        <w:spacing w:line="460" w:lineRule="exact"/>
        <w:rPr>
          <w:rStyle w:val="79"/>
          <w:rFonts w:ascii="宋体" w:hAnsi="宋体" w:cs="宋体"/>
          <w:color w:val="000000" w:themeColor="text1"/>
          <w:sz w:val="24"/>
          <w14:textFill>
            <w14:solidFill>
              <w14:schemeClr w14:val="tx1"/>
            </w14:solidFill>
          </w14:textFill>
        </w:rPr>
      </w:pPr>
      <w:r>
        <w:rPr>
          <w:rStyle w:val="79"/>
          <w:rFonts w:hint="eastAsia" w:ascii="宋体" w:hAnsi="宋体" w:cs="宋体"/>
          <w:color w:val="000000" w:themeColor="text1"/>
          <w:sz w:val="24"/>
          <w14:textFill>
            <w14:solidFill>
              <w14:schemeClr w14:val="tx1"/>
            </w14:solidFill>
          </w14:textFill>
        </w:rPr>
        <w:t>附：法定代表人</w:t>
      </w:r>
      <w:r>
        <w:rPr>
          <w:rStyle w:val="79"/>
          <w:rFonts w:hint="eastAsia" w:ascii="宋体" w:hAnsi="宋体" w:cs="宋体"/>
          <w:b/>
          <w:color w:val="000000" w:themeColor="text1"/>
          <w:sz w:val="24"/>
          <w:lang w:val="zh-CN"/>
          <w14:textFill>
            <w14:solidFill>
              <w14:schemeClr w14:val="tx1"/>
            </w14:solidFill>
          </w14:textFill>
        </w:rPr>
        <w:t>（二代身份证需正反面）</w:t>
      </w:r>
      <w:r>
        <w:rPr>
          <w:rStyle w:val="79"/>
          <w:rFonts w:hint="eastAsia" w:ascii="宋体" w:hAnsi="宋体" w:cs="宋体"/>
          <w:b/>
          <w:color w:val="000000" w:themeColor="text1"/>
          <w:sz w:val="24"/>
          <w14:textFill>
            <w14:solidFill>
              <w14:schemeClr w14:val="tx1"/>
            </w14:solidFill>
          </w14:textFill>
        </w:rPr>
        <w:t>（不附为无效授权）</w:t>
      </w:r>
    </w:p>
    <w:p w14:paraId="50B7E5AF">
      <w:pPr>
        <w:snapToGrid w:val="0"/>
        <w:spacing w:line="460" w:lineRule="exact"/>
        <w:rPr>
          <w:rStyle w:val="79"/>
          <w:rFonts w:ascii="宋体" w:hAnsi="宋体" w:cs="宋体"/>
          <w:color w:val="000000" w:themeColor="text1"/>
          <w:sz w:val="24"/>
          <w14:textFill>
            <w14:solidFill>
              <w14:schemeClr w14:val="tx1"/>
            </w14:solidFill>
          </w14:textFill>
        </w:rPr>
      </w:pPr>
    </w:p>
    <w:p w14:paraId="39F3598B">
      <w:pPr>
        <w:spacing w:line="460" w:lineRule="exact"/>
        <w:rPr>
          <w:rStyle w:val="79"/>
          <w:rFonts w:ascii="宋体" w:hAnsi="宋体" w:cs="宋体"/>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2524125</wp:posOffset>
                </wp:positionH>
                <wp:positionV relativeFrom="paragraph">
                  <wp:posOffset>238760</wp:posOffset>
                </wp:positionV>
                <wp:extent cx="2393315" cy="1681480"/>
                <wp:effectExtent l="5080" t="4445" r="20955" b="9525"/>
                <wp:wrapNone/>
                <wp:docPr id="7" name="AutoShape 5"/>
                <wp:cNvGraphicFramePr/>
                <a:graphic xmlns:a="http://schemas.openxmlformats.org/drawingml/2006/main">
                  <a:graphicData uri="http://schemas.microsoft.com/office/word/2010/wordprocessingShape">
                    <wps:wsp>
                      <wps:cNvSpPr>
                        <a:spLocks noChangeArrowheads="1"/>
                      </wps:cNvSpPr>
                      <wps:spPr bwMode="auto">
                        <a:xfrm>
                          <a:off x="0" y="0"/>
                          <a:ext cx="2393315" cy="1681480"/>
                        </a:xfrm>
                        <a:prstGeom prst="flowChartAlternateProcess">
                          <a:avLst/>
                        </a:prstGeom>
                        <a:solidFill>
                          <a:srgbClr val="FFFFFF"/>
                        </a:solidFill>
                        <a:ln w="9525" cmpd="sng">
                          <a:solidFill>
                            <a:srgbClr val="000000"/>
                          </a:solidFill>
                          <a:miter lim="800000"/>
                        </a:ln>
                        <a:effectLst/>
                      </wps:spPr>
                      <wps:txbx>
                        <w:txbxContent>
                          <w:p w14:paraId="42AA2E22">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身份证背面扫描件贴于此处</w:t>
                            </w:r>
                          </w:p>
                          <w:p w14:paraId="15B8AFFC">
                            <w:pPr>
                              <w:rPr>
                                <w:rStyle w:val="79"/>
                              </w:rPr>
                            </w:pPr>
                          </w:p>
                        </w:txbxContent>
                      </wps:txbx>
                      <wps:bodyPr rot="0" vert="horz" wrap="square" lIns="91440" tIns="45720" rIns="91440" bIns="45720" anchor="t" anchorCtr="0" upright="1">
                        <a:noAutofit/>
                      </wps:bodyPr>
                    </wps:wsp>
                  </a:graphicData>
                </a:graphic>
              </wp:anchor>
            </w:drawing>
          </mc:Choice>
          <mc:Fallback>
            <w:pict>
              <v:shape id="AutoShape 5" o:spid="_x0000_s1026" o:spt="176" type="#_x0000_t176" style="position:absolute;left:0pt;margin-left:198.75pt;margin-top:18.8pt;height:132.4pt;width:188.45pt;z-index:251661312;mso-width-relative:page;mso-height-relative:page;" fillcolor="#FFFFFF" filled="t" stroked="t" coordsize="21600,21600" o:gfxdata="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8b1SNgAAAAKAQAADwAAAAAAAAABACAA&#10;AAAiAAAAZHJzL2Rvd25yZXYueG1sUEsBAhQAFAAAAAgAh07iQH6ck3FGAgAArAQAAA4AAAAAAAAA&#10;AQAgAAAAJwEAAGRycy9lMm9Eb2MueG1sUEsFBgAAAAAGAAYAWQEAAN8FAAAAAA==&#10;">
                <v:fill on="t" focussize="0,0"/>
                <v:stroke color="#000000" miterlimit="8" joinstyle="miter"/>
                <v:imagedata o:title=""/>
                <o:lock v:ext="edit" aspectratio="f"/>
                <v:textbox>
                  <w:txbxContent>
                    <w:p w14:paraId="42AA2E22">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身份证背面扫描件贴于此处</w:t>
                      </w:r>
                    </w:p>
                    <w:p w14:paraId="15B8AFFC">
                      <w:pPr>
                        <w:rPr>
                          <w:rStyle w:val="79"/>
                        </w:rPr>
                      </w:pPr>
                    </w:p>
                  </w:txbxContent>
                </v:textbox>
              </v:shape>
            </w:pict>
          </mc:Fallback>
        </mc:AlternateContent>
      </w:r>
      <w:r>
        <w:rPr>
          <w:rFonts w:hint="eastAsia" w:ascii="宋体" w:hAnsi="宋体" w:cs="宋体"/>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83185</wp:posOffset>
                </wp:positionH>
                <wp:positionV relativeFrom="paragraph">
                  <wp:posOffset>238760</wp:posOffset>
                </wp:positionV>
                <wp:extent cx="2440940" cy="1681480"/>
                <wp:effectExtent l="5080" t="4445" r="11430" b="9525"/>
                <wp:wrapNone/>
                <wp:docPr id="6" name="AutoShape 4"/>
                <wp:cNvGraphicFramePr/>
                <a:graphic xmlns:a="http://schemas.openxmlformats.org/drawingml/2006/main">
                  <a:graphicData uri="http://schemas.microsoft.com/office/word/2010/wordprocessingShape">
                    <wps:wsp>
                      <wps:cNvSpPr>
                        <a:spLocks noChangeArrowheads="1"/>
                      </wps:cNvSpPr>
                      <wps:spPr bwMode="auto">
                        <a:xfrm>
                          <a:off x="0" y="0"/>
                          <a:ext cx="2440940" cy="1681480"/>
                        </a:xfrm>
                        <a:prstGeom prst="flowChartAlternateProcess">
                          <a:avLst/>
                        </a:prstGeom>
                        <a:solidFill>
                          <a:srgbClr val="FFFFFF"/>
                        </a:solidFill>
                        <a:ln w="9525" cmpd="sng">
                          <a:solidFill>
                            <a:srgbClr val="000000"/>
                          </a:solidFill>
                          <a:miter lim="800000"/>
                        </a:ln>
                        <a:effectLst/>
                      </wps:spPr>
                      <wps:txbx>
                        <w:txbxContent>
                          <w:p w14:paraId="7626CCF9">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身份证正面扫描件贴于此处</w:t>
                            </w:r>
                          </w:p>
                          <w:p w14:paraId="499261A5">
                            <w:pPr>
                              <w:rPr>
                                <w:rStyle w:val="79"/>
                              </w:rPr>
                            </w:pPr>
                          </w:p>
                        </w:txbxContent>
                      </wps:txbx>
                      <wps:bodyPr rot="0" vert="horz" wrap="square" lIns="91440" tIns="45720" rIns="91440" bIns="45720" anchor="t" anchorCtr="0" upright="1">
                        <a:noAutofit/>
                      </wps:bodyPr>
                    </wps:wsp>
                  </a:graphicData>
                </a:graphic>
              </wp:anchor>
            </w:drawing>
          </mc:Choice>
          <mc:Fallback>
            <w:pict>
              <v:shape id="AutoShape 4" o:spid="_x0000_s1026" o:spt="176" type="#_x0000_t176" style="position:absolute;left:0pt;margin-left:6.55pt;margin-top:18.8pt;height:132.4pt;width:192.2pt;z-index:251660288;mso-width-relative:page;mso-height-relative:page;" fillcolor="#FFFFFF" filled="t" stroked="t" coordsize="21600,21600" o:gfxdata="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6i+L31wAAAAkBAAAPAAAAAAAAAAEAIAAA&#10;ACIAAABkcnMvZG93bnJldi54bWxQSwECFAAUAAAACACHTuJAFMMgfEYCAACsBAAADgAAAAAAAAAB&#10;ACAAAAAmAQAAZHJzL2Uyb0RvYy54bWxQSwUGAAAAAAYABgBZAQAA3gUAAAAA&#10;">
                <v:fill on="t" focussize="0,0"/>
                <v:stroke color="#000000" miterlimit="8" joinstyle="miter"/>
                <v:imagedata o:title=""/>
                <o:lock v:ext="edit" aspectratio="f"/>
                <v:textbox>
                  <w:txbxContent>
                    <w:p w14:paraId="7626CCF9">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身份证正面扫描件贴于此处</w:t>
                      </w:r>
                    </w:p>
                    <w:p w14:paraId="499261A5">
                      <w:pPr>
                        <w:rPr>
                          <w:rStyle w:val="79"/>
                        </w:rPr>
                      </w:pPr>
                    </w:p>
                  </w:txbxContent>
                </v:textbox>
              </v:shape>
            </w:pict>
          </mc:Fallback>
        </mc:AlternateContent>
      </w:r>
    </w:p>
    <w:p w14:paraId="47BF03B6">
      <w:pPr>
        <w:spacing w:line="460" w:lineRule="exact"/>
        <w:rPr>
          <w:rStyle w:val="79"/>
          <w:rFonts w:ascii="宋体" w:hAnsi="宋体" w:cs="宋体"/>
          <w:color w:val="000000" w:themeColor="text1"/>
          <w:sz w:val="24"/>
          <w14:textFill>
            <w14:solidFill>
              <w14:schemeClr w14:val="tx1"/>
            </w14:solidFill>
          </w14:textFill>
        </w:rPr>
      </w:pPr>
    </w:p>
    <w:p w14:paraId="05FE2B45">
      <w:pPr>
        <w:spacing w:line="460" w:lineRule="exact"/>
        <w:rPr>
          <w:rStyle w:val="79"/>
          <w:rFonts w:ascii="宋体" w:hAnsi="宋体" w:cs="宋体"/>
          <w:color w:val="000000" w:themeColor="text1"/>
          <w:sz w:val="24"/>
          <w14:textFill>
            <w14:solidFill>
              <w14:schemeClr w14:val="tx1"/>
            </w14:solidFill>
          </w14:textFill>
        </w:rPr>
      </w:pPr>
    </w:p>
    <w:p w14:paraId="02CEBADB">
      <w:pPr>
        <w:spacing w:line="460" w:lineRule="exact"/>
        <w:rPr>
          <w:rStyle w:val="79"/>
          <w:rFonts w:ascii="宋体" w:hAnsi="宋体" w:cs="宋体"/>
          <w:color w:val="000000" w:themeColor="text1"/>
          <w:sz w:val="24"/>
          <w14:textFill>
            <w14:solidFill>
              <w14:schemeClr w14:val="tx1"/>
            </w14:solidFill>
          </w14:textFill>
        </w:rPr>
      </w:pPr>
    </w:p>
    <w:p w14:paraId="4FE30D4B">
      <w:pPr>
        <w:spacing w:line="460" w:lineRule="exact"/>
        <w:rPr>
          <w:rStyle w:val="79"/>
          <w:rFonts w:ascii="宋体" w:hAnsi="宋体" w:cs="宋体"/>
          <w:color w:val="000000" w:themeColor="text1"/>
          <w:sz w:val="24"/>
          <w14:textFill>
            <w14:solidFill>
              <w14:schemeClr w14:val="tx1"/>
            </w14:solidFill>
          </w14:textFill>
        </w:rPr>
      </w:pPr>
    </w:p>
    <w:p w14:paraId="5481D6C1">
      <w:pPr>
        <w:spacing w:line="460" w:lineRule="exact"/>
        <w:rPr>
          <w:rStyle w:val="79"/>
          <w:rFonts w:ascii="宋体" w:hAnsi="宋体" w:cs="宋体"/>
          <w:color w:val="000000" w:themeColor="text1"/>
          <w:sz w:val="24"/>
          <w14:textFill>
            <w14:solidFill>
              <w14:schemeClr w14:val="tx1"/>
            </w14:solidFill>
          </w14:textFill>
        </w:rPr>
      </w:pPr>
    </w:p>
    <w:p w14:paraId="14189929">
      <w:pPr>
        <w:spacing w:line="460" w:lineRule="exact"/>
        <w:rPr>
          <w:rStyle w:val="79"/>
          <w:rFonts w:ascii="宋体" w:hAnsi="宋体" w:cs="宋体"/>
          <w:color w:val="000000" w:themeColor="text1"/>
          <w:sz w:val="24"/>
          <w14:textFill>
            <w14:solidFill>
              <w14:schemeClr w14:val="tx1"/>
            </w14:solidFill>
          </w14:textFill>
        </w:rPr>
      </w:pPr>
    </w:p>
    <w:p w14:paraId="0EB874B7">
      <w:pPr>
        <w:wordWrap w:val="0"/>
        <w:spacing w:before="312" w:beforeLines="100" w:after="312" w:afterLines="100" w:line="480" w:lineRule="exac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55625A82">
      <w:pPr>
        <w:wordWrap w:val="0"/>
        <w:snapToGrid w:val="0"/>
        <w:spacing w:line="460" w:lineRule="exact"/>
        <w:ind w:firstLine="2760" w:firstLineChars="1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w:t>
      </w:r>
      <w:r>
        <w:rPr>
          <w:rFonts w:hint="eastAsia" w:ascii="宋体" w:hAnsi="宋体" w:cs="宋体"/>
          <w:color w:val="000000" w:themeColor="text1"/>
          <w:kern w:val="0"/>
          <w:sz w:val="24"/>
          <w:u w:val="single"/>
          <w14:textFill>
            <w14:solidFill>
              <w14:schemeClr w14:val="tx1"/>
            </w14:solidFill>
          </w14:textFill>
        </w:rPr>
        <w:t xml:space="preserve">____      </w:t>
      </w:r>
      <w:r>
        <w:rPr>
          <w:rFonts w:hint="eastAsia" w:ascii="宋体" w:hAnsi="宋体" w:cs="宋体"/>
          <w:color w:val="000000" w:themeColor="text1"/>
          <w:kern w:val="0"/>
          <w:sz w:val="24"/>
          <w14:textFill>
            <w14:solidFill>
              <w14:schemeClr w14:val="tx1"/>
            </w14:solidFill>
          </w14:textFill>
        </w:rPr>
        <w:t>（全称并加盖公章）</w:t>
      </w:r>
    </w:p>
    <w:p w14:paraId="393718C0">
      <w:pPr>
        <w:wordWrap w:val="0"/>
        <w:spacing w:line="460" w:lineRule="exact"/>
        <w:ind w:left="3780" w:leftChars="1800" w:firstLine="480" w:firstLineChars="200"/>
        <w:jc w:val="left"/>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bCs/>
          <w:color w:val="000000" w:themeColor="text1"/>
          <w:kern w:val="0"/>
          <w:sz w:val="24"/>
          <w14:textFill>
            <w14:solidFill>
              <w14:schemeClr w14:val="tx1"/>
            </w14:solidFill>
          </w14:textFill>
        </w:rPr>
        <w:t xml:space="preserve"> </w:t>
      </w:r>
    </w:p>
    <w:p w14:paraId="25D9446B">
      <w:pPr>
        <w:wordWrap w:val="0"/>
        <w:spacing w:line="460" w:lineRule="exact"/>
        <w:ind w:left="3780" w:leftChars="1800" w:firstLine="480" w:firstLineChars="200"/>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    月    日</w:t>
      </w:r>
      <w:r>
        <w:rPr>
          <w:rFonts w:hint="eastAsia" w:ascii="宋体" w:hAnsi="宋体" w:cs="宋体"/>
          <w:b/>
          <w:color w:val="000000" w:themeColor="text1"/>
          <w:kern w:val="0"/>
          <w:sz w:val="28"/>
          <w:szCs w:val="28"/>
          <w14:textFill>
            <w14:solidFill>
              <w14:schemeClr w14:val="tx1"/>
            </w14:solidFill>
          </w14:textFill>
        </w:rPr>
        <w:t xml:space="preserve">  </w:t>
      </w:r>
    </w:p>
    <w:p w14:paraId="1B2296CA">
      <w:pPr>
        <w:spacing w:line="360" w:lineRule="auto"/>
        <w:jc w:val="left"/>
        <w:rPr>
          <w:rFonts w:ascii="宋体" w:hAnsi="宋体" w:cs="宋体"/>
          <w:b/>
          <w:color w:val="000000" w:themeColor="text1"/>
          <w:kern w:val="0"/>
          <w:sz w:val="28"/>
          <w:szCs w:val="28"/>
          <w14:textFill>
            <w14:solidFill>
              <w14:schemeClr w14:val="tx1"/>
            </w14:solidFill>
          </w14:textFill>
        </w:rPr>
      </w:pPr>
    </w:p>
    <w:p w14:paraId="18FF75AA">
      <w:pPr>
        <w:jc w:val="left"/>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附件8</w:t>
      </w:r>
    </w:p>
    <w:p w14:paraId="1B51A9AA">
      <w:pPr>
        <w:snapToGrid w:val="0"/>
        <w:spacing w:before="50" w:after="50"/>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法定代表人授权书（格式）</w:t>
      </w:r>
    </w:p>
    <w:p w14:paraId="26E6AD5C">
      <w:pPr>
        <w:tabs>
          <w:tab w:val="left" w:pos="420"/>
          <w:tab w:val="left" w:pos="2160"/>
        </w:tabs>
        <w:wordWrap w:val="0"/>
        <w:spacing w:line="46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w:t>
      </w:r>
    </w:p>
    <w:p w14:paraId="7A956AA6">
      <w:pPr>
        <w:wordWrap w:val="0"/>
        <w:snapToGrid w:val="0"/>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致：_______（采购人及采购代理机构名称）：</w:t>
      </w:r>
    </w:p>
    <w:p w14:paraId="51296667">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（姓名）系</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（供应商名称）的法定代表人，现委托</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（姓名）为我方代理人。代理人根据本授权，以我方的名义参加</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项目（项目编号：</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）的投标活动，并代表我方全权办理针对上述项目的投标、开标、评标、签约等具体事务和签署相关文件。</w:t>
      </w:r>
    </w:p>
    <w:p w14:paraId="3C4A6040">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我方对代理人的签名负全部责任。在撤销授权的书面通知以前，本授权书一直有效。代理人在授权书有效期内签署的所有文件不因授权的撤销而失效。</w:t>
      </w:r>
    </w:p>
    <w:p w14:paraId="0C5B4122">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如果本次采购活动现场变更采购方式，本授权书有效。</w:t>
      </w:r>
    </w:p>
    <w:p w14:paraId="23DE6C93">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代理人无转委托权。</w:t>
      </w:r>
    </w:p>
    <w:p w14:paraId="26F81839">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委托期限：                           </w:t>
      </w:r>
    </w:p>
    <w:p w14:paraId="16C60DDD">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委托代理人签名：         法定代表人签名：</w:t>
      </w:r>
    </w:p>
    <w:p w14:paraId="470E91E1">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职务：                   职务：</w:t>
      </w:r>
    </w:p>
    <w:p w14:paraId="14FF403B">
      <w:pPr>
        <w:wordWrap w:val="0"/>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委托代理人身份证号码：                            </w:t>
      </w:r>
    </w:p>
    <w:p w14:paraId="1F4FC298">
      <w:pPr>
        <w:spacing w:line="460" w:lineRule="exact"/>
        <w:rPr>
          <w:rStyle w:val="79"/>
          <w:rFonts w:ascii="宋体" w:hAnsi="宋体" w:cs="宋体"/>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2524125</wp:posOffset>
                </wp:positionH>
                <wp:positionV relativeFrom="paragraph">
                  <wp:posOffset>238760</wp:posOffset>
                </wp:positionV>
                <wp:extent cx="2393315" cy="1681480"/>
                <wp:effectExtent l="5080" t="4445" r="20955" b="9525"/>
                <wp:wrapNone/>
                <wp:docPr id="5" name="AutoShape 3"/>
                <wp:cNvGraphicFramePr/>
                <a:graphic xmlns:a="http://schemas.openxmlformats.org/drawingml/2006/main">
                  <a:graphicData uri="http://schemas.microsoft.com/office/word/2010/wordprocessingShape">
                    <wps:wsp>
                      <wps:cNvSpPr>
                        <a:spLocks noChangeArrowheads="1"/>
                      </wps:cNvSpPr>
                      <wps:spPr bwMode="auto">
                        <a:xfrm>
                          <a:off x="0" y="0"/>
                          <a:ext cx="2393315" cy="1681480"/>
                        </a:xfrm>
                        <a:prstGeom prst="flowChartAlternateProcess">
                          <a:avLst/>
                        </a:prstGeom>
                        <a:solidFill>
                          <a:srgbClr val="FFFFFF"/>
                        </a:solidFill>
                        <a:ln w="9525" cmpd="sng">
                          <a:solidFill>
                            <a:srgbClr val="000000"/>
                          </a:solidFill>
                          <a:miter lim="800000"/>
                        </a:ln>
                        <a:effectLst/>
                      </wps:spPr>
                      <wps:txbx>
                        <w:txbxContent>
                          <w:p w14:paraId="40ACD4A3">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身份证背面扫描件贴于此处</w:t>
                            </w:r>
                          </w:p>
                          <w:p w14:paraId="41665518">
                            <w:pPr>
                              <w:rPr>
                                <w:rStyle w:val="79"/>
                              </w:rPr>
                            </w:pPr>
                          </w:p>
                        </w:txbxContent>
                      </wps:txbx>
                      <wps:bodyPr rot="0" vert="horz" wrap="square" lIns="91440" tIns="45720" rIns="91440" bIns="45720" anchor="t" anchorCtr="0" upright="1">
                        <a:noAutofit/>
                      </wps:bodyPr>
                    </wps:wsp>
                  </a:graphicData>
                </a:graphic>
              </wp:anchor>
            </w:drawing>
          </mc:Choice>
          <mc:Fallback>
            <w:pict>
              <v:shape id="AutoShape 3" o:spid="_x0000_s1026" o:spt="176" type="#_x0000_t176" style="position:absolute;left:0pt;margin-left:198.75pt;margin-top:18.8pt;height:132.4pt;width:188.45pt;z-index:251663360;mso-width-relative:page;mso-height-relative:page;" fillcolor="#FFFFFF" filled="t" stroked="t" coordsize="21600,21600" o:gfxdata="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fxvVI2AAAAAoBAAAPAAAAAAAAAAEAIAAA&#10;ACIAAABkcnMvZG93bnJldi54bWxQSwECFAAUAAAACACHTuJAbox6f0UCAACsBAAADgAAAAAAAAAB&#10;ACAAAAAnAQAAZHJzL2Uyb0RvYy54bWxQSwUGAAAAAAYABgBZAQAA3gUAAAAA&#10;">
                <v:fill on="t" focussize="0,0"/>
                <v:stroke color="#000000" miterlimit="8" joinstyle="miter"/>
                <v:imagedata o:title=""/>
                <o:lock v:ext="edit" aspectratio="f"/>
                <v:textbox>
                  <w:txbxContent>
                    <w:p w14:paraId="40ACD4A3">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身份证背面扫描件贴于此处</w:t>
                      </w:r>
                    </w:p>
                    <w:p w14:paraId="41665518">
                      <w:pPr>
                        <w:rPr>
                          <w:rStyle w:val="79"/>
                        </w:rPr>
                      </w:pPr>
                    </w:p>
                  </w:txbxContent>
                </v:textbox>
              </v:shape>
            </w:pict>
          </mc:Fallback>
        </mc:AlternateContent>
      </w:r>
      <w:r>
        <w:rPr>
          <w:rFonts w:hint="eastAsia" w:ascii="宋体" w:hAnsi="宋体" w:cs="宋体"/>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238760</wp:posOffset>
                </wp:positionV>
                <wp:extent cx="2440940" cy="1681480"/>
                <wp:effectExtent l="5080" t="4445" r="11430" b="9525"/>
                <wp:wrapNone/>
                <wp:docPr id="4" name="AutoShape 2"/>
                <wp:cNvGraphicFramePr/>
                <a:graphic xmlns:a="http://schemas.openxmlformats.org/drawingml/2006/main">
                  <a:graphicData uri="http://schemas.microsoft.com/office/word/2010/wordprocessingShape">
                    <wps:wsp>
                      <wps:cNvSpPr>
                        <a:spLocks noChangeArrowheads="1"/>
                      </wps:cNvSpPr>
                      <wps:spPr bwMode="auto">
                        <a:xfrm>
                          <a:off x="0" y="0"/>
                          <a:ext cx="2440940" cy="1681480"/>
                        </a:xfrm>
                        <a:prstGeom prst="flowChartAlternateProcess">
                          <a:avLst/>
                        </a:prstGeom>
                        <a:solidFill>
                          <a:srgbClr val="FFFFFF"/>
                        </a:solidFill>
                        <a:ln w="9525" cmpd="sng">
                          <a:solidFill>
                            <a:srgbClr val="000000"/>
                          </a:solidFill>
                          <a:miter lim="800000"/>
                        </a:ln>
                        <a:effectLst/>
                      </wps:spPr>
                      <wps:txbx>
                        <w:txbxContent>
                          <w:p w14:paraId="32DC3E37">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身份证正面扫描件贴于此处</w:t>
                            </w:r>
                          </w:p>
                          <w:p w14:paraId="464B9E0B">
                            <w:pPr>
                              <w:rPr>
                                <w:rStyle w:val="79"/>
                              </w:rPr>
                            </w:pPr>
                          </w:p>
                        </w:txbxContent>
                      </wps:txbx>
                      <wps:bodyPr rot="0" vert="horz" wrap="square" lIns="91440" tIns="45720" rIns="91440" bIns="45720" anchor="t" anchorCtr="0" upright="1">
                        <a:noAutofit/>
                      </wps:bodyPr>
                    </wps:wsp>
                  </a:graphicData>
                </a:graphic>
              </wp:anchor>
            </w:drawing>
          </mc:Choice>
          <mc:Fallback>
            <w:pict>
              <v:shape id="AutoShape 2" o:spid="_x0000_s1026" o:spt="176" type="#_x0000_t176" style="position:absolute;left:0pt;margin-left:6.55pt;margin-top:18.8pt;height:132.4pt;width:192.2pt;z-index:251662336;mso-width-relative:page;mso-height-relative:page;" fillcolor="#FFFFFF" filled="t" stroked="t" coordsize="21600,21600" o:gfxdata="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qL4vfXAAAACQEAAA8AAAAAAAAAAQAgAAAA&#10;IgAAAGRycy9kb3ducmV2LnhtbFBLAQIUABQAAAAIAIdO4kAE08lyRQIAAKwEAAAOAAAAAAAAAAEA&#10;IAAAACYBAABkcnMvZTJvRG9jLnhtbFBLBQYAAAAABgAGAFkBAADdBQAAAAA=&#10;">
                <v:fill on="t" focussize="0,0"/>
                <v:stroke color="#000000" miterlimit="8" joinstyle="miter"/>
                <v:imagedata o:title=""/>
                <o:lock v:ext="edit" aspectratio="f"/>
                <v:textbox>
                  <w:txbxContent>
                    <w:p w14:paraId="32DC3E37">
                      <w:pPr>
                        <w:jc w:val="center"/>
                        <w:rPr>
                          <w:rStyle w:val="79"/>
                          <w:color w:val="000000" w:themeColor="text1"/>
                          <w:szCs w:val="21"/>
                          <w14:textFill>
                            <w14:solidFill>
                              <w14:schemeClr w14:val="tx1"/>
                            </w14:solidFill>
                          </w14:textFill>
                        </w:rPr>
                      </w:pPr>
                      <w:r>
                        <w:rPr>
                          <w:rStyle w:val="79"/>
                          <w:color w:val="000000" w:themeColor="text1"/>
                          <w:szCs w:val="21"/>
                          <w14:textFill>
                            <w14:solidFill>
                              <w14:schemeClr w14:val="tx1"/>
                            </w14:solidFill>
                          </w14:textFill>
                        </w:rPr>
                        <w:t>身份证正面扫描件贴于此处</w:t>
                      </w:r>
                    </w:p>
                    <w:p w14:paraId="464B9E0B">
                      <w:pPr>
                        <w:rPr>
                          <w:rStyle w:val="79"/>
                        </w:rPr>
                      </w:pPr>
                    </w:p>
                  </w:txbxContent>
                </v:textbox>
              </v:shape>
            </w:pict>
          </mc:Fallback>
        </mc:AlternateContent>
      </w:r>
    </w:p>
    <w:p w14:paraId="51E90CAC">
      <w:pPr>
        <w:spacing w:line="460" w:lineRule="exact"/>
        <w:rPr>
          <w:rStyle w:val="79"/>
          <w:rFonts w:ascii="宋体" w:hAnsi="宋体" w:cs="宋体"/>
          <w:color w:val="000000" w:themeColor="text1"/>
          <w:sz w:val="24"/>
          <w14:textFill>
            <w14:solidFill>
              <w14:schemeClr w14:val="tx1"/>
            </w14:solidFill>
          </w14:textFill>
        </w:rPr>
      </w:pPr>
    </w:p>
    <w:p w14:paraId="7497F8F3">
      <w:pPr>
        <w:spacing w:line="460" w:lineRule="exact"/>
        <w:rPr>
          <w:rStyle w:val="79"/>
          <w:rFonts w:ascii="宋体" w:hAnsi="宋体" w:cs="宋体"/>
          <w:color w:val="000000" w:themeColor="text1"/>
          <w:sz w:val="24"/>
          <w14:textFill>
            <w14:solidFill>
              <w14:schemeClr w14:val="tx1"/>
            </w14:solidFill>
          </w14:textFill>
        </w:rPr>
      </w:pPr>
    </w:p>
    <w:p w14:paraId="053673A6">
      <w:pPr>
        <w:spacing w:line="460" w:lineRule="exact"/>
        <w:rPr>
          <w:rStyle w:val="79"/>
          <w:rFonts w:ascii="宋体" w:hAnsi="宋体" w:cs="宋体"/>
          <w:color w:val="000000" w:themeColor="text1"/>
          <w:sz w:val="24"/>
          <w14:textFill>
            <w14:solidFill>
              <w14:schemeClr w14:val="tx1"/>
            </w14:solidFill>
          </w14:textFill>
        </w:rPr>
      </w:pPr>
    </w:p>
    <w:p w14:paraId="14FF540A">
      <w:pPr>
        <w:spacing w:line="460" w:lineRule="exact"/>
        <w:ind w:firstLine="720" w:firstLineChars="300"/>
        <w:rPr>
          <w:rStyle w:val="79"/>
          <w:rFonts w:ascii="宋体" w:hAnsi="宋体" w:cs="宋体"/>
          <w:color w:val="000000" w:themeColor="text1"/>
          <w:sz w:val="24"/>
          <w14:textFill>
            <w14:solidFill>
              <w14:schemeClr w14:val="tx1"/>
            </w14:solidFill>
          </w14:textFill>
        </w:rPr>
      </w:pPr>
    </w:p>
    <w:p w14:paraId="2247C7F8">
      <w:pPr>
        <w:spacing w:line="460" w:lineRule="exact"/>
        <w:ind w:firstLine="720" w:firstLineChars="300"/>
        <w:rPr>
          <w:rStyle w:val="79"/>
          <w:rFonts w:ascii="宋体" w:hAnsi="宋体" w:cs="宋体"/>
          <w:color w:val="000000" w:themeColor="text1"/>
          <w:sz w:val="24"/>
          <w14:textFill>
            <w14:solidFill>
              <w14:schemeClr w14:val="tx1"/>
            </w14:solidFill>
          </w14:textFill>
        </w:rPr>
      </w:pPr>
    </w:p>
    <w:p w14:paraId="36CF41BF">
      <w:pPr>
        <w:spacing w:line="460" w:lineRule="exact"/>
        <w:ind w:firstLine="3600" w:firstLineChars="1500"/>
        <w:rPr>
          <w:rStyle w:val="79"/>
          <w:rFonts w:ascii="宋体" w:hAnsi="宋体" w:cs="宋体"/>
          <w:color w:val="000000" w:themeColor="text1"/>
          <w:sz w:val="24"/>
          <w14:textFill>
            <w14:solidFill>
              <w14:schemeClr w14:val="tx1"/>
            </w14:solidFill>
          </w14:textFill>
        </w:rPr>
      </w:pPr>
    </w:p>
    <w:p w14:paraId="481A0F42">
      <w:pPr>
        <w:wordWrap w:val="0"/>
        <w:spacing w:line="460" w:lineRule="exact"/>
        <w:ind w:firstLine="4800" w:firstLineChars="20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2AC82CC5">
      <w:pPr>
        <w:wordWrap w:val="0"/>
        <w:spacing w:line="360" w:lineRule="auto"/>
        <w:jc w:val="right"/>
        <w:rPr>
          <w:rFonts w:ascii="宋体" w:hAnsi="宋体" w:cs="宋体"/>
          <w:color w:val="000000" w:themeColor="text1"/>
          <w:kern w:val="0"/>
          <w:sz w:val="24"/>
          <w14:textFill>
            <w14:solidFill>
              <w14:schemeClr w14:val="tx1"/>
            </w14:solidFill>
          </w14:textFill>
        </w:rPr>
      </w:pPr>
    </w:p>
    <w:p w14:paraId="5C6A5A94">
      <w:pPr>
        <w:wordWrap w:val="0"/>
        <w:spacing w:line="360" w:lineRule="auto"/>
        <w:jc w:val="righ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（全称并加盖公章） </w:t>
      </w:r>
    </w:p>
    <w:p w14:paraId="7721D7DF">
      <w:pPr>
        <w:wordWrap w:val="0"/>
        <w:spacing w:line="360" w:lineRule="auto"/>
        <w:jc w:val="center"/>
        <w:rPr>
          <w:rFonts w:ascii="宋体" w:hAnsi="宋体" w:cs="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年    月    日</w:t>
      </w:r>
    </w:p>
    <w:p w14:paraId="68638CBB">
      <w:pPr>
        <w:jc w:val="left"/>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br w:type="page"/>
      </w:r>
    </w:p>
    <w:p w14:paraId="4E1AD28D">
      <w:pPr>
        <w:wordWrap w:val="0"/>
        <w:snapToGrid w:val="0"/>
        <w:spacing w:before="156" w:after="156"/>
        <w:jc w:val="left"/>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 xml:space="preserve">附件9 </w:t>
      </w:r>
    </w:p>
    <w:p w14:paraId="760C4549">
      <w:pPr>
        <w:snapToGrid w:val="0"/>
        <w:spacing w:before="156" w:after="156"/>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证明文件</w:t>
      </w:r>
    </w:p>
    <w:p w14:paraId="4FCAE819">
      <w:pPr>
        <w:rPr>
          <w:rFonts w:ascii="宋体" w:hAnsi="宋体" w:cs="宋体"/>
          <w:color w:val="000000" w:themeColor="text1"/>
          <w14:textFill>
            <w14:solidFill>
              <w14:schemeClr w14:val="tx1"/>
            </w14:solidFill>
          </w14:textFill>
        </w:rPr>
      </w:pPr>
    </w:p>
    <w:p w14:paraId="3636D42F">
      <w:pPr>
        <w:jc w:val="center"/>
        <w:rPr>
          <w:rFonts w:ascii="宋体" w:hAnsi="宋体" w:cs="宋体"/>
          <w:color w:val="000000" w:themeColor="text1"/>
          <w:sz w:val="24"/>
          <w14:textFill>
            <w14:solidFill>
              <w14:schemeClr w14:val="tx1"/>
            </w14:solidFill>
          </w14:textFill>
        </w:rPr>
      </w:pPr>
      <w:bookmarkStart w:id="30" w:name="_Toc29332"/>
      <w:bookmarkStart w:id="31" w:name="_Toc454467220"/>
      <w:bookmarkStart w:id="32" w:name="_Toc7572"/>
      <w:bookmarkStart w:id="33" w:name="_Toc2945"/>
      <w:r>
        <w:rPr>
          <w:rFonts w:hint="eastAsia" w:ascii="宋体" w:hAnsi="宋体" w:cs="宋体"/>
          <w:b/>
          <w:bCs/>
          <w:color w:val="000000" w:themeColor="text1"/>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驻马店市政府采购供应商信用承诺函</w:t>
      </w:r>
    </w:p>
    <w:p w14:paraId="7076E564">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致：</w:t>
      </w:r>
    </w:p>
    <w:p w14:paraId="1C4B10C3">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单位名称（自然人姓名）：       </w:t>
      </w:r>
    </w:p>
    <w:p w14:paraId="06CEBDD1">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统一社会信用代码（身份证号码）：    </w:t>
      </w:r>
    </w:p>
    <w:p w14:paraId="4454BE83">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法定代表人（负责人）：        </w:t>
      </w:r>
    </w:p>
    <w:p w14:paraId="021D7B4A">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联系地址和电话：   </w:t>
      </w:r>
    </w:p>
    <w:p w14:paraId="400F753D">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2C117736">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（一）具有独立承担民事责任的能力；</w:t>
      </w:r>
    </w:p>
    <w:p w14:paraId="35171920">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（二）具有良好的商业信誉和健全的财务会计制度；</w:t>
      </w:r>
    </w:p>
    <w:p w14:paraId="522BB78B">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（三）具有履行合同所必需的设备和专业技术能力；</w:t>
      </w:r>
    </w:p>
    <w:p w14:paraId="722D1DF1">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（四）有依法缴纳税收和社会保障资金的良好记录；</w:t>
      </w:r>
    </w:p>
    <w:p w14:paraId="47E2AD92">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（五）参加政府采购活动前三年内，在经营活动中没有重大违法记录；</w:t>
      </w:r>
    </w:p>
    <w:p w14:paraId="5E29A02A">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（六）未被列入严重失信主体名单、失信被执行人、税收违法黑名单、政府采购严重违法失信行为记录名单，未曾作出虚假承诺；</w:t>
      </w:r>
    </w:p>
    <w:p w14:paraId="7DF25B32">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（七）符合法律、行政法规规定的其他条件。</w:t>
      </w:r>
    </w:p>
    <w:p w14:paraId="55A19B9A">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我单位（本人）保证上述承诺事项的真实性，如有弄虚作假或其他违法违规行为，愿意承担一切法律责任，并承担因此所造成的一切损失。</w:t>
      </w:r>
    </w:p>
    <w:p w14:paraId="33DB4853">
      <w:pPr>
        <w:spacing w:line="360" w:lineRule="exact"/>
        <w:jc w:val="left"/>
        <w:rPr>
          <w:rFonts w:ascii="宋体" w:hAnsi="宋体" w:cs="宋体"/>
          <w:color w:val="000000" w:themeColor="text1"/>
          <w:kern w:val="0"/>
          <w:sz w:val="24"/>
          <w14:textFill>
            <w14:solidFill>
              <w14:schemeClr w14:val="tx1"/>
            </w14:solidFill>
          </w14:textFill>
        </w:rPr>
      </w:pPr>
    </w:p>
    <w:p w14:paraId="7E7268C6">
      <w:pPr>
        <w:spacing w:line="360" w:lineRule="exact"/>
        <w:ind w:firstLine="3840" w:firstLineChars="16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供应商名称（盖章）：</w:t>
      </w:r>
    </w:p>
    <w:p w14:paraId="062A5EDB">
      <w:pPr>
        <w:spacing w:line="360" w:lineRule="exact"/>
        <w:ind w:firstLine="2400" w:firstLineChars="10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法定代表人、负责人、自然人或授权代表(签字)：</w:t>
      </w:r>
    </w:p>
    <w:p w14:paraId="2285B2D4">
      <w:pPr>
        <w:spacing w:line="360" w:lineRule="exact"/>
        <w:ind w:firstLine="3360" w:firstLineChars="14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日期：  年  月   日</w:t>
      </w:r>
    </w:p>
    <w:p w14:paraId="7E2A3C7D">
      <w:pPr>
        <w:spacing w:before="100" w:beforeAutospacing="1" w:after="100" w:afterAutospacing="1"/>
        <w:jc w:val="left"/>
        <w:rPr>
          <w:rFonts w:ascii="宋体" w:hAnsi="宋体" w:cs="宋体"/>
          <w:color w:val="000000" w:themeColor="text1"/>
          <w:kern w:val="0"/>
          <w:sz w:val="24"/>
          <w14:textFill>
            <w14:solidFill>
              <w14:schemeClr w14:val="tx1"/>
            </w14:solidFill>
          </w14:textFill>
        </w:rPr>
      </w:pPr>
    </w:p>
    <w:p w14:paraId="355F8092">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注：1.供应商须在投标（响应性）文件中按此模板提供承诺函，未提供视为未实质性响应招标文件要求，按无效投标（响应）处理。</w:t>
      </w:r>
    </w:p>
    <w:p w14:paraId="2BD42FF1">
      <w:pPr>
        <w:spacing w:line="3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2.供应商的法定代表人或者授权代表的签字或盖章应真实、有效，如由授权代表签字或盖章的，应提供“法定代表人授权书”。</w:t>
      </w:r>
    </w:p>
    <w:p w14:paraId="063FEE4C">
      <w:pPr>
        <w:pStyle w:val="59"/>
        <w:spacing w:line="480" w:lineRule="exact"/>
        <w:jc w:val="both"/>
        <w:outlineLvl w:val="1"/>
        <w:rPr>
          <w:rFonts w:hAnsi="宋体" w:cs="宋体"/>
          <w:b/>
          <w:color w:val="000000" w:themeColor="text1"/>
          <w14:textFill>
            <w14:solidFill>
              <w14:schemeClr w14:val="tx1"/>
            </w14:solidFill>
          </w14:textFill>
        </w:rPr>
      </w:pPr>
    </w:p>
    <w:p w14:paraId="313F6C64">
      <w:pPr>
        <w:pStyle w:val="59"/>
        <w:spacing w:line="480" w:lineRule="exact"/>
        <w:jc w:val="both"/>
        <w:outlineLvl w:val="1"/>
        <w:rPr>
          <w:rFonts w:hAnsi="宋体" w:cs="宋体"/>
          <w:b/>
          <w:color w:val="000000" w:themeColor="text1"/>
          <w14:textFill>
            <w14:solidFill>
              <w14:schemeClr w14:val="tx1"/>
            </w14:solidFill>
          </w14:textFill>
        </w:rPr>
      </w:pPr>
    </w:p>
    <w:bookmarkEnd w:id="30"/>
    <w:bookmarkEnd w:id="31"/>
    <w:bookmarkEnd w:id="32"/>
    <w:bookmarkEnd w:id="33"/>
    <w:p w14:paraId="20120FFA">
      <w:pPr>
        <w:spacing w:line="360" w:lineRule="auto"/>
        <w:ind w:firstLine="540" w:firstLineChars="225"/>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中小企业声明函（服务） （格式）</w:t>
      </w:r>
    </w:p>
    <w:p w14:paraId="389C0F19">
      <w:pPr>
        <w:spacing w:line="360" w:lineRule="auto"/>
        <w:ind w:firstLine="540" w:firstLineChars="225"/>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本公司（联合体）郑重声明，根据《政府采购促进中小企业发展管理办法》（财库﹝2020﹞46 号）的规定，本公司（联合体）参加 ________（单位名称）的_______（项目名称）采购活动，服务单位全部为符合政策要求的中小企业（或者：服务全部由符合政策要求的中小企业承接）。相关企业（含联合体中的中小企业、签订分包意向协议的中小企业）的具体情况如下： </w:t>
      </w:r>
    </w:p>
    <w:p w14:paraId="6DF5DE23">
      <w:pPr>
        <w:spacing w:line="360" w:lineRule="auto"/>
        <w:ind w:firstLine="540" w:firstLineChars="225"/>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1._______（标的名称），属于_______（采购文件中明确的所属行业）行业；承建（承接）企业为________（企业名称），从业人员_ 人，营业收入为 万元，资产总额为 万元 ，属于_____（中 型企业、 小型企业、微型企业）； </w:t>
      </w:r>
    </w:p>
    <w:p w14:paraId="7582F349">
      <w:pPr>
        <w:spacing w:line="360" w:lineRule="auto"/>
        <w:ind w:firstLine="540" w:firstLineChars="225"/>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2.____（标的名称），属于_____（采购文件中明确的所属行业）行业；承建（承接）企业为________（企业名称），从业人员 人，营业收入为 万元，资产总额为 万元，属于_______（中型企业、小型企业、微型企业）； </w:t>
      </w:r>
    </w:p>
    <w:p w14:paraId="2AC10721">
      <w:pPr>
        <w:spacing w:line="360" w:lineRule="auto"/>
        <w:ind w:firstLine="540" w:firstLineChars="225"/>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 </w:t>
      </w:r>
    </w:p>
    <w:p w14:paraId="67A10276">
      <w:pPr>
        <w:spacing w:line="360" w:lineRule="auto"/>
        <w:ind w:firstLine="540" w:firstLineChars="225"/>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以上企业，不属于大企业的分支机构，不存在控股股东为大企业的情形，也不存在与大企业的负责人为同一人的情形。 </w:t>
      </w:r>
    </w:p>
    <w:p w14:paraId="10B14AA8">
      <w:pPr>
        <w:spacing w:line="360" w:lineRule="auto"/>
        <w:ind w:firstLine="540" w:firstLineChars="225"/>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本企业对上述声明内容的真实性负责。如有虚假，将依法承担相应责任。 </w:t>
      </w:r>
    </w:p>
    <w:p w14:paraId="0FF6833C">
      <w:pPr>
        <w:spacing w:line="360" w:lineRule="auto"/>
        <w:ind w:firstLine="540" w:firstLineChars="225"/>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企业名称（盖章）： </w:t>
      </w:r>
    </w:p>
    <w:p w14:paraId="467F537B">
      <w:pPr>
        <w:spacing w:line="360" w:lineRule="auto"/>
        <w:ind w:firstLine="540" w:firstLineChars="225"/>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 xml:space="preserve">日 期： </w:t>
      </w:r>
    </w:p>
    <w:p w14:paraId="4CF669F4">
      <w:pPr>
        <w:spacing w:line="360" w:lineRule="auto"/>
        <w:ind w:firstLine="540" w:firstLineChars="225"/>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从业人员、营业收入、资产总额填报上一年度数据，无上一年度数据的新成立企业可不填报。</w:t>
      </w:r>
    </w:p>
    <w:p w14:paraId="5D2ECD3A">
      <w:pPr>
        <w:spacing w:line="360" w:lineRule="auto"/>
        <w:ind w:firstLine="540" w:firstLineChars="225"/>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p>
    <w:p w14:paraId="67841404">
      <w:pPr>
        <w:tabs>
          <w:tab w:val="left" w:pos="840"/>
        </w:tabs>
        <w:autoSpaceDE w:val="0"/>
        <w:autoSpaceDN w:val="0"/>
        <w:adjustRightInd w:val="0"/>
        <w:spacing w:line="360" w:lineRule="auto"/>
        <w:jc w:val="center"/>
        <w:rPr>
          <w:rFonts w:ascii="宋体" w:hAnsi="宋体" w:cs="宋体"/>
          <w:b/>
          <w:color w:val="000000" w:themeColor="text1"/>
          <w:sz w:val="24"/>
          <w14:textFill>
            <w14:solidFill>
              <w14:schemeClr w14:val="tx1"/>
            </w14:solidFill>
          </w14:textFill>
        </w:rPr>
      </w:pPr>
      <w:bookmarkStart w:id="34" w:name="_Toc30306"/>
      <w:bookmarkStart w:id="35" w:name="_Toc23093"/>
      <w:bookmarkStart w:id="36" w:name="_Toc250"/>
      <w:bookmarkStart w:id="37" w:name="OLE_LINK14"/>
      <w:bookmarkStart w:id="38" w:name="OLE_LINK13"/>
      <w:r>
        <w:rPr>
          <w:rFonts w:hint="eastAsia" w:ascii="宋体" w:hAnsi="宋体" w:cs="宋体"/>
          <w:b/>
          <w:color w:val="000000" w:themeColor="text1"/>
          <w:sz w:val="24"/>
          <w14:textFill>
            <w14:solidFill>
              <w14:schemeClr w14:val="tx1"/>
            </w14:solidFill>
          </w14:textFill>
        </w:rPr>
        <w:t>残疾人福利性单位声明函</w:t>
      </w:r>
      <w:bookmarkEnd w:id="34"/>
      <w:bookmarkEnd w:id="35"/>
      <w:bookmarkEnd w:id="36"/>
    </w:p>
    <w:bookmarkEnd w:id="37"/>
    <w:bookmarkEnd w:id="38"/>
    <w:p w14:paraId="5100D783">
      <w:pPr>
        <w:spacing w:line="360" w:lineRule="auto"/>
        <w:rPr>
          <w:rFonts w:ascii="宋体" w:hAnsi="宋体" w:cs="宋体"/>
          <w:b/>
          <w:color w:val="000000" w:themeColor="text1"/>
          <w:spacing w:val="6"/>
          <w:szCs w:val="21"/>
          <w14:textFill>
            <w14:solidFill>
              <w14:schemeClr w14:val="tx1"/>
            </w14:solidFill>
          </w14:textFill>
        </w:rPr>
      </w:pPr>
    </w:p>
    <w:p w14:paraId="2858924F">
      <w:pPr>
        <w:spacing w:line="360" w:lineRule="auto"/>
        <w:ind w:firstLine="504" w:firstLineChars="200"/>
        <w:rPr>
          <w:rFonts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 w:val="24"/>
          <w14:textFill>
            <w14:solidFill>
              <w14:schemeClr w14:val="tx1"/>
            </w14:solidFill>
          </w14:textFill>
        </w:rPr>
        <w:t>〔2017〕 141</w:t>
      </w:r>
      <w:r>
        <w:rPr>
          <w:rFonts w:hint="eastAsia" w:ascii="宋体" w:hAnsi="宋体" w:cs="宋体"/>
          <w:color w:val="000000" w:themeColor="text1"/>
          <w:spacing w:val="6"/>
          <w:sz w:val="24"/>
          <w14:textFill>
            <w14:solidFill>
              <w14:schemeClr w14:val="tx1"/>
            </w14:solidFill>
          </w14:textFill>
        </w:rPr>
        <w:t>号）的规定，本单位为符合条件的残疾人福利性单位，且本单位参加</w:t>
      </w:r>
      <w:r>
        <w:rPr>
          <w:rFonts w:hint="eastAsia" w:ascii="宋体" w:hAnsi="宋体" w:cs="宋体"/>
          <w:color w:val="000000" w:themeColor="text1"/>
          <w:spacing w:val="6"/>
          <w:sz w:val="24"/>
          <w:u w:val="single"/>
          <w14:textFill>
            <w14:solidFill>
              <w14:schemeClr w14:val="tx1"/>
            </w14:solidFill>
          </w14:textFill>
        </w:rPr>
        <w:t xml:space="preserve">       </w:t>
      </w:r>
      <w:r>
        <w:rPr>
          <w:rFonts w:hint="eastAsia" w:ascii="宋体" w:hAnsi="宋体" w:cs="宋体"/>
          <w:color w:val="000000" w:themeColor="text1"/>
          <w:spacing w:val="6"/>
          <w:sz w:val="24"/>
          <w14:textFill>
            <w14:solidFill>
              <w14:schemeClr w14:val="tx1"/>
            </w14:solidFill>
          </w14:textFill>
        </w:rPr>
        <w:t>单位的</w:t>
      </w:r>
      <w:r>
        <w:rPr>
          <w:rFonts w:hint="eastAsia" w:ascii="宋体" w:hAnsi="宋体" w:cs="宋体"/>
          <w:color w:val="000000" w:themeColor="text1"/>
          <w:spacing w:val="6"/>
          <w:sz w:val="24"/>
          <w:u w:val="single"/>
          <w14:textFill>
            <w14:solidFill>
              <w14:schemeClr w14:val="tx1"/>
            </w14:solidFill>
          </w14:textFill>
        </w:rPr>
        <w:t xml:space="preserve">      </w:t>
      </w:r>
      <w:r>
        <w:rPr>
          <w:rFonts w:hint="eastAsia" w:ascii="宋体" w:hAnsi="宋体" w:cs="宋体"/>
          <w:color w:val="000000" w:themeColor="text1"/>
          <w:spacing w:val="6"/>
          <w:sz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8F1B2BE">
      <w:pPr>
        <w:spacing w:line="360" w:lineRule="auto"/>
        <w:ind w:firstLine="504" w:firstLineChars="200"/>
        <w:rPr>
          <w:rFonts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14:paraId="1B631F42">
      <w:pPr>
        <w:spacing w:line="360" w:lineRule="auto"/>
        <w:ind w:firstLine="504" w:firstLineChars="200"/>
        <w:rPr>
          <w:rFonts w:ascii="宋体" w:hAnsi="宋体" w:cs="宋体"/>
          <w:color w:val="000000" w:themeColor="text1"/>
          <w:spacing w:val="6"/>
          <w:sz w:val="24"/>
          <w14:textFill>
            <w14:solidFill>
              <w14:schemeClr w14:val="tx1"/>
            </w14:solidFill>
          </w14:textFill>
        </w:rPr>
      </w:pPr>
    </w:p>
    <w:p w14:paraId="44B2E099">
      <w:pPr>
        <w:tabs>
          <w:tab w:val="left" w:pos="4860"/>
        </w:tabs>
        <w:spacing w:line="360" w:lineRule="auto"/>
        <w:ind w:right="1560" w:firstLine="504" w:firstLineChars="200"/>
        <w:jc w:val="center"/>
        <w:rPr>
          <w:rFonts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单位名称（盖章）：</w:t>
      </w:r>
    </w:p>
    <w:p w14:paraId="1D5F1B36">
      <w:pPr>
        <w:tabs>
          <w:tab w:val="left" w:pos="4860"/>
        </w:tabs>
        <w:spacing w:line="360" w:lineRule="auto"/>
        <w:ind w:right="1560" w:firstLine="504" w:firstLineChars="200"/>
        <w:jc w:val="center"/>
        <w:rPr>
          <w:rFonts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日  期：</w:t>
      </w:r>
    </w:p>
    <w:p w14:paraId="64A3A0FC">
      <w:pPr>
        <w:tabs>
          <w:tab w:val="left" w:pos="840"/>
        </w:tabs>
        <w:autoSpaceDE w:val="0"/>
        <w:autoSpaceDN w:val="0"/>
        <w:adjustRightInd w:val="0"/>
        <w:spacing w:line="360" w:lineRule="auto"/>
        <w:jc w:val="center"/>
        <w:rPr>
          <w:rFonts w:ascii="宋体" w:hAnsi="宋体" w:cs="宋体"/>
          <w:b/>
          <w:color w:val="000000" w:themeColor="text1"/>
          <w:sz w:val="24"/>
          <w14:textFill>
            <w14:solidFill>
              <w14:schemeClr w14:val="tx1"/>
            </w14:solidFill>
          </w14:textFill>
        </w:rPr>
      </w:pPr>
    </w:p>
    <w:p w14:paraId="7463D07D">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《财政部民政部中国残疾人联合会关于促进残疾人就业政府采购政策的通知》（财库（2017〔141〕号）的规定：</w:t>
      </w:r>
    </w:p>
    <w:p w14:paraId="34424FA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 享受政府采购支持政策的残疾人福利性单位应当同时满足以下条件：</w:t>
      </w:r>
    </w:p>
    <w:p w14:paraId="6EF6D0CC">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（1）安置的残疾人占本单位在职职工人数的比例不低于25%（含25%），并且安置的残疾人人数不少于10人（含10人）；</w:t>
      </w:r>
    </w:p>
    <w:p w14:paraId="0DB50A1D">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（2）依法与安置的每位残疾人签订了一年以上（含一年）的劳动合同或服务协议；</w:t>
      </w:r>
    </w:p>
    <w:p w14:paraId="7551B281">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（3）为安置的每位残疾人按月足额缴纳了基本养老保险、基本医疗保险、失业保险、工伤保险和生育保险等社会保险费；</w:t>
      </w:r>
    </w:p>
    <w:p w14:paraId="5A39F300">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（4）通过银行等金融机构向安置的每位残疾人，按月支付了不低于单位所在区县适用的经省级人民政府批准的月最低工资标准的工资；</w:t>
      </w:r>
    </w:p>
    <w:p w14:paraId="7C2C35D1">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（5）提供本单位制造的货物、承担的工程或者服务（以下简称产品），或者提供其他残疾人福利性单位制造的货物（不包括使用非残疾人福利性单位注册商标的货物）。</w:t>
      </w:r>
    </w:p>
    <w:p w14:paraId="47198591">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 成交人为残疾人福利性单位的，采购人或者其委托的采购代理机构应当随中标、成交结果同时公告其《残疾人福利性单位声明函》，接受社会监督。</w:t>
      </w:r>
    </w:p>
    <w:p w14:paraId="3925E238">
      <w:pPr>
        <w:pStyle w:val="11"/>
        <w:ind w:left="63" w:right="63"/>
        <w:rPr>
          <w:rFonts w:cs="宋体"/>
          <w:color w:val="000000" w:themeColor="text1"/>
          <w:szCs w:val="21"/>
          <w:lang w:eastAsia="zh-CN"/>
          <w14:textFill>
            <w14:solidFill>
              <w14:schemeClr w14:val="tx1"/>
            </w14:solidFill>
          </w14:textFill>
        </w:rPr>
      </w:pPr>
    </w:p>
    <w:p w14:paraId="7D645050">
      <w:pPr>
        <w:tabs>
          <w:tab w:val="left" w:pos="840"/>
        </w:tabs>
        <w:autoSpaceDE w:val="0"/>
        <w:autoSpaceDN w:val="0"/>
        <w:adjustRightInd w:val="0"/>
        <w:spacing w:line="360" w:lineRule="auto"/>
        <w:jc w:val="center"/>
        <w:rPr>
          <w:rFonts w:ascii="宋体" w:hAnsi="宋体" w:cs="宋体"/>
          <w:b/>
          <w:color w:val="000000" w:themeColor="text1"/>
          <w:sz w:val="24"/>
          <w14:textFill>
            <w14:solidFill>
              <w14:schemeClr w14:val="tx1"/>
            </w14:solidFill>
          </w14:textFill>
        </w:rPr>
      </w:pPr>
    </w:p>
    <w:p w14:paraId="0C6A0254">
      <w:pPr>
        <w:tabs>
          <w:tab w:val="left" w:pos="840"/>
        </w:tabs>
        <w:autoSpaceDE w:val="0"/>
        <w:autoSpaceDN w:val="0"/>
        <w:adjustRightInd w:val="0"/>
        <w:spacing w:line="360" w:lineRule="auto"/>
        <w:jc w:val="center"/>
        <w:rPr>
          <w:rFonts w:ascii="宋体" w:hAnsi="宋体" w:cs="宋体"/>
          <w:b/>
          <w:color w:val="000000" w:themeColor="text1"/>
          <w:sz w:val="24"/>
          <w14:textFill>
            <w14:solidFill>
              <w14:schemeClr w14:val="tx1"/>
            </w14:solidFill>
          </w14:textFill>
        </w:rPr>
      </w:pPr>
    </w:p>
    <w:p w14:paraId="59E80E55">
      <w:pPr>
        <w:tabs>
          <w:tab w:val="left" w:pos="840"/>
        </w:tabs>
        <w:autoSpaceDE w:val="0"/>
        <w:autoSpaceDN w:val="0"/>
        <w:adjustRightInd w:val="0"/>
        <w:spacing w:line="360" w:lineRule="auto"/>
        <w:jc w:val="center"/>
        <w:rPr>
          <w:rFonts w:ascii="宋体" w:hAnsi="宋体" w:cs="宋体"/>
          <w:b/>
          <w:color w:val="000000" w:themeColor="text1"/>
          <w:sz w:val="24"/>
          <w14:textFill>
            <w14:solidFill>
              <w14:schemeClr w14:val="tx1"/>
            </w14:solidFill>
          </w14:textFill>
        </w:rPr>
      </w:pPr>
    </w:p>
    <w:p w14:paraId="367AA719">
      <w:pPr>
        <w:tabs>
          <w:tab w:val="left" w:pos="840"/>
        </w:tabs>
        <w:autoSpaceDE w:val="0"/>
        <w:autoSpaceDN w:val="0"/>
        <w:adjustRightInd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政府采购政策性规定证明材料</w:t>
      </w:r>
    </w:p>
    <w:p w14:paraId="1A694A38">
      <w:pPr>
        <w:ind w:left="59" w:leftChars="28"/>
        <w:jc w:val="center"/>
        <w:rPr>
          <w:rFonts w:ascii="宋体" w:hAnsi="宋体" w:cs="宋体"/>
          <w:b/>
          <w:color w:val="000000" w:themeColor="text1"/>
          <w:kern w:val="0"/>
          <w:szCs w:val="21"/>
          <w14:textFill>
            <w14:solidFill>
              <w14:schemeClr w14:val="tx1"/>
            </w14:solidFill>
          </w14:textFill>
        </w:rPr>
      </w:pPr>
    </w:p>
    <w:p w14:paraId="5450FB8B">
      <w:pPr>
        <w:ind w:left="59" w:leftChars="28"/>
        <w:jc w:val="center"/>
        <w:rPr>
          <w:rFonts w:ascii="宋体" w:hAnsi="宋体" w:cs="宋体"/>
          <w:b/>
          <w:color w:val="000000" w:themeColor="text1"/>
          <w:kern w:val="0"/>
          <w:szCs w:val="21"/>
          <w14:textFill>
            <w14:solidFill>
              <w14:schemeClr w14:val="tx1"/>
            </w14:solidFill>
          </w14:textFill>
        </w:rPr>
      </w:pPr>
    </w:p>
    <w:p w14:paraId="41CEDBFD">
      <w:pPr>
        <w:ind w:left="59" w:leftChars="28"/>
        <w:jc w:val="center"/>
        <w:rPr>
          <w:rFonts w:ascii="宋体" w:hAnsi="宋体" w:cs="宋体"/>
          <w:b/>
          <w:color w:val="000000" w:themeColor="text1"/>
          <w:kern w:val="0"/>
          <w:szCs w:val="21"/>
          <w14:textFill>
            <w14:solidFill>
              <w14:schemeClr w14:val="tx1"/>
            </w14:solidFill>
          </w14:textFill>
        </w:rPr>
      </w:pPr>
    </w:p>
    <w:p w14:paraId="37DA403E">
      <w:pPr>
        <w:ind w:left="59" w:leftChars="28"/>
        <w:jc w:val="center"/>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（注：如供应商无本项资料，本声明函可删除）</w:t>
      </w:r>
    </w:p>
    <w:p w14:paraId="4ADF615D">
      <w:pPr>
        <w:ind w:left="59" w:leftChars="28"/>
        <w:jc w:val="center"/>
        <w:rPr>
          <w:rFonts w:ascii="宋体" w:hAnsi="宋体" w:cs="宋体"/>
          <w:b/>
          <w:color w:val="000000" w:themeColor="text1"/>
          <w:kern w:val="0"/>
          <w:szCs w:val="21"/>
          <w14:textFill>
            <w14:solidFill>
              <w14:schemeClr w14:val="tx1"/>
            </w14:solidFill>
          </w14:textFill>
        </w:rPr>
      </w:pPr>
    </w:p>
    <w:p w14:paraId="76A71AA1">
      <w:pPr>
        <w:spacing w:line="440" w:lineRule="exact"/>
        <w:ind w:firstLine="3600" w:firstLineChars="1500"/>
        <w:jc w:val="center"/>
        <w:rPr>
          <w:rFonts w:ascii="宋体" w:hAnsi="宋体" w:cs="宋体"/>
          <w:color w:val="000000" w:themeColor="text1"/>
          <w:sz w:val="24"/>
          <w14:textFill>
            <w14:solidFill>
              <w14:schemeClr w14:val="tx1"/>
            </w14:solidFill>
          </w14:textFill>
        </w:rPr>
      </w:pPr>
    </w:p>
    <w:p w14:paraId="03B57745">
      <w:pPr>
        <w:pStyle w:val="59"/>
        <w:rPr>
          <w:rFonts w:hAnsi="宋体" w:cs="宋体"/>
          <w:color w:val="000000" w:themeColor="text1"/>
          <w14:textFill>
            <w14:solidFill>
              <w14:schemeClr w14:val="tx1"/>
            </w14:solidFill>
          </w14:textFill>
        </w:rPr>
      </w:pPr>
    </w:p>
    <w:p w14:paraId="63AD5161">
      <w:pPr>
        <w:jc w:val="left"/>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br w:type="page"/>
      </w:r>
    </w:p>
    <w:p w14:paraId="0B17E2BD">
      <w:pPr>
        <w:outlineLvl w:val="1"/>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 xml:space="preserve">附件10 </w:t>
      </w:r>
    </w:p>
    <w:p w14:paraId="2E6220BD">
      <w:pPr>
        <w:jc w:val="center"/>
        <w:outlineLvl w:val="1"/>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供应商自觉抵制政府采购领域商业贿赂行为承诺书</w:t>
      </w:r>
    </w:p>
    <w:p w14:paraId="058EAF5B">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致：</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采购人及代理机构名称）：</w:t>
      </w:r>
    </w:p>
    <w:p w14:paraId="4DE9EE7B">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进一步规范政府采购行为，营造公平竞争的政府采购市场环境，维护政府采购制度良好声誉，在参与贵单位组织的采购活动中，我方庄重承诺：</w:t>
      </w:r>
    </w:p>
    <w:p w14:paraId="226EB5E8">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一、依法参与采购活动，遵纪守法，诚信经营，公平竞争。</w:t>
      </w:r>
    </w:p>
    <w:p w14:paraId="0C455B3A">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二、不向采购人、采购代理机构和评审专家提供任何形式的商业贿赂，对索取或接受商业贿赂的单位和个人，及时向财政部门和纪检监察机关举报。</w:t>
      </w:r>
    </w:p>
    <w:p w14:paraId="5BC980A8">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三、不以提供虚假资质文件等形式参与采购活动，不以虚假材料谋取成交。</w:t>
      </w:r>
    </w:p>
    <w:p w14:paraId="5C599CE6">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四、不采取不正当手段诋毁、排挤其它供应商，与其它参与采购活动的供应商保持良性的竞争关系。</w:t>
      </w:r>
    </w:p>
    <w:p w14:paraId="74E504A9">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五、不与采购人、采购代理机构和评审专家恶意串通，自觉维护政府采购公平竞争的市场秩序。</w:t>
      </w:r>
    </w:p>
    <w:p w14:paraId="10F0B0D2">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六、不与其它供应商串通采取围标、陪标等商业欺诈手段谋取成交，积极维护国家利益、社会公共利益和采购人的合法权益。</w:t>
      </w:r>
    </w:p>
    <w:p w14:paraId="7CBC31A4">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七、严格履行政府采购合同约定义务，不在政府采购合同执行过程中采取降低质量或标准、减少数量、拖延交付时间等方式损害采购人的利益，并自觉承担违约责任。</w:t>
      </w:r>
    </w:p>
    <w:p w14:paraId="5AC95A1C">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八、自觉接受并积极配合相关监督部门实施的监督检查，如实反映情况，及时提供有关证明材料。</w:t>
      </w:r>
    </w:p>
    <w:p w14:paraId="7992D5FC">
      <w:pPr>
        <w:spacing w:line="360" w:lineRule="auto"/>
        <w:rPr>
          <w:rFonts w:ascii="宋体" w:hAnsi="宋体" w:cs="宋体"/>
          <w:color w:val="000000" w:themeColor="text1"/>
          <w:sz w:val="24"/>
          <w14:textFill>
            <w14:solidFill>
              <w14:schemeClr w14:val="tx1"/>
            </w14:solidFill>
          </w14:textFill>
        </w:rPr>
      </w:pPr>
    </w:p>
    <w:p w14:paraId="11282161">
      <w:pPr>
        <w:spacing w:line="360" w:lineRule="auto"/>
        <w:rPr>
          <w:rFonts w:ascii="宋体" w:hAnsi="宋体" w:cs="宋体"/>
          <w:color w:val="000000" w:themeColor="text1"/>
          <w:sz w:val="24"/>
          <w14:textFill>
            <w14:solidFill>
              <w14:schemeClr w14:val="tx1"/>
            </w14:solidFill>
          </w14:textFill>
        </w:rPr>
      </w:pPr>
    </w:p>
    <w:p w14:paraId="4B955164">
      <w:pPr>
        <w:spacing w:line="360" w:lineRule="auto"/>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供应商代表签字：</w:t>
      </w:r>
      <w:r>
        <w:rPr>
          <w:rFonts w:hint="eastAsia" w:ascii="宋体" w:hAnsi="宋体" w:cs="宋体"/>
          <w:color w:val="000000" w:themeColor="text1"/>
          <w:sz w:val="24"/>
          <w:u w:val="single"/>
          <w14:textFill>
            <w14:solidFill>
              <w14:schemeClr w14:val="tx1"/>
            </w14:solidFill>
          </w14:textFill>
        </w:rPr>
        <w:t xml:space="preserve">                 </w:t>
      </w:r>
    </w:p>
    <w:p w14:paraId="3A604A49">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（全称并加盖公章）   </w:t>
      </w:r>
    </w:p>
    <w:p w14:paraId="1B0EAE02">
      <w:pPr>
        <w:spacing w:line="360" w:lineRule="auto"/>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14:paraId="1D365440">
      <w:pPr>
        <w:jc w:val="left"/>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br w:type="page"/>
      </w:r>
    </w:p>
    <w:p w14:paraId="484AE6B4">
      <w:pPr>
        <w:jc w:val="left"/>
        <w:outlineLvl w:val="1"/>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附件11</w:t>
      </w:r>
    </w:p>
    <w:p w14:paraId="7C815DDB">
      <w:pPr>
        <w:jc w:val="center"/>
        <w:outlineLvl w:val="1"/>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供应商认为需要提供的其他材料</w:t>
      </w:r>
    </w:p>
    <w:p w14:paraId="09FA8BEE">
      <w:pPr>
        <w:spacing w:line="360" w:lineRule="auto"/>
        <w:ind w:firstLine="480" w:firstLineChars="200"/>
        <w:rPr>
          <w:rFonts w:ascii="宋体" w:hAnsi="宋体" w:cs="宋体"/>
          <w:color w:val="000000" w:themeColor="text1"/>
          <w:sz w:val="24"/>
          <w14:textFill>
            <w14:solidFill>
              <w14:schemeClr w14:val="tx1"/>
            </w14:solidFill>
          </w14:textFill>
        </w:rPr>
      </w:pPr>
    </w:p>
    <w:p w14:paraId="6BD6D631">
      <w:pPr>
        <w:pStyle w:val="11"/>
        <w:ind w:left="0" w:right="63"/>
        <w:rPr>
          <w:rFonts w:cs="宋体"/>
          <w:b/>
          <w:color w:val="000000" w:themeColor="text1"/>
          <w:kern w:val="0"/>
          <w:lang w:eastAsia="zh-CN"/>
          <w14:textFill>
            <w14:solidFill>
              <w14:schemeClr w14:val="tx1"/>
            </w14:solidFill>
          </w14:textFill>
        </w:rPr>
      </w:pPr>
    </w:p>
    <w:p w14:paraId="2BE40080">
      <w:pPr>
        <w:pStyle w:val="11"/>
        <w:ind w:left="0" w:right="63"/>
        <w:rPr>
          <w:rFonts w:cs="宋体"/>
          <w:b/>
          <w:color w:val="000000" w:themeColor="text1"/>
          <w:kern w:val="0"/>
          <w:lang w:eastAsia="zh-CN"/>
          <w14:textFill>
            <w14:solidFill>
              <w14:schemeClr w14:val="tx1"/>
            </w14:solidFill>
          </w14:textFill>
        </w:rPr>
      </w:pPr>
    </w:p>
    <w:p w14:paraId="64F3FB26">
      <w:pPr>
        <w:pStyle w:val="11"/>
        <w:ind w:left="0" w:right="63"/>
        <w:rPr>
          <w:rFonts w:cs="宋体"/>
          <w:b/>
          <w:color w:val="000000" w:themeColor="text1"/>
          <w:kern w:val="0"/>
          <w:lang w:eastAsia="zh-CN"/>
          <w14:textFill>
            <w14:solidFill>
              <w14:schemeClr w14:val="tx1"/>
            </w14:solidFill>
          </w14:textFill>
        </w:rPr>
      </w:pPr>
    </w:p>
    <w:p w14:paraId="7EF6DA09">
      <w:pPr>
        <w:pStyle w:val="11"/>
        <w:ind w:left="0" w:right="63"/>
        <w:rPr>
          <w:rFonts w:cs="宋体"/>
          <w:b/>
          <w:color w:val="000000" w:themeColor="text1"/>
          <w:kern w:val="0"/>
          <w:lang w:eastAsia="zh-CN"/>
          <w14:textFill>
            <w14:solidFill>
              <w14:schemeClr w14:val="tx1"/>
            </w14:solidFill>
          </w14:textFill>
        </w:rPr>
      </w:pPr>
    </w:p>
    <w:p w14:paraId="5F17876D">
      <w:pPr>
        <w:pStyle w:val="11"/>
        <w:ind w:left="0" w:right="63"/>
        <w:rPr>
          <w:rFonts w:cs="宋体"/>
          <w:b/>
          <w:color w:val="000000" w:themeColor="text1"/>
          <w:kern w:val="0"/>
          <w:lang w:eastAsia="zh-CN"/>
          <w14:textFill>
            <w14:solidFill>
              <w14:schemeClr w14:val="tx1"/>
            </w14:solidFill>
          </w14:textFill>
        </w:rPr>
      </w:pPr>
    </w:p>
    <w:p w14:paraId="24B339B0">
      <w:pPr>
        <w:pStyle w:val="11"/>
        <w:ind w:left="0" w:right="63"/>
        <w:rPr>
          <w:rFonts w:cs="宋体"/>
          <w:b/>
          <w:color w:val="000000" w:themeColor="text1"/>
          <w:kern w:val="0"/>
          <w:lang w:eastAsia="zh-CN"/>
          <w14:textFill>
            <w14:solidFill>
              <w14:schemeClr w14:val="tx1"/>
            </w14:solidFill>
          </w14:textFill>
        </w:rPr>
      </w:pPr>
    </w:p>
    <w:p w14:paraId="0AB8EDA8">
      <w:pPr>
        <w:pStyle w:val="11"/>
        <w:ind w:left="0" w:right="63"/>
        <w:rPr>
          <w:rFonts w:cs="宋体"/>
          <w:b/>
          <w:color w:val="000000" w:themeColor="text1"/>
          <w:kern w:val="0"/>
          <w:lang w:eastAsia="zh-CN"/>
          <w14:textFill>
            <w14:solidFill>
              <w14:schemeClr w14:val="tx1"/>
            </w14:solidFill>
          </w14:textFill>
        </w:rPr>
      </w:pPr>
    </w:p>
    <w:p w14:paraId="7381FBE7">
      <w:pPr>
        <w:pStyle w:val="11"/>
        <w:ind w:left="0" w:right="63"/>
        <w:rPr>
          <w:rFonts w:cs="宋体"/>
          <w:b/>
          <w:color w:val="000000" w:themeColor="text1"/>
          <w:kern w:val="0"/>
          <w:lang w:eastAsia="zh-CN"/>
          <w14:textFill>
            <w14:solidFill>
              <w14:schemeClr w14:val="tx1"/>
            </w14:solidFill>
          </w14:textFill>
        </w:rPr>
      </w:pPr>
    </w:p>
    <w:p w14:paraId="5CA9BDC2">
      <w:pPr>
        <w:pStyle w:val="11"/>
        <w:ind w:left="0" w:right="63"/>
        <w:rPr>
          <w:rFonts w:cs="宋体"/>
          <w:b/>
          <w:color w:val="000000" w:themeColor="text1"/>
          <w:kern w:val="0"/>
          <w:lang w:eastAsia="zh-CN"/>
          <w14:textFill>
            <w14:solidFill>
              <w14:schemeClr w14:val="tx1"/>
            </w14:solidFill>
          </w14:textFill>
        </w:rPr>
      </w:pPr>
    </w:p>
    <w:p w14:paraId="76E1AA98">
      <w:pPr>
        <w:pStyle w:val="11"/>
        <w:ind w:left="0" w:right="63"/>
        <w:rPr>
          <w:rFonts w:cs="宋体"/>
          <w:b/>
          <w:color w:val="000000" w:themeColor="text1"/>
          <w:kern w:val="0"/>
          <w:lang w:eastAsia="zh-CN"/>
          <w14:textFill>
            <w14:solidFill>
              <w14:schemeClr w14:val="tx1"/>
            </w14:solidFill>
          </w14:textFill>
        </w:rPr>
      </w:pPr>
    </w:p>
    <w:p w14:paraId="4A5A715E">
      <w:pPr>
        <w:pStyle w:val="11"/>
        <w:ind w:left="0" w:right="63"/>
        <w:rPr>
          <w:rFonts w:cs="宋体"/>
          <w:b/>
          <w:color w:val="000000" w:themeColor="text1"/>
          <w:kern w:val="0"/>
          <w:lang w:eastAsia="zh-CN"/>
          <w14:textFill>
            <w14:solidFill>
              <w14:schemeClr w14:val="tx1"/>
            </w14:solidFill>
          </w14:textFill>
        </w:rPr>
      </w:pPr>
    </w:p>
    <w:p w14:paraId="0ABC0F93">
      <w:pPr>
        <w:pStyle w:val="11"/>
        <w:ind w:left="0" w:right="63"/>
        <w:rPr>
          <w:rFonts w:cs="宋体"/>
          <w:b/>
          <w:color w:val="000000" w:themeColor="text1"/>
          <w:kern w:val="0"/>
          <w:lang w:eastAsia="zh-CN"/>
          <w14:textFill>
            <w14:solidFill>
              <w14:schemeClr w14:val="tx1"/>
            </w14:solidFill>
          </w14:textFill>
        </w:rPr>
      </w:pPr>
    </w:p>
    <w:p w14:paraId="6BAE2782">
      <w:pPr>
        <w:pStyle w:val="11"/>
        <w:ind w:left="0" w:right="63"/>
        <w:rPr>
          <w:rFonts w:cs="宋体"/>
          <w:b/>
          <w:color w:val="000000" w:themeColor="text1"/>
          <w:kern w:val="0"/>
          <w:lang w:eastAsia="zh-CN"/>
          <w14:textFill>
            <w14:solidFill>
              <w14:schemeClr w14:val="tx1"/>
            </w14:solidFill>
          </w14:textFill>
        </w:rPr>
      </w:pPr>
    </w:p>
    <w:p w14:paraId="132E8D68">
      <w:pPr>
        <w:pStyle w:val="11"/>
        <w:ind w:left="0" w:right="63"/>
        <w:rPr>
          <w:rFonts w:cs="宋体"/>
          <w:b/>
          <w:color w:val="000000" w:themeColor="text1"/>
          <w:kern w:val="0"/>
          <w:lang w:eastAsia="zh-CN"/>
          <w14:textFill>
            <w14:solidFill>
              <w14:schemeClr w14:val="tx1"/>
            </w14:solidFill>
          </w14:textFill>
        </w:rPr>
      </w:pPr>
    </w:p>
    <w:p w14:paraId="7BF386E6">
      <w:pPr>
        <w:pStyle w:val="11"/>
        <w:ind w:left="0" w:right="63"/>
        <w:rPr>
          <w:rFonts w:cs="宋体"/>
          <w:b/>
          <w:color w:val="000000" w:themeColor="text1"/>
          <w:kern w:val="0"/>
          <w:lang w:eastAsia="zh-CN"/>
          <w14:textFill>
            <w14:solidFill>
              <w14:schemeClr w14:val="tx1"/>
            </w14:solidFill>
          </w14:textFill>
        </w:rPr>
      </w:pPr>
    </w:p>
    <w:p w14:paraId="488B27A1">
      <w:pPr>
        <w:pStyle w:val="11"/>
        <w:ind w:left="0" w:right="63"/>
        <w:rPr>
          <w:rFonts w:cs="宋体"/>
          <w:b/>
          <w:color w:val="000000" w:themeColor="text1"/>
          <w:kern w:val="0"/>
          <w:lang w:eastAsia="zh-CN"/>
          <w14:textFill>
            <w14:solidFill>
              <w14:schemeClr w14:val="tx1"/>
            </w14:solidFill>
          </w14:textFill>
        </w:rPr>
      </w:pPr>
    </w:p>
    <w:p w14:paraId="1D7C31EB">
      <w:pPr>
        <w:pStyle w:val="11"/>
        <w:ind w:left="0" w:right="63"/>
        <w:rPr>
          <w:rFonts w:cs="宋体"/>
          <w:b/>
          <w:color w:val="000000" w:themeColor="text1"/>
          <w:kern w:val="0"/>
          <w:lang w:eastAsia="zh-CN"/>
          <w14:textFill>
            <w14:solidFill>
              <w14:schemeClr w14:val="tx1"/>
            </w14:solidFill>
          </w14:textFill>
        </w:rPr>
      </w:pPr>
    </w:p>
    <w:p w14:paraId="4093C376">
      <w:pPr>
        <w:pStyle w:val="11"/>
        <w:ind w:left="0" w:right="63"/>
        <w:rPr>
          <w:rFonts w:cs="宋体"/>
          <w:b/>
          <w:color w:val="000000" w:themeColor="text1"/>
          <w:kern w:val="0"/>
          <w:lang w:eastAsia="zh-CN"/>
          <w14:textFill>
            <w14:solidFill>
              <w14:schemeClr w14:val="tx1"/>
            </w14:solidFill>
          </w14:textFill>
        </w:rPr>
      </w:pPr>
    </w:p>
    <w:p w14:paraId="7FBE5D74">
      <w:pPr>
        <w:pStyle w:val="11"/>
        <w:ind w:left="0" w:right="63"/>
        <w:rPr>
          <w:rFonts w:cs="宋体"/>
          <w:b/>
          <w:color w:val="000000" w:themeColor="text1"/>
          <w:kern w:val="0"/>
          <w:lang w:eastAsia="zh-CN"/>
          <w14:textFill>
            <w14:solidFill>
              <w14:schemeClr w14:val="tx1"/>
            </w14:solidFill>
          </w14:textFill>
        </w:rPr>
      </w:pPr>
    </w:p>
    <w:p w14:paraId="4514384E">
      <w:pPr>
        <w:pStyle w:val="11"/>
        <w:ind w:left="0" w:right="63"/>
        <w:rPr>
          <w:rFonts w:cs="宋体"/>
          <w:b/>
          <w:color w:val="000000" w:themeColor="text1"/>
          <w:kern w:val="0"/>
          <w:lang w:eastAsia="zh-CN"/>
          <w14:textFill>
            <w14:solidFill>
              <w14:schemeClr w14:val="tx1"/>
            </w14:solidFill>
          </w14:textFill>
        </w:rPr>
      </w:pPr>
    </w:p>
    <w:p w14:paraId="33C0EA45">
      <w:pPr>
        <w:pStyle w:val="11"/>
        <w:ind w:left="0" w:right="63"/>
        <w:rPr>
          <w:rFonts w:cs="宋体"/>
          <w:b/>
          <w:color w:val="000000" w:themeColor="text1"/>
          <w:kern w:val="0"/>
          <w:lang w:eastAsia="zh-CN"/>
          <w14:textFill>
            <w14:solidFill>
              <w14:schemeClr w14:val="tx1"/>
            </w14:solidFill>
          </w14:textFill>
        </w:rPr>
      </w:pPr>
    </w:p>
    <w:p w14:paraId="1A4C91A6">
      <w:pPr>
        <w:pStyle w:val="11"/>
        <w:ind w:left="0" w:right="63"/>
        <w:rPr>
          <w:rFonts w:cs="宋体"/>
          <w:b/>
          <w:color w:val="000000" w:themeColor="text1"/>
          <w:kern w:val="0"/>
          <w:sz w:val="32"/>
          <w:szCs w:val="32"/>
          <w:lang w:eastAsia="zh-CN"/>
          <w14:textFill>
            <w14:solidFill>
              <w14:schemeClr w14:val="tx1"/>
            </w14:solidFill>
          </w14:textFill>
        </w:rPr>
      </w:pPr>
    </w:p>
    <w:p w14:paraId="067C4E6C">
      <w:pPr>
        <w:pStyle w:val="11"/>
        <w:ind w:left="0" w:right="63"/>
        <w:rPr>
          <w:rFonts w:cs="宋体"/>
          <w:b/>
          <w:color w:val="000000" w:themeColor="text1"/>
          <w:kern w:val="0"/>
          <w:sz w:val="32"/>
          <w:szCs w:val="32"/>
          <w:lang w:eastAsia="zh-CN"/>
          <w14:textFill>
            <w14:solidFill>
              <w14:schemeClr w14:val="tx1"/>
            </w14:solidFill>
          </w14:textFill>
        </w:rPr>
      </w:pPr>
    </w:p>
    <w:p w14:paraId="4C7E5A01">
      <w:pPr>
        <w:pStyle w:val="11"/>
        <w:ind w:left="0" w:right="63"/>
        <w:rPr>
          <w:rFonts w:cs="宋体"/>
          <w:b/>
          <w:color w:val="000000" w:themeColor="text1"/>
          <w:kern w:val="0"/>
          <w:sz w:val="32"/>
          <w:szCs w:val="32"/>
          <w:lang w:eastAsia="zh-CN"/>
          <w14:textFill>
            <w14:solidFill>
              <w14:schemeClr w14:val="tx1"/>
            </w14:solidFill>
          </w14:textFill>
        </w:rPr>
      </w:pPr>
      <w:r>
        <w:rPr>
          <w:rFonts w:hint="eastAsia" w:cs="宋体"/>
          <w:b/>
          <w:color w:val="000000" w:themeColor="text1"/>
          <w:kern w:val="0"/>
          <w:sz w:val="32"/>
          <w:szCs w:val="32"/>
          <w:lang w:eastAsia="zh-CN"/>
          <w14:textFill>
            <w14:solidFill>
              <w14:schemeClr w14:val="tx1"/>
            </w14:solidFill>
          </w14:textFill>
        </w:rPr>
        <w:t xml:space="preserve">  </w:t>
      </w:r>
    </w:p>
    <w:p w14:paraId="539CB9FD">
      <w:pPr>
        <w:jc w:val="left"/>
        <w:outlineLvl w:val="1"/>
        <w:rPr>
          <w:rFonts w:hint="eastAsia"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color w:val="000000" w:themeColor="text1"/>
          <w:kern w:val="0"/>
          <w:sz w:val="32"/>
          <w:szCs w:val="32"/>
          <w14:textFill>
            <w14:solidFill>
              <w14:schemeClr w14:val="tx1"/>
            </w14:solidFill>
          </w14:textFill>
        </w:rPr>
        <w:t>附件12</w:t>
      </w:r>
    </w:p>
    <w:p w14:paraId="7A862E9B">
      <w:pPr>
        <w:jc w:val="center"/>
        <w:rPr>
          <w:rFonts w:hint="eastAsia"/>
          <w:b/>
          <w:bCs/>
          <w:sz w:val="32"/>
          <w:szCs w:val="32"/>
        </w:rPr>
      </w:pPr>
      <w:r>
        <w:rPr>
          <w:rFonts w:hint="eastAsia"/>
          <w:b/>
          <w:bCs/>
          <w:sz w:val="32"/>
          <w:szCs w:val="32"/>
        </w:rPr>
        <w:t>政府采购合同融资政策告知函</w:t>
      </w:r>
    </w:p>
    <w:p w14:paraId="299231AB">
      <w:pPr>
        <w:rPr>
          <w:rFonts w:hint="eastAsia"/>
          <w:sz w:val="30"/>
          <w:szCs w:val="30"/>
        </w:rPr>
      </w:pPr>
    </w:p>
    <w:p w14:paraId="6476AB5F">
      <w:pPr>
        <w:rPr>
          <w:rFonts w:hint="eastAsia"/>
          <w:sz w:val="30"/>
          <w:szCs w:val="30"/>
        </w:rPr>
      </w:pPr>
      <w:r>
        <w:rPr>
          <w:rFonts w:hint="eastAsia"/>
          <w:sz w:val="30"/>
          <w:szCs w:val="30"/>
        </w:rPr>
        <w:t>各供应商:</w:t>
      </w:r>
    </w:p>
    <w:p w14:paraId="18AC601A">
      <w:pPr>
        <w:ind w:firstLine="600" w:firstLineChars="200"/>
        <w:rPr>
          <w:rFonts w:hint="eastAsia"/>
          <w:sz w:val="30"/>
          <w:szCs w:val="30"/>
        </w:rPr>
      </w:pPr>
      <w:r>
        <w:rPr>
          <w:rFonts w:hint="eastAsia"/>
          <w:sz w:val="30"/>
          <w:szCs w:val="30"/>
        </w:rPr>
        <w:t>欢迎贵公司参与驻马店市政府采购活动!</w:t>
      </w:r>
    </w:p>
    <w:p w14:paraId="24AA9398">
      <w:pPr>
        <w:ind w:firstLine="600" w:firstLineChars="200"/>
        <w:rPr>
          <w:rFonts w:hint="eastAsia"/>
          <w:sz w:val="30"/>
          <w:szCs w:val="30"/>
        </w:rPr>
      </w:pPr>
      <w:r>
        <w:rPr>
          <w:rFonts w:hint="eastAsia"/>
          <w:sz w:val="30"/>
          <w:szCs w:val="30"/>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根据《关于印发深入推进政府采购合同融资工作实施方案的通知》（驻财购〔2020〕32号），按照双方自愿的原则提供便捷、优惠的贷款服务。</w:t>
      </w:r>
    </w:p>
    <w:p w14:paraId="718E052B">
      <w:pPr>
        <w:rPr>
          <w:rFonts w:hint="eastAsia"/>
          <w:sz w:val="30"/>
          <w:szCs w:val="30"/>
        </w:rPr>
      </w:pPr>
      <w:r>
        <w:rPr>
          <w:rFonts w:hint="eastAsia"/>
          <w:sz w:val="30"/>
          <w:szCs w:val="30"/>
        </w:rPr>
        <w:t>贷款渠道和提供贷款的金融机构如下：</w:t>
      </w:r>
    </w:p>
    <w:p w14:paraId="437A5011">
      <w:pPr>
        <w:widowControl/>
        <w:snapToGrid w:val="0"/>
        <w:spacing w:line="460" w:lineRule="exact"/>
        <w:jc w:val="center"/>
        <w:rPr>
          <w:rFonts w:hint="eastAsia" w:ascii="宋体" w:hAnsi="宋体" w:cs="宋体"/>
          <w:b/>
          <w:kern w:val="0"/>
          <w:sz w:val="36"/>
          <w:szCs w:val="36"/>
        </w:rPr>
      </w:pPr>
    </w:p>
    <w:p w14:paraId="5BAA768A">
      <w:pPr>
        <w:widowControl/>
        <w:snapToGrid w:val="0"/>
        <w:spacing w:line="460" w:lineRule="exact"/>
        <w:jc w:val="center"/>
        <w:rPr>
          <w:rFonts w:ascii="宋体" w:hAnsi="宋体" w:cs="宋体"/>
          <w:b/>
          <w:kern w:val="0"/>
          <w:sz w:val="36"/>
          <w:szCs w:val="36"/>
        </w:rPr>
      </w:pPr>
      <w:r>
        <w:rPr>
          <w:rFonts w:hint="eastAsia" w:ascii="宋体" w:hAnsi="宋体" w:cs="宋体"/>
          <w:b/>
          <w:kern w:val="0"/>
          <w:sz w:val="36"/>
          <w:szCs w:val="36"/>
        </w:rPr>
        <w:t>驻马店市政府采购合同融资金融机构联系方式</w:t>
      </w:r>
    </w:p>
    <w:p w14:paraId="2131B764">
      <w:pPr>
        <w:widowControl/>
        <w:wordWrap w:val="0"/>
        <w:snapToGrid w:val="0"/>
        <w:spacing w:line="460" w:lineRule="exact"/>
        <w:rPr>
          <w:rFonts w:hint="eastAsia" w:ascii="宋体" w:hAnsi="宋体" w:cs="宋体"/>
          <w:b/>
          <w:kern w:val="0"/>
          <w:sz w:val="24"/>
        </w:rPr>
      </w:pPr>
    </w:p>
    <w:p w14:paraId="4265D8B9">
      <w:pPr>
        <w:rPr>
          <w:sz w:val="28"/>
          <w:szCs w:val="28"/>
        </w:rPr>
      </w:pPr>
      <w:r>
        <w:rPr>
          <w:sz w:val="28"/>
          <w:szCs w:val="28"/>
        </w:rPr>
        <w:t>1</w:t>
      </w:r>
      <w:r>
        <w:rPr>
          <w:rFonts w:hint="eastAsia"/>
          <w:sz w:val="28"/>
          <w:szCs w:val="28"/>
        </w:rPr>
        <w:t>、上海浦东发展银行信阳分行</w:t>
      </w:r>
    </w:p>
    <w:p w14:paraId="50138B0A">
      <w:pPr>
        <w:rPr>
          <w:sz w:val="28"/>
          <w:szCs w:val="28"/>
        </w:rPr>
      </w:pPr>
      <w:r>
        <w:rPr>
          <w:rFonts w:hint="eastAsia"/>
          <w:sz w:val="28"/>
          <w:szCs w:val="28"/>
        </w:rPr>
        <w:t>联系人：曾涛</w:t>
      </w:r>
      <w:r>
        <w:rPr>
          <w:sz w:val="28"/>
          <w:szCs w:val="28"/>
        </w:rPr>
        <w:t>  18203766999  </w:t>
      </w:r>
    </w:p>
    <w:p w14:paraId="04B1266B">
      <w:pPr>
        <w:rPr>
          <w:sz w:val="28"/>
          <w:szCs w:val="28"/>
        </w:rPr>
      </w:pPr>
      <w:r>
        <w:rPr>
          <w:rFonts w:hint="eastAsia"/>
          <w:sz w:val="28"/>
          <w:szCs w:val="28"/>
        </w:rPr>
        <w:t>地址：信阳市羊山新区新六大街北段九阳大厦一号楼</w:t>
      </w:r>
    </w:p>
    <w:p w14:paraId="094E026A">
      <w:pPr>
        <w:rPr>
          <w:sz w:val="28"/>
          <w:szCs w:val="28"/>
        </w:rPr>
      </w:pPr>
      <w:r>
        <w:rPr>
          <w:sz w:val="28"/>
          <w:szCs w:val="28"/>
        </w:rPr>
        <w:t>2</w:t>
      </w:r>
      <w:r>
        <w:rPr>
          <w:rFonts w:hint="eastAsia"/>
          <w:sz w:val="28"/>
          <w:szCs w:val="28"/>
        </w:rPr>
        <w:t>、中原银行驻马店分行公司业务七部</w:t>
      </w:r>
    </w:p>
    <w:p w14:paraId="68EE55CB">
      <w:pPr>
        <w:rPr>
          <w:sz w:val="28"/>
          <w:szCs w:val="28"/>
        </w:rPr>
      </w:pPr>
      <w:r>
        <w:rPr>
          <w:rFonts w:hint="eastAsia"/>
          <w:sz w:val="28"/>
          <w:szCs w:val="28"/>
        </w:rPr>
        <w:t>联系人：王磊</w:t>
      </w:r>
    </w:p>
    <w:p w14:paraId="25AF9AAF">
      <w:pPr>
        <w:rPr>
          <w:sz w:val="28"/>
          <w:szCs w:val="28"/>
        </w:rPr>
      </w:pPr>
      <w:r>
        <w:rPr>
          <w:rFonts w:hint="eastAsia"/>
          <w:sz w:val="28"/>
          <w:szCs w:val="28"/>
        </w:rPr>
        <w:t>联系电话：</w:t>
      </w:r>
      <w:r>
        <w:rPr>
          <w:sz w:val="28"/>
          <w:szCs w:val="28"/>
        </w:rPr>
        <w:t>13783327708</w:t>
      </w:r>
    </w:p>
    <w:p w14:paraId="16CFAAA8">
      <w:pPr>
        <w:rPr>
          <w:sz w:val="28"/>
          <w:szCs w:val="28"/>
        </w:rPr>
      </w:pPr>
      <w:r>
        <w:rPr>
          <w:rFonts w:hint="eastAsia"/>
          <w:sz w:val="28"/>
          <w:szCs w:val="28"/>
        </w:rPr>
        <w:t>地址：驻马店市驿城区文明路</w:t>
      </w:r>
      <w:r>
        <w:rPr>
          <w:sz w:val="28"/>
          <w:szCs w:val="28"/>
        </w:rPr>
        <w:t>168</w:t>
      </w:r>
      <w:r>
        <w:rPr>
          <w:rFonts w:hint="eastAsia"/>
          <w:sz w:val="28"/>
          <w:szCs w:val="28"/>
        </w:rPr>
        <w:t>号（天龙大酒店对面）</w:t>
      </w:r>
    </w:p>
    <w:p w14:paraId="5F6C10E6">
      <w:pPr>
        <w:rPr>
          <w:sz w:val="28"/>
          <w:szCs w:val="28"/>
        </w:rPr>
      </w:pPr>
      <w:r>
        <w:rPr>
          <w:sz w:val="28"/>
          <w:szCs w:val="28"/>
        </w:rPr>
        <w:t>3</w:t>
      </w:r>
      <w:r>
        <w:rPr>
          <w:rFonts w:hint="eastAsia"/>
          <w:sz w:val="28"/>
          <w:szCs w:val="28"/>
        </w:rPr>
        <w:t>、</w:t>
      </w:r>
      <w:r>
        <w:rPr>
          <w:sz w:val="28"/>
          <w:szCs w:val="28"/>
        </w:rPr>
        <w:t> </w:t>
      </w:r>
      <w:r>
        <w:rPr>
          <w:rFonts w:hint="eastAsia"/>
          <w:sz w:val="28"/>
          <w:szCs w:val="28"/>
        </w:rPr>
        <w:t>郑州银行驻马店分行</w:t>
      </w:r>
      <w:r>
        <w:rPr>
          <w:sz w:val="28"/>
          <w:szCs w:val="28"/>
        </w:rPr>
        <w:t xml:space="preserve"> </w:t>
      </w:r>
    </w:p>
    <w:p w14:paraId="5D711B09">
      <w:pPr>
        <w:rPr>
          <w:sz w:val="28"/>
          <w:szCs w:val="28"/>
        </w:rPr>
      </w:pPr>
      <w:r>
        <w:rPr>
          <w:rFonts w:hint="eastAsia"/>
          <w:sz w:val="28"/>
          <w:szCs w:val="28"/>
        </w:rPr>
        <w:t>联系人：禹阳</w:t>
      </w:r>
    </w:p>
    <w:p w14:paraId="50A57054">
      <w:pPr>
        <w:rPr>
          <w:sz w:val="28"/>
          <w:szCs w:val="28"/>
        </w:rPr>
      </w:pPr>
      <w:r>
        <w:rPr>
          <w:rFonts w:hint="eastAsia"/>
          <w:sz w:val="28"/>
          <w:szCs w:val="28"/>
        </w:rPr>
        <w:t>联系电话：</w:t>
      </w:r>
      <w:r>
        <w:rPr>
          <w:sz w:val="28"/>
          <w:szCs w:val="28"/>
        </w:rPr>
        <w:t>15103825000</w:t>
      </w:r>
    </w:p>
    <w:p w14:paraId="29022301">
      <w:pPr>
        <w:rPr>
          <w:sz w:val="28"/>
          <w:szCs w:val="28"/>
        </w:rPr>
      </w:pPr>
      <w:r>
        <w:rPr>
          <w:rFonts w:hint="eastAsia"/>
          <w:sz w:val="28"/>
          <w:szCs w:val="28"/>
        </w:rPr>
        <w:t>地址：河南省驻马店市置地大道与天中山大道交叉口西南角</w:t>
      </w:r>
    </w:p>
    <w:p w14:paraId="0AC79822">
      <w:pPr>
        <w:rPr>
          <w:sz w:val="28"/>
          <w:szCs w:val="28"/>
        </w:rPr>
      </w:pPr>
      <w:r>
        <w:rPr>
          <w:sz w:val="28"/>
          <w:szCs w:val="28"/>
        </w:rPr>
        <w:t>4</w:t>
      </w:r>
      <w:r>
        <w:rPr>
          <w:rFonts w:hint="eastAsia"/>
          <w:sz w:val="28"/>
          <w:szCs w:val="28"/>
        </w:rPr>
        <w:t>、驻马店农村商业银行股份有限公司</w:t>
      </w:r>
    </w:p>
    <w:p w14:paraId="0B5E2AF1">
      <w:pPr>
        <w:rPr>
          <w:sz w:val="28"/>
          <w:szCs w:val="28"/>
        </w:rPr>
      </w:pPr>
      <w:r>
        <w:rPr>
          <w:rFonts w:hint="eastAsia"/>
          <w:sz w:val="28"/>
          <w:szCs w:val="28"/>
        </w:rPr>
        <w:t>联系人：鄢川源</w:t>
      </w:r>
      <w:r>
        <w:rPr>
          <w:sz w:val="28"/>
          <w:szCs w:val="28"/>
        </w:rPr>
        <w:t xml:space="preserve">  15136590288   3699502</w:t>
      </w:r>
    </w:p>
    <w:p w14:paraId="30EFD5C7">
      <w:pPr>
        <w:rPr>
          <w:sz w:val="28"/>
          <w:szCs w:val="28"/>
        </w:rPr>
      </w:pPr>
      <w:r>
        <w:rPr>
          <w:rFonts w:hint="eastAsia"/>
          <w:sz w:val="28"/>
          <w:szCs w:val="28"/>
        </w:rPr>
        <w:t>周莉娟</w:t>
      </w:r>
      <w:r>
        <w:rPr>
          <w:sz w:val="28"/>
          <w:szCs w:val="28"/>
        </w:rPr>
        <w:t xml:space="preserve">  15290172878  3618869</w:t>
      </w:r>
    </w:p>
    <w:p w14:paraId="02E16745">
      <w:pPr>
        <w:rPr>
          <w:sz w:val="28"/>
          <w:szCs w:val="28"/>
        </w:rPr>
      </w:pPr>
      <w:r>
        <w:rPr>
          <w:rFonts w:hint="eastAsia"/>
          <w:sz w:val="28"/>
          <w:szCs w:val="28"/>
        </w:rPr>
        <w:t>地址：驻马店市驿城区文化路</w:t>
      </w:r>
      <w:r>
        <w:rPr>
          <w:sz w:val="28"/>
          <w:szCs w:val="28"/>
        </w:rPr>
        <w:t>360</w:t>
      </w:r>
      <w:r>
        <w:rPr>
          <w:rFonts w:hint="eastAsia"/>
          <w:sz w:val="28"/>
          <w:szCs w:val="28"/>
        </w:rPr>
        <w:t>号</w:t>
      </w:r>
    </w:p>
    <w:p w14:paraId="5CBFD60E">
      <w:pPr>
        <w:rPr>
          <w:sz w:val="28"/>
          <w:szCs w:val="28"/>
        </w:rPr>
      </w:pPr>
      <w:r>
        <w:rPr>
          <w:sz w:val="28"/>
          <w:szCs w:val="28"/>
        </w:rPr>
        <w:t>5</w:t>
      </w:r>
      <w:r>
        <w:rPr>
          <w:rFonts w:hint="eastAsia"/>
          <w:sz w:val="28"/>
          <w:szCs w:val="28"/>
        </w:rPr>
        <w:t>、中国银行股份有限公司驻马店分行营业部</w:t>
      </w:r>
    </w:p>
    <w:p w14:paraId="7FD309AD">
      <w:pPr>
        <w:rPr>
          <w:sz w:val="28"/>
          <w:szCs w:val="28"/>
        </w:rPr>
      </w:pPr>
      <w:r>
        <w:rPr>
          <w:rFonts w:hint="eastAsia"/>
          <w:sz w:val="28"/>
          <w:szCs w:val="28"/>
        </w:rPr>
        <w:t>联系人：罗浩</w:t>
      </w:r>
      <w:r>
        <w:rPr>
          <w:sz w:val="28"/>
          <w:szCs w:val="28"/>
        </w:rPr>
        <w:t> </w:t>
      </w:r>
      <w:r>
        <w:rPr>
          <w:rFonts w:hint="eastAsia"/>
          <w:sz w:val="28"/>
          <w:szCs w:val="28"/>
        </w:rPr>
        <w:t>手机号</w:t>
      </w:r>
      <w:r>
        <w:rPr>
          <w:sz w:val="28"/>
          <w:szCs w:val="28"/>
        </w:rPr>
        <w:t>15239620736</w:t>
      </w:r>
    </w:p>
    <w:p w14:paraId="027AC906">
      <w:pPr>
        <w:rPr>
          <w:sz w:val="28"/>
          <w:szCs w:val="28"/>
        </w:rPr>
      </w:pPr>
      <w:r>
        <w:rPr>
          <w:rFonts w:hint="eastAsia"/>
          <w:sz w:val="28"/>
          <w:szCs w:val="28"/>
        </w:rPr>
        <w:t>刘杰</w:t>
      </w:r>
      <w:r>
        <w:rPr>
          <w:sz w:val="28"/>
          <w:szCs w:val="28"/>
        </w:rPr>
        <w:t> </w:t>
      </w:r>
      <w:r>
        <w:rPr>
          <w:rFonts w:hint="eastAsia"/>
          <w:sz w:val="28"/>
          <w:szCs w:val="28"/>
        </w:rPr>
        <w:t>手机号</w:t>
      </w:r>
      <w:r>
        <w:rPr>
          <w:sz w:val="28"/>
          <w:szCs w:val="28"/>
        </w:rPr>
        <w:t>16639631991</w:t>
      </w:r>
    </w:p>
    <w:p w14:paraId="52002E7D">
      <w:pPr>
        <w:rPr>
          <w:sz w:val="28"/>
          <w:szCs w:val="28"/>
        </w:rPr>
      </w:pPr>
      <w:r>
        <w:rPr>
          <w:rFonts w:hint="eastAsia"/>
          <w:sz w:val="28"/>
          <w:szCs w:val="28"/>
        </w:rPr>
        <w:t>地址：驻马店市文明路</w:t>
      </w:r>
      <w:r>
        <w:rPr>
          <w:sz w:val="28"/>
          <w:szCs w:val="28"/>
        </w:rPr>
        <w:t>188</w:t>
      </w:r>
      <w:r>
        <w:rPr>
          <w:rFonts w:hint="eastAsia"/>
          <w:sz w:val="28"/>
          <w:szCs w:val="28"/>
        </w:rPr>
        <w:t>号</w:t>
      </w:r>
    </w:p>
    <w:p w14:paraId="45674D68">
      <w:pPr>
        <w:rPr>
          <w:sz w:val="28"/>
          <w:szCs w:val="28"/>
        </w:rPr>
      </w:pPr>
      <w:r>
        <w:rPr>
          <w:sz w:val="28"/>
          <w:szCs w:val="28"/>
        </w:rPr>
        <w:t>6</w:t>
      </w:r>
      <w:r>
        <w:rPr>
          <w:rFonts w:hint="eastAsia"/>
          <w:sz w:val="28"/>
          <w:szCs w:val="28"/>
        </w:rPr>
        <w:t>、中信银行股份有限公司郑州东明路支行</w:t>
      </w:r>
    </w:p>
    <w:p w14:paraId="3340A2A3">
      <w:pPr>
        <w:rPr>
          <w:sz w:val="28"/>
          <w:szCs w:val="28"/>
        </w:rPr>
      </w:pPr>
      <w:r>
        <w:rPr>
          <w:rFonts w:hint="eastAsia"/>
          <w:sz w:val="28"/>
          <w:szCs w:val="28"/>
        </w:rPr>
        <w:t>联系人：李阿萃</w:t>
      </w:r>
      <w:r>
        <w:rPr>
          <w:sz w:val="28"/>
          <w:szCs w:val="28"/>
        </w:rPr>
        <w:t xml:space="preserve">  18638139933</w:t>
      </w:r>
    </w:p>
    <w:p w14:paraId="5FF72CBC">
      <w:pPr>
        <w:rPr>
          <w:sz w:val="28"/>
          <w:szCs w:val="28"/>
        </w:rPr>
      </w:pPr>
      <w:r>
        <w:rPr>
          <w:rFonts w:hint="eastAsia"/>
          <w:sz w:val="28"/>
          <w:szCs w:val="28"/>
        </w:rPr>
        <w:t>地址：郑州市东明路与东风路交叉口</w:t>
      </w:r>
    </w:p>
    <w:p w14:paraId="4224305B">
      <w:pPr>
        <w:rPr>
          <w:sz w:val="28"/>
          <w:szCs w:val="28"/>
        </w:rPr>
      </w:pPr>
      <w:r>
        <w:rPr>
          <w:sz w:val="28"/>
          <w:szCs w:val="28"/>
        </w:rPr>
        <w:t>7</w:t>
      </w:r>
      <w:r>
        <w:rPr>
          <w:rFonts w:hint="eastAsia"/>
          <w:sz w:val="28"/>
          <w:szCs w:val="28"/>
        </w:rPr>
        <w:t>、中国建设银行股份有限公司驻马店分行</w:t>
      </w:r>
    </w:p>
    <w:p w14:paraId="05F2FE4E">
      <w:pPr>
        <w:rPr>
          <w:sz w:val="28"/>
          <w:szCs w:val="28"/>
        </w:rPr>
      </w:pPr>
      <w:r>
        <w:rPr>
          <w:rFonts w:hint="eastAsia"/>
          <w:sz w:val="28"/>
          <w:szCs w:val="28"/>
        </w:rPr>
        <w:t>联系人：崔颖</w:t>
      </w:r>
      <w:r>
        <w:rPr>
          <w:sz w:val="28"/>
          <w:szCs w:val="28"/>
        </w:rPr>
        <w:t>13303968688 </w:t>
      </w:r>
    </w:p>
    <w:p w14:paraId="34B2CCEE">
      <w:pPr>
        <w:rPr>
          <w:sz w:val="28"/>
          <w:szCs w:val="28"/>
        </w:rPr>
      </w:pPr>
      <w:r>
        <w:rPr>
          <w:rFonts w:hint="eastAsia"/>
          <w:sz w:val="28"/>
          <w:szCs w:val="28"/>
        </w:rPr>
        <w:t>地址：驻马店市交通路</w:t>
      </w:r>
      <w:r>
        <w:rPr>
          <w:sz w:val="28"/>
          <w:szCs w:val="28"/>
        </w:rPr>
        <w:t>998</w:t>
      </w:r>
      <w:r>
        <w:rPr>
          <w:rFonts w:hint="eastAsia"/>
          <w:sz w:val="28"/>
          <w:szCs w:val="28"/>
        </w:rPr>
        <w:t>号</w:t>
      </w:r>
    </w:p>
    <w:p w14:paraId="18AAC285">
      <w:pPr>
        <w:rPr>
          <w:sz w:val="28"/>
          <w:szCs w:val="28"/>
        </w:rPr>
      </w:pPr>
      <w:r>
        <w:rPr>
          <w:sz w:val="28"/>
          <w:szCs w:val="28"/>
        </w:rPr>
        <w:t>8</w:t>
      </w:r>
      <w:r>
        <w:rPr>
          <w:rFonts w:hint="eastAsia"/>
          <w:sz w:val="28"/>
          <w:szCs w:val="28"/>
        </w:rPr>
        <w:t>、洛阳银行股份有限公司驻马店分行</w:t>
      </w:r>
    </w:p>
    <w:p w14:paraId="738B5F94">
      <w:pPr>
        <w:rPr>
          <w:sz w:val="28"/>
          <w:szCs w:val="28"/>
        </w:rPr>
      </w:pPr>
      <w:r>
        <w:rPr>
          <w:rFonts w:hint="eastAsia"/>
          <w:sz w:val="28"/>
          <w:szCs w:val="28"/>
        </w:rPr>
        <w:t>联系人：马晨旭</w:t>
      </w:r>
      <w:r>
        <w:rPr>
          <w:sz w:val="28"/>
          <w:szCs w:val="28"/>
        </w:rPr>
        <w:t>  13526371627</w:t>
      </w:r>
    </w:p>
    <w:p w14:paraId="1E5E122F">
      <w:pPr>
        <w:rPr>
          <w:sz w:val="28"/>
          <w:szCs w:val="28"/>
        </w:rPr>
      </w:pPr>
      <w:r>
        <w:rPr>
          <w:rFonts w:hint="eastAsia"/>
          <w:sz w:val="28"/>
          <w:szCs w:val="28"/>
        </w:rPr>
        <w:t>地址：驿城区文明大道与天中山大道交汇处汇金大厦</w:t>
      </w:r>
    </w:p>
    <w:p w14:paraId="4B5D94D7">
      <w:pPr>
        <w:rPr>
          <w:sz w:val="28"/>
          <w:szCs w:val="28"/>
        </w:rPr>
      </w:pPr>
      <w:r>
        <w:rPr>
          <w:sz w:val="28"/>
          <w:szCs w:val="28"/>
        </w:rPr>
        <w:t>9</w:t>
      </w:r>
      <w:r>
        <w:rPr>
          <w:rFonts w:hint="eastAsia"/>
          <w:sz w:val="28"/>
          <w:szCs w:val="28"/>
        </w:rPr>
        <w:t>、中国邮政储蓄银行股份有限公司驻马店市分行</w:t>
      </w:r>
    </w:p>
    <w:p w14:paraId="5D0D6813">
      <w:pPr>
        <w:rPr>
          <w:sz w:val="28"/>
          <w:szCs w:val="28"/>
        </w:rPr>
      </w:pPr>
      <w:r>
        <w:rPr>
          <w:rFonts w:hint="eastAsia"/>
          <w:sz w:val="28"/>
          <w:szCs w:val="28"/>
        </w:rPr>
        <w:t>联系人：胥永伟</w:t>
      </w:r>
      <w:r>
        <w:rPr>
          <w:sz w:val="28"/>
          <w:szCs w:val="28"/>
        </w:rPr>
        <w:t>13526391116</w:t>
      </w:r>
    </w:p>
    <w:p w14:paraId="7F135A62">
      <w:pPr>
        <w:rPr>
          <w:sz w:val="28"/>
          <w:szCs w:val="28"/>
        </w:rPr>
      </w:pPr>
      <w:r>
        <w:rPr>
          <w:rFonts w:hint="eastAsia"/>
          <w:sz w:val="28"/>
          <w:szCs w:val="28"/>
        </w:rPr>
        <w:t>地址：驻马店市解放大道与文明大道交叉口</w:t>
      </w:r>
    </w:p>
    <w:p w14:paraId="24DA4C19">
      <w:pPr>
        <w:rPr>
          <w:sz w:val="28"/>
          <w:szCs w:val="28"/>
        </w:rPr>
      </w:pPr>
      <w:r>
        <w:rPr>
          <w:sz w:val="28"/>
          <w:szCs w:val="28"/>
        </w:rPr>
        <w:t>10</w:t>
      </w:r>
      <w:r>
        <w:rPr>
          <w:rFonts w:hint="eastAsia"/>
          <w:sz w:val="28"/>
          <w:szCs w:val="28"/>
        </w:rPr>
        <w:t>、兴业银行股份有限公司驻马店分行</w:t>
      </w:r>
    </w:p>
    <w:p w14:paraId="0B6FD2A1">
      <w:pPr>
        <w:rPr>
          <w:sz w:val="28"/>
          <w:szCs w:val="28"/>
        </w:rPr>
      </w:pPr>
      <w:r>
        <w:rPr>
          <w:rFonts w:hint="eastAsia"/>
          <w:sz w:val="28"/>
          <w:szCs w:val="28"/>
        </w:rPr>
        <w:t>联系人：张辰羽</w:t>
      </w:r>
      <w:r>
        <w:rPr>
          <w:sz w:val="28"/>
          <w:szCs w:val="28"/>
        </w:rPr>
        <w:t>  15236302066</w:t>
      </w:r>
    </w:p>
    <w:p w14:paraId="623C0748">
      <w:pPr>
        <w:rPr>
          <w:sz w:val="28"/>
          <w:szCs w:val="28"/>
        </w:rPr>
      </w:pPr>
      <w:r>
        <w:rPr>
          <w:rFonts w:hint="eastAsia"/>
          <w:sz w:val="28"/>
          <w:szCs w:val="28"/>
        </w:rPr>
        <w:t>地址：驿城区骏马路与开源大道交叉口</w:t>
      </w:r>
    </w:p>
    <w:p w14:paraId="71CF26BB">
      <w:pPr>
        <w:rPr>
          <w:sz w:val="28"/>
          <w:szCs w:val="28"/>
        </w:rPr>
      </w:pPr>
      <w:r>
        <w:rPr>
          <w:sz w:val="28"/>
          <w:szCs w:val="28"/>
        </w:rPr>
        <w:t>11</w:t>
      </w:r>
      <w:r>
        <w:rPr>
          <w:rFonts w:hint="eastAsia"/>
          <w:sz w:val="28"/>
          <w:szCs w:val="28"/>
        </w:rPr>
        <w:t>、中国农业银行股份有限公司驻马店分行</w:t>
      </w:r>
    </w:p>
    <w:p w14:paraId="473F488C">
      <w:pPr>
        <w:rPr>
          <w:sz w:val="28"/>
          <w:szCs w:val="28"/>
        </w:rPr>
      </w:pPr>
      <w:r>
        <w:rPr>
          <w:rFonts w:hint="eastAsia"/>
          <w:sz w:val="28"/>
          <w:szCs w:val="28"/>
        </w:rPr>
        <w:t>联系人：赵晨光</w:t>
      </w:r>
      <w:r>
        <w:rPr>
          <w:sz w:val="28"/>
          <w:szCs w:val="28"/>
        </w:rPr>
        <w:t>13939637700</w:t>
      </w:r>
    </w:p>
    <w:p w14:paraId="50B6C8D2">
      <w:pPr>
        <w:rPr>
          <w:rFonts w:hint="eastAsia"/>
          <w:sz w:val="28"/>
          <w:szCs w:val="28"/>
        </w:rPr>
      </w:pPr>
      <w:r>
        <w:rPr>
          <w:rFonts w:hint="eastAsia"/>
          <w:sz w:val="28"/>
          <w:szCs w:val="28"/>
        </w:rPr>
        <w:t>地址：驻马店市解放大道西段</w:t>
      </w:r>
      <w:r>
        <w:rPr>
          <w:sz w:val="28"/>
          <w:szCs w:val="28"/>
        </w:rPr>
        <w:t>599</w:t>
      </w:r>
      <w:r>
        <w:rPr>
          <w:rFonts w:hint="eastAsia"/>
          <w:sz w:val="28"/>
          <w:szCs w:val="28"/>
        </w:rPr>
        <w:t>号</w:t>
      </w:r>
    </w:p>
    <w:p w14:paraId="6FCA332E">
      <w:pPr>
        <w:numPr>
          <w:ilvl w:val="0"/>
          <w:numId w:val="5"/>
        </w:numPr>
        <w:rPr>
          <w:rFonts w:hint="eastAsia"/>
          <w:sz w:val="28"/>
          <w:szCs w:val="28"/>
          <w:lang w:val="en-US" w:eastAsia="zh-CN"/>
        </w:rPr>
      </w:pPr>
      <w:r>
        <w:rPr>
          <w:rFonts w:hint="eastAsia"/>
          <w:sz w:val="28"/>
          <w:szCs w:val="28"/>
          <w:lang w:val="en-US" w:eastAsia="zh-CN"/>
        </w:rPr>
        <w:t>遂平县金融工作服务中心</w:t>
      </w:r>
    </w:p>
    <w:p w14:paraId="616F5801">
      <w:pPr>
        <w:numPr>
          <w:ilvl w:val="0"/>
          <w:numId w:val="0"/>
        </w:numPr>
        <w:rPr>
          <w:rFonts w:hint="default" w:eastAsia="宋体"/>
          <w:sz w:val="28"/>
          <w:szCs w:val="28"/>
          <w:lang w:val="en-US" w:eastAsia="zh-CN"/>
        </w:rPr>
      </w:pPr>
      <w:r>
        <w:rPr>
          <w:rFonts w:hint="eastAsia"/>
          <w:sz w:val="28"/>
          <w:szCs w:val="28"/>
        </w:rPr>
        <w:t>联系人：</w:t>
      </w:r>
      <w:r>
        <w:rPr>
          <w:rFonts w:hint="eastAsia"/>
          <w:sz w:val="28"/>
          <w:szCs w:val="28"/>
          <w:lang w:val="en-US" w:eastAsia="zh-CN"/>
        </w:rPr>
        <w:t>信浩然 0396—4969966</w:t>
      </w:r>
    </w:p>
    <w:p w14:paraId="2B54E1BC">
      <w:pPr>
        <w:rPr>
          <w:sz w:val="28"/>
          <w:szCs w:val="28"/>
        </w:rPr>
      </w:pPr>
    </w:p>
    <w:p w14:paraId="43B5314E">
      <w:pPr>
        <w:rPr>
          <w:rFonts w:ascii="宋体" w:hAnsi="宋体" w:cs="宋体"/>
          <w:color w:val="000000" w:themeColor="text1"/>
          <w:sz w:val="20"/>
          <w:szCs w:val="21"/>
          <w14:textFill>
            <w14:solidFill>
              <w14:schemeClr w14:val="tx1"/>
            </w14:solidFill>
          </w14:textFill>
        </w:rPr>
      </w:pPr>
    </w:p>
    <w:p w14:paraId="4691086E">
      <w:pPr>
        <w:widowControl/>
        <w:shd w:val="clear" w:color="auto" w:fill="FFFFFF"/>
        <w:spacing w:line="360" w:lineRule="auto"/>
        <w:jc w:val="left"/>
        <w:rPr>
          <w:rFonts w:ascii="宋体" w:hAnsi="宋体" w:cs="宋体"/>
          <w:kern w:val="0"/>
          <w:sz w:val="24"/>
        </w:rPr>
      </w:pPr>
    </w:p>
    <w:sectPr>
      <w:footerReference r:id="rId3" w:type="default"/>
      <w:pgSz w:w="11906" w:h="16838"/>
      <w:pgMar w:top="1440" w:right="1416" w:bottom="1440" w:left="1560" w:header="851" w:footer="992" w:gutter="0"/>
      <w:pgNumType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Courier New"/>
    <w:panose1 w:val="00000000000000000000"/>
    <w:charset w:val="00"/>
    <w:family w:val="auto"/>
    <w:pitch w:val="default"/>
    <w:sig w:usb0="00000000" w:usb1="00000000" w:usb2="00000000" w:usb3="00000000" w:csb0="0000009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0000000000000000000"/>
    <w:charset w:val="86"/>
    <w:family w:val="script"/>
    <w:pitch w:val="default"/>
    <w:sig w:usb0="00000000" w:usb1="00000000" w:usb2="00000010" w:usb3="00000000" w:csb0="00040000" w:csb1="00000000"/>
  </w:font>
  <w:font w:name="Lucida Sans Unicode">
    <w:panose1 w:val="020B0602030504020204"/>
    <w:charset w:val="00"/>
    <w:family w:val="swiss"/>
    <w:pitch w:val="default"/>
    <w:sig w:usb0="80001AFF" w:usb1="0000396B" w:usb2="00000000" w:usb3="00000000" w:csb0="200000BF" w:csb1="D7F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169CB">
    <w:pPr>
      <w:pStyle w:val="34"/>
      <w:ind w:firstLine="21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1295" cy="889635"/>
              <wp:effectExtent l="0" t="0" r="0" b="0"/>
              <wp:wrapNone/>
              <wp:docPr id="1" name="4098"/>
              <wp:cNvGraphicFramePr/>
              <a:graphic xmlns:a="http://schemas.openxmlformats.org/drawingml/2006/main">
                <a:graphicData uri="http://schemas.microsoft.com/office/word/2010/wordprocessingShape">
                  <wps:wsp>
                    <wps:cNvSpPr txBox="1">
                      <a:spLocks noChangeArrowheads="1"/>
                    </wps:cNvSpPr>
                    <wps:spPr bwMode="auto">
                      <a:xfrm>
                        <a:off x="0" y="0"/>
                        <a:ext cx="201295" cy="889635"/>
                      </a:xfrm>
                      <a:prstGeom prst="rect">
                        <a:avLst/>
                      </a:prstGeom>
                      <a:noFill/>
                      <a:ln>
                        <a:noFill/>
                      </a:ln>
                      <a:effectLst/>
                    </wps:spPr>
                    <wps:txbx>
                      <w:txbxContent>
                        <w:p w14:paraId="28B6D5D3">
                          <w:pPr>
                            <w:pStyle w:val="3"/>
                          </w:pPr>
                        </w:p>
                      </w:txbxContent>
                    </wps:txbx>
                    <wps:bodyPr rot="0" vert="horz" wrap="none" lIns="0" tIns="0" rIns="0" bIns="0" anchor="t" anchorCtr="0" upright="1">
                      <a:spAutoFit/>
                    </wps:bodyPr>
                  </wps:wsp>
                </a:graphicData>
              </a:graphic>
            </wp:anchor>
          </w:drawing>
        </mc:Choice>
        <mc:Fallback>
          <w:pict>
            <v:shape id="4098" o:spid="_x0000_s1026" o:spt="202" type="#_x0000_t202" style="position:absolute;left:0pt;margin-top:0pt;height:70.05pt;width:15.85pt;mso-position-horizontal:center;mso-position-horizontal-relative:margin;mso-wrap-style:none;z-index:251659264;mso-width-relative:page;mso-height-relative:page;" filled="f" stroked="f" coordsize="21600,21600" o:gfxdata="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x0Ja0QAAAAQBAAAPAAAAAAAAAAEAIAAAACIAAABkcnMvZG93bnJldi54bWxQSwEC&#10;FAAUAAAACACHTuJAzwkXvfsBAAAJBAAADgAAAAAAAAABACAAAAAgAQAAZHJzL2Uyb0RvYy54bWxQ&#10;SwUGAAAAAAYABgBZAQAAjQUAAAAA&#10;">
              <v:fill on="f" focussize="0,0"/>
              <v:stroke on="f"/>
              <v:imagedata o:title=""/>
              <o:lock v:ext="edit" aspectratio="f"/>
              <v:textbox inset="0mm,0mm,0mm,0mm" style="mso-fit-shape-to-text:t;">
                <w:txbxContent>
                  <w:p w14:paraId="28B6D5D3">
                    <w:pPr>
                      <w:pStyle w:val="3"/>
                    </w:pPr>
                  </w:p>
                </w:txbxContent>
              </v:textbox>
            </v:shape>
          </w:pict>
        </mc:Fallback>
      </mc:AlternateContent>
    </w:r>
  </w:p>
  <w:p w14:paraId="33370A50">
    <w:pPr>
      <w:pStyle w:val="34"/>
      <w:ind w:firstLine="2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E1039"/>
    <w:multiLevelType w:val="singleLevel"/>
    <w:tmpl w:val="9D5E1039"/>
    <w:lvl w:ilvl="0" w:tentative="0">
      <w:start w:val="2"/>
      <w:numFmt w:val="chineseCounting"/>
      <w:suff w:val="nothing"/>
      <w:lvlText w:val="%1、"/>
      <w:lvlJc w:val="left"/>
      <w:rPr>
        <w:rFonts w:hint="eastAsia"/>
      </w:rPr>
    </w:lvl>
  </w:abstractNum>
  <w:abstractNum w:abstractNumId="1">
    <w:nsid w:val="A37E9F99"/>
    <w:multiLevelType w:val="singleLevel"/>
    <w:tmpl w:val="A37E9F99"/>
    <w:lvl w:ilvl="0" w:tentative="0">
      <w:start w:val="13"/>
      <w:numFmt w:val="decimal"/>
      <w:lvlText w:val="%1."/>
      <w:lvlJc w:val="left"/>
      <w:pPr>
        <w:tabs>
          <w:tab w:val="left" w:pos="312"/>
        </w:tabs>
      </w:pPr>
    </w:lvl>
  </w:abstractNum>
  <w:abstractNum w:abstractNumId="2">
    <w:nsid w:val="CB1C6B8E"/>
    <w:multiLevelType w:val="singleLevel"/>
    <w:tmpl w:val="CB1C6B8E"/>
    <w:lvl w:ilvl="0" w:tentative="0">
      <w:start w:val="12"/>
      <w:numFmt w:val="decimal"/>
      <w:suff w:val="nothing"/>
      <w:lvlText w:val="%1、"/>
      <w:lvlJc w:val="left"/>
    </w:lvl>
  </w:abstractNum>
  <w:abstractNum w:abstractNumId="3">
    <w:nsid w:val="2AA11E8C"/>
    <w:multiLevelType w:val="singleLevel"/>
    <w:tmpl w:val="2AA11E8C"/>
    <w:lvl w:ilvl="0" w:tentative="0">
      <w:start w:val="1"/>
      <w:numFmt w:val="decimal"/>
      <w:suff w:val="space"/>
      <w:lvlText w:val="%1."/>
      <w:lvlJc w:val="left"/>
    </w:lvl>
  </w:abstractNum>
  <w:abstractNum w:abstractNumId="4">
    <w:nsid w:val="6E1458D5"/>
    <w:multiLevelType w:val="singleLevel"/>
    <w:tmpl w:val="6E1458D5"/>
    <w:lvl w:ilvl="0" w:tentative="0">
      <w:start w:val="4"/>
      <w:numFmt w:val="decimal"/>
      <w:suff w:val="nothing"/>
      <w:lvlText w:val="%1、"/>
      <w:lvlJc w:val="left"/>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iYTBkY2M5M2M3OWNlNmI4YWFjNmY5MzE2MDVhYzUifQ=="/>
    <w:docVar w:name="KSO_WPS_MARK_KEY" w:val="07bb9fa1-ce78-4853-a9f8-dc7c3767efa8"/>
  </w:docVars>
  <w:rsids>
    <w:rsidRoot w:val="00155DF1"/>
    <w:rsid w:val="00000823"/>
    <w:rsid w:val="00006896"/>
    <w:rsid w:val="00006B81"/>
    <w:rsid w:val="00013E01"/>
    <w:rsid w:val="0001581C"/>
    <w:rsid w:val="00016F95"/>
    <w:rsid w:val="000203F0"/>
    <w:rsid w:val="00021BD3"/>
    <w:rsid w:val="00022732"/>
    <w:rsid w:val="0002410D"/>
    <w:rsid w:val="00027E71"/>
    <w:rsid w:val="00030FAC"/>
    <w:rsid w:val="00034B02"/>
    <w:rsid w:val="00040986"/>
    <w:rsid w:val="00041562"/>
    <w:rsid w:val="000546FE"/>
    <w:rsid w:val="00054B6F"/>
    <w:rsid w:val="00055B59"/>
    <w:rsid w:val="000850FE"/>
    <w:rsid w:val="000973E0"/>
    <w:rsid w:val="000A01D3"/>
    <w:rsid w:val="000A01FB"/>
    <w:rsid w:val="000A5E04"/>
    <w:rsid w:val="000B072D"/>
    <w:rsid w:val="000B0BE7"/>
    <w:rsid w:val="000D5BC2"/>
    <w:rsid w:val="000D6D15"/>
    <w:rsid w:val="000E1CC7"/>
    <w:rsid w:val="00104307"/>
    <w:rsid w:val="001053CA"/>
    <w:rsid w:val="00117045"/>
    <w:rsid w:val="00123FA9"/>
    <w:rsid w:val="0012487D"/>
    <w:rsid w:val="00125A13"/>
    <w:rsid w:val="00135E77"/>
    <w:rsid w:val="001366FC"/>
    <w:rsid w:val="00140602"/>
    <w:rsid w:val="00140C27"/>
    <w:rsid w:val="00143533"/>
    <w:rsid w:val="00144E77"/>
    <w:rsid w:val="00152134"/>
    <w:rsid w:val="00155DF1"/>
    <w:rsid w:val="001564E8"/>
    <w:rsid w:val="001574A9"/>
    <w:rsid w:val="0016735F"/>
    <w:rsid w:val="00167CD7"/>
    <w:rsid w:val="001729E8"/>
    <w:rsid w:val="00181DC4"/>
    <w:rsid w:val="00184683"/>
    <w:rsid w:val="00185145"/>
    <w:rsid w:val="001862BD"/>
    <w:rsid w:val="001903C5"/>
    <w:rsid w:val="00192466"/>
    <w:rsid w:val="00192D13"/>
    <w:rsid w:val="001938D8"/>
    <w:rsid w:val="001B51FB"/>
    <w:rsid w:val="001C2080"/>
    <w:rsid w:val="001C46EB"/>
    <w:rsid w:val="001C64A3"/>
    <w:rsid w:val="001D5853"/>
    <w:rsid w:val="001D5E83"/>
    <w:rsid w:val="001D69D9"/>
    <w:rsid w:val="001E664A"/>
    <w:rsid w:val="001F2F6B"/>
    <w:rsid w:val="001F5517"/>
    <w:rsid w:val="00204119"/>
    <w:rsid w:val="0021629F"/>
    <w:rsid w:val="002169F1"/>
    <w:rsid w:val="0022054D"/>
    <w:rsid w:val="0022294C"/>
    <w:rsid w:val="0022370E"/>
    <w:rsid w:val="0023094F"/>
    <w:rsid w:val="002327A9"/>
    <w:rsid w:val="00241876"/>
    <w:rsid w:val="00242DFB"/>
    <w:rsid w:val="00247763"/>
    <w:rsid w:val="00255ADD"/>
    <w:rsid w:val="002616F3"/>
    <w:rsid w:val="002652DD"/>
    <w:rsid w:val="0026583E"/>
    <w:rsid w:val="00267BD4"/>
    <w:rsid w:val="002774C0"/>
    <w:rsid w:val="00277615"/>
    <w:rsid w:val="002810CD"/>
    <w:rsid w:val="002A239A"/>
    <w:rsid w:val="002A44D0"/>
    <w:rsid w:val="002A485F"/>
    <w:rsid w:val="002B380A"/>
    <w:rsid w:val="002C0CC6"/>
    <w:rsid w:val="002C2B08"/>
    <w:rsid w:val="002C3492"/>
    <w:rsid w:val="002C75EF"/>
    <w:rsid w:val="002D1668"/>
    <w:rsid w:val="002D49A3"/>
    <w:rsid w:val="002D720E"/>
    <w:rsid w:val="002E131A"/>
    <w:rsid w:val="002E50BD"/>
    <w:rsid w:val="002F0BCD"/>
    <w:rsid w:val="00307BDF"/>
    <w:rsid w:val="00311949"/>
    <w:rsid w:val="00311F6E"/>
    <w:rsid w:val="00320457"/>
    <w:rsid w:val="0033115D"/>
    <w:rsid w:val="003368B3"/>
    <w:rsid w:val="00345848"/>
    <w:rsid w:val="00346A61"/>
    <w:rsid w:val="003559D4"/>
    <w:rsid w:val="00355D59"/>
    <w:rsid w:val="00356E49"/>
    <w:rsid w:val="00357321"/>
    <w:rsid w:val="00371A99"/>
    <w:rsid w:val="0037278C"/>
    <w:rsid w:val="00375C74"/>
    <w:rsid w:val="0039069E"/>
    <w:rsid w:val="00396D5C"/>
    <w:rsid w:val="003972C4"/>
    <w:rsid w:val="003A120D"/>
    <w:rsid w:val="003A2143"/>
    <w:rsid w:val="003B54A3"/>
    <w:rsid w:val="003B6D85"/>
    <w:rsid w:val="003C57AE"/>
    <w:rsid w:val="003D0D41"/>
    <w:rsid w:val="003D352A"/>
    <w:rsid w:val="003E0AB8"/>
    <w:rsid w:val="003E345A"/>
    <w:rsid w:val="00403455"/>
    <w:rsid w:val="00411C51"/>
    <w:rsid w:val="00415BA3"/>
    <w:rsid w:val="0041797D"/>
    <w:rsid w:val="004215BF"/>
    <w:rsid w:val="0044167C"/>
    <w:rsid w:val="00443C0C"/>
    <w:rsid w:val="0044487A"/>
    <w:rsid w:val="004531A9"/>
    <w:rsid w:val="00453F45"/>
    <w:rsid w:val="004555A5"/>
    <w:rsid w:val="00463498"/>
    <w:rsid w:val="00463BC5"/>
    <w:rsid w:val="00463BE7"/>
    <w:rsid w:val="004678F3"/>
    <w:rsid w:val="00482BB7"/>
    <w:rsid w:val="00492D5D"/>
    <w:rsid w:val="004A09ED"/>
    <w:rsid w:val="004A60EB"/>
    <w:rsid w:val="004B3478"/>
    <w:rsid w:val="004D24A6"/>
    <w:rsid w:val="004D2BF5"/>
    <w:rsid w:val="004F49F3"/>
    <w:rsid w:val="00506676"/>
    <w:rsid w:val="005137F0"/>
    <w:rsid w:val="00517F0C"/>
    <w:rsid w:val="00535DA7"/>
    <w:rsid w:val="005371E2"/>
    <w:rsid w:val="005403F3"/>
    <w:rsid w:val="005465BA"/>
    <w:rsid w:val="005611D3"/>
    <w:rsid w:val="005616AE"/>
    <w:rsid w:val="00562C70"/>
    <w:rsid w:val="00572441"/>
    <w:rsid w:val="00590BF4"/>
    <w:rsid w:val="00594699"/>
    <w:rsid w:val="005A00D3"/>
    <w:rsid w:val="005A251E"/>
    <w:rsid w:val="005A6BF9"/>
    <w:rsid w:val="005A7740"/>
    <w:rsid w:val="005B0DF3"/>
    <w:rsid w:val="005D21C5"/>
    <w:rsid w:val="005E3C2F"/>
    <w:rsid w:val="00602B82"/>
    <w:rsid w:val="006152F6"/>
    <w:rsid w:val="00642CC5"/>
    <w:rsid w:val="00643211"/>
    <w:rsid w:val="006470BD"/>
    <w:rsid w:val="006603EB"/>
    <w:rsid w:val="00683E1C"/>
    <w:rsid w:val="006942CE"/>
    <w:rsid w:val="006A0086"/>
    <w:rsid w:val="006A36B8"/>
    <w:rsid w:val="006B694D"/>
    <w:rsid w:val="006C5CB7"/>
    <w:rsid w:val="006D702A"/>
    <w:rsid w:val="006E6CCD"/>
    <w:rsid w:val="006F4435"/>
    <w:rsid w:val="00710AE9"/>
    <w:rsid w:val="007169A4"/>
    <w:rsid w:val="00716CEC"/>
    <w:rsid w:val="00721554"/>
    <w:rsid w:val="00734295"/>
    <w:rsid w:val="00740EF6"/>
    <w:rsid w:val="007422BD"/>
    <w:rsid w:val="00743363"/>
    <w:rsid w:val="00750835"/>
    <w:rsid w:val="00750F11"/>
    <w:rsid w:val="00752AF7"/>
    <w:rsid w:val="007536F6"/>
    <w:rsid w:val="00754D59"/>
    <w:rsid w:val="007601C5"/>
    <w:rsid w:val="00761055"/>
    <w:rsid w:val="007673CC"/>
    <w:rsid w:val="0077425E"/>
    <w:rsid w:val="007A0326"/>
    <w:rsid w:val="007A0F72"/>
    <w:rsid w:val="007A18C5"/>
    <w:rsid w:val="007A24E1"/>
    <w:rsid w:val="007A4C9C"/>
    <w:rsid w:val="007B7C38"/>
    <w:rsid w:val="007E5D5E"/>
    <w:rsid w:val="007F11A2"/>
    <w:rsid w:val="007F18BB"/>
    <w:rsid w:val="007F4FB0"/>
    <w:rsid w:val="007F5040"/>
    <w:rsid w:val="007F782C"/>
    <w:rsid w:val="00803961"/>
    <w:rsid w:val="008047B7"/>
    <w:rsid w:val="00807FC5"/>
    <w:rsid w:val="00810E28"/>
    <w:rsid w:val="0082012D"/>
    <w:rsid w:val="0082527F"/>
    <w:rsid w:val="00827D49"/>
    <w:rsid w:val="00833FAD"/>
    <w:rsid w:val="00836EFA"/>
    <w:rsid w:val="00843B6C"/>
    <w:rsid w:val="00846C6F"/>
    <w:rsid w:val="00850F39"/>
    <w:rsid w:val="0085254C"/>
    <w:rsid w:val="0085584E"/>
    <w:rsid w:val="00856BE4"/>
    <w:rsid w:val="00862E60"/>
    <w:rsid w:val="00863BDF"/>
    <w:rsid w:val="00870067"/>
    <w:rsid w:val="00873D4C"/>
    <w:rsid w:val="008751F4"/>
    <w:rsid w:val="00875266"/>
    <w:rsid w:val="00883C4A"/>
    <w:rsid w:val="00884498"/>
    <w:rsid w:val="00890FD7"/>
    <w:rsid w:val="008B2D18"/>
    <w:rsid w:val="008D4EF6"/>
    <w:rsid w:val="008D7A61"/>
    <w:rsid w:val="008E0100"/>
    <w:rsid w:val="008E5C49"/>
    <w:rsid w:val="008F3432"/>
    <w:rsid w:val="009141A9"/>
    <w:rsid w:val="0091475C"/>
    <w:rsid w:val="00923827"/>
    <w:rsid w:val="0092481F"/>
    <w:rsid w:val="009267CA"/>
    <w:rsid w:val="009407B6"/>
    <w:rsid w:val="009569E6"/>
    <w:rsid w:val="00960C8A"/>
    <w:rsid w:val="00970F0C"/>
    <w:rsid w:val="00975E42"/>
    <w:rsid w:val="00975E6B"/>
    <w:rsid w:val="00977CAC"/>
    <w:rsid w:val="009949A5"/>
    <w:rsid w:val="0099568C"/>
    <w:rsid w:val="00995815"/>
    <w:rsid w:val="009A57F5"/>
    <w:rsid w:val="009A5D3D"/>
    <w:rsid w:val="009A7344"/>
    <w:rsid w:val="009C3734"/>
    <w:rsid w:val="009D0206"/>
    <w:rsid w:val="009D5516"/>
    <w:rsid w:val="009E2FDE"/>
    <w:rsid w:val="009F4C22"/>
    <w:rsid w:val="009F67F4"/>
    <w:rsid w:val="00A00B17"/>
    <w:rsid w:val="00A01118"/>
    <w:rsid w:val="00A03F9F"/>
    <w:rsid w:val="00A1258B"/>
    <w:rsid w:val="00A226A4"/>
    <w:rsid w:val="00A301B7"/>
    <w:rsid w:val="00A520B7"/>
    <w:rsid w:val="00A541A0"/>
    <w:rsid w:val="00A54D72"/>
    <w:rsid w:val="00A6086D"/>
    <w:rsid w:val="00A61C5C"/>
    <w:rsid w:val="00A66E07"/>
    <w:rsid w:val="00A7111C"/>
    <w:rsid w:val="00A75DDF"/>
    <w:rsid w:val="00A817B1"/>
    <w:rsid w:val="00A8197D"/>
    <w:rsid w:val="00A82531"/>
    <w:rsid w:val="00A87D28"/>
    <w:rsid w:val="00A90B33"/>
    <w:rsid w:val="00A96943"/>
    <w:rsid w:val="00AA5EA6"/>
    <w:rsid w:val="00AB2264"/>
    <w:rsid w:val="00AB78DF"/>
    <w:rsid w:val="00AD7DC8"/>
    <w:rsid w:val="00AE7D88"/>
    <w:rsid w:val="00AE7F8C"/>
    <w:rsid w:val="00AF2739"/>
    <w:rsid w:val="00AF4CF4"/>
    <w:rsid w:val="00B000E1"/>
    <w:rsid w:val="00B026AA"/>
    <w:rsid w:val="00B07CB2"/>
    <w:rsid w:val="00B15027"/>
    <w:rsid w:val="00B17AA3"/>
    <w:rsid w:val="00B209BF"/>
    <w:rsid w:val="00B2137A"/>
    <w:rsid w:val="00B331A2"/>
    <w:rsid w:val="00B339F3"/>
    <w:rsid w:val="00B41637"/>
    <w:rsid w:val="00B42449"/>
    <w:rsid w:val="00B50671"/>
    <w:rsid w:val="00B62431"/>
    <w:rsid w:val="00B710B2"/>
    <w:rsid w:val="00B72EDD"/>
    <w:rsid w:val="00B76F0B"/>
    <w:rsid w:val="00B80DB0"/>
    <w:rsid w:val="00B84340"/>
    <w:rsid w:val="00B8639F"/>
    <w:rsid w:val="00B87883"/>
    <w:rsid w:val="00BA3888"/>
    <w:rsid w:val="00BA4654"/>
    <w:rsid w:val="00BA5362"/>
    <w:rsid w:val="00BB276C"/>
    <w:rsid w:val="00BB45E6"/>
    <w:rsid w:val="00BB6331"/>
    <w:rsid w:val="00BC42AE"/>
    <w:rsid w:val="00BC6A3A"/>
    <w:rsid w:val="00BC78EF"/>
    <w:rsid w:val="00BC7A6C"/>
    <w:rsid w:val="00BD1DD8"/>
    <w:rsid w:val="00BD715D"/>
    <w:rsid w:val="00BD76A1"/>
    <w:rsid w:val="00BE13FA"/>
    <w:rsid w:val="00BE5AE1"/>
    <w:rsid w:val="00BE6808"/>
    <w:rsid w:val="00BE7DBB"/>
    <w:rsid w:val="00BF1A65"/>
    <w:rsid w:val="00BF6B92"/>
    <w:rsid w:val="00C1522E"/>
    <w:rsid w:val="00C1706D"/>
    <w:rsid w:val="00C21483"/>
    <w:rsid w:val="00C2575A"/>
    <w:rsid w:val="00C3623E"/>
    <w:rsid w:val="00C46C87"/>
    <w:rsid w:val="00C47B7D"/>
    <w:rsid w:val="00C565F7"/>
    <w:rsid w:val="00C60172"/>
    <w:rsid w:val="00C6481B"/>
    <w:rsid w:val="00C651AF"/>
    <w:rsid w:val="00C6679B"/>
    <w:rsid w:val="00C7714E"/>
    <w:rsid w:val="00C809F5"/>
    <w:rsid w:val="00C83465"/>
    <w:rsid w:val="00C87DD6"/>
    <w:rsid w:val="00C908E5"/>
    <w:rsid w:val="00C940D1"/>
    <w:rsid w:val="00CA0420"/>
    <w:rsid w:val="00CB6434"/>
    <w:rsid w:val="00CC12D7"/>
    <w:rsid w:val="00CC216A"/>
    <w:rsid w:val="00CC5AC1"/>
    <w:rsid w:val="00CD13FF"/>
    <w:rsid w:val="00CE162E"/>
    <w:rsid w:val="00CE200C"/>
    <w:rsid w:val="00CF0BFA"/>
    <w:rsid w:val="00CF38B5"/>
    <w:rsid w:val="00CF4E89"/>
    <w:rsid w:val="00D100C2"/>
    <w:rsid w:val="00D221AA"/>
    <w:rsid w:val="00D253E0"/>
    <w:rsid w:val="00D2660D"/>
    <w:rsid w:val="00D3497C"/>
    <w:rsid w:val="00D541FB"/>
    <w:rsid w:val="00D561C0"/>
    <w:rsid w:val="00D61A21"/>
    <w:rsid w:val="00D67490"/>
    <w:rsid w:val="00D74039"/>
    <w:rsid w:val="00D7734B"/>
    <w:rsid w:val="00D77612"/>
    <w:rsid w:val="00D80E93"/>
    <w:rsid w:val="00D842AA"/>
    <w:rsid w:val="00D849E7"/>
    <w:rsid w:val="00D862E2"/>
    <w:rsid w:val="00D9028A"/>
    <w:rsid w:val="00D95C3A"/>
    <w:rsid w:val="00DA0F89"/>
    <w:rsid w:val="00DA72DB"/>
    <w:rsid w:val="00DB1C7B"/>
    <w:rsid w:val="00DB2AF4"/>
    <w:rsid w:val="00DC003E"/>
    <w:rsid w:val="00DC1003"/>
    <w:rsid w:val="00DC32A4"/>
    <w:rsid w:val="00DD1B09"/>
    <w:rsid w:val="00DD258A"/>
    <w:rsid w:val="00DD52BC"/>
    <w:rsid w:val="00DE091F"/>
    <w:rsid w:val="00DF3355"/>
    <w:rsid w:val="00E00BFC"/>
    <w:rsid w:val="00E10F60"/>
    <w:rsid w:val="00E157D8"/>
    <w:rsid w:val="00E27DD2"/>
    <w:rsid w:val="00E41DB0"/>
    <w:rsid w:val="00E46426"/>
    <w:rsid w:val="00E469BF"/>
    <w:rsid w:val="00E55CE4"/>
    <w:rsid w:val="00E56D2D"/>
    <w:rsid w:val="00E6426D"/>
    <w:rsid w:val="00E653E1"/>
    <w:rsid w:val="00E66C03"/>
    <w:rsid w:val="00E73CCE"/>
    <w:rsid w:val="00E84C22"/>
    <w:rsid w:val="00E93D15"/>
    <w:rsid w:val="00EB29C1"/>
    <w:rsid w:val="00EC0213"/>
    <w:rsid w:val="00EC2FA2"/>
    <w:rsid w:val="00ED15AD"/>
    <w:rsid w:val="00ED1E99"/>
    <w:rsid w:val="00ED71F8"/>
    <w:rsid w:val="00EE1787"/>
    <w:rsid w:val="00EE73E0"/>
    <w:rsid w:val="00EF6BE2"/>
    <w:rsid w:val="00F042F6"/>
    <w:rsid w:val="00F17E35"/>
    <w:rsid w:val="00F22648"/>
    <w:rsid w:val="00F25410"/>
    <w:rsid w:val="00F33337"/>
    <w:rsid w:val="00F37156"/>
    <w:rsid w:val="00F37EA7"/>
    <w:rsid w:val="00F42E38"/>
    <w:rsid w:val="00F442C1"/>
    <w:rsid w:val="00F5321C"/>
    <w:rsid w:val="00F70447"/>
    <w:rsid w:val="00F732D0"/>
    <w:rsid w:val="00F83AB3"/>
    <w:rsid w:val="00F85073"/>
    <w:rsid w:val="00F91048"/>
    <w:rsid w:val="00FB5ABD"/>
    <w:rsid w:val="00FC04BE"/>
    <w:rsid w:val="00FC425F"/>
    <w:rsid w:val="00FD673C"/>
    <w:rsid w:val="00FD71D9"/>
    <w:rsid w:val="00FE47F0"/>
    <w:rsid w:val="00FE51C7"/>
    <w:rsid w:val="011F4A14"/>
    <w:rsid w:val="018B7439"/>
    <w:rsid w:val="02E8371F"/>
    <w:rsid w:val="03EB7C5D"/>
    <w:rsid w:val="04001A6C"/>
    <w:rsid w:val="04670D22"/>
    <w:rsid w:val="06342BC8"/>
    <w:rsid w:val="069D5A59"/>
    <w:rsid w:val="06E220A0"/>
    <w:rsid w:val="06E62E27"/>
    <w:rsid w:val="074F7BF0"/>
    <w:rsid w:val="08D2739F"/>
    <w:rsid w:val="08F402E2"/>
    <w:rsid w:val="09A56796"/>
    <w:rsid w:val="0A9D64B3"/>
    <w:rsid w:val="0B27618E"/>
    <w:rsid w:val="0BEC6B10"/>
    <w:rsid w:val="0CBA34A1"/>
    <w:rsid w:val="0D1771CB"/>
    <w:rsid w:val="0DD72D40"/>
    <w:rsid w:val="0EA511BF"/>
    <w:rsid w:val="0EBE3ACE"/>
    <w:rsid w:val="102A3181"/>
    <w:rsid w:val="107A7C81"/>
    <w:rsid w:val="110246E1"/>
    <w:rsid w:val="11F7486D"/>
    <w:rsid w:val="120A515B"/>
    <w:rsid w:val="132C7878"/>
    <w:rsid w:val="13AD145E"/>
    <w:rsid w:val="13C928D7"/>
    <w:rsid w:val="13FA5A51"/>
    <w:rsid w:val="14164F85"/>
    <w:rsid w:val="14362C3C"/>
    <w:rsid w:val="14660FA2"/>
    <w:rsid w:val="14ED1448"/>
    <w:rsid w:val="15702A8C"/>
    <w:rsid w:val="15AC5778"/>
    <w:rsid w:val="16C267A9"/>
    <w:rsid w:val="1701339F"/>
    <w:rsid w:val="170E72E8"/>
    <w:rsid w:val="17757B43"/>
    <w:rsid w:val="17C02A67"/>
    <w:rsid w:val="189F672C"/>
    <w:rsid w:val="190D7DCB"/>
    <w:rsid w:val="19704A8D"/>
    <w:rsid w:val="197457B0"/>
    <w:rsid w:val="1A612DC8"/>
    <w:rsid w:val="1AD40EE6"/>
    <w:rsid w:val="1B7A0C36"/>
    <w:rsid w:val="1BBB09AF"/>
    <w:rsid w:val="1C833D72"/>
    <w:rsid w:val="1C9B1AC0"/>
    <w:rsid w:val="1DC33293"/>
    <w:rsid w:val="1DEF3193"/>
    <w:rsid w:val="1E18164A"/>
    <w:rsid w:val="1EA72751"/>
    <w:rsid w:val="1F27437B"/>
    <w:rsid w:val="1FC55E53"/>
    <w:rsid w:val="1FEC0F1C"/>
    <w:rsid w:val="207525D8"/>
    <w:rsid w:val="218E725C"/>
    <w:rsid w:val="2255574B"/>
    <w:rsid w:val="23671E37"/>
    <w:rsid w:val="23B900C9"/>
    <w:rsid w:val="23DA1BBD"/>
    <w:rsid w:val="24114479"/>
    <w:rsid w:val="24461F6F"/>
    <w:rsid w:val="24DC7BD1"/>
    <w:rsid w:val="24E0728D"/>
    <w:rsid w:val="24E33438"/>
    <w:rsid w:val="261D245F"/>
    <w:rsid w:val="265C2AE3"/>
    <w:rsid w:val="26720F74"/>
    <w:rsid w:val="26E22FEA"/>
    <w:rsid w:val="28064744"/>
    <w:rsid w:val="284111C0"/>
    <w:rsid w:val="28940212"/>
    <w:rsid w:val="296D049C"/>
    <w:rsid w:val="29C94E40"/>
    <w:rsid w:val="2AFC576C"/>
    <w:rsid w:val="2B266ABF"/>
    <w:rsid w:val="2B694FF6"/>
    <w:rsid w:val="2D4800C1"/>
    <w:rsid w:val="2D67555B"/>
    <w:rsid w:val="2EA036AA"/>
    <w:rsid w:val="2F3002A6"/>
    <w:rsid w:val="2F395A58"/>
    <w:rsid w:val="2FC74689"/>
    <w:rsid w:val="30107679"/>
    <w:rsid w:val="325333A5"/>
    <w:rsid w:val="32B4098D"/>
    <w:rsid w:val="342D1B88"/>
    <w:rsid w:val="34A95438"/>
    <w:rsid w:val="34D37B3F"/>
    <w:rsid w:val="34E5296C"/>
    <w:rsid w:val="36102A77"/>
    <w:rsid w:val="3614567D"/>
    <w:rsid w:val="377B0E6E"/>
    <w:rsid w:val="385D6F52"/>
    <w:rsid w:val="39281ED4"/>
    <w:rsid w:val="3AD65E97"/>
    <w:rsid w:val="3BFC1174"/>
    <w:rsid w:val="3C200D73"/>
    <w:rsid w:val="3CD4460C"/>
    <w:rsid w:val="3D17514D"/>
    <w:rsid w:val="3D464F9F"/>
    <w:rsid w:val="3D6F5732"/>
    <w:rsid w:val="3D955D3B"/>
    <w:rsid w:val="3E0C4266"/>
    <w:rsid w:val="3E2C29D4"/>
    <w:rsid w:val="3E403167"/>
    <w:rsid w:val="3E4A2618"/>
    <w:rsid w:val="3E5A66A9"/>
    <w:rsid w:val="3FA353AE"/>
    <w:rsid w:val="404C1FFF"/>
    <w:rsid w:val="405754CC"/>
    <w:rsid w:val="40C0744F"/>
    <w:rsid w:val="40C35A40"/>
    <w:rsid w:val="420D39C9"/>
    <w:rsid w:val="42177E0D"/>
    <w:rsid w:val="42527F91"/>
    <w:rsid w:val="42DF3542"/>
    <w:rsid w:val="431445DB"/>
    <w:rsid w:val="43317AE8"/>
    <w:rsid w:val="43504DC3"/>
    <w:rsid w:val="43D7642F"/>
    <w:rsid w:val="444D112C"/>
    <w:rsid w:val="45051032"/>
    <w:rsid w:val="457B1BF0"/>
    <w:rsid w:val="45A11A1E"/>
    <w:rsid w:val="46553D4B"/>
    <w:rsid w:val="472721FF"/>
    <w:rsid w:val="47A86371"/>
    <w:rsid w:val="48082762"/>
    <w:rsid w:val="48661ABB"/>
    <w:rsid w:val="490947B9"/>
    <w:rsid w:val="49E63A9C"/>
    <w:rsid w:val="4C634CAA"/>
    <w:rsid w:val="4D8D3EC7"/>
    <w:rsid w:val="4D9B24AE"/>
    <w:rsid w:val="4E65536A"/>
    <w:rsid w:val="4EA65151"/>
    <w:rsid w:val="4ECC3FAD"/>
    <w:rsid w:val="4EF62546"/>
    <w:rsid w:val="4F580B38"/>
    <w:rsid w:val="4FA81CD0"/>
    <w:rsid w:val="507F126C"/>
    <w:rsid w:val="50B2104B"/>
    <w:rsid w:val="50B702FD"/>
    <w:rsid w:val="50BD2AA3"/>
    <w:rsid w:val="522E127C"/>
    <w:rsid w:val="526D4D2B"/>
    <w:rsid w:val="537B4DE6"/>
    <w:rsid w:val="55437B64"/>
    <w:rsid w:val="57835872"/>
    <w:rsid w:val="57AB02DD"/>
    <w:rsid w:val="57FD0165"/>
    <w:rsid w:val="5A282587"/>
    <w:rsid w:val="5A575929"/>
    <w:rsid w:val="5A6F291E"/>
    <w:rsid w:val="5B063046"/>
    <w:rsid w:val="5B136CBE"/>
    <w:rsid w:val="5C4A31EA"/>
    <w:rsid w:val="5CDF4ACC"/>
    <w:rsid w:val="5CF60F88"/>
    <w:rsid w:val="5DA702FD"/>
    <w:rsid w:val="5FB32757"/>
    <w:rsid w:val="600A7C39"/>
    <w:rsid w:val="601613F3"/>
    <w:rsid w:val="60235F3E"/>
    <w:rsid w:val="612C258E"/>
    <w:rsid w:val="625723B7"/>
    <w:rsid w:val="62882A76"/>
    <w:rsid w:val="629A6A13"/>
    <w:rsid w:val="63482CDC"/>
    <w:rsid w:val="63BE10E9"/>
    <w:rsid w:val="64C83A46"/>
    <w:rsid w:val="64D95077"/>
    <w:rsid w:val="64E645F5"/>
    <w:rsid w:val="65564165"/>
    <w:rsid w:val="65703568"/>
    <w:rsid w:val="660F090B"/>
    <w:rsid w:val="665C22D0"/>
    <w:rsid w:val="67FB37D2"/>
    <w:rsid w:val="6A871252"/>
    <w:rsid w:val="6AE7308B"/>
    <w:rsid w:val="6B132B1B"/>
    <w:rsid w:val="6B462A1B"/>
    <w:rsid w:val="6BAF2F11"/>
    <w:rsid w:val="6EEB0E2B"/>
    <w:rsid w:val="6F252C84"/>
    <w:rsid w:val="70010996"/>
    <w:rsid w:val="70415E91"/>
    <w:rsid w:val="71165EF2"/>
    <w:rsid w:val="71C814B9"/>
    <w:rsid w:val="721851BE"/>
    <w:rsid w:val="722E4EE2"/>
    <w:rsid w:val="723A6167"/>
    <w:rsid w:val="72A53AD1"/>
    <w:rsid w:val="7344590A"/>
    <w:rsid w:val="73EB3EEF"/>
    <w:rsid w:val="74071472"/>
    <w:rsid w:val="743605AF"/>
    <w:rsid w:val="74C52203"/>
    <w:rsid w:val="74D96A64"/>
    <w:rsid w:val="74FE77F3"/>
    <w:rsid w:val="76C81830"/>
    <w:rsid w:val="770B7F50"/>
    <w:rsid w:val="77762D6A"/>
    <w:rsid w:val="77CE6781"/>
    <w:rsid w:val="78612CE3"/>
    <w:rsid w:val="79E512DA"/>
    <w:rsid w:val="79EA1B1E"/>
    <w:rsid w:val="7AB376D0"/>
    <w:rsid w:val="7AED4585"/>
    <w:rsid w:val="7AF213DA"/>
    <w:rsid w:val="7B143038"/>
    <w:rsid w:val="7C4F0732"/>
    <w:rsid w:val="7C7A4F8E"/>
    <w:rsid w:val="7D3432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32"/>
      <w:szCs w:val="44"/>
    </w:rPr>
  </w:style>
  <w:style w:type="paragraph" w:styleId="3">
    <w:name w:val="heading 2"/>
    <w:basedOn w:val="1"/>
    <w:next w:val="1"/>
    <w:link w:val="43"/>
    <w:qFormat/>
    <w:uiPriority w:val="0"/>
    <w:pPr>
      <w:keepNext/>
      <w:keepLines/>
      <w:spacing w:before="260" w:after="260" w:line="416" w:lineRule="auto"/>
      <w:outlineLvl w:val="1"/>
    </w:pPr>
    <w:rPr>
      <w:rFonts w:ascii="Cambria" w:hAnsi="Cambria" w:cs="宋体"/>
      <w:b/>
      <w:bCs/>
      <w:sz w:val="28"/>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46"/>
    <w:qFormat/>
    <w:uiPriority w:val="0"/>
    <w:pPr>
      <w:keepNext/>
      <w:keepLines/>
      <w:spacing w:before="280" w:after="290" w:line="376" w:lineRule="auto"/>
      <w:outlineLvl w:val="3"/>
    </w:pPr>
    <w:rPr>
      <w:rFonts w:ascii="Cambria" w:hAnsi="Cambria" w:cs="宋体"/>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Normal Indent"/>
    <w:basedOn w:val="1"/>
    <w:link w:val="47"/>
    <w:qFormat/>
    <w:uiPriority w:val="0"/>
    <w:pPr>
      <w:widowControl/>
      <w:ind w:firstLine="420"/>
      <w:jc w:val="left"/>
    </w:pPr>
    <w:rPr>
      <w:rFonts w:ascii="Calibri" w:hAnsi="Calibri" w:cs="宋体"/>
      <w:sz w:val="24"/>
    </w:rPr>
  </w:style>
  <w:style w:type="paragraph" w:styleId="8">
    <w:name w:val="Document Map"/>
    <w:basedOn w:val="1"/>
    <w:link w:val="48"/>
    <w:qFormat/>
    <w:uiPriority w:val="99"/>
    <w:rPr>
      <w:rFonts w:ascii="宋体"/>
      <w:sz w:val="18"/>
      <w:szCs w:val="18"/>
    </w:rPr>
  </w:style>
  <w:style w:type="paragraph" w:styleId="9">
    <w:name w:val="annotation text"/>
    <w:basedOn w:val="1"/>
    <w:link w:val="49"/>
    <w:qFormat/>
    <w:uiPriority w:val="99"/>
    <w:pPr>
      <w:jc w:val="left"/>
    </w:pPr>
  </w:style>
  <w:style w:type="paragraph" w:styleId="10">
    <w:name w:val="Body Text 3"/>
    <w:basedOn w:val="1"/>
    <w:qFormat/>
    <w:uiPriority w:val="0"/>
    <w:pPr>
      <w:spacing w:after="120"/>
    </w:pPr>
    <w:rPr>
      <w:sz w:val="16"/>
      <w:szCs w:val="16"/>
    </w:rPr>
  </w:style>
  <w:style w:type="paragraph" w:styleId="11">
    <w:name w:val="Body Text"/>
    <w:basedOn w:val="1"/>
    <w:next w:val="12"/>
    <w:link w:val="50"/>
    <w:qFormat/>
    <w:uiPriority w:val="0"/>
    <w:pPr>
      <w:adjustRightInd w:val="0"/>
      <w:spacing w:after="120" w:line="312" w:lineRule="atLeast"/>
      <w:textAlignment w:val="baseline"/>
    </w:pPr>
    <w:rPr>
      <w:rFonts w:ascii="Calibri" w:hAnsi="Calibri" w:cs="宋体"/>
      <w:szCs w:val="22"/>
    </w:rPr>
  </w:style>
  <w:style w:type="paragraph" w:styleId="12">
    <w:name w:val="Body Text 2"/>
    <w:basedOn w:val="1"/>
    <w:next w:val="11"/>
    <w:qFormat/>
    <w:uiPriority w:val="0"/>
    <w:pPr>
      <w:spacing w:before="100" w:beforeAutospacing="1" w:after="100" w:afterAutospacing="1"/>
      <w:jc w:val="left"/>
    </w:pPr>
    <w:rPr>
      <w:rFonts w:ascii="宋体" w:hAnsi="宋体" w:cs="宋体"/>
      <w:kern w:val="0"/>
      <w:sz w:val="24"/>
    </w:rPr>
  </w:style>
  <w:style w:type="paragraph" w:styleId="13">
    <w:name w:val="Body Text Indent"/>
    <w:basedOn w:val="1"/>
    <w:next w:val="14"/>
    <w:qFormat/>
    <w:uiPriority w:val="0"/>
    <w:pPr>
      <w:spacing w:after="120"/>
      <w:ind w:left="420" w:leftChars="200"/>
    </w:pPr>
  </w:style>
  <w:style w:type="paragraph" w:styleId="14">
    <w:name w:val="envelope return"/>
    <w:basedOn w:val="1"/>
    <w:qFormat/>
    <w:uiPriority w:val="99"/>
    <w:pPr>
      <w:snapToGrid w:val="0"/>
    </w:pPr>
    <w:rPr>
      <w:rFonts w:ascii="Arial" w:hAnsi="Arial"/>
    </w:rPr>
  </w:style>
  <w:style w:type="paragraph" w:styleId="15">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6">
    <w:name w:val="toc 3"/>
    <w:basedOn w:val="1"/>
    <w:next w:val="1"/>
    <w:qFormat/>
    <w:uiPriority w:val="39"/>
    <w:pPr>
      <w:widowControl/>
      <w:spacing w:after="100" w:line="276" w:lineRule="auto"/>
      <w:ind w:left="440"/>
      <w:jc w:val="left"/>
    </w:pPr>
    <w:rPr>
      <w:rFonts w:ascii="Calibri" w:hAnsi="Calibri" w:cs="宋体"/>
      <w:kern w:val="0"/>
      <w:sz w:val="22"/>
      <w:szCs w:val="22"/>
    </w:rPr>
  </w:style>
  <w:style w:type="paragraph" w:styleId="17">
    <w:name w:val="Plain Text"/>
    <w:basedOn w:val="1"/>
    <w:qFormat/>
    <w:uiPriority w:val="0"/>
    <w:rPr>
      <w:rFonts w:ascii="宋体" w:hAnsi="Courier New"/>
      <w:szCs w:val="21"/>
    </w:rPr>
  </w:style>
  <w:style w:type="paragraph" w:styleId="18">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9">
    <w:name w:val="Date"/>
    <w:basedOn w:val="1"/>
    <w:next w:val="1"/>
    <w:qFormat/>
    <w:uiPriority w:val="0"/>
    <w:pPr>
      <w:ind w:left="100" w:leftChars="2500"/>
    </w:pPr>
  </w:style>
  <w:style w:type="paragraph" w:styleId="20">
    <w:name w:val="Balloon Text"/>
    <w:basedOn w:val="1"/>
    <w:link w:val="51"/>
    <w:qFormat/>
    <w:uiPriority w:val="99"/>
    <w:rPr>
      <w:sz w:val="18"/>
      <w:szCs w:val="18"/>
    </w:rPr>
  </w:style>
  <w:style w:type="paragraph" w:styleId="21">
    <w:name w:val="footer"/>
    <w:basedOn w:val="1"/>
    <w:link w:val="52"/>
    <w:qFormat/>
    <w:uiPriority w:val="0"/>
    <w:pPr>
      <w:tabs>
        <w:tab w:val="center" w:pos="4153"/>
        <w:tab w:val="right" w:pos="8306"/>
      </w:tabs>
      <w:snapToGrid w:val="0"/>
      <w:jc w:val="left"/>
    </w:pPr>
    <w:rPr>
      <w:sz w:val="18"/>
      <w:szCs w:val="18"/>
    </w:rPr>
  </w:style>
  <w:style w:type="paragraph" w:styleId="22">
    <w:name w:val="header"/>
    <w:basedOn w:val="1"/>
    <w:next w:val="21"/>
    <w:link w:val="53"/>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widowControl/>
      <w:spacing w:after="100" w:line="276" w:lineRule="auto"/>
      <w:jc w:val="left"/>
    </w:pPr>
    <w:rPr>
      <w:rFonts w:ascii="Calibri" w:hAnsi="Calibri" w:cs="宋体"/>
      <w:kern w:val="0"/>
      <w:sz w:val="22"/>
      <w:szCs w:val="22"/>
    </w:rPr>
  </w:style>
  <w:style w:type="paragraph" w:styleId="24">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5">
    <w:name w:val="Subtitle"/>
    <w:basedOn w:val="1"/>
    <w:next w:val="1"/>
    <w:link w:val="54"/>
    <w:qFormat/>
    <w:uiPriority w:val="0"/>
    <w:pPr>
      <w:spacing w:before="240" w:after="60" w:line="312" w:lineRule="auto"/>
      <w:jc w:val="center"/>
      <w:outlineLvl w:val="1"/>
    </w:pPr>
    <w:rPr>
      <w:rFonts w:ascii="Cambria" w:hAnsi="Cambria" w:cs="宋体"/>
      <w:b/>
      <w:bCs/>
      <w:kern w:val="28"/>
      <w:sz w:val="32"/>
      <w:szCs w:val="32"/>
    </w:rPr>
  </w:style>
  <w:style w:type="paragraph" w:styleId="26">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7">
    <w:name w:val="Body Text Indent 3"/>
    <w:basedOn w:val="1"/>
    <w:link w:val="55"/>
    <w:qFormat/>
    <w:uiPriority w:val="0"/>
    <w:pPr>
      <w:spacing w:after="120"/>
      <w:ind w:left="420" w:leftChars="200"/>
    </w:pPr>
    <w:rPr>
      <w:rFonts w:ascii="Calibri" w:hAnsi="Calibri"/>
      <w:sz w:val="16"/>
      <w:szCs w:val="16"/>
    </w:rPr>
  </w:style>
  <w:style w:type="paragraph" w:styleId="28">
    <w:name w:val="toc 2"/>
    <w:basedOn w:val="1"/>
    <w:next w:val="1"/>
    <w:qFormat/>
    <w:uiPriority w:val="39"/>
    <w:pPr>
      <w:widowControl/>
      <w:spacing w:after="100" w:line="276" w:lineRule="auto"/>
      <w:ind w:left="220"/>
      <w:jc w:val="left"/>
    </w:pPr>
    <w:rPr>
      <w:rFonts w:ascii="Calibri" w:hAnsi="Calibri" w:cs="宋体"/>
      <w:kern w:val="0"/>
      <w:sz w:val="22"/>
      <w:szCs w:val="22"/>
    </w:rPr>
  </w:style>
  <w:style w:type="paragraph" w:styleId="29">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2">
    <w:name w:val="Title"/>
    <w:basedOn w:val="1"/>
    <w:next w:val="1"/>
    <w:link w:val="56"/>
    <w:qFormat/>
    <w:uiPriority w:val="10"/>
    <w:pPr>
      <w:spacing w:before="240" w:after="60"/>
      <w:jc w:val="center"/>
      <w:outlineLvl w:val="0"/>
    </w:pPr>
    <w:rPr>
      <w:rFonts w:ascii="Cambria" w:hAnsi="Cambria" w:cs="宋体"/>
      <w:b/>
      <w:bCs/>
      <w:sz w:val="32"/>
      <w:szCs w:val="32"/>
    </w:rPr>
  </w:style>
  <w:style w:type="paragraph" w:styleId="33">
    <w:name w:val="annotation subject"/>
    <w:basedOn w:val="9"/>
    <w:next w:val="9"/>
    <w:link w:val="57"/>
    <w:qFormat/>
    <w:uiPriority w:val="99"/>
    <w:rPr>
      <w:b/>
      <w:bCs/>
    </w:rPr>
  </w:style>
  <w:style w:type="paragraph" w:styleId="34">
    <w:name w:val="Body Text First Indent"/>
    <w:basedOn w:val="11"/>
    <w:qFormat/>
    <w:uiPriority w:val="0"/>
    <w:pPr>
      <w:ind w:firstLine="420" w:firstLineChars="100"/>
    </w:pPr>
  </w:style>
  <w:style w:type="paragraph" w:styleId="35">
    <w:name w:val="Body Text First Indent 2"/>
    <w:basedOn w:val="13"/>
    <w:next w:val="1"/>
    <w:qFormat/>
    <w:uiPriority w:val="99"/>
    <w:pPr>
      <w:ind w:firstLine="420"/>
    </w:p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page number"/>
    <w:qFormat/>
    <w:uiPriority w:val="0"/>
    <w:rPr>
      <w:rFonts w:ascii="Times New Roman" w:hAnsi="Times New Roman" w:eastAsia="宋体" w:cs="Times New Roman"/>
    </w:rPr>
  </w:style>
  <w:style w:type="character" w:styleId="40">
    <w:name w:val="FollowedHyperlink"/>
    <w:basedOn w:val="38"/>
    <w:qFormat/>
    <w:uiPriority w:val="0"/>
    <w:rPr>
      <w:color w:val="800080"/>
      <w:u w:val="single"/>
    </w:rPr>
  </w:style>
  <w:style w:type="character" w:styleId="41">
    <w:name w:val="Hyperlink"/>
    <w:basedOn w:val="38"/>
    <w:qFormat/>
    <w:uiPriority w:val="99"/>
    <w:rPr>
      <w:color w:val="0000FF"/>
      <w:u w:val="single"/>
    </w:rPr>
  </w:style>
  <w:style w:type="character" w:styleId="42">
    <w:name w:val="annotation reference"/>
    <w:basedOn w:val="38"/>
    <w:qFormat/>
    <w:uiPriority w:val="99"/>
    <w:rPr>
      <w:sz w:val="21"/>
      <w:szCs w:val="21"/>
    </w:rPr>
  </w:style>
  <w:style w:type="character" w:customStyle="1" w:styleId="43">
    <w:name w:val="标题 2 Char"/>
    <w:basedOn w:val="38"/>
    <w:link w:val="3"/>
    <w:qFormat/>
    <w:uiPriority w:val="9"/>
    <w:rPr>
      <w:rFonts w:ascii="Cambria" w:hAnsi="Cambria" w:eastAsia="宋体" w:cs="宋体"/>
      <w:b/>
      <w:bCs/>
      <w:sz w:val="28"/>
      <w:szCs w:val="32"/>
    </w:rPr>
  </w:style>
  <w:style w:type="character" w:customStyle="1" w:styleId="44">
    <w:name w:val="标题 1 Char"/>
    <w:basedOn w:val="38"/>
    <w:link w:val="2"/>
    <w:qFormat/>
    <w:uiPriority w:val="9"/>
    <w:rPr>
      <w:rFonts w:ascii="Times New Roman" w:hAnsi="Times New Roman" w:eastAsia="宋体" w:cs="Times New Roman"/>
      <w:b/>
      <w:bCs/>
      <w:kern w:val="44"/>
      <w:sz w:val="32"/>
      <w:szCs w:val="44"/>
    </w:rPr>
  </w:style>
  <w:style w:type="character" w:customStyle="1" w:styleId="45">
    <w:name w:val="标题 3 Char"/>
    <w:basedOn w:val="38"/>
    <w:link w:val="4"/>
    <w:qFormat/>
    <w:uiPriority w:val="9"/>
    <w:rPr>
      <w:rFonts w:ascii="Times New Roman" w:hAnsi="Times New Roman" w:eastAsia="宋体" w:cs="Times New Roman"/>
      <w:b/>
      <w:bCs/>
      <w:sz w:val="32"/>
      <w:szCs w:val="32"/>
    </w:rPr>
  </w:style>
  <w:style w:type="character" w:customStyle="1" w:styleId="46">
    <w:name w:val="标题 4 Char"/>
    <w:basedOn w:val="38"/>
    <w:link w:val="5"/>
    <w:qFormat/>
    <w:uiPriority w:val="9"/>
    <w:rPr>
      <w:rFonts w:ascii="Cambria" w:hAnsi="Cambria" w:eastAsia="宋体" w:cs="宋体"/>
      <w:b/>
      <w:bCs/>
      <w:sz w:val="28"/>
      <w:szCs w:val="28"/>
    </w:rPr>
  </w:style>
  <w:style w:type="character" w:customStyle="1" w:styleId="47">
    <w:name w:val="正文缩进 Char"/>
    <w:link w:val="7"/>
    <w:qFormat/>
    <w:uiPriority w:val="0"/>
    <w:rPr>
      <w:rFonts w:ascii="Calibri" w:hAnsi="Calibri" w:eastAsia="宋体" w:cs="宋体"/>
      <w:kern w:val="2"/>
      <w:sz w:val="24"/>
    </w:rPr>
  </w:style>
  <w:style w:type="character" w:customStyle="1" w:styleId="48">
    <w:name w:val="文档结构图 Char"/>
    <w:basedOn w:val="38"/>
    <w:link w:val="8"/>
    <w:qFormat/>
    <w:uiPriority w:val="99"/>
    <w:rPr>
      <w:rFonts w:ascii="宋体" w:hAnsi="Times New Roman" w:eastAsia="宋体" w:cs="Times New Roman"/>
      <w:sz w:val="18"/>
      <w:szCs w:val="18"/>
    </w:rPr>
  </w:style>
  <w:style w:type="character" w:customStyle="1" w:styleId="49">
    <w:name w:val="批注文字 Char"/>
    <w:basedOn w:val="38"/>
    <w:link w:val="9"/>
    <w:qFormat/>
    <w:uiPriority w:val="99"/>
    <w:rPr>
      <w:rFonts w:ascii="Times New Roman" w:hAnsi="Times New Roman" w:eastAsia="宋体" w:cs="Times New Roman"/>
      <w:szCs w:val="20"/>
    </w:rPr>
  </w:style>
  <w:style w:type="character" w:customStyle="1" w:styleId="50">
    <w:name w:val="正文文本 Char1"/>
    <w:basedOn w:val="38"/>
    <w:link w:val="11"/>
    <w:qFormat/>
    <w:uiPriority w:val="99"/>
    <w:rPr>
      <w:rFonts w:ascii="Times New Roman" w:hAnsi="Times New Roman" w:eastAsia="宋体" w:cs="Times New Roman"/>
      <w:szCs w:val="20"/>
    </w:rPr>
  </w:style>
  <w:style w:type="character" w:customStyle="1" w:styleId="51">
    <w:name w:val="批注框文本 Char"/>
    <w:basedOn w:val="38"/>
    <w:link w:val="20"/>
    <w:qFormat/>
    <w:uiPriority w:val="99"/>
    <w:rPr>
      <w:rFonts w:ascii="Times New Roman" w:hAnsi="Times New Roman" w:eastAsia="宋体" w:cs="Times New Roman"/>
      <w:sz w:val="18"/>
      <w:szCs w:val="18"/>
    </w:rPr>
  </w:style>
  <w:style w:type="character" w:customStyle="1" w:styleId="52">
    <w:name w:val="页脚 Char"/>
    <w:basedOn w:val="38"/>
    <w:link w:val="21"/>
    <w:qFormat/>
    <w:uiPriority w:val="99"/>
    <w:rPr>
      <w:sz w:val="18"/>
      <w:szCs w:val="18"/>
    </w:rPr>
  </w:style>
  <w:style w:type="character" w:customStyle="1" w:styleId="53">
    <w:name w:val="页眉 Char"/>
    <w:basedOn w:val="38"/>
    <w:link w:val="22"/>
    <w:qFormat/>
    <w:uiPriority w:val="99"/>
    <w:rPr>
      <w:sz w:val="18"/>
      <w:szCs w:val="18"/>
    </w:rPr>
  </w:style>
  <w:style w:type="character" w:customStyle="1" w:styleId="54">
    <w:name w:val="副标题 Char"/>
    <w:basedOn w:val="38"/>
    <w:link w:val="25"/>
    <w:qFormat/>
    <w:uiPriority w:val="0"/>
    <w:rPr>
      <w:rFonts w:ascii="Cambria" w:hAnsi="Cambria" w:cs="宋体"/>
      <w:b/>
      <w:bCs/>
      <w:kern w:val="28"/>
      <w:sz w:val="32"/>
      <w:szCs w:val="32"/>
    </w:rPr>
  </w:style>
  <w:style w:type="character" w:customStyle="1" w:styleId="55">
    <w:name w:val="正文文本缩进 3 Char"/>
    <w:basedOn w:val="38"/>
    <w:link w:val="27"/>
    <w:qFormat/>
    <w:uiPriority w:val="0"/>
    <w:rPr>
      <w:kern w:val="2"/>
      <w:sz w:val="16"/>
      <w:szCs w:val="16"/>
    </w:rPr>
  </w:style>
  <w:style w:type="character" w:customStyle="1" w:styleId="56">
    <w:name w:val="标题 Char"/>
    <w:basedOn w:val="38"/>
    <w:link w:val="32"/>
    <w:qFormat/>
    <w:uiPriority w:val="10"/>
    <w:rPr>
      <w:rFonts w:ascii="Cambria" w:hAnsi="Cambria" w:cs="宋体"/>
      <w:b/>
      <w:bCs/>
      <w:kern w:val="2"/>
      <w:sz w:val="32"/>
      <w:szCs w:val="32"/>
    </w:rPr>
  </w:style>
  <w:style w:type="character" w:customStyle="1" w:styleId="57">
    <w:name w:val="批注主题 Char"/>
    <w:basedOn w:val="49"/>
    <w:link w:val="33"/>
    <w:qFormat/>
    <w:uiPriority w:val="99"/>
    <w:rPr>
      <w:rFonts w:ascii="Times New Roman" w:hAnsi="Times New Roman" w:eastAsia="宋体" w:cs="Times New Roman"/>
      <w:b/>
      <w:bCs/>
      <w:szCs w:val="20"/>
    </w:rPr>
  </w:style>
  <w:style w:type="character" w:customStyle="1" w:styleId="58">
    <w:name w:val="正文文本 Char"/>
    <w:basedOn w:val="38"/>
    <w:qFormat/>
    <w:uiPriority w:val="0"/>
    <w:rPr>
      <w:rFonts w:eastAsia="宋体"/>
    </w:rPr>
  </w:style>
  <w:style w:type="paragraph" w:customStyle="1" w:styleId="59">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0">
    <w:name w:val="TOC 标题1"/>
    <w:basedOn w:val="2"/>
    <w:next w:val="1"/>
    <w:qFormat/>
    <w:uiPriority w:val="39"/>
    <w:pPr>
      <w:widowControl/>
      <w:spacing w:before="480" w:after="0" w:line="276" w:lineRule="auto"/>
      <w:jc w:val="left"/>
      <w:outlineLvl w:val="9"/>
    </w:pPr>
    <w:rPr>
      <w:rFonts w:ascii="Cambria" w:hAnsi="Cambria" w:cs="宋体"/>
      <w:color w:val="365F91"/>
      <w:kern w:val="0"/>
      <w:sz w:val="28"/>
      <w:szCs w:val="28"/>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szCs w:val="20"/>
    </w:rPr>
  </w:style>
  <w:style w:type="paragraph" w:customStyle="1" w:styleId="62">
    <w:name w:val="文档正文"/>
    <w:basedOn w:val="1"/>
    <w:qFormat/>
    <w:uiPriority w:val="0"/>
    <w:pPr>
      <w:adjustRightInd w:val="0"/>
      <w:spacing w:line="480" w:lineRule="exact"/>
      <w:jc w:val="center"/>
      <w:textAlignment w:val="baseline"/>
    </w:pPr>
    <w:rPr>
      <w:kern w:val="0"/>
      <w:sz w:val="24"/>
    </w:rPr>
  </w:style>
  <w:style w:type="paragraph" w:customStyle="1" w:styleId="63">
    <w:name w:val="p0"/>
    <w:basedOn w:val="1"/>
    <w:qFormat/>
    <w:uiPriority w:val="0"/>
    <w:pPr>
      <w:widowControl/>
      <w:ind w:firstLine="420"/>
      <w:jc w:val="left"/>
    </w:pPr>
    <w:rPr>
      <w:kern w:val="0"/>
      <w:sz w:val="20"/>
    </w:rPr>
  </w:style>
  <w:style w:type="paragraph" w:customStyle="1" w:styleId="64">
    <w:name w:val="列出段落1"/>
    <w:basedOn w:val="1"/>
    <w:qFormat/>
    <w:uiPriority w:val="0"/>
    <w:pPr>
      <w:ind w:firstLine="420" w:firstLineChars="200"/>
    </w:pPr>
    <w:rPr>
      <w:rFonts w:ascii="Calibri" w:hAnsi="Calibri"/>
      <w:szCs w:val="22"/>
    </w:rPr>
  </w:style>
  <w:style w:type="paragraph" w:styleId="65">
    <w:name w:val="List Paragraph"/>
    <w:basedOn w:val="1"/>
    <w:qFormat/>
    <w:uiPriority w:val="34"/>
    <w:pPr>
      <w:ind w:firstLine="420" w:firstLineChars="200"/>
    </w:pPr>
  </w:style>
  <w:style w:type="character" w:customStyle="1" w:styleId="66">
    <w:name w:val="样式 仿宋"/>
    <w:qFormat/>
    <w:uiPriority w:val="0"/>
    <w:rPr>
      <w:rFonts w:ascii="仿宋" w:hAnsi="仿宋" w:eastAsia="仿宋"/>
      <w:kern w:val="1"/>
      <w:sz w:val="21"/>
      <w:szCs w:val="21"/>
    </w:rPr>
  </w:style>
  <w:style w:type="paragraph" w:customStyle="1" w:styleId="67">
    <w:name w:val="正文_5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Normal_51"/>
    <w:qFormat/>
    <w:uiPriority w:val="0"/>
    <w:pPr>
      <w:spacing w:before="120" w:after="240"/>
      <w:jc w:val="both"/>
    </w:pPr>
    <w:rPr>
      <w:rFonts w:ascii="Calibri" w:hAnsi="Calibri" w:eastAsia="宋体" w:cs="Times New Roman"/>
      <w:sz w:val="22"/>
      <w:szCs w:val="22"/>
      <w:lang w:val="en-US" w:eastAsia="en-US" w:bidi="ar-SA"/>
    </w:rPr>
  </w:style>
  <w:style w:type="character" w:customStyle="1" w:styleId="70">
    <w:name w:val="15"/>
    <w:basedOn w:val="38"/>
    <w:qFormat/>
    <w:uiPriority w:val="0"/>
  </w:style>
  <w:style w:type="character" w:customStyle="1" w:styleId="71">
    <w:name w:val="CharAttribute11"/>
    <w:qFormat/>
    <w:uiPriority w:val="0"/>
    <w:rPr>
      <w:rFonts w:ascii="??????" w:hAnsi="??????" w:eastAsia="??????"/>
      <w:sz w:val="21"/>
    </w:rPr>
  </w:style>
  <w:style w:type="paragraph" w:customStyle="1" w:styleId="72">
    <w:name w:val="表格文字"/>
    <w:basedOn w:val="1"/>
    <w:next w:val="11"/>
    <w:qFormat/>
    <w:uiPriority w:val="0"/>
    <w:pPr>
      <w:adjustRightInd w:val="0"/>
      <w:spacing w:line="420" w:lineRule="atLeast"/>
      <w:jc w:val="left"/>
      <w:textAlignment w:val="baseline"/>
    </w:pPr>
    <w:rPr>
      <w:kern w:val="0"/>
      <w:szCs w:val="24"/>
    </w:rPr>
  </w:style>
  <w:style w:type="character" w:customStyle="1" w:styleId="73">
    <w:name w:val="mini-outputtext1"/>
    <w:basedOn w:val="38"/>
    <w:qFormat/>
    <w:uiPriority w:val="0"/>
  </w:style>
  <w:style w:type="character" w:customStyle="1" w:styleId="74">
    <w:name w:val="xdrichtextbox2"/>
    <w:basedOn w:val="38"/>
    <w:qFormat/>
    <w:uiPriority w:val="0"/>
    <w:rPr>
      <w:color w:val="0000FF"/>
      <w:sz w:val="18"/>
      <w:szCs w:val="18"/>
      <w:u w:val="none"/>
      <w:bdr w:val="single" w:color="DCDCDC" w:sz="8" w:space="0"/>
      <w:shd w:val="clear" w:color="auto" w:fill="FFFFFF"/>
    </w:rPr>
  </w:style>
  <w:style w:type="paragraph" w:customStyle="1" w:styleId="75">
    <w:name w:val="Table Paragraph"/>
    <w:basedOn w:val="1"/>
    <w:qFormat/>
    <w:uiPriority w:val="1"/>
    <w:rPr>
      <w:rFonts w:ascii="宋体" w:hAnsi="宋体" w:cs="宋体"/>
      <w:lang w:val="zh-CN" w:bidi="zh-CN"/>
    </w:rPr>
  </w:style>
  <w:style w:type="character" w:customStyle="1" w:styleId="76">
    <w:name w:val="文档结构图 Char2"/>
    <w:semiHidden/>
    <w:qFormat/>
    <w:uiPriority w:val="99"/>
    <w:rPr>
      <w:rFonts w:ascii="宋体"/>
      <w:kern w:val="2"/>
      <w:sz w:val="18"/>
      <w:szCs w:val="18"/>
    </w:rPr>
  </w:style>
  <w:style w:type="paragraph" w:customStyle="1" w:styleId="77">
    <w:name w:val="Body Text First Indent1"/>
    <w:basedOn w:val="11"/>
    <w:qFormat/>
    <w:uiPriority w:val="0"/>
    <w:pPr>
      <w:adjustRightInd/>
      <w:spacing w:line="240" w:lineRule="auto"/>
      <w:ind w:firstLine="420"/>
      <w:textAlignment w:val="auto"/>
    </w:pPr>
    <w:rPr>
      <w:rFonts w:cs="Times New Roman"/>
      <w:szCs w:val="20"/>
    </w:rPr>
  </w:style>
  <w:style w:type="paragraph" w:customStyle="1" w:styleId="78">
    <w:name w:val="列出段落{858D7CFB-ED40-4347-BF05-701D383B685F}{858D7CFB-ED40-4347-BF05-701D383B685F}"/>
    <w:basedOn w:val="1"/>
    <w:qFormat/>
    <w:uiPriority w:val="0"/>
    <w:pPr>
      <w:ind w:firstLine="420" w:firstLineChars="200"/>
    </w:pPr>
    <w:rPr>
      <w:rFonts w:ascii="Calibri" w:hAnsi="Calibri"/>
      <w:szCs w:val="22"/>
    </w:rPr>
  </w:style>
  <w:style w:type="character" w:customStyle="1" w:styleId="79">
    <w:name w:val="NormalCharacter"/>
    <w:semiHidden/>
    <w:qFormat/>
    <w:uiPriority w:val="0"/>
  </w:style>
  <w:style w:type="paragraph" w:customStyle="1" w:styleId="80">
    <w:name w:val="无间隔1"/>
    <w:basedOn w:val="1"/>
    <w:qFormat/>
    <w:uiPriority w:val="1"/>
    <w:pPr>
      <w:spacing w:line="400" w:lineRule="exact"/>
    </w:pPr>
    <w:rPr>
      <w:sz w:val="24"/>
      <w:szCs w:val="24"/>
    </w:rPr>
  </w:style>
  <w:style w:type="paragraph" w:customStyle="1" w:styleId="81">
    <w:name w:val="p"/>
    <w:basedOn w:val="1"/>
    <w:qFormat/>
    <w:uiPriority w:val="0"/>
    <w:pPr>
      <w:widowControl/>
      <w:spacing w:line="432" w:lineRule="auto"/>
      <w:jc w:val="left"/>
    </w:pPr>
    <w:rPr>
      <w:rFonts w:ascii="宋体" w:hAnsi="宋体" w:cs="宋体"/>
      <w:kern w:val="0"/>
      <w:sz w:val="24"/>
      <w:szCs w:val="24"/>
    </w:rPr>
  </w:style>
  <w:style w:type="paragraph" w:customStyle="1" w:styleId="82">
    <w:name w:val="正文文本首行缩进"/>
    <w:basedOn w:val="11"/>
    <w:qFormat/>
    <w:uiPriority w:val="0"/>
    <w:pPr>
      <w:ind w:firstLine="420" w:firstLineChars="100"/>
    </w:pPr>
    <w:rPr>
      <w:szCs w:val="20"/>
      <w:lang w:val="en-US" w:eastAsia="zh-CN"/>
    </w:rPr>
  </w:style>
  <w:style w:type="paragraph" w:customStyle="1" w:styleId="83">
    <w:name w:val="正文缩进1"/>
    <w:basedOn w:val="1"/>
    <w:qFormat/>
    <w:uiPriority w:val="0"/>
    <w:pPr>
      <w:widowControl/>
      <w:ind w:firstLine="420"/>
      <w:jc w:val="left"/>
    </w:pPr>
    <w:rPr>
      <w:rFonts w:ascii="Times New Roman" w:hAnsi="Times New Roman"/>
      <w:kern w:val="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9EE1A3-5D26-46A9-90EF-C78185C3DF89}">
  <ds:schemaRefs/>
</ds:datastoreItem>
</file>

<file path=docProps/app.xml><?xml version="1.0" encoding="utf-8"?>
<Properties xmlns="http://schemas.openxmlformats.org/officeDocument/2006/extended-properties" xmlns:vt="http://schemas.openxmlformats.org/officeDocument/2006/docPropsVTypes">
  <Template>Normal</Template>
  <Company>chinaunicom</Company>
  <Pages>71</Pages>
  <Words>10662</Words>
  <Characters>12008</Characters>
  <Lines>193</Lines>
  <Paragraphs>54</Paragraphs>
  <TotalTime>167</TotalTime>
  <ScaleCrop>false</ScaleCrop>
  <LinksUpToDate>false</LinksUpToDate>
  <CharactersWithSpaces>12563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2020-11-22T01:23:00Z</dcterms:created>
  <dc:creator>Administrator</dc:creator>
  <cp:lastModifiedBy>NTKO</cp:lastModifiedBy>
  <cp:lastPrinted>2023-08-10T01:48:00Z</cp:lastPrinted>
  <dcterms:modified xsi:type="dcterms:W3CDTF">2026-08-03T09:20:48Z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C4671E63FC6949F8AD7C093A540F81A6_13</vt:lpwstr>
  </property>
  <property fmtid="{D5CDD505-2E9C-101B-9397-08002B2CF9AE}" pid="4" name="KSOTemplateDocerSaveRecord">
    <vt:lpwstr>eyJoZGlkIjoiYmRiYTBkY2M5M2M3OWNlNmI4YWFjNmY5MzE2MDVhYzUiLCJ1c2VySWQiOiIxNDkwMjUwMTIwIn0=</vt:lpwstr>
  </property>
</Properties>
</file>